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3.xml" ContentType="application/vnd.openxmlformats-officedocument.themeOverride+xml"/>
  <Override PartName="/word/drawings/drawing2.xml" ContentType="application/vnd.openxmlformats-officedocument.drawingml.chartshapes+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drawings/drawing3.xml" ContentType="application/vnd.openxmlformats-officedocument.drawingml.chartshapes+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theme/themeOverride17.xml" ContentType="application/vnd.openxmlformats-officedocument.themeOverride+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charts/chart21.xml" ContentType="application/vnd.openxmlformats-officedocument.drawingml.chart+xml"/>
  <Override PartName="/word/theme/themeOverride20.xml" ContentType="application/vnd.openxmlformats-officedocument.themeOverride+xml"/>
  <Override PartName="/word/charts/chart22.xml" ContentType="application/vnd.openxmlformats-officedocument.drawingml.chart+xml"/>
  <Override PartName="/word/theme/themeOverride21.xml" ContentType="application/vnd.openxmlformats-officedocument.themeOverride+xml"/>
  <Override PartName="/word/charts/chart23.xml" ContentType="application/vnd.openxmlformats-officedocument.drawingml.chart+xml"/>
  <Override PartName="/word/theme/themeOverride22.xml" ContentType="application/vnd.openxmlformats-officedocument.themeOverride+xml"/>
  <Override PartName="/word/charts/chart24.xml" ContentType="application/vnd.openxmlformats-officedocument.drawingml.chart+xml"/>
  <Override PartName="/word/theme/themeOverride23.xml" ContentType="application/vnd.openxmlformats-officedocument.themeOverride+xml"/>
  <Override PartName="/word/charts/chart25.xml" ContentType="application/vnd.openxmlformats-officedocument.drawingml.chart+xml"/>
  <Override PartName="/word/theme/themeOverride24.xml" ContentType="application/vnd.openxmlformats-officedocument.themeOverride+xml"/>
  <Override PartName="/word/charts/chart26.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5.xml" ContentType="application/vnd.openxmlformats-officedocument.themeOverride+xml"/>
  <Override PartName="/word/charts/chart27.xml" ContentType="application/vnd.openxmlformats-officedocument.drawingml.chart+xml"/>
  <Override PartName="/word/theme/themeOverride26.xml" ContentType="application/vnd.openxmlformats-officedocument.themeOverride+xml"/>
  <Override PartName="/word/charts/chart28.xml" ContentType="application/vnd.openxmlformats-officedocument.drawingml.chart+xml"/>
  <Override PartName="/word/theme/themeOverride27.xml" ContentType="application/vnd.openxmlformats-officedocument.themeOverride+xml"/>
  <Override PartName="/word/charts/chart29.xml" ContentType="application/vnd.openxmlformats-officedocument.drawingml.chart+xml"/>
  <Override PartName="/word/theme/themeOverride28.xml" ContentType="application/vnd.openxmlformats-officedocument.themeOverride+xml"/>
  <Override PartName="/word/charts/chart30.xml" ContentType="application/vnd.openxmlformats-officedocument.drawingml.chart+xml"/>
  <Override PartName="/word/theme/themeOverride29.xml" ContentType="application/vnd.openxmlformats-officedocument.themeOverride+xml"/>
  <Override PartName="/word/charts/chart31.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32.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33.xml" ContentType="application/vnd.openxmlformats-officedocument.drawingml.chart+xml"/>
  <Override PartName="/word/theme/themeOverride30.xml" ContentType="application/vnd.openxmlformats-officedocument.themeOverride+xml"/>
  <Override PartName="/word/charts/chart34.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35.xml" ContentType="application/vnd.openxmlformats-officedocument.drawingml.chart+xml"/>
  <Override PartName="/word/theme/themeOverride31.xml" ContentType="application/vnd.openxmlformats-officedocument.themeOverride+xml"/>
  <Override PartName="/word/charts/chart36.xml" ContentType="application/vnd.openxmlformats-officedocument.drawingml.chart+xml"/>
  <Override PartName="/word/theme/themeOverride32.xml" ContentType="application/vnd.openxmlformats-officedocument.themeOverride+xml"/>
  <Override PartName="/word/charts/chart37.xml" ContentType="application/vnd.openxmlformats-officedocument.drawingml.chart+xml"/>
  <Override PartName="/word/theme/themeOverride33.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30033" w14:textId="77777777" w:rsidR="001E0231" w:rsidRPr="00256D89" w:rsidRDefault="00D75613" w:rsidP="00FB625E">
      <w:pPr>
        <w:widowControl w:val="0"/>
        <w:autoSpaceDE w:val="0"/>
        <w:autoSpaceDN w:val="0"/>
        <w:adjustRightInd w:val="0"/>
        <w:spacing w:after="0" w:line="240" w:lineRule="auto"/>
        <w:jc w:val="center"/>
        <w:rPr>
          <w:rFonts w:ascii="Arial Narrow" w:hAnsi="Arial Narrow"/>
          <w:sz w:val="32"/>
          <w:szCs w:val="32"/>
        </w:rPr>
      </w:pPr>
      <w:r>
        <w:rPr>
          <w:rFonts w:ascii="Arial Narrow" w:hAnsi="Arial Narrow"/>
          <w:sz w:val="32"/>
          <w:szCs w:val="32"/>
        </w:rPr>
        <w:tab/>
      </w:r>
    </w:p>
    <w:p w14:paraId="36EB8B8E"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05559710"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3F90F770"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37714720" w14:textId="77777777" w:rsidR="005B2D07" w:rsidRPr="00256D89" w:rsidRDefault="001E0231" w:rsidP="00FB625E">
      <w:pPr>
        <w:widowControl w:val="0"/>
        <w:autoSpaceDE w:val="0"/>
        <w:autoSpaceDN w:val="0"/>
        <w:adjustRightInd w:val="0"/>
        <w:spacing w:after="0" w:line="240" w:lineRule="auto"/>
        <w:rPr>
          <w:rFonts w:ascii="Arial Narrow" w:hAnsi="Arial Narrow"/>
          <w:b/>
          <w:sz w:val="20"/>
          <w:szCs w:val="20"/>
        </w:rPr>
      </w:pPr>
      <w:r w:rsidRPr="00256D89">
        <w:rPr>
          <w:rFonts w:ascii="Arial Narrow" w:hAnsi="Arial Narrow"/>
          <w:b/>
          <w:noProof/>
          <w:sz w:val="20"/>
          <w:szCs w:val="20"/>
          <w:lang w:val="en-US" w:eastAsia="en-US"/>
        </w:rPr>
        <mc:AlternateContent>
          <mc:Choice Requires="wps">
            <w:drawing>
              <wp:anchor distT="0" distB="0" distL="114300" distR="114300" simplePos="0" relativeHeight="251711488" behindDoc="0" locked="1" layoutInCell="1" allowOverlap="1" wp14:anchorId="4907D969" wp14:editId="4D2C75D9">
                <wp:simplePos x="0" y="0"/>
                <wp:positionH relativeFrom="column">
                  <wp:posOffset>1009650</wp:posOffset>
                </wp:positionH>
                <wp:positionV relativeFrom="page">
                  <wp:posOffset>723900</wp:posOffset>
                </wp:positionV>
                <wp:extent cx="3552825" cy="3810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81000"/>
                        </a:xfrm>
                        <a:prstGeom prst="rect">
                          <a:avLst/>
                        </a:prstGeom>
                        <a:solidFill>
                          <a:srgbClr val="FFFFFF"/>
                        </a:solidFill>
                        <a:ln w="9525">
                          <a:noFill/>
                          <a:miter lim="800000"/>
                          <a:headEnd/>
                          <a:tailEnd/>
                        </a:ln>
                      </wps:spPr>
                      <wps:txbx>
                        <w:txbxContent>
                          <w:p w14:paraId="5A914698" w14:textId="77777777" w:rsidR="00C068B2" w:rsidRPr="001E0231" w:rsidRDefault="00C068B2" w:rsidP="001E0231">
                            <w:pPr>
                              <w:jc w:val="center"/>
                              <w:rPr>
                                <w:rFonts w:ascii="Arial Narrow" w:hAnsi="Arial Narrow" w:cstheme="minorHAnsi"/>
                                <w:sz w:val="32"/>
                                <w:szCs w:val="32"/>
                              </w:rPr>
                            </w:pPr>
                            <w:r w:rsidRPr="001E0231">
                              <w:rPr>
                                <w:rFonts w:ascii="Arial Narrow" w:hAnsi="Arial Narrow" w:cstheme="minorHAnsi"/>
                                <w:b/>
                                <w:bCs/>
                                <w:sz w:val="32"/>
                                <w:szCs w:val="32"/>
                                <w:lang w:val="pl-PL"/>
                              </w:rPr>
                              <w:t>Ministerstvo financií Slovenskej republiky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7D969" id="_x0000_t202" coordsize="21600,21600" o:spt="202" path="m,l,21600r21600,l21600,xe">
                <v:stroke joinstyle="miter"/>
                <v:path gradientshapeok="t" o:connecttype="rect"/>
              </v:shapetype>
              <v:shape id="Text Box 2" o:spid="_x0000_s1026" type="#_x0000_t202" style="position:absolute;margin-left:79.5pt;margin-top:57pt;width:279.75pt;height:3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" stroked="f">
                <v:textbox>
                  <w:txbxContent>
                    <w:p w14:paraId="5A914698" w14:textId="77777777" w:rsidR="00C068B2" w:rsidRPr="001E0231" w:rsidRDefault="00C068B2" w:rsidP="001E0231">
                      <w:pPr>
                        <w:jc w:val="center"/>
                        <w:rPr>
                          <w:rFonts w:ascii="Arial Narrow" w:hAnsi="Arial Narrow" w:cstheme="minorHAnsi"/>
                          <w:sz w:val="32"/>
                          <w:szCs w:val="32"/>
                        </w:rPr>
                      </w:pPr>
                      <w:r w:rsidRPr="001E0231">
                        <w:rPr>
                          <w:rFonts w:ascii="Arial Narrow" w:hAnsi="Arial Narrow" w:cstheme="minorHAnsi"/>
                          <w:b/>
                          <w:bCs/>
                          <w:sz w:val="32"/>
                          <w:szCs w:val="32"/>
                          <w:lang w:val="pl-PL"/>
                        </w:rPr>
                        <w:t>Ministerstvo financií Slovenskej republiky</w:t>
                      </w:r>
                    </w:p>
                  </w:txbxContent>
                </v:textbox>
                <w10:wrap anchory="page"/>
                <w10:anchorlock/>
              </v:shape>
            </w:pict>
          </mc:Fallback>
        </mc:AlternateContent>
      </w:r>
    </w:p>
    <w:p w14:paraId="0FC25C63"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2E5EF990"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0C98DA9D"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5F076F95"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3B5089F6" w14:textId="77777777" w:rsidR="005B2D07" w:rsidRPr="00256D89" w:rsidRDefault="005E095E" w:rsidP="00FB625E">
      <w:pPr>
        <w:widowControl w:val="0"/>
        <w:autoSpaceDE w:val="0"/>
        <w:autoSpaceDN w:val="0"/>
        <w:adjustRightInd w:val="0"/>
        <w:spacing w:after="0" w:line="240" w:lineRule="auto"/>
        <w:rPr>
          <w:rFonts w:ascii="Arial Narrow" w:hAnsi="Arial Narrow"/>
          <w:b/>
          <w:sz w:val="20"/>
          <w:szCs w:val="20"/>
        </w:rPr>
      </w:pPr>
      <w:r w:rsidRPr="00256D89">
        <w:rPr>
          <w:rFonts w:ascii="Arial Narrow" w:hAnsi="Arial Narrow"/>
          <w:b/>
          <w:noProof/>
          <w:lang w:val="en-US" w:eastAsia="en-US"/>
        </w:rPr>
        <mc:AlternateContent>
          <mc:Choice Requires="wps">
            <w:drawing>
              <wp:anchor distT="0" distB="0" distL="114300" distR="114300" simplePos="0" relativeHeight="251664384" behindDoc="1" locked="0" layoutInCell="0" allowOverlap="1" wp14:anchorId="3DB1E478" wp14:editId="6C9692E1">
                <wp:simplePos x="0" y="0"/>
                <wp:positionH relativeFrom="page">
                  <wp:posOffset>3175</wp:posOffset>
                </wp:positionH>
                <wp:positionV relativeFrom="page">
                  <wp:posOffset>3860800</wp:posOffset>
                </wp:positionV>
                <wp:extent cx="81280" cy="2899410"/>
                <wp:effectExtent l="0" t="0" r="0" b="0"/>
                <wp:wrapNone/>
                <wp:docPr id="1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2899410"/>
                        </a:xfrm>
                        <a:prstGeom prst="rect">
                          <a:avLst/>
                        </a:prstGeom>
                        <a:solidFill>
                          <a:srgbClr val="37AB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6AF67" id="Rectangle 3" o:spid="_x0000_s1026" style="position:absolute;margin-left:.25pt;margin-top:304pt;width:6.4pt;height:228.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" o:allowincell="f" fillcolor="#37abe1" stroked="f">
                <v:path arrowok="t"/>
                <w10:wrap anchorx="page" anchory="page"/>
              </v:rect>
            </w:pict>
          </mc:Fallback>
        </mc:AlternateContent>
      </w:r>
    </w:p>
    <w:p w14:paraId="1BC96C40"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194A8A7A"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5BAF18C6"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67565572"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7618D75E"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320B3300" w14:textId="77777777" w:rsidR="005B2D07" w:rsidRPr="00256D89" w:rsidRDefault="001E0231" w:rsidP="00FB625E">
      <w:pPr>
        <w:widowControl w:val="0"/>
        <w:autoSpaceDE w:val="0"/>
        <w:autoSpaceDN w:val="0"/>
        <w:adjustRightInd w:val="0"/>
        <w:spacing w:after="0" w:line="240" w:lineRule="auto"/>
        <w:rPr>
          <w:rFonts w:ascii="Arial Narrow" w:hAnsi="Arial Narrow"/>
          <w:b/>
          <w:sz w:val="20"/>
          <w:szCs w:val="20"/>
        </w:rPr>
      </w:pPr>
      <w:r w:rsidRPr="00256D89">
        <w:rPr>
          <w:rFonts w:ascii="Arial Narrow" w:hAnsi="Arial Narrow"/>
          <w:noProof/>
          <w:lang w:val="en-US" w:eastAsia="en-US"/>
        </w:rPr>
        <w:drawing>
          <wp:anchor distT="0" distB="0" distL="114300" distR="114300" simplePos="0" relativeHeight="251709440" behindDoc="0" locked="0" layoutInCell="1" allowOverlap="1" wp14:anchorId="678D9FEC" wp14:editId="3F3D0703">
            <wp:simplePos x="0" y="0"/>
            <wp:positionH relativeFrom="column">
              <wp:posOffset>2066925</wp:posOffset>
            </wp:positionH>
            <wp:positionV relativeFrom="paragraph">
              <wp:posOffset>26348</wp:posOffset>
            </wp:positionV>
            <wp:extent cx="1362075" cy="1695450"/>
            <wp:effectExtent l="0" t="0" r="9525" b="0"/>
            <wp:wrapNone/>
            <wp:docPr id="1" name="Obrázok 56" descr="Popis: štátny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6" descr="Popis: štátny zn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05898"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7243B800"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2AF6D0B6"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59B1A192"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0E903482"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4D3B2A3B"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71CFEC74"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50AF01DF"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64E798DB"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23E00963"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64D4F028"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580E1C86"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30693365"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4EE5870D"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567AE400"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4389AB84"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1385C6CA"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0E27F313"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2DA4E284"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2992A7CA"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7A3BAEF2"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5EB36D74" w14:textId="77777777" w:rsidR="005B2D07" w:rsidRPr="00256D89" w:rsidRDefault="001E0231" w:rsidP="00FB625E">
      <w:pPr>
        <w:widowControl w:val="0"/>
        <w:autoSpaceDE w:val="0"/>
        <w:autoSpaceDN w:val="0"/>
        <w:adjustRightInd w:val="0"/>
        <w:spacing w:after="0" w:line="240" w:lineRule="auto"/>
        <w:rPr>
          <w:rFonts w:ascii="Arial Narrow" w:hAnsi="Arial Narrow"/>
          <w:b/>
          <w:sz w:val="20"/>
          <w:szCs w:val="20"/>
        </w:rPr>
      </w:pPr>
      <w:r w:rsidRPr="00256D89">
        <w:rPr>
          <w:rFonts w:ascii="Arial Narrow" w:hAnsi="Arial Narrow"/>
          <w:b/>
          <w:noProof/>
          <w:lang w:val="en-US" w:eastAsia="en-US"/>
        </w:rPr>
        <mc:AlternateContent>
          <mc:Choice Requires="wps">
            <w:drawing>
              <wp:anchor distT="0" distB="0" distL="114300" distR="114300" simplePos="0" relativeHeight="251708416" behindDoc="1" locked="0" layoutInCell="0" allowOverlap="1" wp14:anchorId="2342D59C" wp14:editId="56097B24">
                <wp:simplePos x="0" y="0"/>
                <wp:positionH relativeFrom="page">
                  <wp:posOffset>1665605</wp:posOffset>
                </wp:positionH>
                <wp:positionV relativeFrom="page">
                  <wp:posOffset>5546403</wp:posOffset>
                </wp:positionV>
                <wp:extent cx="59055" cy="294640"/>
                <wp:effectExtent l="0" t="0" r="0" b="0"/>
                <wp:wrapNone/>
                <wp:docPr id="3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294640"/>
                        </a:xfrm>
                        <a:prstGeom prst="rect">
                          <a:avLst/>
                        </a:prstGeom>
                        <a:solidFill>
                          <a:srgbClr val="37AB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D16BC" id="Rectangle 2" o:spid="_x0000_s1026" style="position:absolute;margin-left:131.15pt;margin-top:436.7pt;width:4.65pt;height:23.2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" o:allowincell="f" fillcolor="#37abe1" stroked="f">
                <v:path arrowok="t"/>
                <w10:wrap anchorx="page" anchory="page"/>
              </v:rect>
            </w:pict>
          </mc:Fallback>
        </mc:AlternateContent>
      </w:r>
    </w:p>
    <w:p w14:paraId="247AD894"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17D36CA7" w14:textId="77777777" w:rsidR="005B2D07" w:rsidRPr="00256D89" w:rsidRDefault="0032199C" w:rsidP="00FB625E">
      <w:pPr>
        <w:widowControl w:val="0"/>
        <w:autoSpaceDE w:val="0"/>
        <w:autoSpaceDN w:val="0"/>
        <w:adjustRightInd w:val="0"/>
        <w:spacing w:after="0" w:line="240" w:lineRule="auto"/>
        <w:rPr>
          <w:rFonts w:ascii="Arial Narrow" w:hAnsi="Arial Narrow"/>
          <w:b/>
          <w:sz w:val="20"/>
          <w:szCs w:val="20"/>
        </w:rPr>
      </w:pPr>
      <w:r w:rsidRPr="00256D89">
        <w:rPr>
          <w:rFonts w:ascii="Arial Narrow" w:hAnsi="Arial Narrow"/>
          <w:b/>
          <w:noProof/>
          <w:sz w:val="20"/>
          <w:szCs w:val="20"/>
          <w:lang w:val="en-US" w:eastAsia="en-US"/>
        </w:rPr>
        <mc:AlternateContent>
          <mc:Choice Requires="wps">
            <w:drawing>
              <wp:anchor distT="0" distB="0" distL="114300" distR="114300" simplePos="0" relativeHeight="251715584" behindDoc="0" locked="1" layoutInCell="1" allowOverlap="1" wp14:anchorId="44C5FA21" wp14:editId="7A19ACF6">
                <wp:simplePos x="0" y="0"/>
                <wp:positionH relativeFrom="margin">
                  <wp:posOffset>720090</wp:posOffset>
                </wp:positionH>
                <wp:positionV relativeFrom="page">
                  <wp:posOffset>5438775</wp:posOffset>
                </wp:positionV>
                <wp:extent cx="4068000" cy="1702800"/>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000" cy="1702800"/>
                        </a:xfrm>
                        <a:prstGeom prst="rect">
                          <a:avLst/>
                        </a:prstGeom>
                        <a:solidFill>
                          <a:srgbClr val="FFFFFF"/>
                        </a:solidFill>
                        <a:ln w="9525">
                          <a:noFill/>
                          <a:miter lim="800000"/>
                          <a:headEnd/>
                          <a:tailEnd/>
                        </a:ln>
                      </wps:spPr>
                      <wps:txbx>
                        <w:txbxContent>
                          <w:p w14:paraId="59C3CBAD" w14:textId="77777777" w:rsidR="00C068B2" w:rsidRPr="005661BA" w:rsidRDefault="00C068B2" w:rsidP="0032199C">
                            <w:pPr>
                              <w:jc w:val="center"/>
                              <w:rPr>
                                <w:rFonts w:ascii="Arial Narrow" w:hAnsi="Arial Narrow" w:cstheme="minorHAnsi"/>
                                <w:sz w:val="96"/>
                              </w:rPr>
                            </w:pPr>
                            <w:r w:rsidRPr="005661BA">
                              <w:rPr>
                                <w:rFonts w:ascii="Arial Narrow" w:hAnsi="Arial Narrow" w:cstheme="minorHAnsi"/>
                                <w:b/>
                                <w:bCs/>
                                <w:sz w:val="52"/>
                                <w:lang w:val="pl-PL"/>
                              </w:rPr>
                              <w:t xml:space="preserve">Národný </w:t>
                            </w:r>
                            <w:r w:rsidRPr="005661BA">
                              <w:rPr>
                                <w:rFonts w:ascii="Arial Narrow" w:hAnsi="Arial Narrow" w:cstheme="minorHAnsi"/>
                                <w:b/>
                                <w:bCs/>
                                <w:sz w:val="52"/>
                                <w:lang w:val="pl-PL"/>
                              </w:rPr>
                              <w:t>program reforiem Slovenskej republiky 201</w:t>
                            </w:r>
                            <w:r>
                              <w:rPr>
                                <w:rFonts w:ascii="Arial Narrow" w:hAnsi="Arial Narrow" w:cstheme="minorHAnsi"/>
                                <w:b/>
                                <w:bCs/>
                                <w:sz w:val="52"/>
                                <w:lang w:val="pl-PL"/>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5FA21" id="_x0000_s1027" type="#_x0000_t202" style="position:absolute;margin-left:56.7pt;margin-top:428.25pt;width:320.3pt;height:134.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" stroked="f">
                <v:textbox>
                  <w:txbxContent>
                    <w:p w14:paraId="59C3CBAD" w14:textId="77777777" w:rsidR="00C068B2" w:rsidRPr="005661BA" w:rsidRDefault="00C068B2" w:rsidP="0032199C">
                      <w:pPr>
                        <w:jc w:val="center"/>
                        <w:rPr>
                          <w:rFonts w:ascii="Arial Narrow" w:hAnsi="Arial Narrow" w:cstheme="minorHAnsi"/>
                          <w:sz w:val="96"/>
                        </w:rPr>
                      </w:pPr>
                      <w:r w:rsidRPr="005661BA">
                        <w:rPr>
                          <w:rFonts w:ascii="Arial Narrow" w:hAnsi="Arial Narrow" w:cstheme="minorHAnsi"/>
                          <w:b/>
                          <w:bCs/>
                          <w:sz w:val="52"/>
                          <w:lang w:val="pl-PL"/>
                        </w:rPr>
                        <w:t>Národný program reforiem Slovenskej republiky 201</w:t>
                      </w:r>
                      <w:r>
                        <w:rPr>
                          <w:rFonts w:ascii="Arial Narrow" w:hAnsi="Arial Narrow" w:cstheme="minorHAnsi"/>
                          <w:b/>
                          <w:bCs/>
                          <w:sz w:val="52"/>
                          <w:lang w:val="pl-PL"/>
                        </w:rPr>
                        <w:t>8</w:t>
                      </w:r>
                    </w:p>
                  </w:txbxContent>
                </v:textbox>
                <w10:wrap anchorx="margin" anchory="page"/>
                <w10:anchorlock/>
              </v:shape>
            </w:pict>
          </mc:Fallback>
        </mc:AlternateContent>
      </w:r>
    </w:p>
    <w:p w14:paraId="24FBEFB4"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7027863C"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37558E54"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684200F5"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472BAC0B"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7173F131"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07F8E4C8"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726D896C"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6F3DD9FC"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32E08C2A"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6B6DE539"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71FF9DDC"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7657FF53" w14:textId="77777777" w:rsidR="005B2D07" w:rsidRPr="00256D89" w:rsidRDefault="00C97621" w:rsidP="00FB625E">
      <w:pPr>
        <w:widowControl w:val="0"/>
        <w:tabs>
          <w:tab w:val="left" w:pos="2337"/>
        </w:tabs>
        <w:autoSpaceDE w:val="0"/>
        <w:autoSpaceDN w:val="0"/>
        <w:adjustRightInd w:val="0"/>
        <w:spacing w:after="0" w:line="240" w:lineRule="auto"/>
        <w:rPr>
          <w:rFonts w:ascii="Arial Narrow" w:hAnsi="Arial Narrow"/>
          <w:b/>
          <w:sz w:val="20"/>
          <w:szCs w:val="20"/>
        </w:rPr>
      </w:pPr>
      <w:r w:rsidRPr="00256D89">
        <w:rPr>
          <w:rFonts w:ascii="Arial Narrow" w:hAnsi="Arial Narrow"/>
          <w:b/>
          <w:sz w:val="20"/>
          <w:szCs w:val="20"/>
        </w:rPr>
        <w:tab/>
      </w:r>
    </w:p>
    <w:p w14:paraId="28EAFD7A"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5A0B0191"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7348061E" w14:textId="77777777" w:rsidR="005B2D07" w:rsidRPr="00256D89" w:rsidRDefault="005B2D07" w:rsidP="00FB625E">
      <w:pPr>
        <w:widowControl w:val="0"/>
        <w:autoSpaceDE w:val="0"/>
        <w:autoSpaceDN w:val="0"/>
        <w:adjustRightInd w:val="0"/>
        <w:spacing w:after="0" w:line="240" w:lineRule="auto"/>
        <w:rPr>
          <w:rFonts w:ascii="Arial Narrow" w:hAnsi="Arial Narrow"/>
          <w:b/>
          <w:sz w:val="20"/>
          <w:szCs w:val="20"/>
        </w:rPr>
      </w:pPr>
    </w:p>
    <w:p w14:paraId="2D1FA310" w14:textId="77777777" w:rsidR="00E32EA7" w:rsidRDefault="00E32EA7" w:rsidP="00FB625E">
      <w:pPr>
        <w:widowControl w:val="0"/>
        <w:autoSpaceDE w:val="0"/>
        <w:autoSpaceDN w:val="0"/>
        <w:adjustRightInd w:val="0"/>
        <w:spacing w:after="0" w:line="240" w:lineRule="auto"/>
        <w:rPr>
          <w:rFonts w:ascii="Arial Narrow" w:hAnsi="Arial Narrow"/>
          <w:b/>
          <w:sz w:val="20"/>
          <w:szCs w:val="20"/>
        </w:rPr>
      </w:pPr>
    </w:p>
    <w:p w14:paraId="31BF6186" w14:textId="77777777" w:rsidR="002E2D4D" w:rsidRDefault="002E2D4D" w:rsidP="00FB625E">
      <w:pPr>
        <w:widowControl w:val="0"/>
        <w:autoSpaceDE w:val="0"/>
        <w:autoSpaceDN w:val="0"/>
        <w:adjustRightInd w:val="0"/>
        <w:spacing w:after="0" w:line="240" w:lineRule="auto"/>
        <w:rPr>
          <w:rFonts w:ascii="Arial Narrow" w:hAnsi="Arial Narrow"/>
          <w:b/>
          <w:sz w:val="20"/>
          <w:szCs w:val="20"/>
        </w:rPr>
      </w:pPr>
    </w:p>
    <w:p w14:paraId="160D1AD0" w14:textId="77777777" w:rsidR="002E2D4D" w:rsidRDefault="002E2D4D" w:rsidP="00FB625E">
      <w:pPr>
        <w:widowControl w:val="0"/>
        <w:autoSpaceDE w:val="0"/>
        <w:autoSpaceDN w:val="0"/>
        <w:adjustRightInd w:val="0"/>
        <w:spacing w:after="0" w:line="240" w:lineRule="auto"/>
        <w:rPr>
          <w:rFonts w:ascii="Arial Narrow" w:hAnsi="Arial Narrow"/>
          <w:b/>
          <w:sz w:val="20"/>
          <w:szCs w:val="20"/>
        </w:rPr>
      </w:pPr>
    </w:p>
    <w:p w14:paraId="0FCA5BD5" w14:textId="77777777" w:rsidR="002E2D4D" w:rsidRDefault="002E2D4D" w:rsidP="00FB625E">
      <w:pPr>
        <w:widowControl w:val="0"/>
        <w:autoSpaceDE w:val="0"/>
        <w:autoSpaceDN w:val="0"/>
        <w:adjustRightInd w:val="0"/>
        <w:spacing w:after="0" w:line="240" w:lineRule="auto"/>
        <w:rPr>
          <w:rFonts w:ascii="Arial Narrow" w:hAnsi="Arial Narrow"/>
          <w:b/>
          <w:sz w:val="20"/>
          <w:szCs w:val="20"/>
        </w:rPr>
      </w:pPr>
    </w:p>
    <w:p w14:paraId="6131ABAE" w14:textId="77777777" w:rsidR="002E2D4D" w:rsidRDefault="002E2D4D" w:rsidP="00FB625E">
      <w:pPr>
        <w:widowControl w:val="0"/>
        <w:autoSpaceDE w:val="0"/>
        <w:autoSpaceDN w:val="0"/>
        <w:adjustRightInd w:val="0"/>
        <w:spacing w:after="0" w:line="240" w:lineRule="auto"/>
        <w:rPr>
          <w:rFonts w:ascii="Arial Narrow" w:hAnsi="Arial Narrow"/>
          <w:b/>
          <w:sz w:val="20"/>
          <w:szCs w:val="20"/>
        </w:rPr>
      </w:pPr>
    </w:p>
    <w:p w14:paraId="49941FFB" w14:textId="77777777" w:rsidR="002E2D4D" w:rsidRDefault="002E2D4D" w:rsidP="00FB625E">
      <w:pPr>
        <w:widowControl w:val="0"/>
        <w:autoSpaceDE w:val="0"/>
        <w:autoSpaceDN w:val="0"/>
        <w:adjustRightInd w:val="0"/>
        <w:spacing w:after="0" w:line="240" w:lineRule="auto"/>
        <w:rPr>
          <w:rFonts w:ascii="Arial Narrow" w:hAnsi="Arial Narrow"/>
          <w:b/>
          <w:sz w:val="20"/>
          <w:szCs w:val="20"/>
        </w:rPr>
      </w:pPr>
    </w:p>
    <w:p w14:paraId="529BBDFE" w14:textId="77777777" w:rsidR="002E2D4D" w:rsidRPr="00256D89" w:rsidRDefault="00315573" w:rsidP="00FB625E">
      <w:pPr>
        <w:widowControl w:val="0"/>
        <w:autoSpaceDE w:val="0"/>
        <w:autoSpaceDN w:val="0"/>
        <w:adjustRightInd w:val="0"/>
        <w:spacing w:after="0" w:line="240" w:lineRule="auto"/>
        <w:rPr>
          <w:rFonts w:ascii="Arial Narrow" w:hAnsi="Arial Narrow"/>
          <w:b/>
          <w:sz w:val="20"/>
          <w:szCs w:val="20"/>
        </w:rPr>
        <w:sectPr w:rsidR="002E2D4D" w:rsidRPr="00256D89" w:rsidSect="00B03FC9">
          <w:headerReference w:type="default" r:id="rId9"/>
          <w:footerReference w:type="default" r:id="rId10"/>
          <w:type w:val="nextColumn"/>
          <w:pgSz w:w="11920" w:h="16840"/>
          <w:pgMar w:top="993" w:right="1678" w:bottom="280" w:left="1678" w:header="708" w:footer="708" w:gutter="0"/>
          <w:cols w:space="708"/>
          <w:noEndnote/>
        </w:sectPr>
      </w:pPr>
      <w:r w:rsidRPr="00315573">
        <w:rPr>
          <w:noProof/>
          <w:lang w:val="en-US" w:eastAsia="en-US"/>
        </w:rPr>
        <mc:AlternateContent>
          <mc:Choice Requires="wps">
            <w:drawing>
              <wp:anchor distT="0" distB="0" distL="114300" distR="114300" simplePos="0" relativeHeight="251717632" behindDoc="0" locked="1" layoutInCell="1" allowOverlap="1" wp14:anchorId="460D4590" wp14:editId="06328A3F">
                <wp:simplePos x="0" y="0"/>
                <wp:positionH relativeFrom="column">
                  <wp:posOffset>2048510</wp:posOffset>
                </wp:positionH>
                <wp:positionV relativeFrom="page">
                  <wp:posOffset>9879330</wp:posOffset>
                </wp:positionV>
                <wp:extent cx="1267200" cy="482400"/>
                <wp:effectExtent l="0" t="0" r="9525"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200" cy="482400"/>
                        </a:xfrm>
                        <a:prstGeom prst="rect">
                          <a:avLst/>
                        </a:prstGeom>
                        <a:solidFill>
                          <a:srgbClr val="FFFFFF"/>
                        </a:solidFill>
                        <a:ln w="9525">
                          <a:noFill/>
                          <a:miter lim="800000"/>
                          <a:headEnd/>
                          <a:tailEnd/>
                        </a:ln>
                      </wps:spPr>
                      <wps:txbx>
                        <w:txbxContent>
                          <w:p w14:paraId="3A2B7537" w14:textId="77777777" w:rsidR="00C068B2" w:rsidRPr="001E0231" w:rsidRDefault="00C068B2" w:rsidP="00315573">
                            <w:pPr>
                              <w:jc w:val="center"/>
                              <w:rPr>
                                <w:rFonts w:ascii="Arial Narrow" w:hAnsi="Arial Narrow" w:cs="Calibri"/>
                                <w:sz w:val="32"/>
                              </w:rPr>
                            </w:pPr>
                            <w:r w:rsidRPr="001E0231">
                              <w:rPr>
                                <w:rFonts w:ascii="Arial Narrow" w:hAnsi="Arial Narrow" w:cs="Calibri"/>
                                <w:sz w:val="32"/>
                              </w:rPr>
                              <w:t>apríl 201</w:t>
                            </w:r>
                            <w:r>
                              <w:rPr>
                                <w:rFonts w:ascii="Arial Narrow" w:hAnsi="Arial Narrow" w:cs="Calibri"/>
                                <w:sz w:val="3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D4590" id="_x0000_s1028" type="#_x0000_t202" style="position:absolute;margin-left:161.3pt;margin-top:777.9pt;width:99.8pt;height: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" stroked="f">
                <v:textbox>
                  <w:txbxContent>
                    <w:p w14:paraId="3A2B7537" w14:textId="77777777" w:rsidR="00C068B2" w:rsidRPr="001E0231" w:rsidRDefault="00C068B2" w:rsidP="00315573">
                      <w:pPr>
                        <w:jc w:val="center"/>
                        <w:rPr>
                          <w:rFonts w:ascii="Arial Narrow" w:hAnsi="Arial Narrow" w:cs="Calibri"/>
                          <w:sz w:val="32"/>
                        </w:rPr>
                      </w:pPr>
                      <w:r w:rsidRPr="001E0231">
                        <w:rPr>
                          <w:rFonts w:ascii="Arial Narrow" w:hAnsi="Arial Narrow" w:cs="Calibri"/>
                          <w:sz w:val="32"/>
                        </w:rPr>
                        <w:t>apríl 201</w:t>
                      </w:r>
                      <w:r>
                        <w:rPr>
                          <w:rFonts w:ascii="Arial Narrow" w:hAnsi="Arial Narrow" w:cs="Calibri"/>
                          <w:sz w:val="32"/>
                        </w:rPr>
                        <w:t>8</w:t>
                      </w:r>
                    </w:p>
                  </w:txbxContent>
                </v:textbox>
                <w10:wrap anchory="page"/>
                <w10:anchorlock/>
              </v:shape>
            </w:pict>
          </mc:Fallback>
        </mc:AlternateContent>
      </w:r>
    </w:p>
    <w:p w14:paraId="3BD4A2FF" w14:textId="77777777" w:rsidR="002E2D4D" w:rsidRPr="002E2D4D" w:rsidRDefault="002E2D4D" w:rsidP="00FB625E">
      <w:pPr>
        <w:spacing w:after="0" w:line="240" w:lineRule="auto"/>
        <w:jc w:val="both"/>
        <w:rPr>
          <w:rFonts w:ascii="Arial Narrow" w:hAnsi="Arial Narrow"/>
          <w:b/>
          <w:szCs w:val="28"/>
        </w:rPr>
      </w:pPr>
      <w:bookmarkStart w:id="0" w:name="_Toc404013080"/>
    </w:p>
    <w:p w14:paraId="677DF5CA" w14:textId="77777777" w:rsidR="002E2D4D" w:rsidRPr="002E2D4D" w:rsidRDefault="002E2D4D" w:rsidP="00FB625E">
      <w:pPr>
        <w:spacing w:after="0" w:line="240" w:lineRule="auto"/>
        <w:jc w:val="both"/>
        <w:rPr>
          <w:rFonts w:ascii="Arial Narrow" w:hAnsi="Arial Narrow"/>
          <w:b/>
          <w:szCs w:val="28"/>
        </w:rPr>
      </w:pPr>
    </w:p>
    <w:p w14:paraId="664B2876" w14:textId="77777777" w:rsidR="002E2D4D" w:rsidRPr="002E2D4D" w:rsidRDefault="002E2D4D" w:rsidP="00FB625E">
      <w:pPr>
        <w:spacing w:after="0" w:line="240" w:lineRule="auto"/>
        <w:jc w:val="both"/>
        <w:rPr>
          <w:rFonts w:ascii="Arial Narrow" w:hAnsi="Arial Narrow"/>
          <w:b/>
          <w:szCs w:val="28"/>
        </w:rPr>
      </w:pPr>
    </w:p>
    <w:p w14:paraId="6C5C2E27" w14:textId="77777777" w:rsidR="00827618" w:rsidRPr="002E2D4D" w:rsidRDefault="00E81DE6" w:rsidP="00FB625E">
      <w:pPr>
        <w:spacing w:after="0" w:line="240" w:lineRule="auto"/>
        <w:jc w:val="both"/>
        <w:rPr>
          <w:rFonts w:ascii="Arial Narrow" w:hAnsi="Arial Narrow"/>
          <w:i/>
          <w:sz w:val="20"/>
          <w:szCs w:val="20"/>
        </w:rPr>
      </w:pPr>
      <w:r w:rsidRPr="002E2D4D">
        <w:rPr>
          <w:rFonts w:ascii="Arial Narrow" w:hAnsi="Arial Narrow"/>
          <w:b/>
          <w:sz w:val="28"/>
          <w:szCs w:val="28"/>
        </w:rPr>
        <w:t xml:space="preserve">Obsah </w:t>
      </w:r>
    </w:p>
    <w:sdt>
      <w:sdtPr>
        <w:rPr>
          <w:rFonts w:ascii="Arial Narrow" w:eastAsia="Times New Roman" w:hAnsi="Arial Narrow" w:cs="Times New Roman"/>
          <w:b w:val="0"/>
          <w:bCs w:val="0"/>
          <w:color w:val="auto"/>
          <w:sz w:val="22"/>
          <w:szCs w:val="22"/>
          <w:lang w:eastAsia="sk-SK"/>
        </w:rPr>
        <w:id w:val="865874715"/>
        <w:docPartObj>
          <w:docPartGallery w:val="Table of Contents"/>
          <w:docPartUnique/>
        </w:docPartObj>
      </w:sdtPr>
      <w:sdtEndPr/>
      <w:sdtContent>
        <w:p w14:paraId="27636E9A" w14:textId="77777777" w:rsidR="00827618" w:rsidRPr="00256D89" w:rsidRDefault="00827618" w:rsidP="00FB625E">
          <w:pPr>
            <w:pStyle w:val="Hlavikaobsahu"/>
            <w:spacing w:line="240" w:lineRule="auto"/>
            <w:rPr>
              <w:rFonts w:ascii="Arial Narrow" w:hAnsi="Arial Narrow"/>
            </w:rPr>
          </w:pPr>
        </w:p>
        <w:p w14:paraId="2C96DB18" w14:textId="77777777" w:rsidR="00E550DB" w:rsidRPr="00E550DB" w:rsidRDefault="00827618">
          <w:pPr>
            <w:pStyle w:val="Obsah1"/>
            <w:rPr>
              <w:rFonts w:ascii="Arial Narrow" w:eastAsiaTheme="minorEastAsia" w:hAnsi="Arial Narrow" w:cstheme="minorBidi"/>
              <w:lang w:val="en-US" w:eastAsia="en-US"/>
            </w:rPr>
          </w:pPr>
          <w:r w:rsidRPr="00E550DB">
            <w:rPr>
              <w:rFonts w:ascii="Arial Narrow" w:hAnsi="Arial Narrow"/>
            </w:rPr>
            <w:fldChar w:fldCharType="begin"/>
          </w:r>
          <w:r w:rsidRPr="00E550DB">
            <w:rPr>
              <w:rFonts w:ascii="Arial Narrow" w:hAnsi="Arial Narrow"/>
            </w:rPr>
            <w:instrText xml:space="preserve"> TOC \o "1-3" \h \z \u </w:instrText>
          </w:r>
          <w:r w:rsidRPr="00E550DB">
            <w:rPr>
              <w:rFonts w:ascii="Arial Narrow" w:hAnsi="Arial Narrow"/>
            </w:rPr>
            <w:fldChar w:fldCharType="separate"/>
          </w:r>
          <w:hyperlink w:anchor="_Toc508039571" w:history="1">
            <w:r w:rsidR="00E550DB" w:rsidRPr="00E550DB">
              <w:rPr>
                <w:rStyle w:val="Hypertextovprepojenie"/>
                <w:rFonts w:ascii="Arial Narrow" w:hAnsi="Arial Narrow"/>
              </w:rPr>
              <w:t>Zhrnutie</w:t>
            </w:r>
            <w:r w:rsidR="00E550DB" w:rsidRPr="00E550DB">
              <w:rPr>
                <w:rFonts w:ascii="Arial Narrow" w:hAnsi="Arial Narrow"/>
                <w:webHidden/>
              </w:rPr>
              <w:tab/>
            </w:r>
            <w:r w:rsidR="00E550DB" w:rsidRPr="00E550DB">
              <w:rPr>
                <w:rFonts w:ascii="Arial Narrow" w:hAnsi="Arial Narrow"/>
                <w:webHidden/>
              </w:rPr>
              <w:fldChar w:fldCharType="begin"/>
            </w:r>
            <w:r w:rsidR="00E550DB" w:rsidRPr="00E550DB">
              <w:rPr>
                <w:rFonts w:ascii="Arial Narrow" w:hAnsi="Arial Narrow"/>
                <w:webHidden/>
              </w:rPr>
              <w:instrText xml:space="preserve"> PAGEREF _Toc508039571 \h </w:instrText>
            </w:r>
            <w:r w:rsidR="00E550DB" w:rsidRPr="00E550DB">
              <w:rPr>
                <w:rFonts w:ascii="Arial Narrow" w:hAnsi="Arial Narrow"/>
                <w:webHidden/>
              </w:rPr>
            </w:r>
            <w:r w:rsidR="00E550DB" w:rsidRPr="00E550DB">
              <w:rPr>
                <w:rFonts w:ascii="Arial Narrow" w:hAnsi="Arial Narrow"/>
                <w:webHidden/>
              </w:rPr>
              <w:fldChar w:fldCharType="separate"/>
            </w:r>
            <w:r w:rsidR="00833925">
              <w:rPr>
                <w:rFonts w:ascii="Arial Narrow" w:hAnsi="Arial Narrow"/>
                <w:webHidden/>
              </w:rPr>
              <w:t>4</w:t>
            </w:r>
            <w:r w:rsidR="00E550DB" w:rsidRPr="00E550DB">
              <w:rPr>
                <w:rFonts w:ascii="Arial Narrow" w:hAnsi="Arial Narrow"/>
                <w:webHidden/>
              </w:rPr>
              <w:fldChar w:fldCharType="end"/>
            </w:r>
          </w:hyperlink>
        </w:p>
        <w:p w14:paraId="325FF6B2" w14:textId="77777777" w:rsidR="00E550DB" w:rsidRPr="00E550DB" w:rsidRDefault="00B35572">
          <w:pPr>
            <w:pStyle w:val="Obsah1"/>
            <w:rPr>
              <w:rFonts w:ascii="Arial Narrow" w:eastAsiaTheme="minorEastAsia" w:hAnsi="Arial Narrow" w:cstheme="minorBidi"/>
              <w:lang w:val="en-US" w:eastAsia="en-US"/>
            </w:rPr>
          </w:pPr>
          <w:hyperlink w:anchor="_Toc508039572" w:history="1">
            <w:r w:rsidR="00E550DB" w:rsidRPr="00E550DB">
              <w:rPr>
                <w:rStyle w:val="Hypertextovprepojenie"/>
                <w:rFonts w:ascii="Arial Narrow" w:hAnsi="Arial Narrow"/>
              </w:rPr>
              <w:t>1</w:t>
            </w:r>
            <w:r w:rsidR="00E550DB" w:rsidRPr="00E550DB">
              <w:rPr>
                <w:rFonts w:ascii="Arial Narrow" w:eastAsiaTheme="minorEastAsia" w:hAnsi="Arial Narrow" w:cstheme="minorBidi"/>
                <w:lang w:val="en-US" w:eastAsia="en-US"/>
              </w:rPr>
              <w:tab/>
            </w:r>
            <w:r w:rsidR="00E550DB" w:rsidRPr="00E550DB">
              <w:rPr>
                <w:rStyle w:val="Hypertextovprepojenie"/>
                <w:rFonts w:ascii="Arial Narrow" w:hAnsi="Arial Narrow"/>
              </w:rPr>
              <w:t>Identifikácia výziev slovenskej ekonomiky</w:t>
            </w:r>
            <w:r w:rsidR="00E550DB" w:rsidRPr="00E550DB">
              <w:rPr>
                <w:rFonts w:ascii="Arial Narrow" w:hAnsi="Arial Narrow"/>
                <w:webHidden/>
              </w:rPr>
              <w:tab/>
            </w:r>
            <w:r w:rsidR="00E550DB" w:rsidRPr="00E550DB">
              <w:rPr>
                <w:rFonts w:ascii="Arial Narrow" w:hAnsi="Arial Narrow"/>
                <w:webHidden/>
              </w:rPr>
              <w:fldChar w:fldCharType="begin"/>
            </w:r>
            <w:r w:rsidR="00E550DB" w:rsidRPr="00E550DB">
              <w:rPr>
                <w:rFonts w:ascii="Arial Narrow" w:hAnsi="Arial Narrow"/>
                <w:webHidden/>
              </w:rPr>
              <w:instrText xml:space="preserve"> PAGEREF _Toc508039572 \h </w:instrText>
            </w:r>
            <w:r w:rsidR="00E550DB" w:rsidRPr="00E550DB">
              <w:rPr>
                <w:rFonts w:ascii="Arial Narrow" w:hAnsi="Arial Narrow"/>
                <w:webHidden/>
              </w:rPr>
            </w:r>
            <w:r w:rsidR="00E550DB" w:rsidRPr="00E550DB">
              <w:rPr>
                <w:rFonts w:ascii="Arial Narrow" w:hAnsi="Arial Narrow"/>
                <w:webHidden/>
              </w:rPr>
              <w:fldChar w:fldCharType="separate"/>
            </w:r>
            <w:r w:rsidR="00833925">
              <w:rPr>
                <w:rFonts w:ascii="Arial Narrow" w:hAnsi="Arial Narrow"/>
                <w:webHidden/>
              </w:rPr>
              <w:t>6</w:t>
            </w:r>
            <w:r w:rsidR="00E550DB" w:rsidRPr="00E550DB">
              <w:rPr>
                <w:rFonts w:ascii="Arial Narrow" w:hAnsi="Arial Narrow"/>
                <w:webHidden/>
              </w:rPr>
              <w:fldChar w:fldCharType="end"/>
            </w:r>
          </w:hyperlink>
        </w:p>
        <w:p w14:paraId="2687CF60" w14:textId="77777777" w:rsidR="00E550DB" w:rsidRPr="00E550DB" w:rsidRDefault="00B35572">
          <w:pPr>
            <w:pStyle w:val="Obsah1"/>
            <w:rPr>
              <w:rFonts w:ascii="Arial Narrow" w:eastAsiaTheme="minorEastAsia" w:hAnsi="Arial Narrow" w:cstheme="minorBidi"/>
              <w:lang w:val="en-US" w:eastAsia="en-US"/>
            </w:rPr>
          </w:pPr>
          <w:hyperlink w:anchor="_Toc508039573" w:history="1">
            <w:r w:rsidR="00E550DB" w:rsidRPr="00E550DB">
              <w:rPr>
                <w:rStyle w:val="Hypertextovprepojenie"/>
                <w:rFonts w:ascii="Arial Narrow" w:hAnsi="Arial Narrow"/>
              </w:rPr>
              <w:t>2</w:t>
            </w:r>
            <w:r w:rsidR="00E550DB" w:rsidRPr="00E550DB">
              <w:rPr>
                <w:rFonts w:ascii="Arial Narrow" w:eastAsiaTheme="minorEastAsia" w:hAnsi="Arial Narrow" w:cstheme="minorBidi"/>
                <w:lang w:val="en-US" w:eastAsia="en-US"/>
              </w:rPr>
              <w:tab/>
            </w:r>
            <w:r w:rsidR="00E550DB" w:rsidRPr="00E550DB">
              <w:rPr>
                <w:rStyle w:val="Hypertextovprepojenie"/>
                <w:rFonts w:ascii="Arial Narrow" w:hAnsi="Arial Narrow"/>
              </w:rPr>
              <w:t>Opatrenia prijaté v roku 2017</w:t>
            </w:r>
            <w:r w:rsidR="00E550DB" w:rsidRPr="00E550DB">
              <w:rPr>
                <w:rFonts w:ascii="Arial Narrow" w:hAnsi="Arial Narrow"/>
                <w:webHidden/>
              </w:rPr>
              <w:tab/>
            </w:r>
            <w:r w:rsidR="00E550DB" w:rsidRPr="00E550DB">
              <w:rPr>
                <w:rFonts w:ascii="Arial Narrow" w:hAnsi="Arial Narrow"/>
                <w:webHidden/>
              </w:rPr>
              <w:fldChar w:fldCharType="begin"/>
            </w:r>
            <w:r w:rsidR="00E550DB" w:rsidRPr="00E550DB">
              <w:rPr>
                <w:rFonts w:ascii="Arial Narrow" w:hAnsi="Arial Narrow"/>
                <w:webHidden/>
              </w:rPr>
              <w:instrText xml:space="preserve"> PAGEREF _Toc508039573 \h </w:instrText>
            </w:r>
            <w:r w:rsidR="00E550DB" w:rsidRPr="00E550DB">
              <w:rPr>
                <w:rFonts w:ascii="Arial Narrow" w:hAnsi="Arial Narrow"/>
                <w:webHidden/>
              </w:rPr>
            </w:r>
            <w:r w:rsidR="00E550DB" w:rsidRPr="00E550DB">
              <w:rPr>
                <w:rFonts w:ascii="Arial Narrow" w:hAnsi="Arial Narrow"/>
                <w:webHidden/>
              </w:rPr>
              <w:fldChar w:fldCharType="separate"/>
            </w:r>
            <w:r w:rsidR="00833925">
              <w:rPr>
                <w:rFonts w:ascii="Arial Narrow" w:hAnsi="Arial Narrow"/>
                <w:webHidden/>
              </w:rPr>
              <w:t>8</w:t>
            </w:r>
            <w:r w:rsidR="00E550DB" w:rsidRPr="00E550DB">
              <w:rPr>
                <w:rFonts w:ascii="Arial Narrow" w:hAnsi="Arial Narrow"/>
                <w:webHidden/>
              </w:rPr>
              <w:fldChar w:fldCharType="end"/>
            </w:r>
          </w:hyperlink>
        </w:p>
        <w:p w14:paraId="432B5F01" w14:textId="77777777" w:rsidR="00E550DB" w:rsidRPr="00E550DB" w:rsidRDefault="00B35572">
          <w:pPr>
            <w:pStyle w:val="Obsah1"/>
            <w:rPr>
              <w:rFonts w:ascii="Arial Narrow" w:eastAsiaTheme="minorEastAsia" w:hAnsi="Arial Narrow" w:cstheme="minorBidi"/>
              <w:lang w:val="en-US" w:eastAsia="en-US"/>
            </w:rPr>
          </w:pPr>
          <w:hyperlink w:anchor="_Toc508039574" w:history="1">
            <w:r w:rsidR="00E550DB" w:rsidRPr="00E550DB">
              <w:rPr>
                <w:rStyle w:val="Hypertextovprepojenie"/>
                <w:rFonts w:ascii="Arial Narrow" w:hAnsi="Arial Narrow"/>
              </w:rPr>
              <w:t>3</w:t>
            </w:r>
            <w:r w:rsidR="00E550DB" w:rsidRPr="00E550DB">
              <w:rPr>
                <w:rFonts w:ascii="Arial Narrow" w:eastAsiaTheme="minorEastAsia" w:hAnsi="Arial Narrow" w:cstheme="minorBidi"/>
                <w:lang w:val="en-US" w:eastAsia="en-US"/>
              </w:rPr>
              <w:tab/>
            </w:r>
            <w:r w:rsidR="00E550DB" w:rsidRPr="00E550DB">
              <w:rPr>
                <w:rStyle w:val="Hypertextovprepojenie"/>
                <w:rFonts w:ascii="Arial Narrow" w:hAnsi="Arial Narrow"/>
              </w:rPr>
              <w:t>Makroekonomický rámec a strednodobá prognóza</w:t>
            </w:r>
            <w:r w:rsidR="00E550DB" w:rsidRPr="00E550DB">
              <w:rPr>
                <w:rFonts w:ascii="Arial Narrow" w:hAnsi="Arial Narrow"/>
                <w:webHidden/>
              </w:rPr>
              <w:tab/>
            </w:r>
            <w:r w:rsidR="00E550DB" w:rsidRPr="00E550DB">
              <w:rPr>
                <w:rFonts w:ascii="Arial Narrow" w:hAnsi="Arial Narrow"/>
                <w:webHidden/>
              </w:rPr>
              <w:fldChar w:fldCharType="begin"/>
            </w:r>
            <w:r w:rsidR="00E550DB" w:rsidRPr="00E550DB">
              <w:rPr>
                <w:rFonts w:ascii="Arial Narrow" w:hAnsi="Arial Narrow"/>
                <w:webHidden/>
              </w:rPr>
              <w:instrText xml:space="preserve"> PAGEREF _Toc508039574 \h </w:instrText>
            </w:r>
            <w:r w:rsidR="00E550DB" w:rsidRPr="00E550DB">
              <w:rPr>
                <w:rFonts w:ascii="Arial Narrow" w:hAnsi="Arial Narrow"/>
                <w:webHidden/>
              </w:rPr>
            </w:r>
            <w:r w:rsidR="00E550DB" w:rsidRPr="00E550DB">
              <w:rPr>
                <w:rFonts w:ascii="Arial Narrow" w:hAnsi="Arial Narrow"/>
                <w:webHidden/>
              </w:rPr>
              <w:fldChar w:fldCharType="separate"/>
            </w:r>
            <w:r w:rsidR="00833925">
              <w:rPr>
                <w:rFonts w:ascii="Arial Narrow" w:hAnsi="Arial Narrow"/>
                <w:webHidden/>
              </w:rPr>
              <w:t>17</w:t>
            </w:r>
            <w:r w:rsidR="00E550DB" w:rsidRPr="00E550DB">
              <w:rPr>
                <w:rFonts w:ascii="Arial Narrow" w:hAnsi="Arial Narrow"/>
                <w:webHidden/>
              </w:rPr>
              <w:fldChar w:fldCharType="end"/>
            </w:r>
          </w:hyperlink>
        </w:p>
        <w:p w14:paraId="71E88DFD" w14:textId="77777777" w:rsidR="00E550DB" w:rsidRPr="00E550DB" w:rsidRDefault="00B35572">
          <w:pPr>
            <w:pStyle w:val="Obsah1"/>
            <w:rPr>
              <w:rFonts w:ascii="Arial Narrow" w:eastAsiaTheme="minorEastAsia" w:hAnsi="Arial Narrow" w:cstheme="minorBidi"/>
              <w:lang w:val="en-US" w:eastAsia="en-US"/>
            </w:rPr>
          </w:pPr>
          <w:hyperlink w:anchor="_Toc508039575" w:history="1">
            <w:r w:rsidR="00E550DB" w:rsidRPr="00E550DB">
              <w:rPr>
                <w:rStyle w:val="Hypertextovprepojenie"/>
                <w:rFonts w:ascii="Arial Narrow" w:hAnsi="Arial Narrow"/>
              </w:rPr>
              <w:t>4</w:t>
            </w:r>
            <w:r w:rsidR="00E550DB" w:rsidRPr="00E550DB">
              <w:rPr>
                <w:rFonts w:ascii="Arial Narrow" w:eastAsiaTheme="minorEastAsia" w:hAnsi="Arial Narrow" w:cstheme="minorBidi"/>
                <w:lang w:val="en-US" w:eastAsia="en-US"/>
              </w:rPr>
              <w:tab/>
            </w:r>
            <w:r w:rsidR="00E550DB" w:rsidRPr="00E550DB">
              <w:rPr>
                <w:rStyle w:val="Hypertextovprepojenie"/>
                <w:rFonts w:ascii="Arial Narrow" w:hAnsi="Arial Narrow"/>
              </w:rPr>
              <w:t>Plánované opatrenia v štrukturálnych témach</w:t>
            </w:r>
            <w:r w:rsidR="00E550DB" w:rsidRPr="00E550DB">
              <w:rPr>
                <w:rFonts w:ascii="Arial Narrow" w:hAnsi="Arial Narrow"/>
                <w:webHidden/>
              </w:rPr>
              <w:tab/>
            </w:r>
            <w:r w:rsidR="00E550DB" w:rsidRPr="00E550DB">
              <w:rPr>
                <w:rFonts w:ascii="Arial Narrow" w:hAnsi="Arial Narrow"/>
                <w:webHidden/>
              </w:rPr>
              <w:fldChar w:fldCharType="begin"/>
            </w:r>
            <w:r w:rsidR="00E550DB" w:rsidRPr="00E550DB">
              <w:rPr>
                <w:rFonts w:ascii="Arial Narrow" w:hAnsi="Arial Narrow"/>
                <w:webHidden/>
              </w:rPr>
              <w:instrText xml:space="preserve"> PAGEREF _Toc508039575 \h </w:instrText>
            </w:r>
            <w:r w:rsidR="00E550DB" w:rsidRPr="00E550DB">
              <w:rPr>
                <w:rFonts w:ascii="Arial Narrow" w:hAnsi="Arial Narrow"/>
                <w:webHidden/>
              </w:rPr>
            </w:r>
            <w:r w:rsidR="00E550DB" w:rsidRPr="00E550DB">
              <w:rPr>
                <w:rFonts w:ascii="Arial Narrow" w:hAnsi="Arial Narrow"/>
                <w:webHidden/>
              </w:rPr>
              <w:fldChar w:fldCharType="separate"/>
            </w:r>
            <w:r w:rsidR="00833925">
              <w:rPr>
                <w:rFonts w:ascii="Arial Narrow" w:hAnsi="Arial Narrow"/>
                <w:webHidden/>
              </w:rPr>
              <w:t>19</w:t>
            </w:r>
            <w:r w:rsidR="00E550DB" w:rsidRPr="00E550DB">
              <w:rPr>
                <w:rFonts w:ascii="Arial Narrow" w:hAnsi="Arial Narrow"/>
                <w:webHidden/>
              </w:rPr>
              <w:fldChar w:fldCharType="end"/>
            </w:r>
          </w:hyperlink>
        </w:p>
        <w:p w14:paraId="019C20F2" w14:textId="77777777" w:rsidR="00E550DB" w:rsidRPr="00E550DB" w:rsidRDefault="00B35572">
          <w:pPr>
            <w:pStyle w:val="Obsah2"/>
            <w:rPr>
              <w:rFonts w:ascii="Arial Narrow" w:eastAsiaTheme="minorEastAsia" w:hAnsi="Arial Narrow" w:cstheme="minorBidi"/>
              <w:lang w:val="en-US" w:eastAsia="en-US"/>
            </w:rPr>
          </w:pPr>
          <w:hyperlink w:anchor="_Toc508039576" w:history="1">
            <w:r w:rsidR="00E550DB" w:rsidRPr="00E550DB">
              <w:rPr>
                <w:rStyle w:val="Hypertextovprepojenie"/>
                <w:rFonts w:ascii="Arial Narrow" w:hAnsi="Arial Narrow"/>
              </w:rPr>
              <w:t>4.1</w:t>
            </w:r>
            <w:r w:rsidR="00E550DB" w:rsidRPr="00E550DB">
              <w:rPr>
                <w:rFonts w:ascii="Arial Narrow" w:eastAsiaTheme="minorEastAsia" w:hAnsi="Arial Narrow" w:cstheme="minorBidi"/>
                <w:lang w:val="en-US" w:eastAsia="en-US"/>
              </w:rPr>
              <w:tab/>
            </w:r>
            <w:r w:rsidR="00E550DB" w:rsidRPr="00E550DB">
              <w:rPr>
                <w:rStyle w:val="Hypertextovprepojenie"/>
                <w:rFonts w:ascii="Arial Narrow" w:hAnsi="Arial Narrow"/>
              </w:rPr>
              <w:t>Fiškálna politika a verejné financie</w:t>
            </w:r>
            <w:r w:rsidR="00E550DB" w:rsidRPr="00E550DB">
              <w:rPr>
                <w:rFonts w:ascii="Arial Narrow" w:hAnsi="Arial Narrow"/>
                <w:webHidden/>
              </w:rPr>
              <w:tab/>
            </w:r>
            <w:r w:rsidR="00E550DB" w:rsidRPr="00E550DB">
              <w:rPr>
                <w:rFonts w:ascii="Arial Narrow" w:hAnsi="Arial Narrow"/>
                <w:webHidden/>
              </w:rPr>
              <w:fldChar w:fldCharType="begin"/>
            </w:r>
            <w:r w:rsidR="00E550DB" w:rsidRPr="00E550DB">
              <w:rPr>
                <w:rFonts w:ascii="Arial Narrow" w:hAnsi="Arial Narrow"/>
                <w:webHidden/>
              </w:rPr>
              <w:instrText xml:space="preserve"> PAGEREF _Toc508039576 \h </w:instrText>
            </w:r>
            <w:r w:rsidR="00E550DB" w:rsidRPr="00E550DB">
              <w:rPr>
                <w:rFonts w:ascii="Arial Narrow" w:hAnsi="Arial Narrow"/>
                <w:webHidden/>
              </w:rPr>
            </w:r>
            <w:r w:rsidR="00E550DB" w:rsidRPr="00E550DB">
              <w:rPr>
                <w:rFonts w:ascii="Arial Narrow" w:hAnsi="Arial Narrow"/>
                <w:webHidden/>
              </w:rPr>
              <w:fldChar w:fldCharType="separate"/>
            </w:r>
            <w:r w:rsidR="00833925">
              <w:rPr>
                <w:rFonts w:ascii="Arial Narrow" w:hAnsi="Arial Narrow"/>
                <w:webHidden/>
              </w:rPr>
              <w:t>20</w:t>
            </w:r>
            <w:r w:rsidR="00E550DB" w:rsidRPr="00E550DB">
              <w:rPr>
                <w:rFonts w:ascii="Arial Narrow" w:hAnsi="Arial Narrow"/>
                <w:webHidden/>
              </w:rPr>
              <w:fldChar w:fldCharType="end"/>
            </w:r>
          </w:hyperlink>
        </w:p>
        <w:p w14:paraId="5DA8851B" w14:textId="77777777" w:rsidR="00E550DB" w:rsidRPr="00E550DB" w:rsidRDefault="00B35572">
          <w:pPr>
            <w:pStyle w:val="Obsah2"/>
            <w:rPr>
              <w:rFonts w:ascii="Arial Narrow" w:eastAsiaTheme="minorEastAsia" w:hAnsi="Arial Narrow" w:cstheme="minorBidi"/>
              <w:lang w:val="en-US" w:eastAsia="en-US"/>
            </w:rPr>
          </w:pPr>
          <w:hyperlink w:anchor="_Toc508039577" w:history="1">
            <w:r w:rsidR="00E550DB" w:rsidRPr="00E550DB">
              <w:rPr>
                <w:rStyle w:val="Hypertextovprepojenie"/>
                <w:rFonts w:ascii="Arial Narrow" w:hAnsi="Arial Narrow"/>
              </w:rPr>
              <w:t>4.2</w:t>
            </w:r>
            <w:r w:rsidR="00E550DB" w:rsidRPr="00E550DB">
              <w:rPr>
                <w:rFonts w:ascii="Arial Narrow" w:eastAsiaTheme="minorEastAsia" w:hAnsi="Arial Narrow" w:cstheme="minorBidi"/>
                <w:lang w:val="en-US" w:eastAsia="en-US"/>
              </w:rPr>
              <w:tab/>
            </w:r>
            <w:r w:rsidR="00E550DB" w:rsidRPr="00E550DB">
              <w:rPr>
                <w:rStyle w:val="Hypertextovprepojenie"/>
                <w:rFonts w:ascii="Arial Narrow" w:hAnsi="Arial Narrow"/>
              </w:rPr>
              <w:t>Vzdelávanie, veda a inovácie</w:t>
            </w:r>
            <w:r w:rsidR="00E550DB" w:rsidRPr="00E550DB">
              <w:rPr>
                <w:rFonts w:ascii="Arial Narrow" w:hAnsi="Arial Narrow"/>
                <w:webHidden/>
              </w:rPr>
              <w:tab/>
            </w:r>
            <w:r w:rsidR="00E550DB" w:rsidRPr="00E550DB">
              <w:rPr>
                <w:rFonts w:ascii="Arial Narrow" w:hAnsi="Arial Narrow"/>
                <w:webHidden/>
              </w:rPr>
              <w:fldChar w:fldCharType="begin"/>
            </w:r>
            <w:r w:rsidR="00E550DB" w:rsidRPr="00E550DB">
              <w:rPr>
                <w:rFonts w:ascii="Arial Narrow" w:hAnsi="Arial Narrow"/>
                <w:webHidden/>
              </w:rPr>
              <w:instrText xml:space="preserve"> PAGEREF _Toc508039577 \h </w:instrText>
            </w:r>
            <w:r w:rsidR="00E550DB" w:rsidRPr="00E550DB">
              <w:rPr>
                <w:rFonts w:ascii="Arial Narrow" w:hAnsi="Arial Narrow"/>
                <w:webHidden/>
              </w:rPr>
            </w:r>
            <w:r w:rsidR="00E550DB" w:rsidRPr="00E550DB">
              <w:rPr>
                <w:rFonts w:ascii="Arial Narrow" w:hAnsi="Arial Narrow"/>
                <w:webHidden/>
              </w:rPr>
              <w:fldChar w:fldCharType="separate"/>
            </w:r>
            <w:r w:rsidR="00833925">
              <w:rPr>
                <w:rFonts w:ascii="Arial Narrow" w:hAnsi="Arial Narrow"/>
                <w:webHidden/>
              </w:rPr>
              <w:t>24</w:t>
            </w:r>
            <w:r w:rsidR="00E550DB" w:rsidRPr="00E550DB">
              <w:rPr>
                <w:rFonts w:ascii="Arial Narrow" w:hAnsi="Arial Narrow"/>
                <w:webHidden/>
              </w:rPr>
              <w:fldChar w:fldCharType="end"/>
            </w:r>
          </w:hyperlink>
        </w:p>
        <w:p w14:paraId="2507488F" w14:textId="77777777" w:rsidR="00E550DB" w:rsidRPr="00E550DB" w:rsidRDefault="00B35572">
          <w:pPr>
            <w:pStyle w:val="Obsah2"/>
            <w:rPr>
              <w:rFonts w:ascii="Arial Narrow" w:eastAsiaTheme="minorEastAsia" w:hAnsi="Arial Narrow" w:cstheme="minorBidi"/>
              <w:lang w:val="en-US" w:eastAsia="en-US"/>
            </w:rPr>
          </w:pPr>
          <w:hyperlink w:anchor="_Toc508039578" w:history="1">
            <w:r w:rsidR="00E550DB" w:rsidRPr="00E550DB">
              <w:rPr>
                <w:rStyle w:val="Hypertextovprepojenie"/>
                <w:rFonts w:ascii="Arial Narrow" w:hAnsi="Arial Narrow"/>
              </w:rPr>
              <w:t>4.2.1</w:t>
            </w:r>
            <w:r w:rsidR="00E550DB" w:rsidRPr="00E550DB">
              <w:rPr>
                <w:rFonts w:ascii="Arial Narrow" w:eastAsiaTheme="minorEastAsia" w:hAnsi="Arial Narrow" w:cstheme="minorBidi"/>
                <w:lang w:val="en-US" w:eastAsia="en-US"/>
              </w:rPr>
              <w:tab/>
            </w:r>
            <w:r w:rsidR="00E550DB" w:rsidRPr="00E550DB">
              <w:rPr>
                <w:rStyle w:val="Hypertextovprepojenie"/>
                <w:rFonts w:ascii="Arial Narrow" w:hAnsi="Arial Narrow"/>
              </w:rPr>
              <w:t>Regionálne školstvo</w:t>
            </w:r>
            <w:r w:rsidR="00E550DB" w:rsidRPr="00E550DB">
              <w:rPr>
                <w:rFonts w:ascii="Arial Narrow" w:hAnsi="Arial Narrow"/>
                <w:webHidden/>
              </w:rPr>
              <w:tab/>
            </w:r>
            <w:r w:rsidR="00E550DB" w:rsidRPr="00E550DB">
              <w:rPr>
                <w:rFonts w:ascii="Arial Narrow" w:hAnsi="Arial Narrow"/>
                <w:webHidden/>
              </w:rPr>
              <w:fldChar w:fldCharType="begin"/>
            </w:r>
            <w:r w:rsidR="00E550DB" w:rsidRPr="00E550DB">
              <w:rPr>
                <w:rFonts w:ascii="Arial Narrow" w:hAnsi="Arial Narrow"/>
                <w:webHidden/>
              </w:rPr>
              <w:instrText xml:space="preserve"> PAGEREF _Toc508039578 \h </w:instrText>
            </w:r>
            <w:r w:rsidR="00E550DB" w:rsidRPr="00E550DB">
              <w:rPr>
                <w:rFonts w:ascii="Arial Narrow" w:hAnsi="Arial Narrow"/>
                <w:webHidden/>
              </w:rPr>
            </w:r>
            <w:r w:rsidR="00E550DB" w:rsidRPr="00E550DB">
              <w:rPr>
                <w:rFonts w:ascii="Arial Narrow" w:hAnsi="Arial Narrow"/>
                <w:webHidden/>
              </w:rPr>
              <w:fldChar w:fldCharType="separate"/>
            </w:r>
            <w:r w:rsidR="00833925">
              <w:rPr>
                <w:rFonts w:ascii="Arial Narrow" w:hAnsi="Arial Narrow"/>
                <w:webHidden/>
              </w:rPr>
              <w:t>26</w:t>
            </w:r>
            <w:r w:rsidR="00E550DB" w:rsidRPr="00E550DB">
              <w:rPr>
                <w:rFonts w:ascii="Arial Narrow" w:hAnsi="Arial Narrow"/>
                <w:webHidden/>
              </w:rPr>
              <w:fldChar w:fldCharType="end"/>
            </w:r>
          </w:hyperlink>
        </w:p>
        <w:p w14:paraId="23775C89" w14:textId="77777777" w:rsidR="00E550DB" w:rsidRPr="00E550DB" w:rsidRDefault="00B35572">
          <w:pPr>
            <w:pStyle w:val="Obsah2"/>
            <w:rPr>
              <w:rFonts w:ascii="Arial Narrow" w:eastAsiaTheme="minorEastAsia" w:hAnsi="Arial Narrow" w:cstheme="minorBidi"/>
              <w:lang w:val="en-US" w:eastAsia="en-US"/>
            </w:rPr>
          </w:pPr>
          <w:hyperlink w:anchor="_Toc508039579" w:history="1">
            <w:r w:rsidR="00E550DB" w:rsidRPr="00E550DB">
              <w:rPr>
                <w:rStyle w:val="Hypertextovprepojenie"/>
                <w:rFonts w:ascii="Arial Narrow" w:hAnsi="Arial Narrow"/>
              </w:rPr>
              <w:t>4.2.2</w:t>
            </w:r>
            <w:r w:rsidR="00E550DB" w:rsidRPr="00E550DB">
              <w:rPr>
                <w:rFonts w:ascii="Arial Narrow" w:eastAsiaTheme="minorEastAsia" w:hAnsi="Arial Narrow" w:cstheme="minorBidi"/>
                <w:lang w:val="en-US" w:eastAsia="en-US"/>
              </w:rPr>
              <w:tab/>
            </w:r>
            <w:r w:rsidR="00E550DB" w:rsidRPr="00E550DB">
              <w:rPr>
                <w:rStyle w:val="Hypertextovprepojenie"/>
                <w:rFonts w:ascii="Arial Narrow" w:hAnsi="Arial Narrow"/>
              </w:rPr>
              <w:t>Vysoké školstvo</w:t>
            </w:r>
            <w:r w:rsidR="00E550DB" w:rsidRPr="00E550DB">
              <w:rPr>
                <w:rFonts w:ascii="Arial Narrow" w:hAnsi="Arial Narrow"/>
                <w:webHidden/>
              </w:rPr>
              <w:tab/>
            </w:r>
            <w:r w:rsidR="00E550DB" w:rsidRPr="00E550DB">
              <w:rPr>
                <w:rFonts w:ascii="Arial Narrow" w:hAnsi="Arial Narrow"/>
                <w:webHidden/>
              </w:rPr>
              <w:fldChar w:fldCharType="begin"/>
            </w:r>
            <w:r w:rsidR="00E550DB" w:rsidRPr="00E550DB">
              <w:rPr>
                <w:rFonts w:ascii="Arial Narrow" w:hAnsi="Arial Narrow"/>
                <w:webHidden/>
              </w:rPr>
              <w:instrText xml:space="preserve"> PAGEREF _Toc508039579 \h </w:instrText>
            </w:r>
            <w:r w:rsidR="00E550DB" w:rsidRPr="00E550DB">
              <w:rPr>
                <w:rFonts w:ascii="Arial Narrow" w:hAnsi="Arial Narrow"/>
                <w:webHidden/>
              </w:rPr>
            </w:r>
            <w:r w:rsidR="00E550DB" w:rsidRPr="00E550DB">
              <w:rPr>
                <w:rFonts w:ascii="Arial Narrow" w:hAnsi="Arial Narrow"/>
                <w:webHidden/>
              </w:rPr>
              <w:fldChar w:fldCharType="separate"/>
            </w:r>
            <w:r w:rsidR="00833925">
              <w:rPr>
                <w:rFonts w:ascii="Arial Narrow" w:hAnsi="Arial Narrow"/>
                <w:webHidden/>
              </w:rPr>
              <w:t>27</w:t>
            </w:r>
            <w:r w:rsidR="00E550DB" w:rsidRPr="00E550DB">
              <w:rPr>
                <w:rFonts w:ascii="Arial Narrow" w:hAnsi="Arial Narrow"/>
                <w:webHidden/>
              </w:rPr>
              <w:fldChar w:fldCharType="end"/>
            </w:r>
          </w:hyperlink>
        </w:p>
        <w:p w14:paraId="3525AB4B" w14:textId="77777777" w:rsidR="00E550DB" w:rsidRPr="00E550DB" w:rsidRDefault="00B35572">
          <w:pPr>
            <w:pStyle w:val="Obsah2"/>
            <w:rPr>
              <w:rFonts w:ascii="Arial Narrow" w:eastAsiaTheme="minorEastAsia" w:hAnsi="Arial Narrow" w:cstheme="minorBidi"/>
              <w:lang w:val="en-US" w:eastAsia="en-US"/>
            </w:rPr>
          </w:pPr>
          <w:hyperlink w:anchor="_Toc508039580" w:history="1">
            <w:r w:rsidR="00E550DB" w:rsidRPr="00E550DB">
              <w:rPr>
                <w:rStyle w:val="Hypertextovprepojenie"/>
                <w:rFonts w:ascii="Arial Narrow" w:hAnsi="Arial Narrow"/>
              </w:rPr>
              <w:t>4.2.3</w:t>
            </w:r>
            <w:r w:rsidR="00E550DB" w:rsidRPr="00E550DB">
              <w:rPr>
                <w:rFonts w:ascii="Arial Narrow" w:eastAsiaTheme="minorEastAsia" w:hAnsi="Arial Narrow" w:cstheme="minorBidi"/>
                <w:lang w:val="en-US" w:eastAsia="en-US"/>
              </w:rPr>
              <w:tab/>
            </w:r>
            <w:r w:rsidR="00E550DB" w:rsidRPr="00E550DB">
              <w:rPr>
                <w:rStyle w:val="Hypertextovprepojenie"/>
                <w:rFonts w:ascii="Arial Narrow" w:hAnsi="Arial Narrow"/>
              </w:rPr>
              <w:t>Veda a výskum</w:t>
            </w:r>
            <w:r w:rsidR="00E550DB" w:rsidRPr="00E550DB">
              <w:rPr>
                <w:rFonts w:ascii="Arial Narrow" w:hAnsi="Arial Narrow"/>
                <w:webHidden/>
              </w:rPr>
              <w:tab/>
            </w:r>
            <w:r w:rsidR="00E550DB" w:rsidRPr="00E550DB">
              <w:rPr>
                <w:rFonts w:ascii="Arial Narrow" w:hAnsi="Arial Narrow"/>
                <w:webHidden/>
              </w:rPr>
              <w:fldChar w:fldCharType="begin"/>
            </w:r>
            <w:r w:rsidR="00E550DB" w:rsidRPr="00E550DB">
              <w:rPr>
                <w:rFonts w:ascii="Arial Narrow" w:hAnsi="Arial Narrow"/>
                <w:webHidden/>
              </w:rPr>
              <w:instrText xml:space="preserve"> PAGEREF _Toc508039580 \h </w:instrText>
            </w:r>
            <w:r w:rsidR="00E550DB" w:rsidRPr="00E550DB">
              <w:rPr>
                <w:rFonts w:ascii="Arial Narrow" w:hAnsi="Arial Narrow"/>
                <w:webHidden/>
              </w:rPr>
            </w:r>
            <w:r w:rsidR="00E550DB" w:rsidRPr="00E550DB">
              <w:rPr>
                <w:rFonts w:ascii="Arial Narrow" w:hAnsi="Arial Narrow"/>
                <w:webHidden/>
              </w:rPr>
              <w:fldChar w:fldCharType="separate"/>
            </w:r>
            <w:r w:rsidR="00833925">
              <w:rPr>
                <w:rFonts w:ascii="Arial Narrow" w:hAnsi="Arial Narrow"/>
                <w:webHidden/>
              </w:rPr>
              <w:t>28</w:t>
            </w:r>
            <w:r w:rsidR="00E550DB" w:rsidRPr="00E550DB">
              <w:rPr>
                <w:rFonts w:ascii="Arial Narrow" w:hAnsi="Arial Narrow"/>
                <w:webHidden/>
              </w:rPr>
              <w:fldChar w:fldCharType="end"/>
            </w:r>
          </w:hyperlink>
        </w:p>
        <w:p w14:paraId="01292694" w14:textId="77777777" w:rsidR="00E550DB" w:rsidRPr="00E550DB" w:rsidRDefault="00B35572">
          <w:pPr>
            <w:pStyle w:val="Obsah2"/>
            <w:rPr>
              <w:rFonts w:ascii="Arial Narrow" w:eastAsiaTheme="minorEastAsia" w:hAnsi="Arial Narrow" w:cstheme="minorBidi"/>
              <w:lang w:val="en-US" w:eastAsia="en-US"/>
            </w:rPr>
          </w:pPr>
          <w:hyperlink w:anchor="_Toc508039581" w:history="1">
            <w:r w:rsidR="00E550DB" w:rsidRPr="00E550DB">
              <w:rPr>
                <w:rStyle w:val="Hypertextovprepojenie"/>
                <w:rFonts w:ascii="Arial Narrow" w:hAnsi="Arial Narrow"/>
              </w:rPr>
              <w:t>4.3</w:t>
            </w:r>
            <w:r w:rsidR="00E550DB" w:rsidRPr="00E550DB">
              <w:rPr>
                <w:rFonts w:ascii="Arial Narrow" w:eastAsiaTheme="minorEastAsia" w:hAnsi="Arial Narrow" w:cstheme="minorBidi"/>
                <w:lang w:val="en-US" w:eastAsia="en-US"/>
              </w:rPr>
              <w:tab/>
            </w:r>
            <w:r w:rsidR="00E550DB" w:rsidRPr="00E550DB">
              <w:rPr>
                <w:rStyle w:val="Hypertextovprepojenie"/>
                <w:rFonts w:ascii="Arial Narrow" w:hAnsi="Arial Narrow"/>
              </w:rPr>
              <w:t>Zamestnanosť, penzijný systém a sociálna inklúzia</w:t>
            </w:r>
            <w:r w:rsidR="00E550DB" w:rsidRPr="00E550DB">
              <w:rPr>
                <w:rFonts w:ascii="Arial Narrow" w:hAnsi="Arial Narrow"/>
                <w:webHidden/>
              </w:rPr>
              <w:tab/>
            </w:r>
            <w:r w:rsidR="00E550DB" w:rsidRPr="00E550DB">
              <w:rPr>
                <w:rFonts w:ascii="Arial Narrow" w:hAnsi="Arial Narrow"/>
                <w:webHidden/>
              </w:rPr>
              <w:fldChar w:fldCharType="begin"/>
            </w:r>
            <w:r w:rsidR="00E550DB" w:rsidRPr="00E550DB">
              <w:rPr>
                <w:rFonts w:ascii="Arial Narrow" w:hAnsi="Arial Narrow"/>
                <w:webHidden/>
              </w:rPr>
              <w:instrText xml:space="preserve"> PAGEREF _Toc508039581 \h </w:instrText>
            </w:r>
            <w:r w:rsidR="00E550DB" w:rsidRPr="00E550DB">
              <w:rPr>
                <w:rFonts w:ascii="Arial Narrow" w:hAnsi="Arial Narrow"/>
                <w:webHidden/>
              </w:rPr>
            </w:r>
            <w:r w:rsidR="00E550DB" w:rsidRPr="00E550DB">
              <w:rPr>
                <w:rFonts w:ascii="Arial Narrow" w:hAnsi="Arial Narrow"/>
                <w:webHidden/>
              </w:rPr>
              <w:fldChar w:fldCharType="separate"/>
            </w:r>
            <w:r w:rsidR="00833925">
              <w:rPr>
                <w:rFonts w:ascii="Arial Narrow" w:hAnsi="Arial Narrow"/>
                <w:webHidden/>
              </w:rPr>
              <w:t>29</w:t>
            </w:r>
            <w:r w:rsidR="00E550DB" w:rsidRPr="00E550DB">
              <w:rPr>
                <w:rFonts w:ascii="Arial Narrow" w:hAnsi="Arial Narrow"/>
                <w:webHidden/>
              </w:rPr>
              <w:fldChar w:fldCharType="end"/>
            </w:r>
          </w:hyperlink>
        </w:p>
        <w:p w14:paraId="22B9B670" w14:textId="77777777" w:rsidR="00E550DB" w:rsidRPr="00E550DB" w:rsidRDefault="00B35572">
          <w:pPr>
            <w:pStyle w:val="Obsah2"/>
            <w:rPr>
              <w:rFonts w:ascii="Arial Narrow" w:eastAsiaTheme="minorEastAsia" w:hAnsi="Arial Narrow" w:cstheme="minorBidi"/>
              <w:lang w:val="en-US" w:eastAsia="en-US"/>
            </w:rPr>
          </w:pPr>
          <w:hyperlink w:anchor="_Toc508039582" w:history="1">
            <w:r w:rsidR="00E550DB" w:rsidRPr="00E550DB">
              <w:rPr>
                <w:rStyle w:val="Hypertextovprepojenie"/>
                <w:rFonts w:ascii="Arial Narrow" w:eastAsiaTheme="majorEastAsia" w:hAnsi="Arial Narrow" w:cstheme="majorBidi"/>
                <w:bCs/>
              </w:rPr>
              <w:t>4.3.1</w:t>
            </w:r>
            <w:r w:rsidR="00E550DB" w:rsidRPr="00E550DB">
              <w:rPr>
                <w:rFonts w:ascii="Arial Narrow" w:eastAsiaTheme="minorEastAsia" w:hAnsi="Arial Narrow" w:cstheme="minorBidi"/>
                <w:lang w:val="en-US" w:eastAsia="en-US"/>
              </w:rPr>
              <w:tab/>
            </w:r>
            <w:r w:rsidR="00E550DB" w:rsidRPr="00E550DB">
              <w:rPr>
                <w:rStyle w:val="Hypertextovprepojenie"/>
                <w:rFonts w:ascii="Arial Narrow" w:eastAsiaTheme="majorEastAsia" w:hAnsi="Arial Narrow" w:cstheme="majorBidi"/>
                <w:bCs/>
              </w:rPr>
              <w:t>Zamestnanosť</w:t>
            </w:r>
            <w:r w:rsidR="00E550DB" w:rsidRPr="00E550DB">
              <w:rPr>
                <w:rFonts w:ascii="Arial Narrow" w:hAnsi="Arial Narrow"/>
                <w:webHidden/>
              </w:rPr>
              <w:tab/>
            </w:r>
            <w:r w:rsidR="00E550DB" w:rsidRPr="00E550DB">
              <w:rPr>
                <w:rFonts w:ascii="Arial Narrow" w:hAnsi="Arial Narrow"/>
                <w:webHidden/>
              </w:rPr>
              <w:fldChar w:fldCharType="begin"/>
            </w:r>
            <w:r w:rsidR="00E550DB" w:rsidRPr="00E550DB">
              <w:rPr>
                <w:rFonts w:ascii="Arial Narrow" w:hAnsi="Arial Narrow"/>
                <w:webHidden/>
              </w:rPr>
              <w:instrText xml:space="preserve"> PAGEREF _Toc508039582 \h </w:instrText>
            </w:r>
            <w:r w:rsidR="00E550DB" w:rsidRPr="00E550DB">
              <w:rPr>
                <w:rFonts w:ascii="Arial Narrow" w:hAnsi="Arial Narrow"/>
                <w:webHidden/>
              </w:rPr>
            </w:r>
            <w:r w:rsidR="00E550DB" w:rsidRPr="00E550DB">
              <w:rPr>
                <w:rFonts w:ascii="Arial Narrow" w:hAnsi="Arial Narrow"/>
                <w:webHidden/>
              </w:rPr>
              <w:fldChar w:fldCharType="separate"/>
            </w:r>
            <w:r w:rsidR="00833925">
              <w:rPr>
                <w:rFonts w:ascii="Arial Narrow" w:hAnsi="Arial Narrow"/>
                <w:webHidden/>
              </w:rPr>
              <w:t>33</w:t>
            </w:r>
            <w:r w:rsidR="00E550DB" w:rsidRPr="00E550DB">
              <w:rPr>
                <w:rFonts w:ascii="Arial Narrow" w:hAnsi="Arial Narrow"/>
                <w:webHidden/>
              </w:rPr>
              <w:fldChar w:fldCharType="end"/>
            </w:r>
          </w:hyperlink>
        </w:p>
        <w:p w14:paraId="4998A2C8" w14:textId="77777777" w:rsidR="00E550DB" w:rsidRPr="00E550DB" w:rsidRDefault="00B35572">
          <w:pPr>
            <w:pStyle w:val="Obsah2"/>
            <w:rPr>
              <w:rFonts w:ascii="Arial Narrow" w:eastAsiaTheme="minorEastAsia" w:hAnsi="Arial Narrow" w:cstheme="minorBidi"/>
              <w:lang w:val="en-US" w:eastAsia="en-US"/>
            </w:rPr>
          </w:pPr>
          <w:hyperlink w:anchor="_Toc508039583" w:history="1">
            <w:r w:rsidR="00E550DB" w:rsidRPr="00E550DB">
              <w:rPr>
                <w:rStyle w:val="Hypertextovprepojenie"/>
                <w:rFonts w:ascii="Arial Narrow" w:hAnsi="Arial Narrow"/>
              </w:rPr>
              <w:t>4.3.2</w:t>
            </w:r>
            <w:r w:rsidR="00E550DB" w:rsidRPr="00E550DB">
              <w:rPr>
                <w:rFonts w:ascii="Arial Narrow" w:eastAsiaTheme="minorEastAsia" w:hAnsi="Arial Narrow" w:cstheme="minorBidi"/>
                <w:lang w:val="en-US" w:eastAsia="en-US"/>
              </w:rPr>
              <w:tab/>
            </w:r>
            <w:r w:rsidR="00E550DB" w:rsidRPr="00E550DB">
              <w:rPr>
                <w:rStyle w:val="Hypertextovprepojenie"/>
                <w:rFonts w:ascii="Arial Narrow" w:hAnsi="Arial Narrow"/>
              </w:rPr>
              <w:t>Penzijný systém</w:t>
            </w:r>
            <w:r w:rsidR="00E550DB" w:rsidRPr="00E550DB">
              <w:rPr>
                <w:rFonts w:ascii="Arial Narrow" w:hAnsi="Arial Narrow"/>
                <w:webHidden/>
              </w:rPr>
              <w:tab/>
            </w:r>
            <w:r w:rsidR="00E550DB" w:rsidRPr="00E550DB">
              <w:rPr>
                <w:rFonts w:ascii="Arial Narrow" w:hAnsi="Arial Narrow"/>
                <w:webHidden/>
              </w:rPr>
              <w:fldChar w:fldCharType="begin"/>
            </w:r>
            <w:r w:rsidR="00E550DB" w:rsidRPr="00E550DB">
              <w:rPr>
                <w:rFonts w:ascii="Arial Narrow" w:hAnsi="Arial Narrow"/>
                <w:webHidden/>
              </w:rPr>
              <w:instrText xml:space="preserve"> PAGEREF _Toc508039583 \h </w:instrText>
            </w:r>
            <w:r w:rsidR="00E550DB" w:rsidRPr="00E550DB">
              <w:rPr>
                <w:rFonts w:ascii="Arial Narrow" w:hAnsi="Arial Narrow"/>
                <w:webHidden/>
              </w:rPr>
            </w:r>
            <w:r w:rsidR="00E550DB" w:rsidRPr="00E550DB">
              <w:rPr>
                <w:rFonts w:ascii="Arial Narrow" w:hAnsi="Arial Narrow"/>
                <w:webHidden/>
              </w:rPr>
              <w:fldChar w:fldCharType="separate"/>
            </w:r>
            <w:r w:rsidR="00833925">
              <w:rPr>
                <w:rFonts w:ascii="Arial Narrow" w:hAnsi="Arial Narrow"/>
                <w:webHidden/>
              </w:rPr>
              <w:t>35</w:t>
            </w:r>
            <w:r w:rsidR="00E550DB" w:rsidRPr="00E550DB">
              <w:rPr>
                <w:rFonts w:ascii="Arial Narrow" w:hAnsi="Arial Narrow"/>
                <w:webHidden/>
              </w:rPr>
              <w:fldChar w:fldCharType="end"/>
            </w:r>
          </w:hyperlink>
        </w:p>
        <w:p w14:paraId="7FA9AB8E" w14:textId="77777777" w:rsidR="00E550DB" w:rsidRPr="00E550DB" w:rsidRDefault="00B35572">
          <w:pPr>
            <w:pStyle w:val="Obsah2"/>
            <w:rPr>
              <w:rFonts w:ascii="Arial Narrow" w:eastAsiaTheme="minorEastAsia" w:hAnsi="Arial Narrow" w:cstheme="minorBidi"/>
              <w:lang w:val="en-US" w:eastAsia="en-US"/>
            </w:rPr>
          </w:pPr>
          <w:hyperlink w:anchor="_Toc508039584" w:history="1">
            <w:r w:rsidR="00E550DB" w:rsidRPr="00E550DB">
              <w:rPr>
                <w:rStyle w:val="Hypertextovprepojenie"/>
                <w:rFonts w:ascii="Arial Narrow" w:hAnsi="Arial Narrow"/>
              </w:rPr>
              <w:t>4.3.3</w:t>
            </w:r>
            <w:r w:rsidR="00E550DB" w:rsidRPr="00E550DB">
              <w:rPr>
                <w:rFonts w:ascii="Arial Narrow" w:eastAsiaTheme="minorEastAsia" w:hAnsi="Arial Narrow" w:cstheme="minorBidi"/>
                <w:lang w:val="en-US" w:eastAsia="en-US"/>
              </w:rPr>
              <w:tab/>
            </w:r>
            <w:r w:rsidR="00E550DB" w:rsidRPr="00E550DB">
              <w:rPr>
                <w:rStyle w:val="Hypertextovprepojenie"/>
                <w:rFonts w:ascii="Arial Narrow" w:hAnsi="Arial Narrow"/>
              </w:rPr>
              <w:t>Sociálna inklúzia</w:t>
            </w:r>
            <w:r w:rsidR="00E550DB" w:rsidRPr="00E550DB">
              <w:rPr>
                <w:rFonts w:ascii="Arial Narrow" w:hAnsi="Arial Narrow"/>
                <w:webHidden/>
              </w:rPr>
              <w:tab/>
            </w:r>
            <w:r w:rsidR="00E550DB" w:rsidRPr="00E550DB">
              <w:rPr>
                <w:rFonts w:ascii="Arial Narrow" w:hAnsi="Arial Narrow"/>
                <w:webHidden/>
              </w:rPr>
              <w:fldChar w:fldCharType="begin"/>
            </w:r>
            <w:r w:rsidR="00E550DB" w:rsidRPr="00E550DB">
              <w:rPr>
                <w:rFonts w:ascii="Arial Narrow" w:hAnsi="Arial Narrow"/>
                <w:webHidden/>
              </w:rPr>
              <w:instrText xml:space="preserve"> PAGEREF _Toc508039584 \h </w:instrText>
            </w:r>
            <w:r w:rsidR="00E550DB" w:rsidRPr="00E550DB">
              <w:rPr>
                <w:rFonts w:ascii="Arial Narrow" w:hAnsi="Arial Narrow"/>
                <w:webHidden/>
              </w:rPr>
            </w:r>
            <w:r w:rsidR="00E550DB" w:rsidRPr="00E550DB">
              <w:rPr>
                <w:rFonts w:ascii="Arial Narrow" w:hAnsi="Arial Narrow"/>
                <w:webHidden/>
              </w:rPr>
              <w:fldChar w:fldCharType="separate"/>
            </w:r>
            <w:r w:rsidR="00833925">
              <w:rPr>
                <w:rFonts w:ascii="Arial Narrow" w:hAnsi="Arial Narrow"/>
                <w:webHidden/>
              </w:rPr>
              <w:t>36</w:t>
            </w:r>
            <w:r w:rsidR="00E550DB" w:rsidRPr="00E550DB">
              <w:rPr>
                <w:rFonts w:ascii="Arial Narrow" w:hAnsi="Arial Narrow"/>
                <w:webHidden/>
              </w:rPr>
              <w:fldChar w:fldCharType="end"/>
            </w:r>
          </w:hyperlink>
        </w:p>
        <w:p w14:paraId="2B276777" w14:textId="77777777" w:rsidR="00E550DB" w:rsidRPr="00E550DB" w:rsidRDefault="00B35572">
          <w:pPr>
            <w:pStyle w:val="Obsah2"/>
            <w:rPr>
              <w:rFonts w:ascii="Arial Narrow" w:eastAsiaTheme="minorEastAsia" w:hAnsi="Arial Narrow" w:cstheme="minorBidi"/>
              <w:lang w:val="en-US" w:eastAsia="en-US"/>
            </w:rPr>
          </w:pPr>
          <w:hyperlink w:anchor="_Toc508039585" w:history="1">
            <w:r w:rsidR="00E550DB" w:rsidRPr="00E550DB">
              <w:rPr>
                <w:rStyle w:val="Hypertextovprepojenie"/>
                <w:rFonts w:ascii="Arial Narrow" w:hAnsi="Arial Narrow"/>
              </w:rPr>
              <w:t>4.4</w:t>
            </w:r>
            <w:r w:rsidR="00E550DB" w:rsidRPr="00E550DB">
              <w:rPr>
                <w:rFonts w:ascii="Arial Narrow" w:eastAsiaTheme="minorEastAsia" w:hAnsi="Arial Narrow" w:cstheme="minorBidi"/>
                <w:lang w:val="en-US" w:eastAsia="en-US"/>
              </w:rPr>
              <w:tab/>
            </w:r>
            <w:r w:rsidR="00E550DB" w:rsidRPr="00E550DB">
              <w:rPr>
                <w:rStyle w:val="Hypertextovprepojenie"/>
                <w:rFonts w:ascii="Arial Narrow" w:hAnsi="Arial Narrow"/>
              </w:rPr>
              <w:t>Zdravie</w:t>
            </w:r>
            <w:r w:rsidR="00E550DB" w:rsidRPr="00E550DB">
              <w:rPr>
                <w:rFonts w:ascii="Arial Narrow" w:hAnsi="Arial Narrow"/>
                <w:webHidden/>
              </w:rPr>
              <w:tab/>
            </w:r>
            <w:r w:rsidR="00E550DB" w:rsidRPr="00E550DB">
              <w:rPr>
                <w:rFonts w:ascii="Arial Narrow" w:hAnsi="Arial Narrow"/>
                <w:webHidden/>
              </w:rPr>
              <w:fldChar w:fldCharType="begin"/>
            </w:r>
            <w:r w:rsidR="00E550DB" w:rsidRPr="00E550DB">
              <w:rPr>
                <w:rFonts w:ascii="Arial Narrow" w:hAnsi="Arial Narrow"/>
                <w:webHidden/>
              </w:rPr>
              <w:instrText xml:space="preserve"> PAGEREF _Toc508039585 \h </w:instrText>
            </w:r>
            <w:r w:rsidR="00E550DB" w:rsidRPr="00E550DB">
              <w:rPr>
                <w:rFonts w:ascii="Arial Narrow" w:hAnsi="Arial Narrow"/>
                <w:webHidden/>
              </w:rPr>
            </w:r>
            <w:r w:rsidR="00E550DB" w:rsidRPr="00E550DB">
              <w:rPr>
                <w:rFonts w:ascii="Arial Narrow" w:hAnsi="Arial Narrow"/>
                <w:webHidden/>
              </w:rPr>
              <w:fldChar w:fldCharType="separate"/>
            </w:r>
            <w:r w:rsidR="00833925">
              <w:rPr>
                <w:rFonts w:ascii="Arial Narrow" w:hAnsi="Arial Narrow"/>
                <w:webHidden/>
              </w:rPr>
              <w:t>37</w:t>
            </w:r>
            <w:r w:rsidR="00E550DB" w:rsidRPr="00E550DB">
              <w:rPr>
                <w:rFonts w:ascii="Arial Narrow" w:hAnsi="Arial Narrow"/>
                <w:webHidden/>
              </w:rPr>
              <w:fldChar w:fldCharType="end"/>
            </w:r>
          </w:hyperlink>
        </w:p>
        <w:p w14:paraId="21B903E5" w14:textId="77777777" w:rsidR="00E550DB" w:rsidRPr="00E550DB" w:rsidRDefault="00B35572">
          <w:pPr>
            <w:pStyle w:val="Obsah2"/>
            <w:rPr>
              <w:rFonts w:ascii="Arial Narrow" w:eastAsiaTheme="minorEastAsia" w:hAnsi="Arial Narrow" w:cstheme="minorBidi"/>
              <w:lang w:val="en-US" w:eastAsia="en-US"/>
            </w:rPr>
          </w:pPr>
          <w:hyperlink w:anchor="_Toc508039586" w:history="1">
            <w:r w:rsidR="00E550DB" w:rsidRPr="00E550DB">
              <w:rPr>
                <w:rStyle w:val="Hypertextovprepojenie"/>
                <w:rFonts w:ascii="Arial Narrow" w:hAnsi="Arial Narrow"/>
              </w:rPr>
              <w:t>4.5</w:t>
            </w:r>
            <w:r w:rsidR="00E550DB" w:rsidRPr="00E550DB">
              <w:rPr>
                <w:rFonts w:ascii="Arial Narrow" w:eastAsiaTheme="minorEastAsia" w:hAnsi="Arial Narrow" w:cstheme="minorBidi"/>
                <w:lang w:val="en-US" w:eastAsia="en-US"/>
              </w:rPr>
              <w:tab/>
            </w:r>
            <w:r w:rsidR="00E550DB" w:rsidRPr="00E550DB">
              <w:rPr>
                <w:rStyle w:val="Hypertextovprepojenie"/>
                <w:rFonts w:ascii="Arial Narrow" w:hAnsi="Arial Narrow"/>
              </w:rPr>
              <w:t>Modernizácia verejnej správy a podnikateľské prostredie</w:t>
            </w:r>
            <w:r w:rsidR="00E550DB" w:rsidRPr="00E550DB">
              <w:rPr>
                <w:rFonts w:ascii="Arial Narrow" w:hAnsi="Arial Narrow"/>
                <w:webHidden/>
              </w:rPr>
              <w:tab/>
            </w:r>
            <w:r w:rsidR="00E550DB" w:rsidRPr="00E550DB">
              <w:rPr>
                <w:rFonts w:ascii="Arial Narrow" w:hAnsi="Arial Narrow"/>
                <w:webHidden/>
              </w:rPr>
              <w:fldChar w:fldCharType="begin"/>
            </w:r>
            <w:r w:rsidR="00E550DB" w:rsidRPr="00E550DB">
              <w:rPr>
                <w:rFonts w:ascii="Arial Narrow" w:hAnsi="Arial Narrow"/>
                <w:webHidden/>
              </w:rPr>
              <w:instrText xml:space="preserve"> PAGEREF _Toc508039586 \h </w:instrText>
            </w:r>
            <w:r w:rsidR="00E550DB" w:rsidRPr="00E550DB">
              <w:rPr>
                <w:rFonts w:ascii="Arial Narrow" w:hAnsi="Arial Narrow"/>
                <w:webHidden/>
              </w:rPr>
            </w:r>
            <w:r w:rsidR="00E550DB" w:rsidRPr="00E550DB">
              <w:rPr>
                <w:rFonts w:ascii="Arial Narrow" w:hAnsi="Arial Narrow"/>
                <w:webHidden/>
              </w:rPr>
              <w:fldChar w:fldCharType="separate"/>
            </w:r>
            <w:r w:rsidR="00833925">
              <w:rPr>
                <w:rFonts w:ascii="Arial Narrow" w:hAnsi="Arial Narrow"/>
                <w:webHidden/>
              </w:rPr>
              <w:t>41</w:t>
            </w:r>
            <w:r w:rsidR="00E550DB" w:rsidRPr="00E550DB">
              <w:rPr>
                <w:rFonts w:ascii="Arial Narrow" w:hAnsi="Arial Narrow"/>
                <w:webHidden/>
              </w:rPr>
              <w:fldChar w:fldCharType="end"/>
            </w:r>
          </w:hyperlink>
        </w:p>
        <w:p w14:paraId="51D71C7E" w14:textId="77777777" w:rsidR="00E550DB" w:rsidRPr="00E550DB" w:rsidRDefault="00B35572">
          <w:pPr>
            <w:pStyle w:val="Obsah2"/>
            <w:rPr>
              <w:rFonts w:ascii="Arial Narrow" w:eastAsiaTheme="minorEastAsia" w:hAnsi="Arial Narrow" w:cstheme="minorBidi"/>
              <w:lang w:val="en-US" w:eastAsia="en-US"/>
            </w:rPr>
          </w:pPr>
          <w:hyperlink w:anchor="_Toc508039587" w:history="1">
            <w:r w:rsidR="00E550DB" w:rsidRPr="00E550DB">
              <w:rPr>
                <w:rStyle w:val="Hypertextovprepojenie"/>
                <w:rFonts w:ascii="Arial Narrow" w:hAnsi="Arial Narrow"/>
              </w:rPr>
              <w:t>4.5.1</w:t>
            </w:r>
            <w:r w:rsidR="00E550DB" w:rsidRPr="00E550DB">
              <w:rPr>
                <w:rFonts w:ascii="Arial Narrow" w:eastAsiaTheme="minorEastAsia" w:hAnsi="Arial Narrow" w:cstheme="minorBidi"/>
                <w:lang w:val="en-US" w:eastAsia="en-US"/>
              </w:rPr>
              <w:tab/>
            </w:r>
            <w:r w:rsidR="00E550DB" w:rsidRPr="00E550DB">
              <w:rPr>
                <w:rStyle w:val="Hypertextovprepojenie"/>
                <w:rFonts w:ascii="Arial Narrow" w:hAnsi="Arial Narrow"/>
              </w:rPr>
              <w:t>Modernizácia verejnej správy</w:t>
            </w:r>
            <w:r w:rsidR="00E550DB" w:rsidRPr="00E550DB">
              <w:rPr>
                <w:rFonts w:ascii="Arial Narrow" w:hAnsi="Arial Narrow"/>
                <w:webHidden/>
              </w:rPr>
              <w:tab/>
            </w:r>
            <w:r w:rsidR="00E550DB" w:rsidRPr="00E550DB">
              <w:rPr>
                <w:rFonts w:ascii="Arial Narrow" w:hAnsi="Arial Narrow"/>
                <w:webHidden/>
              </w:rPr>
              <w:fldChar w:fldCharType="begin"/>
            </w:r>
            <w:r w:rsidR="00E550DB" w:rsidRPr="00E550DB">
              <w:rPr>
                <w:rFonts w:ascii="Arial Narrow" w:hAnsi="Arial Narrow"/>
                <w:webHidden/>
              </w:rPr>
              <w:instrText xml:space="preserve"> PAGEREF _Toc508039587 \h </w:instrText>
            </w:r>
            <w:r w:rsidR="00E550DB" w:rsidRPr="00E550DB">
              <w:rPr>
                <w:rFonts w:ascii="Arial Narrow" w:hAnsi="Arial Narrow"/>
                <w:webHidden/>
              </w:rPr>
            </w:r>
            <w:r w:rsidR="00E550DB" w:rsidRPr="00E550DB">
              <w:rPr>
                <w:rFonts w:ascii="Arial Narrow" w:hAnsi="Arial Narrow"/>
                <w:webHidden/>
              </w:rPr>
              <w:fldChar w:fldCharType="separate"/>
            </w:r>
            <w:r w:rsidR="00833925">
              <w:rPr>
                <w:rFonts w:ascii="Arial Narrow" w:hAnsi="Arial Narrow"/>
                <w:webHidden/>
              </w:rPr>
              <w:t>43</w:t>
            </w:r>
            <w:r w:rsidR="00E550DB" w:rsidRPr="00E550DB">
              <w:rPr>
                <w:rFonts w:ascii="Arial Narrow" w:hAnsi="Arial Narrow"/>
                <w:webHidden/>
              </w:rPr>
              <w:fldChar w:fldCharType="end"/>
            </w:r>
          </w:hyperlink>
        </w:p>
        <w:p w14:paraId="446CDF5F" w14:textId="77777777" w:rsidR="00E550DB" w:rsidRPr="00E550DB" w:rsidRDefault="00B35572">
          <w:pPr>
            <w:pStyle w:val="Obsah2"/>
            <w:rPr>
              <w:rFonts w:ascii="Arial Narrow" w:eastAsiaTheme="minorEastAsia" w:hAnsi="Arial Narrow" w:cstheme="minorBidi"/>
              <w:lang w:val="en-US" w:eastAsia="en-US"/>
            </w:rPr>
          </w:pPr>
          <w:hyperlink w:anchor="_Toc508039588" w:history="1">
            <w:r w:rsidR="00E550DB" w:rsidRPr="00E550DB">
              <w:rPr>
                <w:rStyle w:val="Hypertextovprepojenie"/>
                <w:rFonts w:ascii="Arial Narrow" w:hAnsi="Arial Narrow"/>
              </w:rPr>
              <w:t>4.5.2</w:t>
            </w:r>
            <w:r w:rsidR="00E550DB" w:rsidRPr="00E550DB">
              <w:rPr>
                <w:rFonts w:ascii="Arial Narrow" w:eastAsiaTheme="minorEastAsia" w:hAnsi="Arial Narrow" w:cstheme="minorBidi"/>
                <w:lang w:val="en-US" w:eastAsia="en-US"/>
              </w:rPr>
              <w:tab/>
            </w:r>
            <w:r w:rsidR="00E550DB" w:rsidRPr="00E550DB">
              <w:rPr>
                <w:rStyle w:val="Hypertextovprepojenie"/>
                <w:rFonts w:ascii="Arial Narrow" w:hAnsi="Arial Narrow"/>
              </w:rPr>
              <w:t>Podnikateľské prostredie</w:t>
            </w:r>
            <w:r w:rsidR="00E550DB" w:rsidRPr="00E550DB">
              <w:rPr>
                <w:rFonts w:ascii="Arial Narrow" w:hAnsi="Arial Narrow"/>
                <w:webHidden/>
              </w:rPr>
              <w:tab/>
            </w:r>
            <w:r w:rsidR="00E550DB" w:rsidRPr="00E550DB">
              <w:rPr>
                <w:rFonts w:ascii="Arial Narrow" w:hAnsi="Arial Narrow"/>
                <w:webHidden/>
              </w:rPr>
              <w:fldChar w:fldCharType="begin"/>
            </w:r>
            <w:r w:rsidR="00E550DB" w:rsidRPr="00E550DB">
              <w:rPr>
                <w:rFonts w:ascii="Arial Narrow" w:hAnsi="Arial Narrow"/>
                <w:webHidden/>
              </w:rPr>
              <w:instrText xml:space="preserve"> PAGEREF _Toc508039588 \h </w:instrText>
            </w:r>
            <w:r w:rsidR="00E550DB" w:rsidRPr="00E550DB">
              <w:rPr>
                <w:rFonts w:ascii="Arial Narrow" w:hAnsi="Arial Narrow"/>
                <w:webHidden/>
              </w:rPr>
            </w:r>
            <w:r w:rsidR="00E550DB" w:rsidRPr="00E550DB">
              <w:rPr>
                <w:rFonts w:ascii="Arial Narrow" w:hAnsi="Arial Narrow"/>
                <w:webHidden/>
              </w:rPr>
              <w:fldChar w:fldCharType="separate"/>
            </w:r>
            <w:r w:rsidR="00833925">
              <w:rPr>
                <w:rFonts w:ascii="Arial Narrow" w:hAnsi="Arial Narrow"/>
                <w:webHidden/>
              </w:rPr>
              <w:t>46</w:t>
            </w:r>
            <w:r w:rsidR="00E550DB" w:rsidRPr="00E550DB">
              <w:rPr>
                <w:rFonts w:ascii="Arial Narrow" w:hAnsi="Arial Narrow"/>
                <w:webHidden/>
              </w:rPr>
              <w:fldChar w:fldCharType="end"/>
            </w:r>
          </w:hyperlink>
        </w:p>
        <w:p w14:paraId="1FC211EF" w14:textId="77777777" w:rsidR="00E550DB" w:rsidRPr="00E550DB" w:rsidRDefault="00B35572">
          <w:pPr>
            <w:pStyle w:val="Obsah2"/>
            <w:rPr>
              <w:rFonts w:ascii="Arial Narrow" w:eastAsiaTheme="minorEastAsia" w:hAnsi="Arial Narrow" w:cstheme="minorBidi"/>
              <w:lang w:val="en-US" w:eastAsia="en-US"/>
            </w:rPr>
          </w:pPr>
          <w:hyperlink w:anchor="_Toc508039589" w:history="1">
            <w:r w:rsidR="00E550DB" w:rsidRPr="00E550DB">
              <w:rPr>
                <w:rStyle w:val="Hypertextovprepojenie"/>
                <w:rFonts w:ascii="Arial Narrow" w:hAnsi="Arial Narrow"/>
              </w:rPr>
              <w:t>4.6</w:t>
            </w:r>
            <w:r w:rsidR="00E550DB" w:rsidRPr="00E550DB">
              <w:rPr>
                <w:rFonts w:ascii="Arial Narrow" w:eastAsiaTheme="minorEastAsia" w:hAnsi="Arial Narrow" w:cstheme="minorBidi"/>
                <w:lang w:val="en-US" w:eastAsia="en-US"/>
              </w:rPr>
              <w:tab/>
            </w:r>
            <w:r w:rsidR="00E550DB" w:rsidRPr="00E550DB">
              <w:rPr>
                <w:rStyle w:val="Hypertextovprepojenie"/>
                <w:rFonts w:ascii="Arial Narrow" w:hAnsi="Arial Narrow"/>
              </w:rPr>
              <w:t>Dopravná infraštruktúra</w:t>
            </w:r>
            <w:r w:rsidR="00E550DB" w:rsidRPr="00E550DB">
              <w:rPr>
                <w:rFonts w:ascii="Arial Narrow" w:hAnsi="Arial Narrow"/>
                <w:webHidden/>
              </w:rPr>
              <w:tab/>
            </w:r>
            <w:r w:rsidR="00E550DB" w:rsidRPr="00E550DB">
              <w:rPr>
                <w:rFonts w:ascii="Arial Narrow" w:hAnsi="Arial Narrow"/>
                <w:webHidden/>
              </w:rPr>
              <w:fldChar w:fldCharType="begin"/>
            </w:r>
            <w:r w:rsidR="00E550DB" w:rsidRPr="00E550DB">
              <w:rPr>
                <w:rFonts w:ascii="Arial Narrow" w:hAnsi="Arial Narrow"/>
                <w:webHidden/>
              </w:rPr>
              <w:instrText xml:space="preserve"> PAGEREF _Toc508039589 \h </w:instrText>
            </w:r>
            <w:r w:rsidR="00E550DB" w:rsidRPr="00E550DB">
              <w:rPr>
                <w:rFonts w:ascii="Arial Narrow" w:hAnsi="Arial Narrow"/>
                <w:webHidden/>
              </w:rPr>
            </w:r>
            <w:r w:rsidR="00E550DB" w:rsidRPr="00E550DB">
              <w:rPr>
                <w:rFonts w:ascii="Arial Narrow" w:hAnsi="Arial Narrow"/>
                <w:webHidden/>
              </w:rPr>
              <w:fldChar w:fldCharType="separate"/>
            </w:r>
            <w:r w:rsidR="00833925">
              <w:rPr>
                <w:rFonts w:ascii="Arial Narrow" w:hAnsi="Arial Narrow"/>
                <w:webHidden/>
              </w:rPr>
              <w:t>48</w:t>
            </w:r>
            <w:r w:rsidR="00E550DB" w:rsidRPr="00E550DB">
              <w:rPr>
                <w:rFonts w:ascii="Arial Narrow" w:hAnsi="Arial Narrow"/>
                <w:webHidden/>
              </w:rPr>
              <w:fldChar w:fldCharType="end"/>
            </w:r>
          </w:hyperlink>
        </w:p>
        <w:p w14:paraId="7336D02B" w14:textId="77777777" w:rsidR="00E550DB" w:rsidRPr="00E550DB" w:rsidRDefault="00B35572">
          <w:pPr>
            <w:pStyle w:val="Obsah2"/>
            <w:rPr>
              <w:rFonts w:ascii="Arial Narrow" w:eastAsiaTheme="minorEastAsia" w:hAnsi="Arial Narrow" w:cstheme="minorBidi"/>
              <w:lang w:val="en-US" w:eastAsia="en-US"/>
            </w:rPr>
          </w:pPr>
          <w:hyperlink w:anchor="_Toc508039590" w:history="1">
            <w:r w:rsidR="00E550DB" w:rsidRPr="00E550DB">
              <w:rPr>
                <w:rStyle w:val="Hypertextovprepojenie"/>
                <w:rFonts w:ascii="Arial Narrow" w:hAnsi="Arial Narrow"/>
              </w:rPr>
              <w:t>4.7</w:t>
            </w:r>
            <w:r w:rsidR="00E550DB" w:rsidRPr="00E550DB">
              <w:rPr>
                <w:rFonts w:ascii="Arial Narrow" w:eastAsiaTheme="minorEastAsia" w:hAnsi="Arial Narrow" w:cstheme="minorBidi"/>
                <w:lang w:val="en-US" w:eastAsia="en-US"/>
              </w:rPr>
              <w:tab/>
            </w:r>
            <w:r w:rsidR="00E550DB" w:rsidRPr="00E550DB">
              <w:rPr>
                <w:rStyle w:val="Hypertextovprepojenie"/>
                <w:rFonts w:ascii="Arial Narrow" w:hAnsi="Arial Narrow"/>
              </w:rPr>
              <w:t>Environmentálna udržateľnosť a energetika</w:t>
            </w:r>
            <w:r w:rsidR="00E550DB" w:rsidRPr="00E550DB">
              <w:rPr>
                <w:rFonts w:ascii="Arial Narrow" w:hAnsi="Arial Narrow"/>
                <w:webHidden/>
              </w:rPr>
              <w:tab/>
            </w:r>
            <w:r w:rsidR="00E550DB" w:rsidRPr="00E550DB">
              <w:rPr>
                <w:rFonts w:ascii="Arial Narrow" w:hAnsi="Arial Narrow"/>
                <w:webHidden/>
              </w:rPr>
              <w:fldChar w:fldCharType="begin"/>
            </w:r>
            <w:r w:rsidR="00E550DB" w:rsidRPr="00E550DB">
              <w:rPr>
                <w:rFonts w:ascii="Arial Narrow" w:hAnsi="Arial Narrow"/>
                <w:webHidden/>
              </w:rPr>
              <w:instrText xml:space="preserve"> PAGEREF _Toc508039590 \h </w:instrText>
            </w:r>
            <w:r w:rsidR="00E550DB" w:rsidRPr="00E550DB">
              <w:rPr>
                <w:rFonts w:ascii="Arial Narrow" w:hAnsi="Arial Narrow"/>
                <w:webHidden/>
              </w:rPr>
            </w:r>
            <w:r w:rsidR="00E550DB" w:rsidRPr="00E550DB">
              <w:rPr>
                <w:rFonts w:ascii="Arial Narrow" w:hAnsi="Arial Narrow"/>
                <w:webHidden/>
              </w:rPr>
              <w:fldChar w:fldCharType="separate"/>
            </w:r>
            <w:r w:rsidR="00833925">
              <w:rPr>
                <w:rFonts w:ascii="Arial Narrow" w:hAnsi="Arial Narrow"/>
                <w:webHidden/>
              </w:rPr>
              <w:t>51</w:t>
            </w:r>
            <w:r w:rsidR="00E550DB" w:rsidRPr="00E550DB">
              <w:rPr>
                <w:rFonts w:ascii="Arial Narrow" w:hAnsi="Arial Narrow"/>
                <w:webHidden/>
              </w:rPr>
              <w:fldChar w:fldCharType="end"/>
            </w:r>
          </w:hyperlink>
        </w:p>
        <w:p w14:paraId="18DCF35D" w14:textId="77777777" w:rsidR="00E550DB" w:rsidRPr="00E550DB" w:rsidRDefault="00B35572">
          <w:pPr>
            <w:pStyle w:val="Obsah1"/>
            <w:rPr>
              <w:rFonts w:ascii="Arial Narrow" w:eastAsiaTheme="minorEastAsia" w:hAnsi="Arial Narrow" w:cstheme="minorBidi"/>
              <w:lang w:val="en-US" w:eastAsia="en-US"/>
            </w:rPr>
          </w:pPr>
          <w:hyperlink w:anchor="_Toc508039591" w:history="1">
            <w:r w:rsidR="00E550DB" w:rsidRPr="00E550DB">
              <w:rPr>
                <w:rStyle w:val="Hypertextovprepojenie"/>
                <w:rFonts w:ascii="Arial Narrow" w:hAnsi="Arial Narrow"/>
              </w:rPr>
              <w:t>5</w:t>
            </w:r>
            <w:r w:rsidR="00E550DB" w:rsidRPr="00E550DB">
              <w:rPr>
                <w:rFonts w:ascii="Arial Narrow" w:eastAsiaTheme="minorEastAsia" w:hAnsi="Arial Narrow" w:cstheme="minorBidi"/>
                <w:lang w:val="en-US" w:eastAsia="en-US"/>
              </w:rPr>
              <w:tab/>
            </w:r>
            <w:r w:rsidR="00E550DB" w:rsidRPr="00E550DB">
              <w:rPr>
                <w:rStyle w:val="Hypertextovprepojenie"/>
                <w:rFonts w:ascii="Arial Narrow" w:hAnsi="Arial Narrow"/>
              </w:rPr>
              <w:t>Politika súdržnosti EÚ</w:t>
            </w:r>
            <w:r w:rsidR="00E550DB" w:rsidRPr="00E550DB">
              <w:rPr>
                <w:rFonts w:ascii="Arial Narrow" w:hAnsi="Arial Narrow"/>
                <w:webHidden/>
              </w:rPr>
              <w:tab/>
            </w:r>
            <w:r w:rsidR="00E550DB" w:rsidRPr="00E550DB">
              <w:rPr>
                <w:rFonts w:ascii="Arial Narrow" w:hAnsi="Arial Narrow"/>
                <w:webHidden/>
              </w:rPr>
              <w:fldChar w:fldCharType="begin"/>
            </w:r>
            <w:r w:rsidR="00E550DB" w:rsidRPr="00E550DB">
              <w:rPr>
                <w:rFonts w:ascii="Arial Narrow" w:hAnsi="Arial Narrow"/>
                <w:webHidden/>
              </w:rPr>
              <w:instrText xml:space="preserve"> PAGEREF _Toc508039591 \h </w:instrText>
            </w:r>
            <w:r w:rsidR="00E550DB" w:rsidRPr="00E550DB">
              <w:rPr>
                <w:rFonts w:ascii="Arial Narrow" w:hAnsi="Arial Narrow"/>
                <w:webHidden/>
              </w:rPr>
            </w:r>
            <w:r w:rsidR="00E550DB" w:rsidRPr="00E550DB">
              <w:rPr>
                <w:rFonts w:ascii="Arial Narrow" w:hAnsi="Arial Narrow"/>
                <w:webHidden/>
              </w:rPr>
              <w:fldChar w:fldCharType="separate"/>
            </w:r>
            <w:r w:rsidR="00833925">
              <w:rPr>
                <w:rFonts w:ascii="Arial Narrow" w:hAnsi="Arial Narrow"/>
                <w:webHidden/>
              </w:rPr>
              <w:t>53</w:t>
            </w:r>
            <w:r w:rsidR="00E550DB" w:rsidRPr="00E550DB">
              <w:rPr>
                <w:rFonts w:ascii="Arial Narrow" w:hAnsi="Arial Narrow"/>
                <w:webHidden/>
              </w:rPr>
              <w:fldChar w:fldCharType="end"/>
            </w:r>
          </w:hyperlink>
        </w:p>
        <w:p w14:paraId="6F71066E" w14:textId="77777777" w:rsidR="00E550DB" w:rsidRPr="00E550DB" w:rsidRDefault="00B35572">
          <w:pPr>
            <w:pStyle w:val="Obsah1"/>
            <w:rPr>
              <w:rFonts w:ascii="Arial Narrow" w:eastAsiaTheme="minorEastAsia" w:hAnsi="Arial Narrow" w:cstheme="minorBidi"/>
              <w:lang w:val="en-US" w:eastAsia="en-US"/>
            </w:rPr>
          </w:pPr>
          <w:hyperlink w:anchor="_Toc508039592" w:history="1">
            <w:r w:rsidR="00E550DB" w:rsidRPr="00E550DB">
              <w:rPr>
                <w:rStyle w:val="Hypertextovprepojenie"/>
                <w:rFonts w:ascii="Arial Narrow" w:hAnsi="Arial Narrow" w:cs="Arial Narrow"/>
              </w:rPr>
              <w:t>6</w:t>
            </w:r>
            <w:r w:rsidR="00E550DB" w:rsidRPr="00E550DB">
              <w:rPr>
                <w:rFonts w:ascii="Arial Narrow" w:eastAsiaTheme="minorEastAsia" w:hAnsi="Arial Narrow" w:cstheme="minorBidi"/>
                <w:lang w:val="en-US" w:eastAsia="en-US"/>
              </w:rPr>
              <w:tab/>
            </w:r>
            <w:r w:rsidR="00E550DB" w:rsidRPr="00E550DB">
              <w:rPr>
                <w:rStyle w:val="Hypertextovprepojenie"/>
                <w:rFonts w:ascii="Arial Narrow" w:hAnsi="Arial Narrow"/>
              </w:rPr>
              <w:t>Inštitucionálny rámec stratégie Európa 2020 a NPR</w:t>
            </w:r>
            <w:r w:rsidR="00E550DB" w:rsidRPr="00E550DB">
              <w:rPr>
                <w:rFonts w:ascii="Arial Narrow" w:hAnsi="Arial Narrow"/>
                <w:webHidden/>
              </w:rPr>
              <w:tab/>
            </w:r>
            <w:r w:rsidR="00E550DB" w:rsidRPr="00E550DB">
              <w:rPr>
                <w:rFonts w:ascii="Arial Narrow" w:hAnsi="Arial Narrow"/>
                <w:webHidden/>
              </w:rPr>
              <w:fldChar w:fldCharType="begin"/>
            </w:r>
            <w:r w:rsidR="00E550DB" w:rsidRPr="00E550DB">
              <w:rPr>
                <w:rFonts w:ascii="Arial Narrow" w:hAnsi="Arial Narrow"/>
                <w:webHidden/>
              </w:rPr>
              <w:instrText xml:space="preserve"> PAGEREF _Toc508039592 \h </w:instrText>
            </w:r>
            <w:r w:rsidR="00E550DB" w:rsidRPr="00E550DB">
              <w:rPr>
                <w:rFonts w:ascii="Arial Narrow" w:hAnsi="Arial Narrow"/>
                <w:webHidden/>
              </w:rPr>
            </w:r>
            <w:r w:rsidR="00E550DB" w:rsidRPr="00E550DB">
              <w:rPr>
                <w:rFonts w:ascii="Arial Narrow" w:hAnsi="Arial Narrow"/>
                <w:webHidden/>
              </w:rPr>
              <w:fldChar w:fldCharType="separate"/>
            </w:r>
            <w:r w:rsidR="00833925">
              <w:rPr>
                <w:rFonts w:ascii="Arial Narrow" w:hAnsi="Arial Narrow"/>
                <w:webHidden/>
              </w:rPr>
              <w:t>55</w:t>
            </w:r>
            <w:r w:rsidR="00E550DB" w:rsidRPr="00E550DB">
              <w:rPr>
                <w:rFonts w:ascii="Arial Narrow" w:hAnsi="Arial Narrow"/>
                <w:webHidden/>
              </w:rPr>
              <w:fldChar w:fldCharType="end"/>
            </w:r>
          </w:hyperlink>
        </w:p>
        <w:p w14:paraId="5E10AD62" w14:textId="77777777" w:rsidR="00E550DB" w:rsidRPr="00E550DB" w:rsidRDefault="00B35572">
          <w:pPr>
            <w:pStyle w:val="Obsah1"/>
            <w:rPr>
              <w:rFonts w:ascii="Arial Narrow" w:eastAsiaTheme="minorEastAsia" w:hAnsi="Arial Narrow" w:cstheme="minorBidi"/>
              <w:lang w:val="en-US" w:eastAsia="en-US"/>
            </w:rPr>
          </w:pPr>
          <w:hyperlink w:anchor="_Toc508039593" w:history="1">
            <w:r w:rsidR="00E550DB" w:rsidRPr="00E550DB">
              <w:rPr>
                <w:rStyle w:val="Hypertextovprepojenie"/>
                <w:rFonts w:ascii="Arial Narrow" w:hAnsi="Arial Narrow"/>
              </w:rPr>
              <w:t>Príloha č. 1: Národné ciele stratégie Európa 2020 a iné indikátory</w:t>
            </w:r>
            <w:r w:rsidR="00E550DB" w:rsidRPr="00E550DB">
              <w:rPr>
                <w:rFonts w:ascii="Arial Narrow" w:hAnsi="Arial Narrow"/>
                <w:webHidden/>
              </w:rPr>
              <w:tab/>
            </w:r>
            <w:r w:rsidR="00E550DB" w:rsidRPr="00E550DB">
              <w:rPr>
                <w:rFonts w:ascii="Arial Narrow" w:hAnsi="Arial Narrow"/>
                <w:webHidden/>
              </w:rPr>
              <w:fldChar w:fldCharType="begin"/>
            </w:r>
            <w:r w:rsidR="00E550DB" w:rsidRPr="00E550DB">
              <w:rPr>
                <w:rFonts w:ascii="Arial Narrow" w:hAnsi="Arial Narrow"/>
                <w:webHidden/>
              </w:rPr>
              <w:instrText xml:space="preserve"> PAGEREF _Toc508039593 \h </w:instrText>
            </w:r>
            <w:r w:rsidR="00E550DB" w:rsidRPr="00E550DB">
              <w:rPr>
                <w:rFonts w:ascii="Arial Narrow" w:hAnsi="Arial Narrow"/>
                <w:webHidden/>
              </w:rPr>
            </w:r>
            <w:r w:rsidR="00E550DB" w:rsidRPr="00E550DB">
              <w:rPr>
                <w:rFonts w:ascii="Arial Narrow" w:hAnsi="Arial Narrow"/>
                <w:webHidden/>
              </w:rPr>
              <w:fldChar w:fldCharType="separate"/>
            </w:r>
            <w:r w:rsidR="00833925">
              <w:rPr>
                <w:rFonts w:ascii="Arial Narrow" w:hAnsi="Arial Narrow"/>
                <w:webHidden/>
              </w:rPr>
              <w:t>56</w:t>
            </w:r>
            <w:r w:rsidR="00E550DB" w:rsidRPr="00E550DB">
              <w:rPr>
                <w:rFonts w:ascii="Arial Narrow" w:hAnsi="Arial Narrow"/>
                <w:webHidden/>
              </w:rPr>
              <w:fldChar w:fldCharType="end"/>
            </w:r>
          </w:hyperlink>
        </w:p>
        <w:p w14:paraId="40D87985" w14:textId="77777777" w:rsidR="00827618" w:rsidRPr="00E550DB" w:rsidRDefault="00827618" w:rsidP="00FB625E">
          <w:pPr>
            <w:spacing w:line="240" w:lineRule="auto"/>
            <w:rPr>
              <w:rFonts w:ascii="Arial Narrow" w:hAnsi="Arial Narrow"/>
            </w:rPr>
          </w:pPr>
          <w:r w:rsidRPr="00E550DB">
            <w:rPr>
              <w:rFonts w:ascii="Arial Narrow" w:hAnsi="Arial Narrow"/>
              <w:bCs/>
            </w:rPr>
            <w:fldChar w:fldCharType="end"/>
          </w:r>
        </w:p>
      </w:sdtContent>
    </w:sdt>
    <w:p w14:paraId="4BBAB2E4" w14:textId="77777777" w:rsidR="0089051B" w:rsidRPr="00256D89" w:rsidRDefault="0089051B" w:rsidP="00FB625E">
      <w:pPr>
        <w:spacing w:after="0" w:line="240" w:lineRule="auto"/>
        <w:rPr>
          <w:rFonts w:ascii="Arial Narrow" w:hAnsi="Arial Narrow"/>
          <w:b/>
          <w:sz w:val="28"/>
          <w:szCs w:val="28"/>
        </w:rPr>
      </w:pPr>
      <w:r w:rsidRPr="00256D89">
        <w:rPr>
          <w:rFonts w:ascii="Arial Narrow" w:hAnsi="Arial Narrow"/>
          <w:b/>
          <w:sz w:val="28"/>
          <w:szCs w:val="28"/>
        </w:rPr>
        <w:br w:type="page"/>
      </w:r>
    </w:p>
    <w:p w14:paraId="0E42EE43" w14:textId="77777777" w:rsidR="00E81DE6" w:rsidRPr="002F2588" w:rsidRDefault="005D29C8" w:rsidP="00FB625E">
      <w:pPr>
        <w:pBdr>
          <w:bottom w:val="single" w:sz="4" w:space="1" w:color="auto"/>
        </w:pBdr>
        <w:spacing w:after="120" w:line="240" w:lineRule="auto"/>
        <w:rPr>
          <w:rFonts w:ascii="Arial Narrow" w:hAnsi="Arial Narrow" w:cs="Arial Narrow"/>
          <w:b/>
          <w:sz w:val="20"/>
        </w:rPr>
      </w:pPr>
      <w:r w:rsidRPr="002F2588">
        <w:rPr>
          <w:rFonts w:ascii="Arial Narrow" w:hAnsi="Arial Narrow" w:cs="Arial Narrow"/>
          <w:b/>
          <w:sz w:val="20"/>
        </w:rPr>
        <w:lastRenderedPageBreak/>
        <w:t>Zoznam boxov</w:t>
      </w:r>
    </w:p>
    <w:p w14:paraId="38BB419A" w14:textId="503DAFEC" w:rsidR="002C3E7B" w:rsidRPr="002F2588" w:rsidRDefault="004204F2" w:rsidP="00FB625E">
      <w:pPr>
        <w:pStyle w:val="Zoznamobrzkov"/>
        <w:tabs>
          <w:tab w:val="right" w:leader="dot" w:pos="9062"/>
        </w:tabs>
        <w:spacing w:line="240" w:lineRule="auto"/>
        <w:rPr>
          <w:rFonts w:ascii="Arial Narrow" w:eastAsiaTheme="minorEastAsia" w:hAnsi="Arial Narrow" w:cstheme="minorBidi"/>
          <w:noProof/>
          <w:sz w:val="20"/>
        </w:rPr>
      </w:pPr>
      <w:r w:rsidRPr="002F2588">
        <w:rPr>
          <w:rStyle w:val="Hypertextovprepojenie"/>
          <w:rFonts w:ascii="Arial Narrow" w:eastAsiaTheme="majorEastAsia" w:hAnsi="Arial Narrow"/>
          <w:noProof/>
          <w:sz w:val="20"/>
        </w:rPr>
        <w:fldChar w:fldCharType="begin"/>
      </w:r>
      <w:r w:rsidRPr="002F2588">
        <w:rPr>
          <w:rStyle w:val="Hypertextovprepojenie"/>
          <w:rFonts w:ascii="Arial Narrow" w:eastAsiaTheme="majorEastAsia" w:hAnsi="Arial Narrow"/>
          <w:noProof/>
          <w:sz w:val="20"/>
        </w:rPr>
        <w:instrText xml:space="preserve"> TOC \h \z \c "Box" </w:instrText>
      </w:r>
      <w:r w:rsidRPr="002F2588">
        <w:rPr>
          <w:rStyle w:val="Hypertextovprepojenie"/>
          <w:rFonts w:ascii="Arial Narrow" w:eastAsiaTheme="majorEastAsia" w:hAnsi="Arial Narrow"/>
          <w:noProof/>
          <w:sz w:val="20"/>
        </w:rPr>
        <w:fldChar w:fldCharType="separate"/>
      </w:r>
      <w:hyperlink w:anchor="_Toc474486812" w:history="1">
        <w:r w:rsidR="00882023" w:rsidRPr="002F2588">
          <w:rPr>
            <w:rStyle w:val="Hypertextovprepojenie"/>
            <w:rFonts w:ascii="Arial Narrow" w:eastAsiaTheme="majorEastAsia" w:hAnsi="Arial Narrow"/>
            <w:bCs/>
            <w:noProof/>
            <w:sz w:val="20"/>
          </w:rPr>
          <w:t>Box 1</w:t>
        </w:r>
        <w:r w:rsidR="00882023" w:rsidRPr="002F2588">
          <w:rPr>
            <w:rStyle w:val="Hypertextovprepojenie"/>
            <w:rFonts w:ascii="Arial Narrow" w:eastAsiaTheme="majorEastAsia" w:hAnsi="Arial Narrow"/>
            <w:noProof/>
            <w:sz w:val="20"/>
          </w:rPr>
          <w:t>: Podpora nájomného bývania</w:t>
        </w:r>
        <w:r w:rsidR="00882023" w:rsidRPr="002F2588">
          <w:rPr>
            <w:rFonts w:ascii="Arial Narrow" w:hAnsi="Arial Narrow"/>
            <w:noProof/>
            <w:webHidden/>
            <w:sz w:val="20"/>
          </w:rPr>
          <w:tab/>
        </w:r>
        <w:r w:rsidR="00BC56E2" w:rsidRPr="002F2588">
          <w:rPr>
            <w:rFonts w:ascii="Arial Narrow" w:hAnsi="Arial Narrow"/>
            <w:noProof/>
            <w:webHidden/>
            <w:sz w:val="20"/>
          </w:rPr>
          <w:t>3</w:t>
        </w:r>
        <w:r w:rsidR="007A27FE">
          <w:rPr>
            <w:rFonts w:ascii="Arial Narrow" w:hAnsi="Arial Narrow"/>
            <w:noProof/>
            <w:webHidden/>
            <w:sz w:val="20"/>
          </w:rPr>
          <w:t>2</w:t>
        </w:r>
      </w:hyperlink>
    </w:p>
    <w:p w14:paraId="02D092CE" w14:textId="41C8202D" w:rsidR="006A3F3C" w:rsidRPr="002F2588" w:rsidRDefault="004204F2" w:rsidP="00C86EFB">
      <w:pPr>
        <w:pStyle w:val="Zoznamobrzkov"/>
        <w:tabs>
          <w:tab w:val="right" w:leader="dot" w:pos="9062"/>
        </w:tabs>
        <w:spacing w:line="240" w:lineRule="auto"/>
        <w:rPr>
          <w:rStyle w:val="Hypertextovprepojenie"/>
          <w:rFonts w:ascii="Arial Narrow" w:eastAsiaTheme="majorEastAsia" w:hAnsi="Arial Narrow"/>
          <w:noProof/>
          <w:sz w:val="20"/>
        </w:rPr>
      </w:pPr>
      <w:r w:rsidRPr="002F2588">
        <w:rPr>
          <w:rStyle w:val="Hypertextovprepojenie"/>
          <w:rFonts w:ascii="Arial Narrow" w:eastAsiaTheme="majorEastAsia" w:hAnsi="Arial Narrow"/>
          <w:noProof/>
          <w:sz w:val="20"/>
        </w:rPr>
        <w:fldChar w:fldCharType="end"/>
      </w:r>
      <w:r w:rsidR="006A3F3C" w:rsidRPr="002F2588">
        <w:rPr>
          <w:rFonts w:ascii="Arial Narrow" w:eastAsiaTheme="majorEastAsia" w:hAnsi="Arial Narrow"/>
          <w:bCs/>
          <w:noProof/>
          <w:sz w:val="20"/>
        </w:rPr>
        <w:t>Box 2</w:t>
      </w:r>
      <w:r w:rsidR="006A3F3C" w:rsidRPr="002F2588">
        <w:rPr>
          <w:rFonts w:ascii="Arial Narrow" w:eastAsiaTheme="majorEastAsia" w:hAnsi="Arial Narrow"/>
          <w:noProof/>
          <w:sz w:val="20"/>
        </w:rPr>
        <w:t>: Bariéry vyššej zamestnanosti matiek na Slovensku</w:t>
      </w:r>
      <w:r w:rsidR="006A3F3C" w:rsidRPr="002F2588">
        <w:rPr>
          <w:rFonts w:ascii="Arial Narrow" w:hAnsi="Arial Narrow"/>
          <w:noProof/>
          <w:webHidden/>
          <w:sz w:val="20"/>
        </w:rPr>
        <w:tab/>
      </w:r>
      <w:r w:rsidR="00BC56E2" w:rsidRPr="002F2588">
        <w:rPr>
          <w:rFonts w:ascii="Arial Narrow" w:hAnsi="Arial Narrow"/>
          <w:noProof/>
          <w:webHidden/>
          <w:sz w:val="20"/>
        </w:rPr>
        <w:t>3</w:t>
      </w:r>
      <w:r w:rsidR="007A27FE">
        <w:rPr>
          <w:rFonts w:ascii="Arial Narrow" w:hAnsi="Arial Narrow"/>
          <w:noProof/>
          <w:webHidden/>
          <w:sz w:val="20"/>
        </w:rPr>
        <w:t>4</w:t>
      </w:r>
    </w:p>
    <w:p w14:paraId="169CA4DB" w14:textId="1D7832A6" w:rsidR="00C86EFB" w:rsidRPr="002F2588" w:rsidRDefault="00C86EFB" w:rsidP="00C86EFB">
      <w:pPr>
        <w:pStyle w:val="Zoznamobrzkov"/>
        <w:tabs>
          <w:tab w:val="right" w:leader="dot" w:pos="9062"/>
        </w:tabs>
        <w:spacing w:line="240" w:lineRule="auto"/>
        <w:rPr>
          <w:rFonts w:ascii="Arial Narrow" w:hAnsi="Arial Narrow"/>
          <w:noProof/>
          <w:sz w:val="20"/>
        </w:rPr>
      </w:pPr>
      <w:r w:rsidRPr="002F2588">
        <w:rPr>
          <w:rStyle w:val="Hypertextovprepojenie"/>
          <w:rFonts w:ascii="Arial Narrow" w:eastAsiaTheme="majorEastAsia" w:hAnsi="Arial Narrow"/>
          <w:noProof/>
          <w:sz w:val="20"/>
        </w:rPr>
        <w:fldChar w:fldCharType="begin"/>
      </w:r>
      <w:r w:rsidRPr="002F2588">
        <w:rPr>
          <w:rStyle w:val="Hypertextovprepojenie"/>
          <w:rFonts w:ascii="Arial Narrow" w:eastAsiaTheme="majorEastAsia" w:hAnsi="Arial Narrow"/>
          <w:noProof/>
          <w:sz w:val="20"/>
        </w:rPr>
        <w:instrText xml:space="preserve"> TOC \h \z \c "Box" </w:instrText>
      </w:r>
      <w:r w:rsidRPr="002F2588">
        <w:rPr>
          <w:rStyle w:val="Hypertextovprepojenie"/>
          <w:rFonts w:ascii="Arial Narrow" w:eastAsiaTheme="majorEastAsia" w:hAnsi="Arial Narrow"/>
          <w:noProof/>
          <w:sz w:val="20"/>
        </w:rPr>
        <w:fldChar w:fldCharType="separate"/>
      </w:r>
      <w:hyperlink w:anchor="_Toc474486812" w:history="1">
        <w:r w:rsidR="006A3F3C" w:rsidRPr="002F2588">
          <w:rPr>
            <w:rStyle w:val="Hypertextovprepojenie"/>
            <w:rFonts w:ascii="Arial Narrow" w:eastAsiaTheme="majorEastAsia" w:hAnsi="Arial Narrow"/>
            <w:bCs/>
            <w:noProof/>
            <w:sz w:val="20"/>
          </w:rPr>
          <w:t>Box 3</w:t>
        </w:r>
        <w:r w:rsidR="00882023" w:rsidRPr="002F2588">
          <w:rPr>
            <w:rStyle w:val="Hypertextovprepojenie"/>
            <w:rFonts w:ascii="Arial Narrow" w:eastAsiaTheme="majorEastAsia" w:hAnsi="Arial Narrow"/>
            <w:bCs/>
            <w:noProof/>
            <w:sz w:val="20"/>
          </w:rPr>
          <w:t xml:space="preserve">: </w:t>
        </w:r>
        <w:r w:rsidR="00882023" w:rsidRPr="002F2588">
          <w:rPr>
            <w:rStyle w:val="Hypertextovprepojenie"/>
            <w:rFonts w:ascii="Arial Narrow" w:eastAsiaTheme="majorEastAsia" w:hAnsi="Arial Narrow"/>
            <w:noProof/>
            <w:sz w:val="20"/>
          </w:rPr>
          <w:t>Invalidné dôchodky</w:t>
        </w:r>
        <w:r w:rsidR="00882023" w:rsidRPr="002F2588">
          <w:rPr>
            <w:rFonts w:ascii="Arial Narrow" w:hAnsi="Arial Narrow"/>
            <w:noProof/>
            <w:webHidden/>
            <w:sz w:val="20"/>
          </w:rPr>
          <w:tab/>
        </w:r>
        <w:r w:rsidR="00BC56E2" w:rsidRPr="002F2588">
          <w:rPr>
            <w:rFonts w:ascii="Arial Narrow" w:hAnsi="Arial Narrow"/>
            <w:noProof/>
            <w:webHidden/>
            <w:sz w:val="20"/>
          </w:rPr>
          <w:t>3</w:t>
        </w:r>
        <w:r w:rsidR="007A27FE">
          <w:rPr>
            <w:rFonts w:ascii="Arial Narrow" w:hAnsi="Arial Narrow"/>
            <w:noProof/>
            <w:webHidden/>
            <w:sz w:val="20"/>
          </w:rPr>
          <w:t>5</w:t>
        </w:r>
      </w:hyperlink>
    </w:p>
    <w:p w14:paraId="6BFB9092" w14:textId="6EEED548" w:rsidR="00B534D5" w:rsidRPr="002F2588" w:rsidRDefault="00B35572" w:rsidP="00B534D5">
      <w:pPr>
        <w:pStyle w:val="Zoznamobrzkov"/>
        <w:tabs>
          <w:tab w:val="right" w:leader="dot" w:pos="9062"/>
        </w:tabs>
        <w:spacing w:line="240" w:lineRule="auto"/>
        <w:rPr>
          <w:rFonts w:ascii="Arial Narrow" w:hAnsi="Arial Narrow"/>
          <w:noProof/>
          <w:sz w:val="20"/>
        </w:rPr>
      </w:pPr>
      <w:hyperlink w:anchor="_Toc474486812" w:history="1">
        <w:r w:rsidR="00B534D5" w:rsidRPr="002F2588">
          <w:rPr>
            <w:rStyle w:val="Hypertextovprepojenie"/>
            <w:rFonts w:ascii="Arial Narrow" w:eastAsiaTheme="majorEastAsia" w:hAnsi="Arial Narrow"/>
            <w:bCs/>
            <w:noProof/>
            <w:sz w:val="20"/>
          </w:rPr>
          <w:t xml:space="preserve">Box 4: </w:t>
        </w:r>
        <w:r w:rsidR="00B534D5" w:rsidRPr="002F2588">
          <w:rPr>
            <w:rStyle w:val="Hypertextovprepojenie"/>
            <w:rFonts w:ascii="Arial Narrow" w:eastAsiaTheme="majorEastAsia" w:hAnsi="Arial Narrow"/>
            <w:noProof/>
            <w:sz w:val="20"/>
          </w:rPr>
          <w:t>Revízia výdavkov na zdravotníctvo II</w:t>
        </w:r>
        <w:r w:rsidR="00B534D5" w:rsidRPr="002F2588">
          <w:rPr>
            <w:rFonts w:ascii="Arial Narrow" w:hAnsi="Arial Narrow"/>
            <w:noProof/>
            <w:webHidden/>
            <w:sz w:val="20"/>
          </w:rPr>
          <w:tab/>
        </w:r>
        <w:r>
          <w:rPr>
            <w:rFonts w:ascii="Arial Narrow" w:hAnsi="Arial Narrow"/>
            <w:noProof/>
            <w:webHidden/>
            <w:sz w:val="20"/>
          </w:rPr>
          <w:t>40</w:t>
        </w:r>
        <w:bookmarkStart w:id="1" w:name="_GoBack"/>
        <w:bookmarkEnd w:id="1"/>
      </w:hyperlink>
    </w:p>
    <w:p w14:paraId="126D2BFF" w14:textId="20BAA879" w:rsidR="00C86EFB" w:rsidRPr="002F2588" w:rsidRDefault="00C86EFB" w:rsidP="00C86EFB">
      <w:pPr>
        <w:pStyle w:val="Zoznamobrzkov"/>
        <w:tabs>
          <w:tab w:val="right" w:leader="dot" w:pos="9062"/>
        </w:tabs>
        <w:spacing w:line="240" w:lineRule="auto"/>
        <w:rPr>
          <w:rFonts w:ascii="Arial Narrow" w:eastAsiaTheme="minorEastAsia" w:hAnsi="Arial Narrow" w:cstheme="minorBidi"/>
          <w:noProof/>
          <w:sz w:val="20"/>
        </w:rPr>
      </w:pPr>
      <w:r w:rsidRPr="002F2588">
        <w:rPr>
          <w:rStyle w:val="Hypertextovprepojenie"/>
          <w:rFonts w:ascii="Arial Narrow" w:eastAsiaTheme="majorEastAsia" w:hAnsi="Arial Narrow"/>
          <w:noProof/>
          <w:sz w:val="20"/>
        </w:rPr>
        <w:fldChar w:fldCharType="end"/>
      </w:r>
      <w:r w:rsidRPr="002F2588">
        <w:rPr>
          <w:rStyle w:val="Hypertextovprepojenie"/>
          <w:rFonts w:ascii="Arial Narrow" w:eastAsiaTheme="majorEastAsia" w:hAnsi="Arial Narrow"/>
          <w:noProof/>
          <w:sz w:val="20"/>
        </w:rPr>
        <w:fldChar w:fldCharType="begin"/>
      </w:r>
      <w:r w:rsidRPr="002F2588">
        <w:rPr>
          <w:rStyle w:val="Hypertextovprepojenie"/>
          <w:rFonts w:ascii="Arial Narrow" w:eastAsiaTheme="majorEastAsia" w:hAnsi="Arial Narrow"/>
          <w:noProof/>
          <w:sz w:val="20"/>
        </w:rPr>
        <w:instrText xml:space="preserve"> TOC \h \z \c "Box" </w:instrText>
      </w:r>
      <w:r w:rsidRPr="002F2588">
        <w:rPr>
          <w:rStyle w:val="Hypertextovprepojenie"/>
          <w:rFonts w:ascii="Arial Narrow" w:eastAsiaTheme="majorEastAsia" w:hAnsi="Arial Narrow"/>
          <w:noProof/>
          <w:sz w:val="20"/>
        </w:rPr>
        <w:fldChar w:fldCharType="separate"/>
      </w:r>
      <w:hyperlink w:anchor="_Toc474486812" w:history="1">
        <w:r w:rsidR="00B534D5" w:rsidRPr="002F2588">
          <w:rPr>
            <w:rStyle w:val="Hypertextovprepojenie"/>
            <w:rFonts w:ascii="Arial Narrow" w:eastAsiaTheme="majorEastAsia" w:hAnsi="Arial Narrow"/>
            <w:noProof/>
            <w:sz w:val="20"/>
          </w:rPr>
          <w:t>Box 5</w:t>
        </w:r>
        <w:r w:rsidR="00882023" w:rsidRPr="002F2588">
          <w:rPr>
            <w:rStyle w:val="Hypertextovprepojenie"/>
            <w:rFonts w:ascii="Arial Narrow" w:eastAsiaTheme="majorEastAsia" w:hAnsi="Arial Narrow"/>
            <w:noProof/>
            <w:sz w:val="20"/>
          </w:rPr>
          <w:t>: Efektívnosť samospráv</w:t>
        </w:r>
        <w:r w:rsidR="00882023" w:rsidRPr="002F2588">
          <w:rPr>
            <w:rFonts w:ascii="Arial Narrow" w:hAnsi="Arial Narrow"/>
            <w:noProof/>
            <w:webHidden/>
            <w:sz w:val="20"/>
          </w:rPr>
          <w:tab/>
        </w:r>
        <w:r w:rsidR="00BC56E2" w:rsidRPr="002F2588">
          <w:rPr>
            <w:rFonts w:ascii="Arial Narrow" w:hAnsi="Arial Narrow"/>
            <w:noProof/>
            <w:webHidden/>
            <w:sz w:val="20"/>
          </w:rPr>
          <w:t>4</w:t>
        </w:r>
        <w:r w:rsidR="007A27FE">
          <w:rPr>
            <w:rFonts w:ascii="Arial Narrow" w:hAnsi="Arial Narrow"/>
            <w:noProof/>
            <w:webHidden/>
            <w:sz w:val="20"/>
          </w:rPr>
          <w:t>2</w:t>
        </w:r>
      </w:hyperlink>
    </w:p>
    <w:p w14:paraId="013D963B" w14:textId="77777777" w:rsidR="00C86EFB" w:rsidRPr="002F2588" w:rsidRDefault="00C86EFB" w:rsidP="00C86EFB">
      <w:pPr>
        <w:pStyle w:val="Zoznamobrzkov"/>
        <w:tabs>
          <w:tab w:val="right" w:leader="dot" w:pos="8554"/>
        </w:tabs>
        <w:spacing w:line="240" w:lineRule="auto"/>
        <w:rPr>
          <w:rFonts w:ascii="Arial Narrow" w:eastAsiaTheme="majorEastAsia" w:hAnsi="Arial Narrow"/>
          <w:sz w:val="20"/>
        </w:rPr>
      </w:pPr>
      <w:r w:rsidRPr="002F2588">
        <w:rPr>
          <w:rStyle w:val="Hypertextovprepojenie"/>
          <w:rFonts w:ascii="Arial Narrow" w:eastAsiaTheme="majorEastAsia" w:hAnsi="Arial Narrow"/>
          <w:noProof/>
          <w:sz w:val="20"/>
        </w:rPr>
        <w:fldChar w:fldCharType="end"/>
      </w:r>
    </w:p>
    <w:p w14:paraId="7D250082" w14:textId="77777777" w:rsidR="005D29C8" w:rsidRPr="002F2588" w:rsidRDefault="005D29C8" w:rsidP="00FB625E">
      <w:pPr>
        <w:pBdr>
          <w:bottom w:val="single" w:sz="4" w:space="1" w:color="auto"/>
        </w:pBdr>
        <w:spacing w:after="120" w:line="240" w:lineRule="auto"/>
        <w:rPr>
          <w:rFonts w:ascii="Arial Narrow" w:hAnsi="Arial Narrow" w:cs="Arial Narrow"/>
          <w:b/>
          <w:sz w:val="20"/>
        </w:rPr>
      </w:pPr>
      <w:r w:rsidRPr="002F2588">
        <w:rPr>
          <w:rFonts w:ascii="Arial Narrow" w:hAnsi="Arial Narrow" w:cs="Arial Narrow"/>
          <w:b/>
          <w:sz w:val="20"/>
        </w:rPr>
        <w:t>Zoznam grafov</w:t>
      </w:r>
    </w:p>
    <w:bookmarkEnd w:id="0"/>
    <w:p w14:paraId="3C8EE838" w14:textId="77777777" w:rsidR="002F2588" w:rsidRPr="002F2588" w:rsidRDefault="005D29C8">
      <w:pPr>
        <w:pStyle w:val="Zoznamobrzkov"/>
        <w:tabs>
          <w:tab w:val="right" w:leader="dot" w:pos="8554"/>
        </w:tabs>
        <w:rPr>
          <w:rFonts w:ascii="Arial Narrow" w:eastAsiaTheme="minorEastAsia" w:hAnsi="Arial Narrow" w:cstheme="minorBidi"/>
          <w:noProof/>
          <w:sz w:val="20"/>
          <w:lang w:val="en-US" w:eastAsia="en-US"/>
        </w:rPr>
      </w:pPr>
      <w:r w:rsidRPr="002F2588">
        <w:rPr>
          <w:rFonts w:ascii="Arial Narrow" w:hAnsi="Arial Narrow"/>
          <w:sz w:val="20"/>
        </w:rPr>
        <w:fldChar w:fldCharType="begin"/>
      </w:r>
      <w:r w:rsidRPr="002F2588">
        <w:rPr>
          <w:rFonts w:ascii="Arial Narrow" w:hAnsi="Arial Narrow"/>
          <w:sz w:val="20"/>
        </w:rPr>
        <w:instrText xml:space="preserve"> TOC \h \z \c "Graf" </w:instrText>
      </w:r>
      <w:r w:rsidRPr="002F2588">
        <w:rPr>
          <w:rFonts w:ascii="Arial Narrow" w:hAnsi="Arial Narrow"/>
          <w:sz w:val="20"/>
        </w:rPr>
        <w:fldChar w:fldCharType="separate"/>
      </w:r>
      <w:hyperlink w:anchor="_Toc509513313" w:history="1">
        <w:r w:rsidR="002F2588" w:rsidRPr="002F2588">
          <w:rPr>
            <w:rStyle w:val="Hypertextovprepojenie"/>
            <w:rFonts w:ascii="Arial Narrow" w:eastAsiaTheme="majorEastAsia" w:hAnsi="Arial Narrow" w:cs="Arial"/>
            <w:noProof/>
            <w:sz w:val="20"/>
          </w:rPr>
          <w:t>Graf 1: Sledované výsledkové ukazovatele, štandardná odchýlka od priemeru OECD a EÚ</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_Toc509513313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6</w:t>
        </w:r>
        <w:r w:rsidR="002F2588" w:rsidRPr="002F2588">
          <w:rPr>
            <w:rFonts w:ascii="Arial Narrow" w:hAnsi="Arial Narrow"/>
            <w:noProof/>
            <w:webHidden/>
            <w:sz w:val="20"/>
          </w:rPr>
          <w:fldChar w:fldCharType="end"/>
        </w:r>
      </w:hyperlink>
    </w:p>
    <w:p w14:paraId="516F75FF"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14" w:history="1">
        <w:r w:rsidR="002F2588" w:rsidRPr="002F2588">
          <w:rPr>
            <w:rStyle w:val="Hypertextovprepojenie"/>
            <w:rFonts w:ascii="Arial Narrow" w:eastAsiaTheme="majorEastAsia" w:hAnsi="Arial Narrow" w:cs="Arial"/>
            <w:noProof/>
            <w:sz w:val="20"/>
          </w:rPr>
          <w:t>Graf 2: „Disagregácia“ výsledkových ukazovateľov pomocou doplnkových indikátorov, štandardná odchýlka od priemeru ostatných krajín</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_Toc509513314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6</w:t>
        </w:r>
        <w:r w:rsidR="002F2588" w:rsidRPr="002F2588">
          <w:rPr>
            <w:rFonts w:ascii="Arial Narrow" w:hAnsi="Arial Narrow"/>
            <w:noProof/>
            <w:webHidden/>
            <w:sz w:val="20"/>
          </w:rPr>
          <w:fldChar w:fldCharType="end"/>
        </w:r>
      </w:hyperlink>
    </w:p>
    <w:p w14:paraId="3C0EA6AE"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15" w:history="1">
        <w:r w:rsidR="002F2588" w:rsidRPr="002F2588">
          <w:rPr>
            <w:rStyle w:val="Hypertextovprepojenie"/>
            <w:rFonts w:ascii="Arial Narrow" w:eastAsiaTheme="majorEastAsia" w:hAnsi="Arial Narrow"/>
            <w:noProof/>
            <w:sz w:val="20"/>
          </w:rPr>
          <w:t xml:space="preserve">Graf 3: </w:t>
        </w:r>
        <w:r w:rsidR="002F2588" w:rsidRPr="002F2588">
          <w:rPr>
            <w:rStyle w:val="Hypertextovprepojenie"/>
            <w:rFonts w:ascii="Arial Narrow" w:eastAsiaTheme="majorEastAsia" w:hAnsi="Arial Narrow" w:cs="Arial"/>
            <w:noProof/>
            <w:sz w:val="20"/>
          </w:rPr>
          <w:t>Príspevky k rastu HDP na Slovensku, 2011 – 2021 (v p. b.)</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_Toc509513315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17</w:t>
        </w:r>
        <w:r w:rsidR="002F2588" w:rsidRPr="002F2588">
          <w:rPr>
            <w:rFonts w:ascii="Arial Narrow" w:hAnsi="Arial Narrow"/>
            <w:noProof/>
            <w:webHidden/>
            <w:sz w:val="20"/>
          </w:rPr>
          <w:fldChar w:fldCharType="end"/>
        </w:r>
      </w:hyperlink>
    </w:p>
    <w:p w14:paraId="191D4265"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16" w:history="1">
        <w:r w:rsidR="002F2588" w:rsidRPr="002F2588">
          <w:rPr>
            <w:rStyle w:val="Hypertextovprepojenie"/>
            <w:rFonts w:ascii="Arial Narrow" w:eastAsiaTheme="majorEastAsia" w:hAnsi="Arial Narrow"/>
            <w:noProof/>
            <w:sz w:val="20"/>
          </w:rPr>
          <w:t xml:space="preserve">Graf 4: </w:t>
        </w:r>
        <w:r w:rsidR="002F2588" w:rsidRPr="002F2588">
          <w:rPr>
            <w:rStyle w:val="Hypertextovprepojenie"/>
            <w:rFonts w:ascii="Arial Narrow" w:eastAsiaTheme="majorEastAsia" w:hAnsi="Arial Narrow" w:cs="Arial"/>
            <w:noProof/>
            <w:sz w:val="20"/>
          </w:rPr>
          <w:t>Štruktúra spotrebiteľskej inflácie – medziročné príspevky zložiek CPI (v p. b.)</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_Toc509513316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17</w:t>
        </w:r>
        <w:r w:rsidR="002F2588" w:rsidRPr="002F2588">
          <w:rPr>
            <w:rFonts w:ascii="Arial Narrow" w:hAnsi="Arial Narrow"/>
            <w:noProof/>
            <w:webHidden/>
            <w:sz w:val="20"/>
          </w:rPr>
          <w:fldChar w:fldCharType="end"/>
        </w:r>
      </w:hyperlink>
    </w:p>
    <w:p w14:paraId="1288E6B9"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17" w:history="1">
        <w:r w:rsidR="002F2588" w:rsidRPr="002F2588">
          <w:rPr>
            <w:rStyle w:val="Hypertextovprepojenie"/>
            <w:rFonts w:ascii="Arial Narrow" w:eastAsiaTheme="majorEastAsia" w:hAnsi="Arial Narrow"/>
            <w:noProof/>
            <w:sz w:val="20"/>
          </w:rPr>
          <w:t>Graf 5: Efektívna daňová sadzba DPH (%)</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_Toc509513317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22</w:t>
        </w:r>
        <w:r w:rsidR="002F2588" w:rsidRPr="002F2588">
          <w:rPr>
            <w:rFonts w:ascii="Arial Narrow" w:hAnsi="Arial Narrow"/>
            <w:noProof/>
            <w:webHidden/>
            <w:sz w:val="20"/>
          </w:rPr>
          <w:fldChar w:fldCharType="end"/>
        </w:r>
      </w:hyperlink>
    </w:p>
    <w:p w14:paraId="29080C5E"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18" w:history="1">
        <w:r w:rsidR="002F2588" w:rsidRPr="002F2588">
          <w:rPr>
            <w:rStyle w:val="Hypertextovprepojenie"/>
            <w:rFonts w:ascii="Arial Narrow" w:eastAsiaTheme="majorEastAsia" w:hAnsi="Arial Narrow"/>
            <w:noProof/>
            <w:sz w:val="20"/>
          </w:rPr>
          <w:t>Graf 6: Efektívna daňová sadzba DPPO (%, výber dane na čistom prevádzkovom prebytku)</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_Toc509513318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22</w:t>
        </w:r>
        <w:r w:rsidR="002F2588" w:rsidRPr="002F2588">
          <w:rPr>
            <w:rFonts w:ascii="Arial Narrow" w:hAnsi="Arial Narrow"/>
            <w:noProof/>
            <w:webHidden/>
            <w:sz w:val="20"/>
          </w:rPr>
          <w:fldChar w:fldCharType="end"/>
        </w:r>
      </w:hyperlink>
    </w:p>
    <w:p w14:paraId="34CF3EBA"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19" w:history="1">
        <w:r w:rsidR="002F2588" w:rsidRPr="002F2588">
          <w:rPr>
            <w:rStyle w:val="Hypertextovprepojenie"/>
            <w:rFonts w:ascii="Arial Narrow" w:eastAsiaTheme="majorEastAsia" w:hAnsi="Arial Narrow"/>
            <w:noProof/>
            <w:sz w:val="20"/>
          </w:rPr>
          <w:t>Graf 7:</w:t>
        </w:r>
        <w:r w:rsidR="002F2588" w:rsidRPr="002F2588">
          <w:rPr>
            <w:rStyle w:val="Hypertextovprepojenie"/>
            <w:rFonts w:ascii="Arial Narrow" w:eastAsiaTheme="majorEastAsia" w:hAnsi="Arial Narrow" w:cs="Arial"/>
            <w:noProof/>
            <w:sz w:val="20"/>
          </w:rPr>
          <w:t xml:space="preserve"> Verejné výdavky na vzdelávanie, 2014</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_Toc509513319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24</w:t>
        </w:r>
        <w:r w:rsidR="002F2588" w:rsidRPr="002F2588">
          <w:rPr>
            <w:rFonts w:ascii="Arial Narrow" w:hAnsi="Arial Narrow"/>
            <w:noProof/>
            <w:webHidden/>
            <w:sz w:val="20"/>
          </w:rPr>
          <w:fldChar w:fldCharType="end"/>
        </w:r>
      </w:hyperlink>
    </w:p>
    <w:p w14:paraId="0DA6317A"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20" w:history="1">
        <w:r w:rsidR="002F2588" w:rsidRPr="002F2588">
          <w:rPr>
            <w:rStyle w:val="Hypertextovprepojenie"/>
            <w:rFonts w:ascii="Arial Narrow" w:eastAsiaTheme="majorEastAsia" w:hAnsi="Arial Narrow" w:cs="Arial"/>
            <w:noProof/>
            <w:sz w:val="20"/>
          </w:rPr>
          <w:t>Graf 8: Priemerné platy pedagógov nižšieho sekundárneho vzdelávania v pomere k platom zamestnancov s VŠ vzdelaním (2015)</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_Toc509513320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24</w:t>
        </w:r>
        <w:r w:rsidR="002F2588" w:rsidRPr="002F2588">
          <w:rPr>
            <w:rFonts w:ascii="Arial Narrow" w:hAnsi="Arial Narrow"/>
            <w:noProof/>
            <w:webHidden/>
            <w:sz w:val="20"/>
          </w:rPr>
          <w:fldChar w:fldCharType="end"/>
        </w:r>
      </w:hyperlink>
    </w:p>
    <w:p w14:paraId="3BC4C8DF"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21" w:history="1">
        <w:r w:rsidR="002F2588" w:rsidRPr="002F2588">
          <w:rPr>
            <w:rStyle w:val="Hypertextovprepojenie"/>
            <w:rFonts w:ascii="Arial Narrow" w:eastAsiaTheme="majorEastAsia" w:hAnsi="Arial Narrow"/>
            <w:noProof/>
            <w:sz w:val="20"/>
          </w:rPr>
          <w:t xml:space="preserve">Graf 9: </w:t>
        </w:r>
        <w:r w:rsidR="002F2588" w:rsidRPr="002F2588">
          <w:rPr>
            <w:rStyle w:val="Hypertextovprepojenie"/>
            <w:rFonts w:ascii="Arial Narrow" w:eastAsiaTheme="majorEastAsia" w:hAnsi="Arial Narrow" w:cs="Arial"/>
            <w:noProof/>
            <w:sz w:val="20"/>
          </w:rPr>
          <w:t>Vstupy a výstupy pre výskum a vývoj ako % priemeru V3</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_Toc509513321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25</w:t>
        </w:r>
        <w:r w:rsidR="002F2588" w:rsidRPr="002F2588">
          <w:rPr>
            <w:rFonts w:ascii="Arial Narrow" w:hAnsi="Arial Narrow"/>
            <w:noProof/>
            <w:webHidden/>
            <w:sz w:val="20"/>
          </w:rPr>
          <w:fldChar w:fldCharType="end"/>
        </w:r>
      </w:hyperlink>
    </w:p>
    <w:p w14:paraId="075AEBA8"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22" w:history="1">
        <w:r w:rsidR="002F2588" w:rsidRPr="002F2588">
          <w:rPr>
            <w:rStyle w:val="Hypertextovprepojenie"/>
            <w:rFonts w:ascii="Arial Narrow" w:eastAsiaTheme="majorEastAsia" w:hAnsi="Arial Narrow"/>
            <w:noProof/>
            <w:sz w:val="20"/>
          </w:rPr>
          <w:t xml:space="preserve">Graf 10: </w:t>
        </w:r>
        <w:r w:rsidR="002F2588" w:rsidRPr="002F2588">
          <w:rPr>
            <w:rStyle w:val="Hypertextovprepojenie"/>
            <w:rFonts w:ascii="Arial Narrow" w:eastAsiaTheme="majorEastAsia" w:hAnsi="Arial Narrow" w:cs="Arial"/>
            <w:noProof/>
            <w:sz w:val="20"/>
          </w:rPr>
          <w:t>Výsledky testovania PISA (priemer bodov)</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_Toc509513322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25</w:t>
        </w:r>
        <w:r w:rsidR="002F2588" w:rsidRPr="002F2588">
          <w:rPr>
            <w:rFonts w:ascii="Arial Narrow" w:hAnsi="Arial Narrow"/>
            <w:noProof/>
            <w:webHidden/>
            <w:sz w:val="20"/>
          </w:rPr>
          <w:fldChar w:fldCharType="end"/>
        </w:r>
      </w:hyperlink>
    </w:p>
    <w:p w14:paraId="460F3AF0"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23" w:history="1">
        <w:r w:rsidR="002F2588" w:rsidRPr="002F2588">
          <w:rPr>
            <w:rStyle w:val="Hypertextovprepojenie"/>
            <w:rFonts w:ascii="Arial Narrow" w:hAnsi="Arial Narrow"/>
            <w:noProof/>
            <w:sz w:val="20"/>
          </w:rPr>
          <w:t>Graf 11:</w:t>
        </w:r>
        <w:r w:rsidR="002F2588" w:rsidRPr="002F2588">
          <w:rPr>
            <w:rStyle w:val="Hypertextovprepojenie"/>
            <w:rFonts w:ascii="Arial Narrow" w:eastAsiaTheme="majorEastAsia" w:hAnsi="Arial Narrow"/>
            <w:noProof/>
            <w:sz w:val="20"/>
          </w:rPr>
          <w:t xml:space="preserve"> </w:t>
        </w:r>
        <w:r w:rsidR="002F2588" w:rsidRPr="002F2588">
          <w:rPr>
            <w:rStyle w:val="Hypertextovprepojenie"/>
            <w:rFonts w:ascii="Arial Narrow" w:hAnsi="Arial Narrow"/>
            <w:noProof/>
            <w:sz w:val="20"/>
          </w:rPr>
          <w:t>Kvartálny vývoj miery nezamestnanosti</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_Toc509513323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29</w:t>
        </w:r>
        <w:r w:rsidR="002F2588" w:rsidRPr="002F2588">
          <w:rPr>
            <w:rFonts w:ascii="Arial Narrow" w:hAnsi="Arial Narrow"/>
            <w:noProof/>
            <w:webHidden/>
            <w:sz w:val="20"/>
          </w:rPr>
          <w:fldChar w:fldCharType="end"/>
        </w:r>
      </w:hyperlink>
    </w:p>
    <w:p w14:paraId="5154D7C9"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24" w:history="1">
        <w:r w:rsidR="002F2588" w:rsidRPr="002F2588">
          <w:rPr>
            <w:rStyle w:val="Hypertextovprepojenie"/>
            <w:rFonts w:ascii="Arial Narrow" w:eastAsiaTheme="majorEastAsia" w:hAnsi="Arial Narrow" w:cs="Arial"/>
            <w:noProof/>
            <w:sz w:val="20"/>
          </w:rPr>
          <w:t>Graf 12: Dlhodobá nezamestnanosť (v %, 3Q 2016, 3Q 2017)</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_Toc509513324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29</w:t>
        </w:r>
        <w:r w:rsidR="002F2588" w:rsidRPr="002F2588">
          <w:rPr>
            <w:rFonts w:ascii="Arial Narrow" w:hAnsi="Arial Narrow"/>
            <w:noProof/>
            <w:webHidden/>
            <w:sz w:val="20"/>
          </w:rPr>
          <w:fldChar w:fldCharType="end"/>
        </w:r>
      </w:hyperlink>
    </w:p>
    <w:p w14:paraId="3EE7289D"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25" w:history="1">
        <w:r w:rsidR="002F2588" w:rsidRPr="002F2588">
          <w:rPr>
            <w:rStyle w:val="Hypertextovprepojenie"/>
            <w:rFonts w:ascii="Arial Narrow" w:hAnsi="Arial Narrow"/>
            <w:noProof/>
            <w:sz w:val="20"/>
          </w:rPr>
          <w:t>Graf 13:</w:t>
        </w:r>
        <w:r w:rsidR="002F2588" w:rsidRPr="002F2588">
          <w:rPr>
            <w:rStyle w:val="Hypertextovprepojenie"/>
            <w:rFonts w:ascii="Arial Narrow" w:eastAsiaTheme="majorEastAsia" w:hAnsi="Arial Narrow" w:cs="Arial"/>
            <w:noProof/>
            <w:sz w:val="20"/>
          </w:rPr>
          <w:t xml:space="preserve"> </w:t>
        </w:r>
        <w:r w:rsidR="002F2588" w:rsidRPr="002F2588">
          <w:rPr>
            <w:rStyle w:val="Hypertextovprepojenie"/>
            <w:rFonts w:ascii="Arial Narrow" w:hAnsi="Arial Narrow"/>
            <w:noProof/>
            <w:sz w:val="20"/>
          </w:rPr>
          <w:t>Nízkokvalifikovaná pracovná sila na trhu</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_Toc509513325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30</w:t>
        </w:r>
        <w:r w:rsidR="002F2588" w:rsidRPr="002F2588">
          <w:rPr>
            <w:rFonts w:ascii="Arial Narrow" w:hAnsi="Arial Narrow"/>
            <w:noProof/>
            <w:webHidden/>
            <w:sz w:val="20"/>
          </w:rPr>
          <w:fldChar w:fldCharType="end"/>
        </w:r>
      </w:hyperlink>
    </w:p>
    <w:p w14:paraId="450DECC5"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26" w:history="1">
        <w:r w:rsidR="002F2588" w:rsidRPr="002F2588">
          <w:rPr>
            <w:rStyle w:val="Hypertextovprepojenie"/>
            <w:rFonts w:ascii="Arial Narrow" w:eastAsiaTheme="majorEastAsia" w:hAnsi="Arial Narrow" w:cs="Arial"/>
            <w:noProof/>
            <w:sz w:val="20"/>
          </w:rPr>
          <w:t>Graf 14: Výsledky Rómov vo vzdelávaní a na trhu práce (2016)</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_Toc509513326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30</w:t>
        </w:r>
        <w:r w:rsidR="002F2588" w:rsidRPr="002F2588">
          <w:rPr>
            <w:rFonts w:ascii="Arial Narrow" w:hAnsi="Arial Narrow"/>
            <w:noProof/>
            <w:webHidden/>
            <w:sz w:val="20"/>
          </w:rPr>
          <w:fldChar w:fldCharType="end"/>
        </w:r>
      </w:hyperlink>
    </w:p>
    <w:p w14:paraId="42412452"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27" w:history="1">
        <w:r w:rsidR="002F2588" w:rsidRPr="002F2588">
          <w:rPr>
            <w:rStyle w:val="Hypertextovprepojenie"/>
            <w:rFonts w:ascii="Arial Narrow" w:hAnsi="Arial Narrow"/>
            <w:noProof/>
            <w:sz w:val="20"/>
          </w:rPr>
          <w:t>Graf 15:</w:t>
        </w:r>
        <w:r w:rsidR="002F2588" w:rsidRPr="002F2588">
          <w:rPr>
            <w:rStyle w:val="Hypertextovprepojenie"/>
            <w:rFonts w:ascii="Arial Narrow" w:eastAsiaTheme="majorEastAsia" w:hAnsi="Arial Narrow"/>
            <w:noProof/>
            <w:sz w:val="20"/>
          </w:rPr>
          <w:t xml:space="preserve"> </w:t>
        </w:r>
        <w:r w:rsidR="002F2588" w:rsidRPr="002F2588">
          <w:rPr>
            <w:rStyle w:val="Hypertextovprepojenie"/>
            <w:rFonts w:ascii="Arial Narrow" w:hAnsi="Arial Narrow"/>
            <w:noProof/>
            <w:sz w:val="20"/>
          </w:rPr>
          <w:t>Vzťah miery nezamestnanosti a voľných pracovných miest v čase (Beveridgova krivka)</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_Toc509513327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31</w:t>
        </w:r>
        <w:r w:rsidR="002F2588" w:rsidRPr="002F2588">
          <w:rPr>
            <w:rFonts w:ascii="Arial Narrow" w:hAnsi="Arial Narrow"/>
            <w:noProof/>
            <w:webHidden/>
            <w:sz w:val="20"/>
          </w:rPr>
          <w:fldChar w:fldCharType="end"/>
        </w:r>
      </w:hyperlink>
    </w:p>
    <w:p w14:paraId="581B4710"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28" w:history="1">
        <w:r w:rsidR="002F2588" w:rsidRPr="002F2588">
          <w:rPr>
            <w:rStyle w:val="Hypertextovprepojenie"/>
            <w:rFonts w:ascii="Arial Narrow" w:eastAsiaTheme="majorEastAsia" w:hAnsi="Arial Narrow" w:cs="Arial"/>
            <w:noProof/>
            <w:sz w:val="20"/>
          </w:rPr>
          <w:t>Graf 16: Indikátory prehrievania trhu práce (normalizované v %)</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_Toc509513328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31</w:t>
        </w:r>
        <w:r w:rsidR="002F2588" w:rsidRPr="002F2588">
          <w:rPr>
            <w:rFonts w:ascii="Arial Narrow" w:hAnsi="Arial Narrow"/>
            <w:noProof/>
            <w:webHidden/>
            <w:sz w:val="20"/>
          </w:rPr>
          <w:fldChar w:fldCharType="end"/>
        </w:r>
      </w:hyperlink>
    </w:p>
    <w:p w14:paraId="29821285"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29" w:history="1">
        <w:r w:rsidR="002F2588" w:rsidRPr="002F2588">
          <w:rPr>
            <w:rStyle w:val="Hypertextovprepojenie"/>
            <w:rFonts w:ascii="Arial Narrow" w:eastAsiaTheme="majorEastAsia" w:hAnsi="Arial Narrow"/>
            <w:noProof/>
            <w:sz w:val="20"/>
          </w:rPr>
          <w:t xml:space="preserve">Graf 15: </w:t>
        </w:r>
        <w:r w:rsidR="002F2588" w:rsidRPr="002F2588">
          <w:rPr>
            <w:rStyle w:val="Hypertextovprepojenie"/>
            <w:rFonts w:ascii="Arial Narrow" w:eastAsiaTheme="majorEastAsia" w:hAnsi="Arial Narrow" w:cs="Arial"/>
            <w:noProof/>
            <w:sz w:val="20"/>
          </w:rPr>
          <w:t>Čistá zmena spôsobená migráciou (podľa pôvodu, tis. osôb)</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_Toc509513329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31</w:t>
        </w:r>
        <w:r w:rsidR="002F2588" w:rsidRPr="002F2588">
          <w:rPr>
            <w:rFonts w:ascii="Arial Narrow" w:hAnsi="Arial Narrow"/>
            <w:noProof/>
            <w:webHidden/>
            <w:sz w:val="20"/>
          </w:rPr>
          <w:fldChar w:fldCharType="end"/>
        </w:r>
      </w:hyperlink>
    </w:p>
    <w:p w14:paraId="7E0D4CC2"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30" w:history="1">
        <w:r w:rsidR="002F2588" w:rsidRPr="002F2588">
          <w:rPr>
            <w:rStyle w:val="Hypertextovprepojenie"/>
            <w:rFonts w:ascii="Arial Narrow" w:eastAsiaTheme="minorHAnsi" w:hAnsi="Arial Narrow" w:cs="Arial Narrow"/>
            <w:bCs/>
            <w:noProof/>
            <w:sz w:val="20"/>
            <w:lang w:eastAsia="en-US"/>
          </w:rPr>
          <w:t xml:space="preserve">Graf </w:t>
        </w:r>
        <w:r w:rsidR="002F2588" w:rsidRPr="002F2588">
          <w:rPr>
            <w:rStyle w:val="Hypertextovprepojenie"/>
            <w:rFonts w:ascii="Arial Narrow" w:eastAsiaTheme="majorEastAsia" w:hAnsi="Arial Narrow"/>
            <w:noProof/>
            <w:sz w:val="20"/>
          </w:rPr>
          <w:t>17</w:t>
        </w:r>
        <w:r w:rsidR="002F2588" w:rsidRPr="002F2588">
          <w:rPr>
            <w:rStyle w:val="Hypertextovprepojenie"/>
            <w:rFonts w:ascii="Arial Narrow" w:eastAsiaTheme="minorHAnsi" w:hAnsi="Arial Narrow" w:cs="Arial Narrow"/>
            <w:bCs/>
            <w:noProof/>
            <w:sz w:val="20"/>
            <w:lang w:eastAsia="en-US"/>
          </w:rPr>
          <w:t>: Podiel obývaných domácností podľa vlastníctva (2016)</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_Toc509513330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32</w:t>
        </w:r>
        <w:r w:rsidR="002F2588" w:rsidRPr="002F2588">
          <w:rPr>
            <w:rFonts w:ascii="Arial Narrow" w:hAnsi="Arial Narrow"/>
            <w:noProof/>
            <w:webHidden/>
            <w:sz w:val="20"/>
          </w:rPr>
          <w:fldChar w:fldCharType="end"/>
        </w:r>
      </w:hyperlink>
    </w:p>
    <w:p w14:paraId="5F46A383"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31" w:history="1">
        <w:r w:rsidR="002F2588" w:rsidRPr="002F2588">
          <w:rPr>
            <w:rStyle w:val="Hypertextovprepojenie"/>
            <w:rFonts w:ascii="Arial Narrow" w:eastAsiaTheme="minorHAnsi" w:hAnsi="Arial Narrow" w:cs="Arial Narrow"/>
            <w:bCs/>
            <w:noProof/>
            <w:sz w:val="20"/>
            <w:lang w:eastAsia="en-US"/>
          </w:rPr>
          <w:t xml:space="preserve">Graf </w:t>
        </w:r>
        <w:r w:rsidR="002F2588" w:rsidRPr="002F2588">
          <w:rPr>
            <w:rStyle w:val="Hypertextovprepojenie"/>
            <w:rFonts w:ascii="Arial Narrow" w:eastAsiaTheme="majorEastAsia" w:hAnsi="Arial Narrow"/>
            <w:noProof/>
            <w:sz w:val="20"/>
          </w:rPr>
          <w:t>18</w:t>
        </w:r>
        <w:r w:rsidR="002F2588" w:rsidRPr="002F2588">
          <w:rPr>
            <w:rStyle w:val="Hypertextovprepojenie"/>
            <w:rFonts w:ascii="Arial Narrow" w:eastAsiaTheme="minorHAnsi" w:hAnsi="Arial Narrow" w:cs="Arial Narrow"/>
            <w:bCs/>
            <w:noProof/>
            <w:sz w:val="20"/>
            <w:lang w:eastAsia="en-US"/>
          </w:rPr>
          <w:t>: Podiel štátnej podpory na bývanie podľa účelu</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_Toc509513331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32</w:t>
        </w:r>
        <w:r w:rsidR="002F2588" w:rsidRPr="002F2588">
          <w:rPr>
            <w:rFonts w:ascii="Arial Narrow" w:hAnsi="Arial Narrow"/>
            <w:noProof/>
            <w:webHidden/>
            <w:sz w:val="20"/>
          </w:rPr>
          <w:fldChar w:fldCharType="end"/>
        </w:r>
      </w:hyperlink>
    </w:p>
    <w:p w14:paraId="33FBCE4E"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32" w:history="1">
        <w:r w:rsidR="002F2588" w:rsidRPr="002F2588">
          <w:rPr>
            <w:rStyle w:val="Hypertextovprepojenie"/>
            <w:rFonts w:ascii="Arial Narrow" w:eastAsiaTheme="minorHAnsi" w:hAnsi="Arial Narrow" w:cs="Arial Narrow"/>
            <w:bCs/>
            <w:noProof/>
            <w:sz w:val="20"/>
            <w:lang w:eastAsia="en-US"/>
          </w:rPr>
          <w:t xml:space="preserve">Graf </w:t>
        </w:r>
        <w:r w:rsidR="002F2588" w:rsidRPr="002F2588">
          <w:rPr>
            <w:rStyle w:val="Hypertextovprepojenie"/>
            <w:rFonts w:ascii="Arial Narrow" w:eastAsiaTheme="majorEastAsia" w:hAnsi="Arial Narrow"/>
            <w:noProof/>
            <w:sz w:val="20"/>
          </w:rPr>
          <w:t>19</w:t>
        </w:r>
        <w:r w:rsidR="002F2588" w:rsidRPr="002F2588">
          <w:rPr>
            <w:rStyle w:val="Hypertextovprepojenie"/>
            <w:rFonts w:ascii="Arial Narrow" w:eastAsiaTheme="minorHAnsi" w:hAnsi="Arial Narrow" w:cs="Arial Narrow"/>
            <w:bCs/>
            <w:noProof/>
            <w:sz w:val="20"/>
            <w:lang w:eastAsia="en-US"/>
          </w:rPr>
          <w:t xml:space="preserve">: </w:t>
        </w:r>
        <w:r w:rsidR="002F2588" w:rsidRPr="002F2588">
          <w:rPr>
            <w:rStyle w:val="Hypertextovprepojenie"/>
            <w:rFonts w:ascii="Arial Narrow" w:eastAsiaTheme="majorEastAsia" w:hAnsi="Arial Narrow" w:cs="Arial"/>
            <w:noProof/>
            <w:sz w:val="20"/>
          </w:rPr>
          <w:t>Vstup alebo návrat na trh práce po narodení dieťaťa v mesiacoch (len trvalý pracovný pomer)</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_Toc509513332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34</w:t>
        </w:r>
        <w:r w:rsidR="002F2588" w:rsidRPr="002F2588">
          <w:rPr>
            <w:rFonts w:ascii="Arial Narrow" w:hAnsi="Arial Narrow"/>
            <w:noProof/>
            <w:webHidden/>
            <w:sz w:val="20"/>
          </w:rPr>
          <w:fldChar w:fldCharType="end"/>
        </w:r>
      </w:hyperlink>
    </w:p>
    <w:p w14:paraId="5E264786"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33" w:history="1">
        <w:r w:rsidR="002F2588" w:rsidRPr="002F2588">
          <w:rPr>
            <w:rStyle w:val="Hypertextovprepojenie"/>
            <w:rFonts w:ascii="Arial Narrow" w:eastAsiaTheme="minorHAnsi" w:hAnsi="Arial Narrow" w:cs="Arial Narrow"/>
            <w:bCs/>
            <w:noProof/>
            <w:sz w:val="20"/>
            <w:lang w:eastAsia="en-US"/>
          </w:rPr>
          <w:t xml:space="preserve">Graf </w:t>
        </w:r>
        <w:r w:rsidR="002F2588" w:rsidRPr="002F2588">
          <w:rPr>
            <w:rStyle w:val="Hypertextovprepojenie"/>
            <w:rFonts w:ascii="Arial Narrow" w:eastAsiaTheme="majorEastAsia" w:hAnsi="Arial Narrow"/>
            <w:noProof/>
            <w:sz w:val="20"/>
          </w:rPr>
          <w:t>20</w:t>
        </w:r>
        <w:r w:rsidR="002F2588" w:rsidRPr="002F2588">
          <w:rPr>
            <w:rStyle w:val="Hypertextovprepojenie"/>
            <w:rFonts w:ascii="Arial Narrow" w:eastAsiaTheme="minorHAnsi" w:hAnsi="Arial Narrow" w:cs="Arial Narrow"/>
            <w:bCs/>
            <w:noProof/>
            <w:sz w:val="20"/>
            <w:lang w:eastAsia="en-US"/>
          </w:rPr>
          <w:t xml:space="preserve">: </w:t>
        </w:r>
        <w:r w:rsidR="002F2588" w:rsidRPr="002F2588">
          <w:rPr>
            <w:rStyle w:val="Hypertextovprepojenie"/>
            <w:rFonts w:ascii="Arial Narrow" w:eastAsiaTheme="majorEastAsia" w:hAnsi="Arial Narrow" w:cs="Arial"/>
            <w:noProof/>
            <w:sz w:val="20"/>
          </w:rPr>
          <w:t>Vstup alebo návrat na trh práce po narodení dieťaťa v mesiacoch (trvalý pracovný pomer a práca na dohodu)</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_Toc509513333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34</w:t>
        </w:r>
        <w:r w:rsidR="002F2588" w:rsidRPr="002F2588">
          <w:rPr>
            <w:rFonts w:ascii="Arial Narrow" w:hAnsi="Arial Narrow"/>
            <w:noProof/>
            <w:webHidden/>
            <w:sz w:val="20"/>
          </w:rPr>
          <w:fldChar w:fldCharType="end"/>
        </w:r>
      </w:hyperlink>
    </w:p>
    <w:p w14:paraId="7D92BA90"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34" w:history="1">
        <w:r w:rsidR="002F2588" w:rsidRPr="002F2588">
          <w:rPr>
            <w:rStyle w:val="Hypertextovprepojenie"/>
            <w:rFonts w:ascii="Arial Narrow" w:eastAsiaTheme="majorEastAsia" w:hAnsi="Arial Narrow"/>
            <w:noProof/>
            <w:sz w:val="20"/>
          </w:rPr>
          <w:t xml:space="preserve">Graf 21: </w:t>
        </w:r>
        <w:r w:rsidR="002F2588" w:rsidRPr="002F2588">
          <w:rPr>
            <w:rStyle w:val="Hypertextovprepojenie"/>
            <w:rFonts w:ascii="Arial Narrow" w:eastAsiaTheme="majorEastAsia" w:hAnsi="Arial Narrow" w:cs="Arial"/>
            <w:noProof/>
            <w:sz w:val="20"/>
          </w:rPr>
          <w:t>Verejné výdavky na zdravotníctvo, 2016 (% HDP)</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_Toc509513334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37</w:t>
        </w:r>
        <w:r w:rsidR="002F2588" w:rsidRPr="002F2588">
          <w:rPr>
            <w:rFonts w:ascii="Arial Narrow" w:hAnsi="Arial Narrow"/>
            <w:noProof/>
            <w:webHidden/>
            <w:sz w:val="20"/>
          </w:rPr>
          <w:fldChar w:fldCharType="end"/>
        </w:r>
      </w:hyperlink>
    </w:p>
    <w:p w14:paraId="010C332F"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35" w:history="1">
        <w:r w:rsidR="002F2588" w:rsidRPr="002F2588">
          <w:rPr>
            <w:rStyle w:val="Hypertextovprepojenie"/>
            <w:rFonts w:ascii="Arial Narrow" w:eastAsiaTheme="majorEastAsia" w:hAnsi="Arial Narrow"/>
            <w:noProof/>
            <w:sz w:val="20"/>
          </w:rPr>
          <w:t>Graf 22: Liečiteľná úmrtnosť, 2015 (štandardizovaná na 100 tis. obyvateľov)</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_Toc509513335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37</w:t>
        </w:r>
        <w:r w:rsidR="002F2588" w:rsidRPr="002F2588">
          <w:rPr>
            <w:rFonts w:ascii="Arial Narrow" w:hAnsi="Arial Narrow"/>
            <w:noProof/>
            <w:webHidden/>
            <w:sz w:val="20"/>
          </w:rPr>
          <w:fldChar w:fldCharType="end"/>
        </w:r>
      </w:hyperlink>
    </w:p>
    <w:p w14:paraId="4C1431C5"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36" w:history="1">
        <w:r w:rsidR="002F2588" w:rsidRPr="002F2588">
          <w:rPr>
            <w:rStyle w:val="Hypertextovprepojenie"/>
            <w:rFonts w:ascii="Arial Narrow" w:eastAsiaTheme="majorEastAsia" w:hAnsi="Arial Narrow"/>
            <w:noProof/>
            <w:sz w:val="20"/>
          </w:rPr>
          <w:t>Graf 23:</w:t>
        </w:r>
        <w:r w:rsidR="002F2588" w:rsidRPr="002F2588">
          <w:rPr>
            <w:rStyle w:val="Hypertextovprepojenie"/>
            <w:rFonts w:ascii="Arial Narrow" w:eastAsiaTheme="majorEastAsia" w:hAnsi="Arial Narrow" w:cs="Arial"/>
            <w:noProof/>
            <w:sz w:val="20"/>
          </w:rPr>
          <w:t xml:space="preserve"> Efektívnosť zdravotníctva krajín OECD</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_Toc509513336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38</w:t>
        </w:r>
        <w:r w:rsidR="002F2588" w:rsidRPr="002F2588">
          <w:rPr>
            <w:rFonts w:ascii="Arial Narrow" w:hAnsi="Arial Narrow"/>
            <w:noProof/>
            <w:webHidden/>
            <w:sz w:val="20"/>
          </w:rPr>
          <w:fldChar w:fldCharType="end"/>
        </w:r>
      </w:hyperlink>
    </w:p>
    <w:p w14:paraId="3DC6260A"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37" w:history="1">
        <w:r w:rsidR="002F2588" w:rsidRPr="002F2588">
          <w:rPr>
            <w:rStyle w:val="Hypertextovprepojenie"/>
            <w:rFonts w:ascii="Arial Narrow" w:eastAsiaTheme="majorEastAsia" w:hAnsi="Arial Narrow"/>
            <w:noProof/>
            <w:sz w:val="20"/>
          </w:rPr>
          <w:t>Graf 24: Záväzky 13 fakultných a univerzitných nemocníc rezortu zdravotníctva (31.12.17, mil. eur)</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_Toc509513337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38</w:t>
        </w:r>
        <w:r w:rsidR="002F2588" w:rsidRPr="002F2588">
          <w:rPr>
            <w:rFonts w:ascii="Arial Narrow" w:hAnsi="Arial Narrow"/>
            <w:noProof/>
            <w:webHidden/>
            <w:sz w:val="20"/>
          </w:rPr>
          <w:fldChar w:fldCharType="end"/>
        </w:r>
      </w:hyperlink>
    </w:p>
    <w:p w14:paraId="75AE19E8"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38" w:history="1">
        <w:r w:rsidR="002F2588" w:rsidRPr="002F2588">
          <w:rPr>
            <w:rStyle w:val="Hypertextovprepojenie"/>
            <w:rFonts w:ascii="Arial Narrow" w:eastAsia="Calibri" w:hAnsi="Arial Narrow" w:cs="Arial Narrow"/>
            <w:bCs/>
            <w:noProof/>
            <w:sz w:val="20"/>
            <w:bdr w:val="nil"/>
            <w:lang w:eastAsia="en-US"/>
          </w:rPr>
          <w:t>Graf 25: Bodové hodnotenie v rebríčku Doing Business (metodika DB 2018)</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_Toc509513338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41</w:t>
        </w:r>
        <w:r w:rsidR="002F2588" w:rsidRPr="002F2588">
          <w:rPr>
            <w:rFonts w:ascii="Arial Narrow" w:hAnsi="Arial Narrow"/>
            <w:noProof/>
            <w:webHidden/>
            <w:sz w:val="20"/>
          </w:rPr>
          <w:fldChar w:fldCharType="end"/>
        </w:r>
      </w:hyperlink>
    </w:p>
    <w:p w14:paraId="3324D60A"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39" w:history="1">
        <w:r w:rsidR="002F2588" w:rsidRPr="002F2588">
          <w:rPr>
            <w:rStyle w:val="Hypertextovprepojenie"/>
            <w:rFonts w:ascii="Arial Narrow" w:eastAsia="Calibri" w:hAnsi="Arial Narrow" w:cs="Arial Narrow"/>
            <w:bCs/>
            <w:noProof/>
            <w:sz w:val="20"/>
            <w:bdr w:val="nil"/>
            <w:lang w:eastAsia="en-US"/>
          </w:rPr>
          <w:t>Graf 26: Porovnanie jednotlivých oblastí SK v rebríčku Doing Business (štand. odchýlka od priemeru OECD)</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_Toc509513339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41</w:t>
        </w:r>
        <w:r w:rsidR="002F2588" w:rsidRPr="002F2588">
          <w:rPr>
            <w:rFonts w:ascii="Arial Narrow" w:hAnsi="Arial Narrow"/>
            <w:noProof/>
            <w:webHidden/>
            <w:sz w:val="20"/>
          </w:rPr>
          <w:fldChar w:fldCharType="end"/>
        </w:r>
      </w:hyperlink>
    </w:p>
    <w:p w14:paraId="273401BF"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40" w:history="1">
        <w:r w:rsidR="002F2588" w:rsidRPr="002F2588">
          <w:rPr>
            <w:rStyle w:val="Hypertextovprepojenie"/>
            <w:rFonts w:ascii="Arial Narrow" w:eastAsiaTheme="majorEastAsia" w:hAnsi="Arial Narrow"/>
            <w:noProof/>
            <w:sz w:val="20"/>
          </w:rPr>
          <w:t>Graf 27: Dĺžka konania v dňoch, občianske a obchodné veci, 2014</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_Toc509513340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42</w:t>
        </w:r>
        <w:r w:rsidR="002F2588" w:rsidRPr="002F2588">
          <w:rPr>
            <w:rFonts w:ascii="Arial Narrow" w:hAnsi="Arial Narrow"/>
            <w:noProof/>
            <w:webHidden/>
            <w:sz w:val="20"/>
          </w:rPr>
          <w:fldChar w:fldCharType="end"/>
        </w:r>
      </w:hyperlink>
    </w:p>
    <w:p w14:paraId="1133B423"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41" w:history="1">
        <w:r w:rsidR="002F2588" w:rsidRPr="002F2588">
          <w:rPr>
            <w:rStyle w:val="Hypertextovprepojenie"/>
            <w:rFonts w:ascii="Arial Narrow" w:eastAsiaTheme="majorEastAsia" w:hAnsi="Arial Narrow"/>
            <w:noProof/>
            <w:sz w:val="20"/>
          </w:rPr>
          <w:t>Graf 28: Miera vybavenosti konaní V4, občianske a obchodné veci v %, 2010-2014</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_Toc509513341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42</w:t>
        </w:r>
        <w:r w:rsidR="002F2588" w:rsidRPr="002F2588">
          <w:rPr>
            <w:rFonts w:ascii="Arial Narrow" w:hAnsi="Arial Narrow"/>
            <w:noProof/>
            <w:webHidden/>
            <w:sz w:val="20"/>
          </w:rPr>
          <w:fldChar w:fldCharType="end"/>
        </w:r>
      </w:hyperlink>
    </w:p>
    <w:p w14:paraId="07925B97"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42" w:history="1">
        <w:r w:rsidR="002F2588" w:rsidRPr="002F2588">
          <w:rPr>
            <w:rStyle w:val="Hypertextovprepojenie"/>
            <w:rFonts w:ascii="Arial Narrow" w:hAnsi="Arial Narrow"/>
            <w:noProof/>
            <w:sz w:val="20"/>
          </w:rPr>
          <w:t>Graf 29:</w:t>
        </w:r>
        <w:r w:rsidR="002F2588" w:rsidRPr="002F2588">
          <w:rPr>
            <w:rStyle w:val="Hypertextovprepojenie"/>
            <w:rFonts w:ascii="Arial Narrow" w:eastAsiaTheme="majorEastAsia" w:hAnsi="Arial Narrow"/>
            <w:noProof/>
            <w:sz w:val="20"/>
          </w:rPr>
          <w:t xml:space="preserve"> </w:t>
        </w:r>
        <w:r w:rsidR="002F2588" w:rsidRPr="002F2588">
          <w:rPr>
            <w:rStyle w:val="Hypertextovprepojenie"/>
            <w:rFonts w:ascii="Arial Narrow" w:hAnsi="Arial Narrow"/>
            <w:noProof/>
            <w:sz w:val="20"/>
          </w:rPr>
          <w:t>Výdavky kapitoly MDV SR a ním zriadených organizácií na dopravu (v mld. eur)</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_Toc509513342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48</w:t>
        </w:r>
        <w:r w:rsidR="002F2588" w:rsidRPr="002F2588">
          <w:rPr>
            <w:rFonts w:ascii="Arial Narrow" w:hAnsi="Arial Narrow"/>
            <w:noProof/>
            <w:webHidden/>
            <w:sz w:val="20"/>
          </w:rPr>
          <w:fldChar w:fldCharType="end"/>
        </w:r>
      </w:hyperlink>
    </w:p>
    <w:p w14:paraId="14D05E2A"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43" w:history="1">
        <w:r w:rsidR="002F2588" w:rsidRPr="002F2588">
          <w:rPr>
            <w:rStyle w:val="Hypertextovprepojenie"/>
            <w:rFonts w:ascii="Arial Narrow" w:eastAsiaTheme="majorEastAsia" w:hAnsi="Arial Narrow" w:cs="Arial"/>
            <w:noProof/>
            <w:sz w:val="20"/>
          </w:rPr>
          <w:t>Graf 30: Kapitálové výdavky NDS a ŽSR + platba za dostupnosť v PPP projektoch (v mld. eur)</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_Toc509513343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48</w:t>
        </w:r>
        <w:r w:rsidR="002F2588" w:rsidRPr="002F2588">
          <w:rPr>
            <w:rFonts w:ascii="Arial Narrow" w:hAnsi="Arial Narrow"/>
            <w:noProof/>
            <w:webHidden/>
            <w:sz w:val="20"/>
          </w:rPr>
          <w:fldChar w:fldCharType="end"/>
        </w:r>
      </w:hyperlink>
    </w:p>
    <w:p w14:paraId="18B92E7A"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44" w:history="1">
        <w:r w:rsidR="002F2588" w:rsidRPr="002F2588">
          <w:rPr>
            <w:rStyle w:val="Hypertextovprepojenie"/>
            <w:rFonts w:ascii="Arial Narrow" w:eastAsiaTheme="majorEastAsia" w:hAnsi="Arial Narrow" w:cs="Arial"/>
            <w:noProof/>
            <w:sz w:val="20"/>
          </w:rPr>
          <w:t>Graf 31: Výstavba diaľnic a rýchlostných ciest na Slovensku (v km)</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_Toc509513344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49</w:t>
        </w:r>
        <w:r w:rsidR="002F2588" w:rsidRPr="002F2588">
          <w:rPr>
            <w:rFonts w:ascii="Arial Narrow" w:hAnsi="Arial Narrow"/>
            <w:noProof/>
            <w:webHidden/>
            <w:sz w:val="20"/>
          </w:rPr>
          <w:fldChar w:fldCharType="end"/>
        </w:r>
      </w:hyperlink>
    </w:p>
    <w:p w14:paraId="1338C129"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45" w:history="1">
        <w:r w:rsidR="002F2588" w:rsidRPr="002F2588">
          <w:rPr>
            <w:rStyle w:val="Hypertextovprepojenie"/>
            <w:rFonts w:ascii="Arial Narrow" w:hAnsi="Arial Narrow"/>
            <w:noProof/>
            <w:sz w:val="20"/>
          </w:rPr>
          <w:t>Graf 32: Výdavky SSC (mil. eur) a stav ciest I. triedy</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_Toc509513345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49</w:t>
        </w:r>
        <w:r w:rsidR="002F2588" w:rsidRPr="002F2588">
          <w:rPr>
            <w:rFonts w:ascii="Arial Narrow" w:hAnsi="Arial Narrow"/>
            <w:noProof/>
            <w:webHidden/>
            <w:sz w:val="20"/>
          </w:rPr>
          <w:fldChar w:fldCharType="end"/>
        </w:r>
      </w:hyperlink>
    </w:p>
    <w:p w14:paraId="0356F646"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46" w:history="1">
        <w:r w:rsidR="002F2588" w:rsidRPr="002F2588">
          <w:rPr>
            <w:rStyle w:val="Hypertextovprepojenie"/>
            <w:rFonts w:ascii="Arial Narrow" w:hAnsi="Arial Narrow"/>
            <w:noProof/>
            <w:sz w:val="20"/>
          </w:rPr>
          <w:t>Graf 33:</w:t>
        </w:r>
        <w:r w:rsidR="002F2588" w:rsidRPr="002F2588">
          <w:rPr>
            <w:rStyle w:val="Hypertextovprepojenie"/>
            <w:rFonts w:ascii="Arial Narrow" w:eastAsiaTheme="majorEastAsia" w:hAnsi="Arial Narrow"/>
            <w:noProof/>
            <w:sz w:val="20"/>
          </w:rPr>
          <w:t xml:space="preserve"> </w:t>
        </w:r>
        <w:r w:rsidR="002F2588" w:rsidRPr="002F2588">
          <w:rPr>
            <w:rStyle w:val="Hypertextovprepojenie"/>
            <w:rFonts w:ascii="Arial Narrow" w:hAnsi="Arial Narrow"/>
            <w:noProof/>
            <w:sz w:val="20"/>
          </w:rPr>
          <w:t>Miera recyklácie komunálneho odpadu</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_Toc509513346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51</w:t>
        </w:r>
        <w:r w:rsidR="002F2588" w:rsidRPr="002F2588">
          <w:rPr>
            <w:rFonts w:ascii="Arial Narrow" w:hAnsi="Arial Narrow"/>
            <w:noProof/>
            <w:webHidden/>
            <w:sz w:val="20"/>
          </w:rPr>
          <w:fldChar w:fldCharType="end"/>
        </w:r>
      </w:hyperlink>
    </w:p>
    <w:p w14:paraId="3A328DA2"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47" w:history="1">
        <w:r w:rsidR="002F2588" w:rsidRPr="002F2588">
          <w:rPr>
            <w:rStyle w:val="Hypertextovprepojenie"/>
            <w:rFonts w:ascii="Arial Narrow" w:eastAsiaTheme="majorEastAsia" w:hAnsi="Arial Narrow" w:cs="Arial"/>
            <w:noProof/>
            <w:sz w:val="20"/>
          </w:rPr>
          <w:t>Graf 34: Priemerné vystavenie obyvateľstva PM2,5 v µg/m3 (2015, odhadované hodnoty)</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_Toc509513347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51</w:t>
        </w:r>
        <w:r w:rsidR="002F2588" w:rsidRPr="002F2588">
          <w:rPr>
            <w:rFonts w:ascii="Arial Narrow" w:hAnsi="Arial Narrow"/>
            <w:noProof/>
            <w:webHidden/>
            <w:sz w:val="20"/>
          </w:rPr>
          <w:fldChar w:fldCharType="end"/>
        </w:r>
      </w:hyperlink>
    </w:p>
    <w:p w14:paraId="40704E27" w14:textId="77777777" w:rsidR="002F2588" w:rsidRPr="002F2588" w:rsidRDefault="00B35572">
      <w:pPr>
        <w:pStyle w:val="Zoznamobrzkov"/>
        <w:tabs>
          <w:tab w:val="right" w:leader="dot" w:pos="8554"/>
        </w:tabs>
        <w:rPr>
          <w:rFonts w:ascii="Arial Narrow" w:eastAsiaTheme="minorEastAsia" w:hAnsi="Arial Narrow" w:cstheme="minorBidi"/>
          <w:noProof/>
          <w:sz w:val="20"/>
          <w:lang w:val="en-US" w:eastAsia="en-US"/>
        </w:rPr>
      </w:pPr>
      <w:hyperlink w:anchor="_Toc509513348" w:history="1">
        <w:r w:rsidR="002F2588" w:rsidRPr="002F2588">
          <w:rPr>
            <w:rStyle w:val="Hypertextovprepojenie"/>
            <w:rFonts w:ascii="Arial Narrow" w:eastAsiaTheme="majorEastAsia" w:hAnsi="Arial Narrow"/>
            <w:noProof/>
            <w:sz w:val="20"/>
          </w:rPr>
          <w:t>Graf 35</w:t>
        </w:r>
        <w:r w:rsidR="002F2588" w:rsidRPr="002F2588">
          <w:rPr>
            <w:rStyle w:val="Hypertextovprepojenie"/>
            <w:rFonts w:ascii="Arial Narrow" w:eastAsiaTheme="majorEastAsia" w:hAnsi="Arial Narrow" w:cs="Arial"/>
            <w:noProof/>
            <w:sz w:val="20"/>
          </w:rPr>
          <w:t>: Čerpanie štrukturálnych fondov a Kohézneho fondu, druhé PO 2007 – 2013, (mil. eur)</w:t>
        </w:r>
        <w:r w:rsidR="002F2588" w:rsidRPr="002F2588">
          <w:rPr>
            <w:rFonts w:ascii="Arial Narrow" w:hAnsi="Arial Narrow"/>
            <w:noProof/>
            <w:webHidden/>
            <w:sz w:val="20"/>
          </w:rPr>
          <w:tab/>
        </w:r>
        <w:r w:rsidR="002F2588" w:rsidRPr="002F2588">
          <w:rPr>
            <w:rFonts w:ascii="Arial Narrow" w:hAnsi="Arial Narrow"/>
            <w:noProof/>
            <w:webHidden/>
            <w:sz w:val="20"/>
          </w:rPr>
          <w:fldChar w:fldCharType="begin"/>
        </w:r>
        <w:r w:rsidR="002F2588" w:rsidRPr="002F2588">
          <w:rPr>
            <w:rFonts w:ascii="Arial Narrow" w:hAnsi="Arial Narrow"/>
            <w:noProof/>
            <w:webHidden/>
            <w:sz w:val="20"/>
          </w:rPr>
          <w:instrText xml:space="preserve"> PAGEREF _Toc509513348 \h </w:instrText>
        </w:r>
        <w:r w:rsidR="002F2588" w:rsidRPr="002F2588">
          <w:rPr>
            <w:rFonts w:ascii="Arial Narrow" w:hAnsi="Arial Narrow"/>
            <w:noProof/>
            <w:webHidden/>
            <w:sz w:val="20"/>
          </w:rPr>
        </w:r>
        <w:r w:rsidR="002F2588" w:rsidRPr="002F2588">
          <w:rPr>
            <w:rFonts w:ascii="Arial Narrow" w:hAnsi="Arial Narrow"/>
            <w:noProof/>
            <w:webHidden/>
            <w:sz w:val="20"/>
          </w:rPr>
          <w:fldChar w:fldCharType="separate"/>
        </w:r>
        <w:r w:rsidR="00EE7207">
          <w:rPr>
            <w:rFonts w:ascii="Arial Narrow" w:hAnsi="Arial Narrow"/>
            <w:noProof/>
            <w:webHidden/>
            <w:sz w:val="20"/>
          </w:rPr>
          <w:t>53</w:t>
        </w:r>
        <w:r w:rsidR="002F2588" w:rsidRPr="002F2588">
          <w:rPr>
            <w:rFonts w:ascii="Arial Narrow" w:hAnsi="Arial Narrow"/>
            <w:noProof/>
            <w:webHidden/>
            <w:sz w:val="20"/>
          </w:rPr>
          <w:fldChar w:fldCharType="end"/>
        </w:r>
      </w:hyperlink>
    </w:p>
    <w:p w14:paraId="28CDF80C" w14:textId="77777777" w:rsidR="005D29C8" w:rsidRPr="00345703" w:rsidRDefault="005D29C8" w:rsidP="00FB625E">
      <w:pPr>
        <w:spacing w:after="0" w:line="240" w:lineRule="auto"/>
        <w:rPr>
          <w:rFonts w:ascii="Arial Narrow" w:eastAsiaTheme="majorEastAsia" w:hAnsi="Arial Narrow" w:cstheme="majorBidi"/>
          <w:b/>
          <w:bCs/>
          <w:sz w:val="32"/>
          <w:szCs w:val="32"/>
        </w:rPr>
      </w:pPr>
      <w:r w:rsidRPr="002F2588">
        <w:rPr>
          <w:rFonts w:ascii="Arial Narrow" w:hAnsi="Arial Narrow"/>
          <w:sz w:val="20"/>
        </w:rPr>
        <w:fldChar w:fldCharType="end"/>
      </w:r>
      <w:r w:rsidRPr="00345703">
        <w:rPr>
          <w:rFonts w:ascii="Arial Narrow" w:hAnsi="Arial Narrow"/>
          <w:sz w:val="32"/>
          <w:szCs w:val="32"/>
        </w:rPr>
        <w:br w:type="page"/>
      </w:r>
    </w:p>
    <w:p w14:paraId="00B1B0A4" w14:textId="77777777" w:rsidR="00541CFC" w:rsidRPr="00256D89" w:rsidRDefault="001E0231" w:rsidP="00FB625E">
      <w:pPr>
        <w:pStyle w:val="Nadpis1"/>
        <w:spacing w:line="240" w:lineRule="auto"/>
        <w:ind w:left="720" w:hanging="720"/>
        <w:rPr>
          <w:rFonts w:ascii="Arial Narrow" w:hAnsi="Arial Narrow"/>
          <w:color w:val="auto"/>
          <w:sz w:val="32"/>
          <w:szCs w:val="32"/>
        </w:rPr>
      </w:pPr>
      <w:bookmarkStart w:id="2" w:name="_Toc508039571"/>
      <w:r w:rsidRPr="00256D89">
        <w:rPr>
          <w:rFonts w:ascii="Arial Narrow" w:hAnsi="Arial Narrow"/>
          <w:color w:val="auto"/>
          <w:sz w:val="32"/>
          <w:szCs w:val="32"/>
        </w:rPr>
        <w:lastRenderedPageBreak/>
        <w:t>Zhrnutie</w:t>
      </w:r>
      <w:bookmarkEnd w:id="2"/>
    </w:p>
    <w:p w14:paraId="3BD2339C" w14:textId="77777777" w:rsidR="001B1A52" w:rsidRPr="00256D89" w:rsidRDefault="001B1A52" w:rsidP="00FB625E">
      <w:pPr>
        <w:spacing w:after="0" w:line="240" w:lineRule="auto"/>
        <w:jc w:val="both"/>
        <w:rPr>
          <w:rFonts w:ascii="Arial Narrow" w:hAnsi="Arial Narrow"/>
          <w:highlight w:val="yellow"/>
        </w:rPr>
      </w:pPr>
    </w:p>
    <w:p w14:paraId="0A12ABB6" w14:textId="77777777" w:rsidR="007D2366" w:rsidRPr="007D2366" w:rsidRDefault="007D2366" w:rsidP="007D2366">
      <w:pPr>
        <w:spacing w:after="0" w:line="240" w:lineRule="auto"/>
        <w:jc w:val="both"/>
        <w:rPr>
          <w:rFonts w:ascii="Arial Narrow" w:hAnsi="Arial Narrow"/>
        </w:rPr>
      </w:pPr>
      <w:r w:rsidRPr="007D2366">
        <w:rPr>
          <w:rFonts w:ascii="Arial Narrow" w:hAnsi="Arial Narrow"/>
        </w:rPr>
        <w:t>Národný program re</w:t>
      </w:r>
      <w:r w:rsidR="00644958">
        <w:rPr>
          <w:rFonts w:ascii="Arial Narrow" w:hAnsi="Arial Narrow"/>
        </w:rPr>
        <w:t>foriem Slovenskej republiky 2018</w:t>
      </w:r>
      <w:r w:rsidRPr="007D2366">
        <w:rPr>
          <w:rFonts w:ascii="Arial Narrow" w:hAnsi="Arial Narrow"/>
        </w:rPr>
        <w:t xml:space="preserve"> (NPR) popisuje štrukturálne opatrenia, ktoré vláda SR plánuje realizovať najmä v najbližších dvoch rokoch. Nový komplexný prístup stanovovania priorít, ktorý okrem HDP berie do úvahy aj ďalšie aspekty kvality života, </w:t>
      </w:r>
      <w:r w:rsidR="0001026E">
        <w:rPr>
          <w:rFonts w:ascii="Arial Narrow" w:hAnsi="Arial Narrow"/>
        </w:rPr>
        <w:t xml:space="preserve">opätovne </w:t>
      </w:r>
      <w:r w:rsidRPr="007D2366">
        <w:rPr>
          <w:rFonts w:ascii="Arial Narrow" w:hAnsi="Arial Narrow"/>
        </w:rPr>
        <w:t xml:space="preserve">identifikoval ako </w:t>
      </w:r>
      <w:r w:rsidR="0001026E">
        <w:rPr>
          <w:rFonts w:ascii="Arial Narrow" w:hAnsi="Arial Narrow"/>
        </w:rPr>
        <w:t>pretrvávajúce</w:t>
      </w:r>
      <w:r w:rsidR="0001026E" w:rsidRPr="007D2366">
        <w:rPr>
          <w:rFonts w:ascii="Arial Narrow" w:hAnsi="Arial Narrow"/>
        </w:rPr>
        <w:t xml:space="preserve"> </w:t>
      </w:r>
      <w:r w:rsidRPr="007D2366">
        <w:rPr>
          <w:rFonts w:ascii="Arial Narrow" w:hAnsi="Arial Narrow"/>
        </w:rPr>
        <w:t xml:space="preserve">najväčšie výzvy slovenského hospodárstva trh práce, zdravotníctvo a základné školstvo. </w:t>
      </w:r>
    </w:p>
    <w:p w14:paraId="0952215D" w14:textId="77777777" w:rsidR="007D2366" w:rsidRPr="007D2366" w:rsidRDefault="007D2366" w:rsidP="007D2366">
      <w:pPr>
        <w:spacing w:after="0" w:line="240" w:lineRule="auto"/>
        <w:jc w:val="both"/>
        <w:rPr>
          <w:rFonts w:ascii="Arial Narrow" w:hAnsi="Arial Narrow"/>
        </w:rPr>
      </w:pPr>
    </w:p>
    <w:p w14:paraId="2ED6A1C3" w14:textId="3DB8D5BC" w:rsidR="008229F0" w:rsidRDefault="007D2366" w:rsidP="008229F0">
      <w:pPr>
        <w:pStyle w:val="Odsekzoznamu"/>
        <w:tabs>
          <w:tab w:val="left" w:pos="426"/>
        </w:tabs>
        <w:spacing w:after="0" w:line="240" w:lineRule="auto"/>
        <w:ind w:left="0"/>
        <w:contextualSpacing w:val="0"/>
        <w:jc w:val="both"/>
        <w:rPr>
          <w:rFonts w:ascii="Arial Narrow" w:hAnsi="Arial Narrow"/>
        </w:rPr>
      </w:pPr>
      <w:r w:rsidRPr="008229F0">
        <w:rPr>
          <w:rFonts w:ascii="Arial Narrow" w:hAnsi="Arial Narrow"/>
        </w:rPr>
        <w:t>V</w:t>
      </w:r>
      <w:r w:rsidR="00644958" w:rsidRPr="008229F0">
        <w:rPr>
          <w:rFonts w:ascii="Arial Narrow" w:hAnsi="Arial Narrow"/>
        </w:rPr>
        <w:t xml:space="preserve"> roku 2017 sa vytvorilo 51 tisíc nových pracovných miest </w:t>
      </w:r>
      <w:r w:rsidRPr="008229F0">
        <w:rPr>
          <w:rFonts w:ascii="Arial Narrow" w:hAnsi="Arial Narrow"/>
        </w:rPr>
        <w:t xml:space="preserve">a </w:t>
      </w:r>
      <w:r w:rsidRPr="00882023">
        <w:rPr>
          <w:rFonts w:ascii="Arial Narrow" w:hAnsi="Arial Narrow"/>
          <w:b/>
        </w:rPr>
        <w:t xml:space="preserve">miera nezamestnanosti poklesla na najnižšiu úroveň od </w:t>
      </w:r>
      <w:r w:rsidR="00644958" w:rsidRPr="00882023">
        <w:rPr>
          <w:rFonts w:ascii="Arial Narrow" w:hAnsi="Arial Narrow"/>
          <w:b/>
        </w:rPr>
        <w:t>vzniku SR</w:t>
      </w:r>
      <w:r w:rsidR="00644958" w:rsidRPr="008229F0">
        <w:rPr>
          <w:rFonts w:ascii="Arial Narrow" w:hAnsi="Arial Narrow"/>
        </w:rPr>
        <w:t xml:space="preserve"> (7,</w:t>
      </w:r>
      <w:r w:rsidR="00151F5D">
        <w:rPr>
          <w:rFonts w:ascii="Arial Narrow" w:hAnsi="Arial Narrow"/>
        </w:rPr>
        <w:t>7</w:t>
      </w:r>
      <w:r w:rsidR="00644958" w:rsidRPr="008229F0">
        <w:rPr>
          <w:rFonts w:ascii="Arial Narrow" w:hAnsi="Arial Narrow"/>
        </w:rPr>
        <w:t xml:space="preserve"> % vo štvrtom kvartáli 2017</w:t>
      </w:r>
      <w:r w:rsidRPr="008229F0">
        <w:rPr>
          <w:rFonts w:ascii="Arial Narrow" w:hAnsi="Arial Narrow"/>
        </w:rPr>
        <w:t xml:space="preserve">). Jej ďalší pokles by mali priniesť opatrenia zamerané </w:t>
      </w:r>
      <w:r w:rsidRPr="00D3223C">
        <w:rPr>
          <w:rFonts w:ascii="Arial Narrow" w:hAnsi="Arial Narrow"/>
        </w:rPr>
        <w:t xml:space="preserve">najmä na </w:t>
      </w:r>
      <w:r w:rsidRPr="00492611">
        <w:rPr>
          <w:rFonts w:ascii="Arial Narrow" w:hAnsi="Arial Narrow"/>
        </w:rPr>
        <w:t>znižov</w:t>
      </w:r>
      <w:r w:rsidR="008229F0" w:rsidRPr="00492611">
        <w:rPr>
          <w:rFonts w:ascii="Arial Narrow" w:hAnsi="Arial Narrow"/>
        </w:rPr>
        <w:t>anie dlhodobej nezamestnanosti</w:t>
      </w:r>
      <w:r w:rsidR="008229F0" w:rsidRPr="0011050C">
        <w:rPr>
          <w:rFonts w:ascii="Arial Narrow" w:hAnsi="Arial Narrow"/>
        </w:rPr>
        <w:t>, ktorých</w:t>
      </w:r>
      <w:r w:rsidR="008229F0" w:rsidRPr="008229F0">
        <w:rPr>
          <w:rFonts w:ascii="Arial Narrow" w:hAnsi="Arial Narrow"/>
        </w:rPr>
        <w:t xml:space="preserve"> implementácia bude pokračovať aj v roku 2018. Podporí sa rekvalifikácia a</w:t>
      </w:r>
      <w:r w:rsidR="00AC3718">
        <w:rPr>
          <w:rFonts w:ascii="Arial Narrow" w:hAnsi="Arial Narrow"/>
        </w:rPr>
        <w:t> vzdelávanie zamestnancov a</w:t>
      </w:r>
      <w:r w:rsidR="003C1E93">
        <w:rPr>
          <w:rFonts w:ascii="Arial Narrow" w:hAnsi="Arial Narrow"/>
        </w:rPr>
        <w:t> uchádzačov o zamestnanie (</w:t>
      </w:r>
      <w:proofErr w:type="spellStart"/>
      <w:r w:rsidR="008229F0">
        <w:rPr>
          <w:rFonts w:ascii="Arial Narrow" w:hAnsi="Arial Narrow"/>
        </w:rPr>
        <w:t>UoZ</w:t>
      </w:r>
      <w:proofErr w:type="spellEnd"/>
      <w:r w:rsidR="003C1E93">
        <w:rPr>
          <w:rFonts w:ascii="Arial Narrow" w:hAnsi="Arial Narrow"/>
        </w:rPr>
        <w:t xml:space="preserve">) </w:t>
      </w:r>
      <w:r w:rsidR="008229F0" w:rsidRPr="008229F0">
        <w:rPr>
          <w:rFonts w:ascii="Arial Narrow" w:hAnsi="Arial Narrow"/>
        </w:rPr>
        <w:t xml:space="preserve">na základe potrieb zamestnávateľov vo vybraných sektoroch. Podporí sa </w:t>
      </w:r>
      <w:r w:rsidR="008229F0" w:rsidRPr="00882023">
        <w:rPr>
          <w:rFonts w:ascii="Arial Narrow" w:hAnsi="Arial Narrow"/>
          <w:b/>
        </w:rPr>
        <w:t>budovanie kapacít zariadení starostlivosti o deti do troch rokov</w:t>
      </w:r>
      <w:r w:rsidR="00740C43">
        <w:rPr>
          <w:rFonts w:ascii="Arial Narrow" w:hAnsi="Arial Narrow"/>
          <w:b/>
        </w:rPr>
        <w:t xml:space="preserve">, </w:t>
      </w:r>
      <w:r w:rsidR="00740C43">
        <w:rPr>
          <w:rFonts w:ascii="Arial Narrow" w:hAnsi="Arial Narrow"/>
          <w:bCs/>
        </w:rPr>
        <w:t>ktoré uľahčí matkám návrat na trh práce</w:t>
      </w:r>
      <w:r w:rsidR="008229F0" w:rsidRPr="008229F0">
        <w:rPr>
          <w:rFonts w:ascii="Arial Narrow" w:hAnsi="Arial Narrow"/>
        </w:rPr>
        <w:t xml:space="preserve">. V priebehu roka 2018 sa vyhlásia nové projektové výzvy na podporu integrácie </w:t>
      </w:r>
      <w:r w:rsidR="00D3223C" w:rsidRPr="00D3223C">
        <w:rPr>
          <w:rFonts w:ascii="Arial Narrow" w:hAnsi="Arial Narrow"/>
        </w:rPr>
        <w:t xml:space="preserve">ľudí z marginalizovaných rómskych komunít </w:t>
      </w:r>
      <w:r w:rsidR="00D3223C">
        <w:rPr>
          <w:rFonts w:ascii="Arial Narrow" w:hAnsi="Arial Narrow"/>
        </w:rPr>
        <w:t>(</w:t>
      </w:r>
      <w:r w:rsidR="008229F0" w:rsidRPr="008229F0">
        <w:rPr>
          <w:rFonts w:ascii="Arial Narrow" w:hAnsi="Arial Narrow"/>
        </w:rPr>
        <w:t>MRK</w:t>
      </w:r>
      <w:r w:rsidR="00D3223C">
        <w:rPr>
          <w:rFonts w:ascii="Arial Narrow" w:hAnsi="Arial Narrow"/>
        </w:rPr>
        <w:t>)</w:t>
      </w:r>
      <w:r w:rsidR="008229F0" w:rsidRPr="008229F0">
        <w:rPr>
          <w:rFonts w:ascii="Arial Narrow" w:hAnsi="Arial Narrow"/>
        </w:rPr>
        <w:t>.</w:t>
      </w:r>
    </w:p>
    <w:p w14:paraId="7B08796C" w14:textId="77777777" w:rsidR="00A94D26" w:rsidRDefault="00A94D26" w:rsidP="008229F0">
      <w:pPr>
        <w:pStyle w:val="Odsekzoznamu"/>
        <w:tabs>
          <w:tab w:val="left" w:pos="426"/>
        </w:tabs>
        <w:spacing w:after="0" w:line="240" w:lineRule="auto"/>
        <w:ind w:left="0"/>
        <w:contextualSpacing w:val="0"/>
        <w:jc w:val="both"/>
        <w:rPr>
          <w:rFonts w:ascii="Arial Narrow" w:hAnsi="Arial Narrow"/>
        </w:rPr>
      </w:pPr>
    </w:p>
    <w:p w14:paraId="0F271E4C" w14:textId="25F38881" w:rsidR="00A94D26" w:rsidRPr="007D2366" w:rsidRDefault="00A94D26" w:rsidP="00A94D26">
      <w:pPr>
        <w:spacing w:after="0" w:line="240" w:lineRule="auto"/>
        <w:jc w:val="both"/>
        <w:rPr>
          <w:rFonts w:ascii="Arial Narrow" w:hAnsi="Arial Narrow"/>
        </w:rPr>
      </w:pPr>
      <w:r w:rsidRPr="00D3223C">
        <w:rPr>
          <w:rFonts w:ascii="Arial Narrow" w:hAnsi="Arial Narrow"/>
        </w:rPr>
        <w:t>Rezort školstva bude</w:t>
      </w:r>
      <w:r w:rsidRPr="00712636">
        <w:rPr>
          <w:rFonts w:ascii="Arial Narrow" w:hAnsi="Arial Narrow"/>
        </w:rPr>
        <w:t xml:space="preserve"> realizovať</w:t>
      </w:r>
      <w:r w:rsidR="00BD1EEE">
        <w:rPr>
          <w:rFonts w:ascii="Arial Narrow" w:hAnsi="Arial Narrow"/>
        </w:rPr>
        <w:t xml:space="preserve"> opatrenia z revízie výdavkov na vzdelávanie</w:t>
      </w:r>
      <w:r w:rsidRPr="00712636">
        <w:rPr>
          <w:rFonts w:ascii="Arial Narrow" w:hAnsi="Arial Narrow"/>
        </w:rPr>
        <w:t xml:space="preserve">, ktorá sa uskutočnila v roku 2017. Pokračuje </w:t>
      </w:r>
      <w:r w:rsidRPr="00882023">
        <w:rPr>
          <w:rFonts w:ascii="Arial Narrow" w:hAnsi="Arial Narrow"/>
          <w:b/>
        </w:rPr>
        <w:t>zvyšovanie atraktivity učiteľského povolania</w:t>
      </w:r>
      <w:r w:rsidRPr="00712636">
        <w:rPr>
          <w:rFonts w:ascii="Arial Narrow" w:hAnsi="Arial Narrow"/>
        </w:rPr>
        <w:t xml:space="preserve"> najmä zvyšovaním platov u</w:t>
      </w:r>
      <w:r w:rsidR="00BD1EEE">
        <w:rPr>
          <w:rFonts w:ascii="Arial Narrow" w:hAnsi="Arial Narrow"/>
        </w:rPr>
        <w:t>čiteľov v súlade s P</w:t>
      </w:r>
      <w:r w:rsidRPr="00712636">
        <w:rPr>
          <w:rFonts w:ascii="Arial Narrow" w:hAnsi="Arial Narrow"/>
        </w:rPr>
        <w:t>rogramovým vyhlásením vlády SR</w:t>
      </w:r>
      <w:r w:rsidR="00091329">
        <w:rPr>
          <w:rFonts w:ascii="Arial Narrow" w:hAnsi="Arial Narrow"/>
        </w:rPr>
        <w:t>.</w:t>
      </w:r>
      <w:r w:rsidR="00091329" w:rsidRPr="00091329">
        <w:rPr>
          <w:rFonts w:ascii="Arial Narrow" w:hAnsi="Arial Narrow"/>
          <w:i/>
        </w:rPr>
        <w:t xml:space="preserve"> </w:t>
      </w:r>
      <w:r w:rsidR="00091329" w:rsidRPr="0089252D">
        <w:rPr>
          <w:rFonts w:ascii="Arial Narrow" w:hAnsi="Arial Narrow"/>
        </w:rPr>
        <w:t>Zlepší sa väzba medzi odmeňovaním učiteľov a kvalitou.</w:t>
      </w:r>
      <w:r w:rsidRPr="00712636">
        <w:rPr>
          <w:rFonts w:ascii="Arial Narrow" w:hAnsi="Arial Narrow"/>
        </w:rPr>
        <w:t xml:space="preserve"> Novela zákona bude motivovať viac škôl i zamestnávateľov zapojiť sa do </w:t>
      </w:r>
      <w:r w:rsidRPr="00882023">
        <w:rPr>
          <w:rFonts w:ascii="Arial Narrow" w:hAnsi="Arial Narrow"/>
          <w:b/>
        </w:rPr>
        <w:t>duálneho vzdelávania</w:t>
      </w:r>
      <w:r w:rsidRPr="00712636">
        <w:rPr>
          <w:rFonts w:ascii="Arial Narrow" w:hAnsi="Arial Narrow"/>
        </w:rPr>
        <w:t xml:space="preserve">. V oblasti vysokého školstva sa </w:t>
      </w:r>
      <w:r w:rsidRPr="00882023">
        <w:rPr>
          <w:rFonts w:ascii="Arial Narrow" w:hAnsi="Arial Narrow"/>
          <w:b/>
        </w:rPr>
        <w:t>reformuje akreditačná komisia</w:t>
      </w:r>
      <w:r w:rsidRPr="00712636">
        <w:rPr>
          <w:rFonts w:ascii="Arial Narrow" w:hAnsi="Arial Narrow"/>
        </w:rPr>
        <w:t xml:space="preserve"> a proces akreditácie, upraví sa vnútorné riadenie verejných vysokých škôl, profesijne orientované vysokoškolské študijné programy zabezpečia lepšiu prepojenosť s trhom práce.</w:t>
      </w:r>
      <w:r w:rsidR="0001026E">
        <w:rPr>
          <w:rFonts w:ascii="Arial Narrow" w:hAnsi="Arial Narrow"/>
        </w:rPr>
        <w:t xml:space="preserve"> </w:t>
      </w:r>
      <w:r w:rsidRPr="002B1B41">
        <w:rPr>
          <w:rFonts w:ascii="Arial Narrow" w:hAnsi="Arial Narrow"/>
        </w:rPr>
        <w:t xml:space="preserve">V rokoch </w:t>
      </w:r>
      <w:r>
        <w:rPr>
          <w:rFonts w:ascii="Arial Narrow" w:hAnsi="Arial Narrow"/>
        </w:rPr>
        <w:t xml:space="preserve">2018 a 2019 </w:t>
      </w:r>
      <w:r w:rsidR="006D796A">
        <w:rPr>
          <w:rFonts w:ascii="Arial Narrow" w:hAnsi="Arial Narrow"/>
        </w:rPr>
        <w:t xml:space="preserve">sa podporí </w:t>
      </w:r>
      <w:r w:rsidRPr="002B1B41">
        <w:rPr>
          <w:rFonts w:ascii="Arial Narrow" w:hAnsi="Arial Narrow"/>
        </w:rPr>
        <w:t>rekonštrukci</w:t>
      </w:r>
      <w:r w:rsidR="00EC7641">
        <w:rPr>
          <w:rFonts w:ascii="Arial Narrow" w:hAnsi="Arial Narrow"/>
        </w:rPr>
        <w:t>a</w:t>
      </w:r>
      <w:r w:rsidRPr="002B1B41">
        <w:rPr>
          <w:rFonts w:ascii="Arial Narrow" w:hAnsi="Arial Narrow"/>
        </w:rPr>
        <w:t xml:space="preserve"> vysokoškolských internátov.</w:t>
      </w:r>
    </w:p>
    <w:p w14:paraId="6AC1F909" w14:textId="77777777" w:rsidR="00A94D26" w:rsidRPr="008229F0" w:rsidRDefault="00A94D26" w:rsidP="008229F0">
      <w:pPr>
        <w:pStyle w:val="Odsekzoznamu"/>
        <w:tabs>
          <w:tab w:val="left" w:pos="426"/>
        </w:tabs>
        <w:spacing w:after="0" w:line="240" w:lineRule="auto"/>
        <w:ind w:left="0"/>
        <w:contextualSpacing w:val="0"/>
        <w:jc w:val="both"/>
        <w:rPr>
          <w:rFonts w:ascii="Arial Narrow" w:hAnsi="Arial Narrow"/>
        </w:rPr>
      </w:pPr>
    </w:p>
    <w:p w14:paraId="2E7BCDA6" w14:textId="56710B90" w:rsidR="00A94D26" w:rsidRDefault="00A94D26" w:rsidP="00A94D26">
      <w:pPr>
        <w:spacing w:after="0" w:line="240" w:lineRule="auto"/>
        <w:jc w:val="both"/>
        <w:rPr>
          <w:rFonts w:ascii="Arial Narrow" w:hAnsi="Arial Narrow"/>
        </w:rPr>
      </w:pPr>
      <w:r w:rsidRPr="00384144">
        <w:rPr>
          <w:rFonts w:ascii="Arial Narrow" w:hAnsi="Arial Narrow"/>
        </w:rPr>
        <w:t xml:space="preserve">Revízia </w:t>
      </w:r>
      <w:r w:rsidR="00AB73CE">
        <w:rPr>
          <w:rFonts w:ascii="Arial Narrow" w:hAnsi="Arial Narrow"/>
        </w:rPr>
        <w:t>výdavkov na zdravotníctvo</w:t>
      </w:r>
      <w:r w:rsidRPr="00D3223C">
        <w:rPr>
          <w:rFonts w:ascii="Arial Narrow" w:hAnsi="Arial Narrow"/>
        </w:rPr>
        <w:t xml:space="preserve"> </w:t>
      </w:r>
      <w:r w:rsidRPr="00492611">
        <w:rPr>
          <w:rFonts w:ascii="Arial Narrow" w:hAnsi="Arial Narrow"/>
        </w:rPr>
        <w:t xml:space="preserve">z roku 2016 identifikovala viacero dôležitých systémových problémov a aj ich riešenia. </w:t>
      </w:r>
      <w:r w:rsidRPr="00D3223C">
        <w:rPr>
          <w:rFonts w:ascii="Arial Narrow" w:hAnsi="Arial Narrow"/>
        </w:rPr>
        <w:t>Postupná implementácia záverov revízie priebežne</w:t>
      </w:r>
      <w:r w:rsidRPr="00384144">
        <w:rPr>
          <w:rFonts w:ascii="Arial Narrow" w:hAnsi="Arial Narrow"/>
        </w:rPr>
        <w:t xml:space="preserve"> z</w:t>
      </w:r>
      <w:r>
        <w:rPr>
          <w:rFonts w:ascii="Arial Narrow" w:hAnsi="Arial Narrow"/>
        </w:rPr>
        <w:t>lepšuje</w:t>
      </w:r>
      <w:r w:rsidRPr="00384144">
        <w:rPr>
          <w:rFonts w:ascii="Arial Narrow" w:hAnsi="Arial Narrow"/>
        </w:rPr>
        <w:t xml:space="preserve"> nákladovú efektívnosť </w:t>
      </w:r>
      <w:r w:rsidR="00373D11">
        <w:rPr>
          <w:rFonts w:ascii="Arial Narrow" w:hAnsi="Arial Narrow"/>
        </w:rPr>
        <w:t>vybraných častí</w:t>
      </w:r>
      <w:r w:rsidR="00373D11" w:rsidRPr="00384144">
        <w:rPr>
          <w:rFonts w:ascii="Arial Narrow" w:hAnsi="Arial Narrow"/>
        </w:rPr>
        <w:t xml:space="preserve"> </w:t>
      </w:r>
      <w:r w:rsidRPr="00384144">
        <w:rPr>
          <w:rFonts w:ascii="Arial Narrow" w:hAnsi="Arial Narrow"/>
        </w:rPr>
        <w:t xml:space="preserve">systému. Od roku 2018 začala plná prevádzka niektorých funkcií systému </w:t>
      </w:r>
      <w:proofErr w:type="spellStart"/>
      <w:r w:rsidRPr="00882023">
        <w:rPr>
          <w:rFonts w:ascii="Arial Narrow" w:hAnsi="Arial Narrow"/>
          <w:b/>
          <w:i/>
        </w:rPr>
        <w:t>eHealth</w:t>
      </w:r>
      <w:proofErr w:type="spellEnd"/>
      <w:r w:rsidRPr="00384144">
        <w:rPr>
          <w:rFonts w:ascii="Arial Narrow" w:hAnsi="Arial Narrow"/>
        </w:rPr>
        <w:t xml:space="preserve">. V priebehu tohto roka by </w:t>
      </w:r>
      <w:r w:rsidR="0001026E" w:rsidRPr="00384144">
        <w:rPr>
          <w:rFonts w:ascii="Arial Narrow" w:hAnsi="Arial Narrow"/>
        </w:rPr>
        <w:t xml:space="preserve">mali byť postupne integrovaní do tohto systému </w:t>
      </w:r>
      <w:r w:rsidRPr="00384144">
        <w:rPr>
          <w:rFonts w:ascii="Arial Narrow" w:hAnsi="Arial Narrow"/>
        </w:rPr>
        <w:t xml:space="preserve">aj poskytovatelia záchrannej zdravotnej služby. Postupne sa zavádza </w:t>
      </w:r>
      <w:r w:rsidRPr="00882023">
        <w:rPr>
          <w:rFonts w:ascii="Arial Narrow" w:hAnsi="Arial Narrow"/>
          <w:b/>
        </w:rPr>
        <w:t>systém úhrad za diagnostickú skupinu (DRG).</w:t>
      </w:r>
      <w:r w:rsidRPr="00384144">
        <w:rPr>
          <w:rFonts w:ascii="Arial Narrow" w:hAnsi="Arial Narrow"/>
        </w:rPr>
        <w:t xml:space="preserve"> </w:t>
      </w:r>
      <w:r w:rsidR="008F0A54">
        <w:rPr>
          <w:rFonts w:ascii="Arial Narrow" w:hAnsi="Arial Narrow"/>
        </w:rPr>
        <w:t xml:space="preserve">V roku 2017 prešlo zhruba 93 % nemocníc na aspoň čiastočnú úhradu pomocou DRG. </w:t>
      </w:r>
      <w:r w:rsidRPr="00384144">
        <w:rPr>
          <w:rFonts w:ascii="Arial Narrow" w:hAnsi="Arial Narrow"/>
        </w:rPr>
        <w:t xml:space="preserve">Na začiatku roka 2018 sa spustil päťročný proces konvergencie individuálnych sadzieb jednotlivých nemocníc do jednej celoslovenskej sadzby. </w:t>
      </w:r>
      <w:r w:rsidR="00ED74DA" w:rsidRPr="00E336C7">
        <w:rPr>
          <w:rFonts w:ascii="Arial Narrow" w:hAnsi="Arial Narrow"/>
        </w:rPr>
        <w:t xml:space="preserve">V oblasti liekovej politiky </w:t>
      </w:r>
      <w:r w:rsidR="00EC7641">
        <w:rPr>
          <w:rFonts w:ascii="Arial Narrow" w:hAnsi="Arial Narrow"/>
        </w:rPr>
        <w:t xml:space="preserve">sa realizujú opatrenia vedúce k </w:t>
      </w:r>
      <w:r w:rsidR="0083766A">
        <w:rPr>
          <w:rFonts w:ascii="Arial Narrow" w:hAnsi="Arial Narrow"/>
        </w:rPr>
        <w:t xml:space="preserve">zníženiu cien a k zníženiu </w:t>
      </w:r>
      <w:r w:rsidR="00ED74DA" w:rsidRPr="00E336C7">
        <w:rPr>
          <w:rFonts w:ascii="Arial Narrow" w:hAnsi="Arial Narrow"/>
        </w:rPr>
        <w:t>ich nadspotreby.</w:t>
      </w:r>
      <w:r w:rsidR="007108B3" w:rsidRPr="00E336C7">
        <w:rPr>
          <w:rFonts w:ascii="Arial Narrow" w:hAnsi="Arial Narrow"/>
        </w:rPr>
        <w:t xml:space="preserve"> </w:t>
      </w:r>
      <w:r w:rsidRPr="00882023">
        <w:rPr>
          <w:rFonts w:ascii="Arial Narrow" w:hAnsi="Arial Narrow"/>
          <w:b/>
        </w:rPr>
        <w:t>Centrálne obstarávanie</w:t>
      </w:r>
      <w:r w:rsidRPr="00384144">
        <w:rPr>
          <w:rFonts w:ascii="Arial Narrow" w:hAnsi="Arial Narrow"/>
        </w:rPr>
        <w:t xml:space="preserve"> by sa malo rozšíriť aj na oblasť nákladovo neefektívnych liekov. </w:t>
      </w:r>
      <w:r w:rsidR="00ED74DA" w:rsidRPr="00ED74DA">
        <w:rPr>
          <w:rFonts w:ascii="Arial Narrow" w:hAnsi="Arial Narrow"/>
        </w:rPr>
        <w:t xml:space="preserve">V roku 2018 sa bude venovať pozornosť pretrvávajúcemu problému reexportu liekov, ktorý sa objavil aj po schválenom zákone o liekoch a zdravotníckych pomôckach. </w:t>
      </w:r>
      <w:r w:rsidRPr="00384144">
        <w:rPr>
          <w:rFonts w:ascii="Arial Narrow" w:hAnsi="Arial Narrow"/>
        </w:rPr>
        <w:t>Dôjde k budovaniu pevnej siete urgentných príjmov nad rámec existujúcej siete pohotovostnej ambulantnej služby. V diagnostike bude postupne dochádzať k zavádzaniu štandardných diagnostických a terapeutických postupov.</w:t>
      </w:r>
    </w:p>
    <w:p w14:paraId="5E8D2B0D" w14:textId="77777777" w:rsidR="00A94D26" w:rsidRDefault="00A94D26" w:rsidP="00A94D26">
      <w:pPr>
        <w:spacing w:after="0" w:line="240" w:lineRule="auto"/>
        <w:jc w:val="both"/>
        <w:rPr>
          <w:rFonts w:ascii="Arial Narrow" w:hAnsi="Arial Narrow"/>
        </w:rPr>
      </w:pPr>
    </w:p>
    <w:p w14:paraId="68B97214" w14:textId="1C006B53" w:rsidR="006002FD" w:rsidRPr="007D2366" w:rsidRDefault="006002FD" w:rsidP="006002FD">
      <w:pPr>
        <w:spacing w:after="0" w:line="240" w:lineRule="auto"/>
        <w:jc w:val="both"/>
        <w:rPr>
          <w:rFonts w:ascii="Arial Narrow" w:hAnsi="Arial Narrow"/>
        </w:rPr>
      </w:pPr>
      <w:r w:rsidRPr="00B53BBF">
        <w:rPr>
          <w:rFonts w:ascii="Arial Narrow" w:hAnsi="Arial Narrow"/>
          <w:b/>
        </w:rPr>
        <w:t xml:space="preserve">Projekt </w:t>
      </w:r>
      <w:r w:rsidRPr="006002FD">
        <w:rPr>
          <w:rFonts w:ascii="Arial Narrow" w:hAnsi="Arial Narrow"/>
          <w:b/>
          <w:i/>
        </w:rPr>
        <w:t>Hodnota za peniaze</w:t>
      </w:r>
      <w:r w:rsidRPr="00B53BBF">
        <w:rPr>
          <w:rFonts w:ascii="Arial Narrow" w:hAnsi="Arial Narrow"/>
        </w:rPr>
        <w:t xml:space="preserve"> je nástrojom vlády na zlepšovanie efektívnosti verejných výdavkov, ktorým vláda zvyšuje hodnotu verejných služieb a prispieva k vyrovnanému rozpočtu. Stanovil sa proces hodnotenia veľkých investičných projektov s aktívnejšou úlohou </w:t>
      </w:r>
      <w:r w:rsidR="00CF6165">
        <w:rPr>
          <w:rFonts w:ascii="Arial Narrow" w:hAnsi="Arial Narrow"/>
        </w:rPr>
        <w:t>rezortu</w:t>
      </w:r>
      <w:r w:rsidRPr="00B53BBF">
        <w:rPr>
          <w:rFonts w:ascii="Arial Narrow" w:hAnsi="Arial Narrow"/>
        </w:rPr>
        <w:t xml:space="preserve"> financií. V tomto roku prebie</w:t>
      </w:r>
      <w:r w:rsidR="00CF6165">
        <w:rPr>
          <w:rFonts w:ascii="Arial Narrow" w:hAnsi="Arial Narrow"/>
        </w:rPr>
        <w:t xml:space="preserve">ha revízia výdavkov zameraná na </w:t>
      </w:r>
      <w:r w:rsidR="00CF6165" w:rsidRPr="00CF6165">
        <w:rPr>
          <w:rFonts w:ascii="Arial Narrow" w:hAnsi="Arial Narrow" w:cs="Arial Narrow"/>
        </w:rPr>
        <w:t>pôdohospodárstvo, začlenen</w:t>
      </w:r>
      <w:r w:rsidR="00CF6165">
        <w:rPr>
          <w:rFonts w:ascii="Arial Narrow" w:hAnsi="Arial Narrow" w:cs="Arial Narrow"/>
        </w:rPr>
        <w:t xml:space="preserve">ie skupín ohrozených chudobou a </w:t>
      </w:r>
      <w:r w:rsidR="00CF6165" w:rsidRPr="00CF6165">
        <w:rPr>
          <w:rFonts w:ascii="Arial Narrow" w:hAnsi="Arial Narrow" w:cs="Arial Narrow"/>
        </w:rPr>
        <w:t>sociálnym vylúčením</w:t>
      </w:r>
      <w:r w:rsidR="00CF6165">
        <w:rPr>
          <w:rFonts w:ascii="Arial Narrow" w:hAnsi="Arial Narrow" w:cs="Arial Narrow"/>
        </w:rPr>
        <w:t>,</w:t>
      </w:r>
      <w:r w:rsidR="00CF6165" w:rsidRPr="00CF6165">
        <w:rPr>
          <w:rFonts w:ascii="Arial Narrow" w:hAnsi="Arial Narrow" w:cs="Arial Narrow"/>
        </w:rPr>
        <w:t xml:space="preserve"> a zamestnanosť a odmeňovanie vo verejnej správe</w:t>
      </w:r>
      <w:r w:rsidRPr="00CF6165">
        <w:rPr>
          <w:rFonts w:ascii="Arial Narrow" w:hAnsi="Arial Narrow"/>
        </w:rPr>
        <w:t>.</w:t>
      </w:r>
      <w:r w:rsidRPr="00B53BBF">
        <w:rPr>
          <w:rFonts w:ascii="Arial Narrow" w:hAnsi="Arial Narrow"/>
        </w:rPr>
        <w:t xml:space="preserve"> Zároveň bola zriadená Implementačná jednotka, ktorá sleduje plnenie opatrení definovaných v revíziách výdavkov.</w:t>
      </w:r>
      <w:r>
        <w:rPr>
          <w:rFonts w:ascii="Arial Narrow" w:hAnsi="Arial Narrow"/>
        </w:rPr>
        <w:t xml:space="preserve"> </w:t>
      </w:r>
    </w:p>
    <w:p w14:paraId="2D5A59BC" w14:textId="77777777" w:rsidR="007D2366" w:rsidRPr="007D2366" w:rsidRDefault="007D2366" w:rsidP="007D2366">
      <w:pPr>
        <w:spacing w:after="0" w:line="240" w:lineRule="auto"/>
        <w:jc w:val="both"/>
        <w:rPr>
          <w:rFonts w:ascii="Arial Narrow" w:hAnsi="Arial Narrow"/>
        </w:rPr>
      </w:pPr>
    </w:p>
    <w:p w14:paraId="7E314D6C" w14:textId="1918056E" w:rsidR="00A94D26" w:rsidRPr="00A94D26" w:rsidRDefault="008D1AC9" w:rsidP="00A94D26">
      <w:pPr>
        <w:spacing w:after="0" w:line="240" w:lineRule="auto"/>
        <w:jc w:val="both"/>
        <w:rPr>
          <w:rFonts w:ascii="Arial Narrow" w:hAnsi="Arial Narrow" w:cs="Arial Narrow"/>
          <w:i/>
        </w:rPr>
      </w:pPr>
      <w:r w:rsidRPr="008D1AC9">
        <w:rPr>
          <w:rFonts w:ascii="Arial Narrow" w:hAnsi="Arial Narrow"/>
          <w:b/>
        </w:rPr>
        <w:t>Pokračuje boj proti daňovým únikom a pozitívny vývoj úspešnosti výberu DPH.</w:t>
      </w:r>
      <w:r w:rsidR="00A94D26">
        <w:rPr>
          <w:rFonts w:ascii="Arial Narrow" w:hAnsi="Arial Narrow" w:cs="Arial Narrow"/>
          <w:i/>
        </w:rPr>
        <w:t xml:space="preserve"> </w:t>
      </w:r>
      <w:r w:rsidR="00A94D26" w:rsidRPr="00A94D26">
        <w:rPr>
          <w:rFonts w:ascii="Arial Narrow" w:hAnsi="Arial Narrow" w:cs="Arial Narrow"/>
        </w:rPr>
        <w:t xml:space="preserve">Na boj proti daňovým únikom a zlepšenie výberu daní zavedie finančná správa interné posudzovanie spoľahlivosti daňových subjektov. Pre zefektívnenie vymáhania daňových nedoplatkov sa zavedie systém posudzovania rizikovosti daňových dlžníkov. Analytické kapacity finančnej správy sa posilnia vybudovaním centrálnej analytickej jednotky. </w:t>
      </w:r>
      <w:r w:rsidRPr="008D1AC9">
        <w:rPr>
          <w:rFonts w:ascii="Arial Narrow" w:hAnsi="Arial Narrow" w:cs="Arial Narrow"/>
        </w:rPr>
        <w:t>Zavedie sa elektronická fakturácia a elektronické registračné pokladnice</w:t>
      </w:r>
      <w:r w:rsidR="00BC4A96">
        <w:rPr>
          <w:rFonts w:ascii="Arial Narrow" w:hAnsi="Arial Narrow" w:cs="Arial Narrow"/>
        </w:rPr>
        <w:t xml:space="preserve"> prepojené on-line so systémami finančnej správy</w:t>
      </w:r>
      <w:r w:rsidRPr="008D1AC9">
        <w:rPr>
          <w:rFonts w:ascii="Arial Narrow" w:hAnsi="Arial Narrow" w:cs="Arial Narrow"/>
        </w:rPr>
        <w:t xml:space="preserve">. </w:t>
      </w:r>
      <w:r w:rsidR="00A94D26" w:rsidRPr="00A94D26">
        <w:rPr>
          <w:rFonts w:ascii="Arial Narrow" w:hAnsi="Arial Narrow" w:cs="Arial Narrow"/>
        </w:rPr>
        <w:t>Implementuje sa ročné zúčtovanie sociálneho poistenia.</w:t>
      </w:r>
    </w:p>
    <w:p w14:paraId="4474170E" w14:textId="77777777" w:rsidR="007D2366" w:rsidRPr="007D2366" w:rsidRDefault="007D2366" w:rsidP="007D2366">
      <w:pPr>
        <w:spacing w:after="0" w:line="240" w:lineRule="auto"/>
        <w:jc w:val="both"/>
        <w:rPr>
          <w:rFonts w:ascii="Arial Narrow" w:hAnsi="Arial Narrow"/>
        </w:rPr>
      </w:pPr>
    </w:p>
    <w:p w14:paraId="34A54070" w14:textId="77777777" w:rsidR="00A94D26" w:rsidRPr="00F4401D" w:rsidRDefault="00A94D26" w:rsidP="00A94D26">
      <w:pPr>
        <w:spacing w:after="0" w:line="240" w:lineRule="auto"/>
        <w:jc w:val="both"/>
        <w:rPr>
          <w:rFonts w:ascii="Arial Narrow" w:hAnsi="Arial Narrow"/>
        </w:rPr>
      </w:pPr>
      <w:r w:rsidRPr="00882023">
        <w:rPr>
          <w:rFonts w:ascii="Arial Narrow" w:hAnsi="Arial Narrow"/>
          <w:b/>
        </w:rPr>
        <w:t>Lepšie fungovanie verejnej správy</w:t>
      </w:r>
      <w:r w:rsidRPr="007C6B10">
        <w:rPr>
          <w:rFonts w:ascii="Arial Narrow" w:hAnsi="Arial Narrow"/>
        </w:rPr>
        <w:t xml:space="preserve"> by mali priniesť viaceré opatrenia. V roku 2017 vstúpil do platnosti tzv. </w:t>
      </w:r>
      <w:proofErr w:type="spellStart"/>
      <w:r w:rsidRPr="007C6B10">
        <w:rPr>
          <w:rFonts w:ascii="Arial Narrow" w:hAnsi="Arial Narrow"/>
        </w:rPr>
        <w:t>protischránkový</w:t>
      </w:r>
      <w:proofErr w:type="spellEnd"/>
      <w:r w:rsidRPr="007C6B10">
        <w:rPr>
          <w:rFonts w:ascii="Arial Narrow" w:hAnsi="Arial Narrow"/>
        </w:rPr>
        <w:t xml:space="preserve"> zákon, ktorý by mal priniesť transparentnosť do obchodov medzi štátom a súkromným sektorom. </w:t>
      </w:r>
      <w:r w:rsidRPr="00F4401D">
        <w:rPr>
          <w:rFonts w:ascii="Arial Narrow" w:hAnsi="Arial Narrow"/>
        </w:rPr>
        <w:t>Analytické kapacity štátu sa posilnia na viacerých ministerstvách a iných inštitúciách.</w:t>
      </w:r>
    </w:p>
    <w:p w14:paraId="42A5E60C" w14:textId="77777777" w:rsidR="00A94D26" w:rsidRPr="007D2366" w:rsidRDefault="00A94D26" w:rsidP="00A94D26">
      <w:pPr>
        <w:spacing w:after="0" w:line="240" w:lineRule="auto"/>
        <w:jc w:val="both"/>
        <w:rPr>
          <w:rFonts w:ascii="Arial Narrow" w:hAnsi="Arial Narrow"/>
        </w:rPr>
      </w:pPr>
    </w:p>
    <w:p w14:paraId="717740A2" w14:textId="77777777" w:rsidR="00A94D26" w:rsidRDefault="00A94D26" w:rsidP="00A94D26">
      <w:pPr>
        <w:spacing w:after="0" w:line="240" w:lineRule="auto"/>
        <w:jc w:val="both"/>
        <w:rPr>
          <w:rFonts w:ascii="Arial Narrow" w:hAnsi="Arial Narrow"/>
        </w:rPr>
      </w:pPr>
      <w:r w:rsidRPr="007D2366">
        <w:rPr>
          <w:rFonts w:ascii="Arial Narrow" w:hAnsi="Arial Narrow"/>
        </w:rPr>
        <w:t xml:space="preserve">K </w:t>
      </w:r>
      <w:r w:rsidRPr="00882023">
        <w:rPr>
          <w:rFonts w:ascii="Arial Narrow" w:hAnsi="Arial Narrow"/>
          <w:b/>
        </w:rPr>
        <w:t>zníženiu administratívnej záťaže podnikateľského prostredia</w:t>
      </w:r>
      <w:r>
        <w:rPr>
          <w:rFonts w:ascii="Arial Narrow" w:hAnsi="Arial Narrow"/>
        </w:rPr>
        <w:t xml:space="preserve"> prispeje</w:t>
      </w:r>
      <w:r w:rsidRPr="007D2366">
        <w:rPr>
          <w:rFonts w:ascii="Arial Narrow" w:hAnsi="Arial Narrow"/>
        </w:rPr>
        <w:t xml:space="preserve"> </w:t>
      </w:r>
      <w:r w:rsidRPr="000373DD">
        <w:rPr>
          <w:rFonts w:ascii="Arial Narrow" w:hAnsi="Arial Narrow"/>
        </w:rPr>
        <w:t>rozširovanie podpory elektronickej a automatizovanej komunikácie s finančnou správou, implementácia opatrení lepšej regulácie, či ďalšia optimalizácia služieb obchodného registra. MH SR predstaví nový balíček opatrení, ktorý zníži byrokratickú záťaž podnikateľov a zjednoduší podnikanie na Slovensku</w:t>
      </w:r>
      <w:r w:rsidRPr="007D2366">
        <w:rPr>
          <w:rFonts w:ascii="Arial Narrow" w:hAnsi="Arial Narrow"/>
        </w:rPr>
        <w:t xml:space="preserve"> </w:t>
      </w:r>
      <w:r>
        <w:rPr>
          <w:rFonts w:ascii="Arial Narrow" w:hAnsi="Arial Narrow"/>
        </w:rPr>
        <w:t>.</w:t>
      </w:r>
    </w:p>
    <w:p w14:paraId="06F784BC" w14:textId="77777777" w:rsidR="00A94D26" w:rsidRPr="007D2366" w:rsidRDefault="00A94D26" w:rsidP="00A94D26">
      <w:pPr>
        <w:spacing w:after="0" w:line="240" w:lineRule="auto"/>
        <w:jc w:val="both"/>
        <w:rPr>
          <w:rFonts w:ascii="Arial Narrow" w:hAnsi="Arial Narrow"/>
        </w:rPr>
      </w:pPr>
    </w:p>
    <w:p w14:paraId="60ABD9C4" w14:textId="5AE11893" w:rsidR="00A94D26" w:rsidRPr="00F4401D" w:rsidRDefault="00A94D26" w:rsidP="00A94D26">
      <w:pPr>
        <w:spacing w:after="0" w:line="240" w:lineRule="auto"/>
        <w:jc w:val="both"/>
        <w:rPr>
          <w:rFonts w:ascii="Arial Narrow" w:hAnsi="Arial Narrow"/>
        </w:rPr>
      </w:pPr>
      <w:r w:rsidRPr="00F4401D">
        <w:rPr>
          <w:rFonts w:ascii="Arial Narrow" w:hAnsi="Arial Narrow"/>
        </w:rPr>
        <w:t>Pozornosť v súdnictve bude zameraná na</w:t>
      </w:r>
      <w:r w:rsidRPr="00F4401D">
        <w:rPr>
          <w:rFonts w:ascii="Arial Narrow" w:hAnsi="Arial Narrow"/>
          <w:bCs/>
        </w:rPr>
        <w:t xml:space="preserve"> </w:t>
      </w:r>
      <w:r w:rsidRPr="00882023">
        <w:rPr>
          <w:rFonts w:ascii="Arial Narrow" w:hAnsi="Arial Narrow"/>
          <w:b/>
          <w:bCs/>
        </w:rPr>
        <w:t>riešenie problému starých exekučných konaní</w:t>
      </w:r>
      <w:r w:rsidR="007575B8">
        <w:rPr>
          <w:rFonts w:ascii="Arial Narrow" w:hAnsi="Arial Narrow"/>
          <w:b/>
          <w:bCs/>
        </w:rPr>
        <w:t xml:space="preserve"> </w:t>
      </w:r>
      <w:r w:rsidR="007575B8" w:rsidRPr="0089252D">
        <w:rPr>
          <w:rFonts w:ascii="Arial Narrow" w:hAnsi="Arial Narrow"/>
          <w:bCs/>
        </w:rPr>
        <w:t>a</w:t>
      </w:r>
      <w:r w:rsidR="007575B8">
        <w:rPr>
          <w:rFonts w:ascii="Arial Narrow" w:hAnsi="Arial Narrow"/>
          <w:b/>
          <w:bCs/>
        </w:rPr>
        <w:t xml:space="preserve"> </w:t>
      </w:r>
      <w:r w:rsidR="007575B8" w:rsidRPr="0089252D">
        <w:rPr>
          <w:rFonts w:ascii="Arial Narrow" w:hAnsi="Arial Narrow"/>
          <w:bCs/>
        </w:rPr>
        <w:t xml:space="preserve">na implementáciu záverov a odporúčaní vyplývajúcich zo </w:t>
      </w:r>
      <w:r w:rsidR="007575B8" w:rsidRPr="00A632E2">
        <w:rPr>
          <w:rFonts w:ascii="Arial Narrow" w:hAnsi="Arial Narrow"/>
          <w:bCs/>
          <w:i/>
        </w:rPr>
        <w:t>Správy k stave justície</w:t>
      </w:r>
      <w:r w:rsidR="007575B8" w:rsidRPr="0089252D">
        <w:rPr>
          <w:rFonts w:ascii="Arial Narrow" w:hAnsi="Arial Narrow"/>
          <w:bCs/>
        </w:rPr>
        <w:t xml:space="preserve"> vypracovanej organizáciou CEPEJ</w:t>
      </w:r>
      <w:r w:rsidR="007575B8">
        <w:rPr>
          <w:rStyle w:val="Odkaznapoznmkupodiarou"/>
          <w:rFonts w:ascii="Arial Narrow" w:hAnsi="Arial Narrow"/>
          <w:bCs/>
        </w:rPr>
        <w:footnoteReference w:id="1"/>
      </w:r>
      <w:r w:rsidRPr="007575B8">
        <w:rPr>
          <w:rFonts w:ascii="Arial Narrow" w:hAnsi="Arial Narrow"/>
        </w:rPr>
        <w:t>.</w:t>
      </w:r>
      <w:r w:rsidRPr="00F4401D">
        <w:rPr>
          <w:rFonts w:ascii="Arial Narrow" w:hAnsi="Arial Narrow"/>
        </w:rPr>
        <w:t xml:space="preserve"> Pripraví sa reforma opatrovníckeho práva, ktorej cieľom je zlepšiť postavenie osôb so zdravotným postihnutím, zlepšiť ochranu seniorov. V súlade s Programovým vyhlásením vlády</w:t>
      </w:r>
      <w:r w:rsidR="00A632E2">
        <w:rPr>
          <w:rFonts w:ascii="Arial Narrow" w:hAnsi="Arial Narrow"/>
        </w:rPr>
        <w:t xml:space="preserve"> SR</w:t>
      </w:r>
      <w:r w:rsidRPr="00F4401D">
        <w:rPr>
          <w:rFonts w:ascii="Arial Narrow" w:hAnsi="Arial Narrow"/>
        </w:rPr>
        <w:t xml:space="preserve"> sa pripraví zákon o justičnej štátnej službe. </w:t>
      </w:r>
    </w:p>
    <w:p w14:paraId="3BCE1A42" w14:textId="77777777" w:rsidR="007D2366" w:rsidRPr="007D2366" w:rsidRDefault="007D2366" w:rsidP="007D2366">
      <w:pPr>
        <w:spacing w:after="0" w:line="240" w:lineRule="auto"/>
        <w:jc w:val="both"/>
        <w:rPr>
          <w:rFonts w:ascii="Arial Narrow" w:hAnsi="Arial Narrow"/>
        </w:rPr>
      </w:pPr>
    </w:p>
    <w:p w14:paraId="6CD21896" w14:textId="77777777" w:rsidR="00541CFC" w:rsidRPr="00256D89" w:rsidRDefault="007D2366" w:rsidP="007D2366">
      <w:pPr>
        <w:spacing w:after="0" w:line="240" w:lineRule="auto"/>
        <w:jc w:val="both"/>
        <w:rPr>
          <w:rFonts w:ascii="Arial Narrow" w:eastAsiaTheme="majorEastAsia" w:hAnsi="Arial Narrow" w:cstheme="majorBidi"/>
          <w:b/>
          <w:bCs/>
          <w:sz w:val="32"/>
          <w:szCs w:val="32"/>
        </w:rPr>
      </w:pPr>
      <w:r w:rsidRPr="007D2366">
        <w:rPr>
          <w:rFonts w:ascii="Arial Narrow" w:hAnsi="Arial Narrow"/>
        </w:rPr>
        <w:t>NPR vychádza zo špecifických odporúčaní Rady EÚ pre Slovensko z roku 201</w:t>
      </w:r>
      <w:r w:rsidR="00F4401D">
        <w:rPr>
          <w:rFonts w:ascii="Arial Narrow" w:hAnsi="Arial Narrow"/>
        </w:rPr>
        <w:t>7</w:t>
      </w:r>
      <w:r w:rsidRPr="007D2366">
        <w:rPr>
          <w:rFonts w:ascii="Arial Narrow" w:hAnsi="Arial Narrow"/>
        </w:rPr>
        <w:t xml:space="preserve"> a hodnotenia ich plnenia Európskou komisiou z </w:t>
      </w:r>
      <w:r w:rsidR="00057013">
        <w:rPr>
          <w:rFonts w:ascii="Arial Narrow" w:hAnsi="Arial Narrow"/>
        </w:rPr>
        <w:t xml:space="preserve">marca </w:t>
      </w:r>
      <w:r w:rsidRPr="007D2366">
        <w:rPr>
          <w:rFonts w:ascii="Arial Narrow" w:hAnsi="Arial Narrow"/>
        </w:rPr>
        <w:t>201</w:t>
      </w:r>
      <w:r w:rsidR="00F4401D">
        <w:rPr>
          <w:rFonts w:ascii="Arial Narrow" w:hAnsi="Arial Narrow"/>
        </w:rPr>
        <w:t>8</w:t>
      </w:r>
      <w:r w:rsidRPr="007D2366">
        <w:rPr>
          <w:rFonts w:ascii="Arial Narrow" w:hAnsi="Arial Narrow"/>
        </w:rPr>
        <w:t>. Financovanie opatrení NPR bude zabezpečené v rámci stanovených limitov výdavkov a počtu zamestnancov kapitol štátneho rozpočtu.</w:t>
      </w:r>
      <w:r w:rsidR="00541CFC" w:rsidRPr="00256D89">
        <w:rPr>
          <w:rFonts w:ascii="Arial Narrow" w:hAnsi="Arial Narrow"/>
          <w:sz w:val="32"/>
          <w:szCs w:val="32"/>
        </w:rPr>
        <w:br w:type="page"/>
      </w:r>
    </w:p>
    <w:p w14:paraId="53061EB0" w14:textId="77777777" w:rsidR="00E81DE6" w:rsidRPr="00256D89" w:rsidRDefault="00541CFC" w:rsidP="00FB625E">
      <w:pPr>
        <w:pStyle w:val="Nadpis1"/>
        <w:numPr>
          <w:ilvl w:val="0"/>
          <w:numId w:val="1"/>
        </w:numPr>
        <w:spacing w:line="240" w:lineRule="auto"/>
        <w:rPr>
          <w:rFonts w:ascii="Arial Narrow" w:hAnsi="Arial Narrow"/>
          <w:color w:val="auto"/>
          <w:sz w:val="32"/>
          <w:szCs w:val="32"/>
        </w:rPr>
      </w:pPr>
      <w:bookmarkStart w:id="3" w:name="_Toc508039572"/>
      <w:r w:rsidRPr="00256D89">
        <w:rPr>
          <w:rFonts w:ascii="Arial Narrow" w:hAnsi="Arial Narrow"/>
          <w:color w:val="auto"/>
          <w:sz w:val="32"/>
          <w:szCs w:val="32"/>
        </w:rPr>
        <w:lastRenderedPageBreak/>
        <w:t>Identifikácia výziev slovenskej ekonomiky</w:t>
      </w:r>
      <w:bookmarkEnd w:id="3"/>
    </w:p>
    <w:p w14:paraId="2CD42ADE" w14:textId="77777777" w:rsidR="00C62275" w:rsidRPr="00256D89" w:rsidRDefault="00C62275" w:rsidP="00FB625E">
      <w:pPr>
        <w:spacing w:after="0" w:line="240" w:lineRule="auto"/>
        <w:jc w:val="both"/>
        <w:rPr>
          <w:rFonts w:ascii="Arial Narrow" w:hAnsi="Arial Narrow"/>
        </w:rPr>
      </w:pPr>
    </w:p>
    <w:p w14:paraId="627D53D3" w14:textId="3EB20122" w:rsidR="001C2E48" w:rsidRDefault="0015387A" w:rsidP="00FB625E">
      <w:pPr>
        <w:spacing w:after="0" w:line="240" w:lineRule="auto"/>
        <w:jc w:val="both"/>
        <w:rPr>
          <w:rFonts w:ascii="Arial Narrow" w:hAnsi="Arial Narrow"/>
        </w:rPr>
      </w:pPr>
      <w:r w:rsidRPr="00256D89">
        <w:rPr>
          <w:rFonts w:ascii="Arial Narrow" w:hAnsi="Arial Narrow"/>
        </w:rPr>
        <w:t>Najväčšie výzvy z</w:t>
      </w:r>
      <w:r w:rsidR="009E5B19">
        <w:rPr>
          <w:rFonts w:ascii="Arial Narrow" w:hAnsi="Arial Narrow"/>
        </w:rPr>
        <w:t xml:space="preserve"> </w:t>
      </w:r>
      <w:r w:rsidRPr="00256D89">
        <w:rPr>
          <w:rFonts w:ascii="Arial Narrow" w:hAnsi="Arial Narrow"/>
        </w:rPr>
        <w:t xml:space="preserve">pohľadu zaostávania </w:t>
      </w:r>
      <w:r w:rsidR="00B10DF6" w:rsidRPr="00256D89">
        <w:rPr>
          <w:rFonts w:ascii="Arial Narrow" w:hAnsi="Arial Narrow"/>
        </w:rPr>
        <w:t xml:space="preserve">oproti zahraničiu </w:t>
      </w:r>
      <w:r w:rsidRPr="00256D89">
        <w:rPr>
          <w:rFonts w:ascii="Arial Narrow" w:hAnsi="Arial Narrow"/>
        </w:rPr>
        <w:t xml:space="preserve">predstavuje </w:t>
      </w:r>
      <w:r w:rsidR="00EC7641">
        <w:rPr>
          <w:rFonts w:ascii="Arial Narrow" w:hAnsi="Arial Narrow"/>
        </w:rPr>
        <w:t xml:space="preserve">kvalita základného školstva, </w:t>
      </w:r>
      <w:r w:rsidRPr="00256D89">
        <w:rPr>
          <w:rFonts w:ascii="Arial Narrow" w:hAnsi="Arial Narrow"/>
        </w:rPr>
        <w:t>trh práce</w:t>
      </w:r>
      <w:r w:rsidR="00EC7641">
        <w:rPr>
          <w:rFonts w:ascii="Arial Narrow" w:hAnsi="Arial Narrow"/>
        </w:rPr>
        <w:t xml:space="preserve"> a </w:t>
      </w:r>
      <w:r w:rsidRPr="00256D89">
        <w:rPr>
          <w:rFonts w:ascii="Arial Narrow" w:hAnsi="Arial Narrow"/>
        </w:rPr>
        <w:t>kv</w:t>
      </w:r>
      <w:r w:rsidR="00DF3265" w:rsidRPr="00256D89">
        <w:rPr>
          <w:rFonts w:ascii="Arial Narrow" w:hAnsi="Arial Narrow"/>
        </w:rPr>
        <w:t>alita zdravotnej starostlivosti</w:t>
      </w:r>
      <w:r w:rsidR="002D6C20">
        <w:rPr>
          <w:rStyle w:val="Odkaznapoznmkupodiarou"/>
          <w:rFonts w:ascii="Arial Narrow" w:hAnsi="Arial Narrow"/>
        </w:rPr>
        <w:footnoteReference w:id="2"/>
      </w:r>
      <w:r w:rsidR="00DF3265" w:rsidRPr="00256D89">
        <w:rPr>
          <w:rFonts w:ascii="Arial Narrow" w:hAnsi="Arial Narrow"/>
        </w:rPr>
        <w:t>.</w:t>
      </w:r>
      <w:r w:rsidRPr="00256D89">
        <w:rPr>
          <w:rFonts w:ascii="Arial Narrow" w:hAnsi="Arial Narrow"/>
        </w:rPr>
        <w:t xml:space="preserve"> S výnimkou </w:t>
      </w:r>
      <w:r w:rsidR="003D2561" w:rsidRPr="00256D89">
        <w:rPr>
          <w:rFonts w:ascii="Arial Narrow" w:hAnsi="Arial Narrow"/>
        </w:rPr>
        <w:t xml:space="preserve">sociálnej udržateľnosti meranej </w:t>
      </w:r>
      <w:r w:rsidRPr="00256D89">
        <w:rPr>
          <w:rFonts w:ascii="Arial Narrow" w:hAnsi="Arial Narrow"/>
        </w:rPr>
        <w:t>príjmový</w:t>
      </w:r>
      <w:r w:rsidR="00C77042" w:rsidRPr="00256D89">
        <w:rPr>
          <w:rFonts w:ascii="Arial Narrow" w:hAnsi="Arial Narrow"/>
        </w:rPr>
        <w:t>mi</w:t>
      </w:r>
      <w:r w:rsidRPr="00256D89">
        <w:rPr>
          <w:rFonts w:ascii="Arial Narrow" w:hAnsi="Arial Narrow"/>
        </w:rPr>
        <w:t xml:space="preserve"> nerovnos</w:t>
      </w:r>
      <w:r w:rsidR="00C77042" w:rsidRPr="00256D89">
        <w:rPr>
          <w:rFonts w:ascii="Arial Narrow" w:hAnsi="Arial Narrow"/>
        </w:rPr>
        <w:t>ťami</w:t>
      </w:r>
      <w:r w:rsidRPr="00256D89">
        <w:rPr>
          <w:rFonts w:ascii="Arial Narrow" w:hAnsi="Arial Narrow"/>
        </w:rPr>
        <w:t xml:space="preserve"> dosahuje</w:t>
      </w:r>
      <w:r w:rsidR="00CF1996" w:rsidRPr="00256D89">
        <w:rPr>
          <w:rFonts w:ascii="Arial Narrow" w:hAnsi="Arial Narrow"/>
        </w:rPr>
        <w:t xml:space="preserve"> Slovensko </w:t>
      </w:r>
      <w:r w:rsidRPr="00256D89">
        <w:rPr>
          <w:rFonts w:ascii="Arial Narrow" w:hAnsi="Arial Narrow"/>
        </w:rPr>
        <w:t xml:space="preserve">vo všetkých </w:t>
      </w:r>
      <w:r w:rsidR="00B10DF6" w:rsidRPr="00256D89">
        <w:rPr>
          <w:rFonts w:ascii="Arial Narrow" w:hAnsi="Arial Narrow"/>
        </w:rPr>
        <w:t xml:space="preserve">ostatných </w:t>
      </w:r>
      <w:r w:rsidRPr="00256D89">
        <w:rPr>
          <w:rFonts w:ascii="Arial Narrow" w:hAnsi="Arial Narrow"/>
        </w:rPr>
        <w:t>sledovaných výsledkových ukazovateľoch podpriemerné hodnoty.</w:t>
      </w:r>
    </w:p>
    <w:p w14:paraId="7D05A2EF" w14:textId="77777777" w:rsidR="001C2E48" w:rsidRDefault="001C2E48" w:rsidP="00FB625E">
      <w:pPr>
        <w:spacing w:after="0" w:line="240" w:lineRule="auto"/>
        <w:jc w:val="both"/>
        <w:rPr>
          <w:rFonts w:ascii="Arial Narrow" w:hAnsi="Arial Narrow"/>
        </w:rPr>
      </w:pPr>
    </w:p>
    <w:p w14:paraId="5C48B07F" w14:textId="77777777" w:rsidR="001C2E48" w:rsidRDefault="001C2E48" w:rsidP="001C2E48">
      <w:pPr>
        <w:spacing w:after="0" w:line="240" w:lineRule="auto"/>
        <w:jc w:val="both"/>
        <w:rPr>
          <w:rFonts w:ascii="Arial Narrow" w:hAnsi="Arial Narrow"/>
        </w:rPr>
      </w:pPr>
      <w:r w:rsidRPr="00256D89">
        <w:rPr>
          <w:rFonts w:ascii="Arial Narrow" w:hAnsi="Arial Narrow"/>
        </w:rPr>
        <w:t>Výsledkové ukazovatele sú spárované s doplnkovými indikátormi (</w:t>
      </w:r>
      <w:r>
        <w:rPr>
          <w:rFonts w:ascii="Arial Narrow" w:hAnsi="Arial Narrow"/>
        </w:rPr>
        <w:t>G</w:t>
      </w:r>
      <w:r w:rsidRPr="00256D89">
        <w:rPr>
          <w:rFonts w:ascii="Arial Narrow" w:hAnsi="Arial Narrow"/>
        </w:rPr>
        <w:t>raf</w:t>
      </w:r>
      <w:r>
        <w:rPr>
          <w:rFonts w:ascii="Arial Narrow" w:hAnsi="Arial Narrow"/>
        </w:rPr>
        <w:t xml:space="preserve"> 2</w:t>
      </w:r>
      <w:r w:rsidRPr="00256D89">
        <w:rPr>
          <w:rFonts w:ascii="Arial Narrow" w:hAnsi="Arial Narrow"/>
        </w:rPr>
        <w:t>), ktoré široko definovaný problém</w:t>
      </w:r>
      <w:r>
        <w:rPr>
          <w:rFonts w:ascii="Arial Narrow" w:hAnsi="Arial Narrow"/>
        </w:rPr>
        <w:t xml:space="preserve"> (napríklad trh práce) </w:t>
      </w:r>
      <w:proofErr w:type="spellStart"/>
      <w:r>
        <w:rPr>
          <w:rFonts w:ascii="Arial Narrow" w:hAnsi="Arial Narrow"/>
        </w:rPr>
        <w:t>di</w:t>
      </w:r>
      <w:r w:rsidRPr="00256D89">
        <w:rPr>
          <w:rFonts w:ascii="Arial Narrow" w:hAnsi="Arial Narrow"/>
        </w:rPr>
        <w:t>sagregujú</w:t>
      </w:r>
      <w:proofErr w:type="spellEnd"/>
      <w:r w:rsidRPr="00256D89">
        <w:rPr>
          <w:rFonts w:ascii="Arial Narrow" w:hAnsi="Arial Narrow"/>
        </w:rPr>
        <w:t xml:space="preserve"> na menšie, uchopiteľnejšie oblasti (napr. </w:t>
      </w:r>
      <w:r w:rsidRPr="00A7530C">
        <w:rPr>
          <w:rFonts w:ascii="Arial Narrow" w:hAnsi="Arial Narrow"/>
        </w:rPr>
        <w:t xml:space="preserve">nezamestnanosť ľudí so základným vzdelaním </w:t>
      </w:r>
      <w:r w:rsidRPr="00256D89">
        <w:rPr>
          <w:rFonts w:ascii="Arial Narrow" w:hAnsi="Arial Narrow"/>
        </w:rPr>
        <w:t>alebo</w:t>
      </w:r>
      <w:r>
        <w:rPr>
          <w:rFonts w:ascii="Arial Narrow" w:hAnsi="Arial Narrow"/>
        </w:rPr>
        <w:t xml:space="preserve"> </w:t>
      </w:r>
      <w:proofErr w:type="spellStart"/>
      <w:r>
        <w:rPr>
          <w:rFonts w:ascii="Arial Narrow" w:hAnsi="Arial Narrow"/>
        </w:rPr>
        <w:t>predchádzateľné</w:t>
      </w:r>
      <w:proofErr w:type="spellEnd"/>
      <w:r>
        <w:rPr>
          <w:rFonts w:ascii="Arial Narrow" w:hAnsi="Arial Narrow"/>
        </w:rPr>
        <w:t xml:space="preserve"> úmrtia v kvalite zdravia</w:t>
      </w:r>
      <w:r>
        <w:rPr>
          <w:rStyle w:val="Odkaznapoznmkupodiarou"/>
          <w:rFonts w:ascii="Arial Narrow" w:hAnsi="Arial Narrow"/>
        </w:rPr>
        <w:footnoteReference w:id="3"/>
      </w:r>
      <w:r w:rsidRPr="00256D89">
        <w:rPr>
          <w:rFonts w:ascii="Arial Narrow" w:hAnsi="Arial Narrow"/>
        </w:rPr>
        <w:t>). Body v ľavom dolnom kvadrante tak obsahujú podpriemerné výsledkové a zároveň doplnkové ukazovatele.</w:t>
      </w:r>
      <w:r>
        <w:rPr>
          <w:rFonts w:ascii="Arial Narrow" w:hAnsi="Arial Narrow"/>
        </w:rPr>
        <w:t xml:space="preserve"> </w:t>
      </w:r>
      <w:r w:rsidRPr="00A7530C">
        <w:rPr>
          <w:rFonts w:ascii="Arial Narrow" w:hAnsi="Arial Narrow"/>
        </w:rPr>
        <w:t xml:space="preserve">V ľavom hornom kvadrante sú oblasti, v ktorých dosahujeme podpriemerné výsledky, </w:t>
      </w:r>
      <w:r w:rsidR="00726A42">
        <w:rPr>
          <w:rFonts w:ascii="Arial Narrow" w:hAnsi="Arial Narrow"/>
        </w:rPr>
        <w:t>no</w:t>
      </w:r>
      <w:r w:rsidR="00726A42" w:rsidRPr="00A7530C">
        <w:rPr>
          <w:rFonts w:ascii="Arial Narrow" w:hAnsi="Arial Narrow"/>
        </w:rPr>
        <w:t xml:space="preserve"> </w:t>
      </w:r>
      <w:r w:rsidRPr="00A7530C">
        <w:rPr>
          <w:rFonts w:ascii="Arial Narrow" w:hAnsi="Arial Narrow"/>
        </w:rPr>
        <w:t>s nadpriemernými vstupmi (napr.</w:t>
      </w:r>
      <w:r>
        <w:rPr>
          <w:rFonts w:ascii="Arial Narrow" w:hAnsi="Arial Narrow"/>
        </w:rPr>
        <w:t xml:space="preserve"> nízky počet citácií a vysoká miera</w:t>
      </w:r>
      <w:r w:rsidRPr="00A7530C">
        <w:rPr>
          <w:rFonts w:ascii="Arial Narrow" w:hAnsi="Arial Narrow"/>
        </w:rPr>
        <w:t xml:space="preserve"> absolventov doktorandského štúdia).</w:t>
      </w:r>
    </w:p>
    <w:p w14:paraId="6BA7D3C6" w14:textId="77777777" w:rsidR="001C2E48" w:rsidRPr="006002FD" w:rsidRDefault="001C2E48" w:rsidP="00AC3718">
      <w:pPr>
        <w:spacing w:after="0" w:line="240" w:lineRule="auto"/>
        <w:jc w:val="both"/>
        <w:rPr>
          <w:rFonts w:ascii="Arial Narrow" w:hAnsi="Arial Narrow"/>
          <w:sz w:val="12"/>
        </w:rPr>
      </w:pPr>
    </w:p>
    <w:tbl>
      <w:tblPr>
        <w:tblpPr w:leftFromText="141" w:rightFromText="141" w:vertAnchor="text" w:horzAnchor="margin" w:tblpXSpec="center" w:tblpY="109"/>
        <w:tblOverlap w:val="never"/>
        <w:tblW w:w="86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207"/>
        <w:gridCol w:w="4128"/>
        <w:gridCol w:w="161"/>
        <w:gridCol w:w="4151"/>
      </w:tblGrid>
      <w:tr w:rsidR="001C2E48" w:rsidRPr="00614593" w14:paraId="31B35670" w14:textId="77777777" w:rsidTr="006016F5">
        <w:trPr>
          <w:trHeight w:val="268"/>
        </w:trPr>
        <w:tc>
          <w:tcPr>
            <w:tcW w:w="2507" w:type="pct"/>
            <w:gridSpan w:val="2"/>
            <w:tcBorders>
              <w:top w:val="nil"/>
              <w:left w:val="nil"/>
              <w:bottom w:val="single" w:sz="4" w:space="0" w:color="auto"/>
              <w:right w:val="nil"/>
            </w:tcBorders>
            <w:shd w:val="clear" w:color="auto" w:fill="auto"/>
            <w:vAlign w:val="center"/>
          </w:tcPr>
          <w:p w14:paraId="20743264" w14:textId="77777777" w:rsidR="001C2E48" w:rsidRPr="00F4601C" w:rsidRDefault="001C2E48" w:rsidP="006002FD">
            <w:pPr>
              <w:spacing w:after="0" w:line="240" w:lineRule="auto"/>
              <w:rPr>
                <w:rFonts w:ascii="Arial Narrow" w:hAnsi="Arial Narrow" w:cs="Arial"/>
                <w:b/>
                <w:color w:val="2C9ADC"/>
                <w:sz w:val="20"/>
                <w:szCs w:val="18"/>
              </w:rPr>
            </w:pPr>
            <w:bookmarkStart w:id="4" w:name="_Toc480760492"/>
            <w:bookmarkStart w:id="5" w:name="_Toc509513313"/>
            <w:r w:rsidRPr="00F4601C">
              <w:rPr>
                <w:rFonts w:ascii="Arial Narrow" w:hAnsi="Arial Narrow" w:cs="Arial"/>
                <w:b/>
                <w:color w:val="2C9ADC"/>
                <w:sz w:val="20"/>
                <w:szCs w:val="18"/>
              </w:rPr>
              <w:t xml:space="preserve">Graf </w:t>
            </w:r>
            <w:r w:rsidRPr="00F4601C">
              <w:rPr>
                <w:rFonts w:ascii="Arial Narrow" w:hAnsi="Arial Narrow" w:cs="Arial"/>
                <w:b/>
                <w:color w:val="2C9ADC"/>
                <w:sz w:val="20"/>
                <w:szCs w:val="18"/>
              </w:rPr>
              <w:fldChar w:fldCharType="begin"/>
            </w:r>
            <w:r w:rsidRPr="00F4601C">
              <w:rPr>
                <w:rFonts w:ascii="Arial Narrow" w:hAnsi="Arial Narrow" w:cs="Arial"/>
                <w:b/>
                <w:color w:val="2C9ADC"/>
                <w:sz w:val="20"/>
                <w:szCs w:val="18"/>
              </w:rPr>
              <w:instrText xml:space="preserve"> SEQ Graf \* ARABIC </w:instrText>
            </w:r>
            <w:r w:rsidRPr="00F4601C">
              <w:rPr>
                <w:rFonts w:ascii="Arial Narrow" w:hAnsi="Arial Narrow" w:cs="Arial"/>
                <w:b/>
                <w:color w:val="2C9ADC"/>
                <w:sz w:val="20"/>
                <w:szCs w:val="18"/>
              </w:rPr>
              <w:fldChar w:fldCharType="separate"/>
            </w:r>
            <w:r w:rsidR="00EE7207">
              <w:rPr>
                <w:rFonts w:ascii="Arial Narrow" w:hAnsi="Arial Narrow" w:cs="Arial"/>
                <w:b/>
                <w:noProof/>
                <w:color w:val="2C9ADC"/>
                <w:sz w:val="20"/>
                <w:szCs w:val="18"/>
              </w:rPr>
              <w:t>1</w:t>
            </w:r>
            <w:r w:rsidRPr="00F4601C">
              <w:rPr>
                <w:rFonts w:ascii="Arial Narrow" w:hAnsi="Arial Narrow" w:cs="Arial"/>
                <w:b/>
                <w:color w:val="2C9ADC"/>
                <w:sz w:val="20"/>
                <w:szCs w:val="18"/>
              </w:rPr>
              <w:fldChar w:fldCharType="end"/>
            </w:r>
            <w:r>
              <w:rPr>
                <w:rFonts w:ascii="Arial Narrow" w:hAnsi="Arial Narrow" w:cs="Arial"/>
                <w:b/>
                <w:color w:val="2C9ADC"/>
                <w:sz w:val="20"/>
                <w:szCs w:val="18"/>
              </w:rPr>
              <w:t>: Sledované výsledko</w:t>
            </w:r>
            <w:r w:rsidRPr="00F73772">
              <w:rPr>
                <w:rFonts w:ascii="Arial Narrow" w:hAnsi="Arial Narrow" w:cs="Arial"/>
                <w:b/>
                <w:color w:val="2C9ADC"/>
                <w:sz w:val="20"/>
                <w:szCs w:val="18"/>
              </w:rPr>
              <w:t>v</w:t>
            </w:r>
            <w:r>
              <w:rPr>
                <w:rFonts w:ascii="Arial Narrow" w:hAnsi="Arial Narrow" w:cs="Arial"/>
                <w:b/>
                <w:color w:val="2C9ADC"/>
                <w:sz w:val="20"/>
                <w:szCs w:val="18"/>
              </w:rPr>
              <w:t>é</w:t>
            </w:r>
            <w:r w:rsidRPr="00F73772">
              <w:rPr>
                <w:rFonts w:ascii="Arial Narrow" w:hAnsi="Arial Narrow" w:cs="Arial"/>
                <w:b/>
                <w:color w:val="2C9ADC"/>
                <w:sz w:val="20"/>
                <w:szCs w:val="18"/>
              </w:rPr>
              <w:t xml:space="preserve"> ukazovate</w:t>
            </w:r>
            <w:r>
              <w:rPr>
                <w:rFonts w:ascii="Arial Narrow" w:hAnsi="Arial Narrow" w:cs="Arial"/>
                <w:b/>
                <w:color w:val="2C9ADC"/>
                <w:sz w:val="20"/>
                <w:szCs w:val="18"/>
              </w:rPr>
              <w:t>le, štandardná odchýlka</w:t>
            </w:r>
            <w:r w:rsidRPr="00F73772">
              <w:rPr>
                <w:rFonts w:ascii="Arial Narrow" w:hAnsi="Arial Narrow" w:cs="Arial"/>
                <w:b/>
                <w:color w:val="2C9ADC"/>
                <w:sz w:val="20"/>
                <w:szCs w:val="18"/>
              </w:rPr>
              <w:t xml:space="preserve"> </w:t>
            </w:r>
            <w:r>
              <w:rPr>
                <w:rFonts w:ascii="Arial Narrow" w:hAnsi="Arial Narrow" w:cs="Arial"/>
                <w:b/>
                <w:color w:val="2C9ADC"/>
                <w:sz w:val="20"/>
                <w:szCs w:val="18"/>
              </w:rPr>
              <w:t>od priemeru OECD a EÚ</w:t>
            </w:r>
            <w:bookmarkEnd w:id="4"/>
            <w:bookmarkEnd w:id="5"/>
            <w:r w:rsidRPr="00F73772">
              <w:rPr>
                <w:rFonts w:ascii="Arial Narrow" w:hAnsi="Arial Narrow" w:cs="Arial"/>
                <w:b/>
                <w:color w:val="2C9ADC"/>
                <w:sz w:val="20"/>
                <w:szCs w:val="18"/>
              </w:rPr>
              <w:t xml:space="preserve">  </w:t>
            </w:r>
          </w:p>
        </w:tc>
        <w:tc>
          <w:tcPr>
            <w:tcW w:w="93" w:type="pct"/>
            <w:tcBorders>
              <w:top w:val="nil"/>
              <w:left w:val="nil"/>
              <w:bottom w:val="nil"/>
              <w:right w:val="nil"/>
            </w:tcBorders>
            <w:shd w:val="clear" w:color="auto" w:fill="auto"/>
            <w:vAlign w:val="center"/>
          </w:tcPr>
          <w:p w14:paraId="24BDE9B1" w14:textId="77777777" w:rsidR="001C2E48" w:rsidRPr="00614593" w:rsidRDefault="001C2E48" w:rsidP="006002FD">
            <w:pPr>
              <w:spacing w:after="0" w:line="240" w:lineRule="auto"/>
              <w:rPr>
                <w:rFonts w:ascii="Arial Narrow" w:hAnsi="Arial Narrow" w:cs="Arial"/>
                <w:b/>
                <w:color w:val="2C9ADC"/>
                <w:sz w:val="18"/>
                <w:szCs w:val="18"/>
              </w:rPr>
            </w:pPr>
          </w:p>
        </w:tc>
        <w:tc>
          <w:tcPr>
            <w:tcW w:w="2400" w:type="pct"/>
            <w:tcBorders>
              <w:top w:val="nil"/>
              <w:left w:val="nil"/>
              <w:bottom w:val="single" w:sz="4" w:space="0" w:color="auto"/>
              <w:right w:val="nil"/>
            </w:tcBorders>
            <w:shd w:val="clear" w:color="auto" w:fill="auto"/>
            <w:vAlign w:val="center"/>
          </w:tcPr>
          <w:p w14:paraId="24BAEA18" w14:textId="77777777" w:rsidR="001C2E48" w:rsidRPr="00614593" w:rsidRDefault="001C2E48" w:rsidP="006002FD">
            <w:pPr>
              <w:spacing w:after="0" w:line="240" w:lineRule="auto"/>
              <w:rPr>
                <w:rFonts w:ascii="Arial Narrow" w:hAnsi="Arial Narrow" w:cs="Arial"/>
                <w:b/>
                <w:color w:val="2C9ADC"/>
                <w:sz w:val="18"/>
                <w:szCs w:val="18"/>
              </w:rPr>
            </w:pPr>
            <w:bookmarkStart w:id="6" w:name="_Toc480760493"/>
            <w:bookmarkStart w:id="7" w:name="_Toc509513314"/>
            <w:r w:rsidRPr="00F4601C">
              <w:rPr>
                <w:rFonts w:ascii="Arial Narrow" w:hAnsi="Arial Narrow" w:cs="Arial"/>
                <w:b/>
                <w:color w:val="2C9ADC"/>
                <w:sz w:val="20"/>
                <w:szCs w:val="18"/>
              </w:rPr>
              <w:t xml:space="preserve">Graf </w:t>
            </w:r>
            <w:r w:rsidRPr="00F4601C">
              <w:rPr>
                <w:rFonts w:ascii="Arial Narrow" w:hAnsi="Arial Narrow" w:cs="Arial"/>
                <w:b/>
                <w:color w:val="2C9ADC"/>
                <w:sz w:val="20"/>
                <w:szCs w:val="18"/>
              </w:rPr>
              <w:fldChar w:fldCharType="begin"/>
            </w:r>
            <w:r w:rsidRPr="00F4601C">
              <w:rPr>
                <w:rFonts w:ascii="Arial Narrow" w:hAnsi="Arial Narrow" w:cs="Arial"/>
                <w:b/>
                <w:color w:val="2C9ADC"/>
                <w:sz w:val="20"/>
                <w:szCs w:val="18"/>
              </w:rPr>
              <w:instrText xml:space="preserve"> SEQ Graf \* ARABIC </w:instrText>
            </w:r>
            <w:r w:rsidRPr="00F4601C">
              <w:rPr>
                <w:rFonts w:ascii="Arial Narrow" w:hAnsi="Arial Narrow" w:cs="Arial"/>
                <w:b/>
                <w:color w:val="2C9ADC"/>
                <w:sz w:val="20"/>
                <w:szCs w:val="18"/>
              </w:rPr>
              <w:fldChar w:fldCharType="separate"/>
            </w:r>
            <w:r w:rsidR="00EE7207">
              <w:rPr>
                <w:rFonts w:ascii="Arial Narrow" w:hAnsi="Arial Narrow" w:cs="Arial"/>
                <w:b/>
                <w:noProof/>
                <w:color w:val="2C9ADC"/>
                <w:sz w:val="20"/>
                <w:szCs w:val="18"/>
              </w:rPr>
              <w:t>2</w:t>
            </w:r>
            <w:r w:rsidRPr="00F4601C">
              <w:rPr>
                <w:rFonts w:ascii="Arial Narrow" w:hAnsi="Arial Narrow" w:cs="Arial"/>
                <w:b/>
                <w:color w:val="2C9ADC"/>
                <w:sz w:val="20"/>
                <w:szCs w:val="18"/>
              </w:rPr>
              <w:fldChar w:fldCharType="end"/>
            </w:r>
            <w:r>
              <w:rPr>
                <w:rFonts w:ascii="Arial Narrow" w:hAnsi="Arial Narrow" w:cs="Arial"/>
                <w:b/>
                <w:color w:val="2C9ADC"/>
                <w:sz w:val="20"/>
                <w:szCs w:val="18"/>
              </w:rPr>
              <w:t>: „</w:t>
            </w:r>
            <w:proofErr w:type="spellStart"/>
            <w:r>
              <w:rPr>
                <w:rFonts w:ascii="Arial Narrow" w:hAnsi="Arial Narrow" w:cs="Arial"/>
                <w:b/>
                <w:color w:val="2C9ADC"/>
                <w:sz w:val="20"/>
                <w:szCs w:val="18"/>
              </w:rPr>
              <w:t>Disagregácia</w:t>
            </w:r>
            <w:proofErr w:type="spellEnd"/>
            <w:r>
              <w:rPr>
                <w:rFonts w:ascii="Arial Narrow" w:hAnsi="Arial Narrow" w:cs="Arial"/>
                <w:b/>
                <w:color w:val="2C9ADC"/>
                <w:sz w:val="20"/>
                <w:szCs w:val="18"/>
              </w:rPr>
              <w:t>“ výsledkových ukazovateľov pomocou doplnkových indikátorov, štandardná odchýlka od priemeru ostatných krajín</w:t>
            </w:r>
            <w:bookmarkEnd w:id="6"/>
            <w:bookmarkEnd w:id="7"/>
          </w:p>
        </w:tc>
      </w:tr>
      <w:tr w:rsidR="001C2E48" w:rsidRPr="00614593" w14:paraId="4089CE42" w14:textId="77777777" w:rsidTr="006002FD">
        <w:trPr>
          <w:gridBefore w:val="1"/>
          <w:wBefore w:w="120" w:type="pct"/>
          <w:trHeight w:val="3843"/>
        </w:trPr>
        <w:tc>
          <w:tcPr>
            <w:tcW w:w="2387" w:type="pct"/>
            <w:tcBorders>
              <w:top w:val="single" w:sz="4" w:space="0" w:color="auto"/>
              <w:left w:val="nil"/>
              <w:bottom w:val="single" w:sz="4" w:space="0" w:color="auto"/>
              <w:right w:val="nil"/>
            </w:tcBorders>
            <w:vAlign w:val="center"/>
          </w:tcPr>
          <w:p w14:paraId="4807D79C" w14:textId="77777777" w:rsidR="001C2E48" w:rsidRPr="00522B96" w:rsidRDefault="001C2E48" w:rsidP="006002FD">
            <w:pPr>
              <w:spacing w:after="0" w:line="240" w:lineRule="auto"/>
              <w:ind w:left="-136" w:hanging="142"/>
              <w:jc w:val="center"/>
              <w:rPr>
                <w:rFonts w:ascii="Arial Narrow" w:hAnsi="Arial Narrow" w:cs="Arial"/>
                <w:b/>
                <w:sz w:val="20"/>
                <w:szCs w:val="20"/>
              </w:rPr>
            </w:pPr>
            <w:r>
              <w:rPr>
                <w:noProof/>
                <w:lang w:val="en-US" w:eastAsia="en-US"/>
              </w:rPr>
              <w:drawing>
                <wp:inline distT="0" distB="0" distL="0" distR="0" wp14:anchorId="5BEE39B3" wp14:editId="5D286550">
                  <wp:extent cx="2532380" cy="2400300"/>
                  <wp:effectExtent l="0" t="0" r="1270"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93" w:type="pct"/>
            <w:tcBorders>
              <w:top w:val="nil"/>
              <w:left w:val="nil"/>
              <w:bottom w:val="nil"/>
              <w:right w:val="nil"/>
            </w:tcBorders>
            <w:vAlign w:val="center"/>
          </w:tcPr>
          <w:p w14:paraId="6FE75C1A" w14:textId="77777777" w:rsidR="001C2E48" w:rsidRPr="00614593" w:rsidRDefault="001C2E48" w:rsidP="006002FD">
            <w:pPr>
              <w:spacing w:after="0" w:line="240" w:lineRule="auto"/>
              <w:jc w:val="center"/>
              <w:rPr>
                <w:rFonts w:ascii="Arial Narrow" w:hAnsi="Arial Narrow" w:cs="Arial"/>
                <w:b/>
                <w:sz w:val="20"/>
                <w:szCs w:val="20"/>
              </w:rPr>
            </w:pPr>
          </w:p>
        </w:tc>
        <w:tc>
          <w:tcPr>
            <w:tcW w:w="2400" w:type="pct"/>
            <w:tcBorders>
              <w:top w:val="single" w:sz="4" w:space="0" w:color="auto"/>
              <w:left w:val="nil"/>
              <w:bottom w:val="single" w:sz="4" w:space="0" w:color="auto"/>
              <w:right w:val="nil"/>
            </w:tcBorders>
            <w:vAlign w:val="center"/>
          </w:tcPr>
          <w:p w14:paraId="19C548E2" w14:textId="77777777" w:rsidR="001C2E48" w:rsidRPr="00522B96" w:rsidRDefault="001C2E48" w:rsidP="006002FD">
            <w:pPr>
              <w:spacing w:after="0" w:line="240" w:lineRule="auto"/>
              <w:ind w:right="213"/>
              <w:jc w:val="center"/>
              <w:rPr>
                <w:rFonts w:ascii="Arial Narrow" w:hAnsi="Arial Narrow" w:cs="Arial"/>
                <w:b/>
                <w:color w:val="000000" w:themeColor="text1"/>
                <w:sz w:val="20"/>
                <w:szCs w:val="20"/>
              </w:rPr>
            </w:pPr>
            <w:r>
              <w:rPr>
                <w:noProof/>
                <w:lang w:val="en-US" w:eastAsia="en-US"/>
              </w:rPr>
              <w:drawing>
                <wp:inline distT="0" distB="0" distL="0" distR="0" wp14:anchorId="71C38D5E" wp14:editId="76135125">
                  <wp:extent cx="2600325" cy="2352675"/>
                  <wp:effectExtent l="0" t="0" r="0" b="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1C2E48" w:rsidRPr="00614593" w14:paraId="3C57A572" w14:textId="77777777" w:rsidTr="006016F5">
        <w:trPr>
          <w:trHeight w:val="113"/>
        </w:trPr>
        <w:tc>
          <w:tcPr>
            <w:tcW w:w="2507" w:type="pct"/>
            <w:gridSpan w:val="2"/>
            <w:tcBorders>
              <w:top w:val="single" w:sz="4" w:space="0" w:color="auto"/>
              <w:left w:val="nil"/>
              <w:bottom w:val="nil"/>
              <w:right w:val="nil"/>
            </w:tcBorders>
            <w:vAlign w:val="center"/>
          </w:tcPr>
          <w:p w14:paraId="01BA90BF" w14:textId="77777777" w:rsidR="001C2E48" w:rsidRPr="00653D43" w:rsidRDefault="001C2E48" w:rsidP="006002FD">
            <w:pPr>
              <w:spacing w:after="0" w:line="240" w:lineRule="auto"/>
              <w:jc w:val="right"/>
              <w:rPr>
                <w:rFonts w:ascii="Arial Narrow" w:hAnsi="Arial Narrow" w:cs="Arial"/>
                <w:sz w:val="18"/>
                <w:szCs w:val="14"/>
              </w:rPr>
            </w:pPr>
            <w:r w:rsidRPr="00653D43">
              <w:rPr>
                <w:rFonts w:ascii="Arial Narrow" w:hAnsi="Arial Narrow"/>
                <w:i/>
                <w:iCs/>
                <w:color w:val="000000"/>
                <w:sz w:val="18"/>
                <w:szCs w:val="16"/>
              </w:rPr>
              <w:t xml:space="preserve">Zdroj: </w:t>
            </w:r>
            <w:r>
              <w:rPr>
                <w:rFonts w:ascii="Arial Narrow" w:hAnsi="Arial Narrow"/>
                <w:i/>
                <w:iCs/>
                <w:color w:val="000000"/>
                <w:sz w:val="18"/>
                <w:szCs w:val="16"/>
              </w:rPr>
              <w:t>IFP</w:t>
            </w:r>
          </w:p>
        </w:tc>
        <w:tc>
          <w:tcPr>
            <w:tcW w:w="93" w:type="pct"/>
            <w:tcBorders>
              <w:top w:val="nil"/>
              <w:left w:val="nil"/>
              <w:bottom w:val="nil"/>
              <w:right w:val="nil"/>
            </w:tcBorders>
            <w:vAlign w:val="center"/>
          </w:tcPr>
          <w:p w14:paraId="6D4FAFE6" w14:textId="77777777" w:rsidR="001C2E48" w:rsidRPr="00653D43" w:rsidRDefault="001C2E48" w:rsidP="006002FD">
            <w:pPr>
              <w:spacing w:after="0" w:line="240" w:lineRule="auto"/>
              <w:jc w:val="center"/>
              <w:rPr>
                <w:rFonts w:ascii="Arial Narrow" w:hAnsi="Arial Narrow" w:cs="Arial"/>
                <w:sz w:val="18"/>
                <w:szCs w:val="14"/>
              </w:rPr>
            </w:pPr>
          </w:p>
        </w:tc>
        <w:tc>
          <w:tcPr>
            <w:tcW w:w="2400" w:type="pct"/>
            <w:tcBorders>
              <w:top w:val="single" w:sz="4" w:space="0" w:color="auto"/>
              <w:left w:val="nil"/>
              <w:bottom w:val="nil"/>
              <w:right w:val="nil"/>
            </w:tcBorders>
            <w:vAlign w:val="center"/>
          </w:tcPr>
          <w:p w14:paraId="251BF375" w14:textId="77777777" w:rsidR="001C2E48" w:rsidRPr="00653D43" w:rsidRDefault="001C2E48" w:rsidP="006002FD">
            <w:pPr>
              <w:spacing w:after="0" w:line="240" w:lineRule="auto"/>
              <w:jc w:val="right"/>
              <w:rPr>
                <w:rFonts w:ascii="Arial Narrow" w:hAnsi="Arial Narrow" w:cs="Arial"/>
                <w:sz w:val="18"/>
                <w:szCs w:val="14"/>
              </w:rPr>
            </w:pPr>
            <w:r>
              <w:rPr>
                <w:rFonts w:ascii="Arial Narrow" w:hAnsi="Arial Narrow"/>
                <w:i/>
                <w:iCs/>
                <w:color w:val="000000"/>
                <w:sz w:val="18"/>
                <w:szCs w:val="16"/>
              </w:rPr>
              <w:t>Zdroj: IFP</w:t>
            </w:r>
            <w:r w:rsidRPr="00653D43">
              <w:rPr>
                <w:rFonts w:ascii="Arial Narrow" w:hAnsi="Arial Narrow"/>
                <w:i/>
                <w:iCs/>
                <w:color w:val="000000"/>
                <w:sz w:val="18"/>
                <w:szCs w:val="16"/>
              </w:rPr>
              <w:t xml:space="preserve"> </w:t>
            </w:r>
          </w:p>
        </w:tc>
      </w:tr>
    </w:tbl>
    <w:p w14:paraId="0972ED5F" w14:textId="77777777" w:rsidR="00241FFB" w:rsidRPr="006002FD" w:rsidRDefault="00241FFB" w:rsidP="001C2E48">
      <w:pPr>
        <w:spacing w:after="0" w:line="240" w:lineRule="auto"/>
        <w:jc w:val="both"/>
        <w:rPr>
          <w:rFonts w:ascii="Arial Narrow" w:hAnsi="Arial Narrow"/>
          <w:sz w:val="14"/>
        </w:rPr>
      </w:pPr>
    </w:p>
    <w:p w14:paraId="1908F8A8" w14:textId="61E19691" w:rsidR="00241FFB" w:rsidRDefault="00241FFB" w:rsidP="001C2E48">
      <w:pPr>
        <w:spacing w:after="0" w:line="240" w:lineRule="auto"/>
        <w:jc w:val="both"/>
        <w:rPr>
          <w:rFonts w:ascii="Arial Narrow" w:hAnsi="Arial Narrow"/>
        </w:rPr>
      </w:pPr>
      <w:r w:rsidRPr="00241FFB">
        <w:rPr>
          <w:rFonts w:ascii="Arial Narrow" w:hAnsi="Arial Narrow"/>
        </w:rPr>
        <w:t>Medzinárodne porovnateľné výsledky školstva meriame na úrovni základných škôl testovaním 15-ročných študentov PISA. Výsledky Slovenska sa v roku 2015 opäť zhoršili, zaostávame za krajinami OECD, aj za regiónom. Zatiaľ čo v minulosti sme mali horšie výsledky najmä znevýhodnených skupín (aj v porovnaní so zahraničím), v roku 2015 sa zhoršili už všetci žiaci. Aj vzhľadom na to, že počet žiakov v regionálnom</w:t>
      </w:r>
      <w:r w:rsidR="00624888">
        <w:rPr>
          <w:rFonts w:ascii="Arial Narrow" w:hAnsi="Arial Narrow"/>
        </w:rPr>
        <w:t xml:space="preserve"> školstve od roku 1990 klesal, </w:t>
      </w:r>
      <w:r w:rsidRPr="00241FFB">
        <w:rPr>
          <w:rFonts w:ascii="Arial Narrow" w:hAnsi="Arial Narrow"/>
        </w:rPr>
        <w:t xml:space="preserve">výdavky na žiaka relatívne k HDP postupne rástli, </w:t>
      </w:r>
      <w:r w:rsidR="00726A42">
        <w:rPr>
          <w:rFonts w:ascii="Arial Narrow" w:hAnsi="Arial Narrow"/>
        </w:rPr>
        <w:t>no</w:t>
      </w:r>
      <w:r w:rsidR="00726A42" w:rsidRPr="00241FFB">
        <w:rPr>
          <w:rFonts w:ascii="Arial Narrow" w:hAnsi="Arial Narrow"/>
        </w:rPr>
        <w:t xml:space="preserve"> </w:t>
      </w:r>
      <w:r w:rsidRPr="00241FFB">
        <w:rPr>
          <w:rFonts w:ascii="Arial Narrow" w:hAnsi="Arial Narrow"/>
        </w:rPr>
        <w:t>stále sú signifikantne pod priemerom OECD. Vyrovnávanie šancí znevýhodnených detí cez vzdelanie je pre Slovensko veľkou výzvou.</w:t>
      </w:r>
    </w:p>
    <w:p w14:paraId="0837FFC7" w14:textId="77777777" w:rsidR="00241FFB" w:rsidRDefault="00241FFB" w:rsidP="001C2E48">
      <w:pPr>
        <w:spacing w:after="0" w:line="240" w:lineRule="auto"/>
        <w:jc w:val="both"/>
        <w:rPr>
          <w:rFonts w:ascii="Arial Narrow" w:hAnsi="Arial Narrow"/>
        </w:rPr>
      </w:pPr>
      <w:r>
        <w:rPr>
          <w:rFonts w:ascii="Arial Narrow" w:hAnsi="Arial Narrow"/>
        </w:rPr>
        <w:t xml:space="preserve"> </w:t>
      </w:r>
    </w:p>
    <w:p w14:paraId="675C385A" w14:textId="5FBC2769" w:rsidR="001C2E48" w:rsidRDefault="001C2E48" w:rsidP="001C2E48">
      <w:pPr>
        <w:spacing w:after="0" w:line="240" w:lineRule="auto"/>
        <w:jc w:val="both"/>
        <w:rPr>
          <w:rFonts w:ascii="Arial Narrow" w:hAnsi="Arial Narrow"/>
        </w:rPr>
      </w:pPr>
      <w:r w:rsidRPr="00256D89">
        <w:rPr>
          <w:rFonts w:ascii="Arial Narrow" w:hAnsi="Arial Narrow"/>
        </w:rPr>
        <w:t>Doplňujúce indikátory naznačujú, že hlavn</w:t>
      </w:r>
      <w:r w:rsidR="00726A42">
        <w:rPr>
          <w:rFonts w:ascii="Arial Narrow" w:hAnsi="Arial Narrow"/>
        </w:rPr>
        <w:t>ou</w:t>
      </w:r>
      <w:r>
        <w:rPr>
          <w:rFonts w:ascii="Arial Narrow" w:hAnsi="Arial Narrow"/>
        </w:rPr>
        <w:t xml:space="preserve"> </w:t>
      </w:r>
      <w:r w:rsidR="00726A42">
        <w:rPr>
          <w:rFonts w:ascii="Arial Narrow" w:hAnsi="Arial Narrow"/>
        </w:rPr>
        <w:t xml:space="preserve">výzvou </w:t>
      </w:r>
      <w:r w:rsidRPr="00256D89">
        <w:rPr>
          <w:rFonts w:ascii="Arial Narrow" w:hAnsi="Arial Narrow"/>
        </w:rPr>
        <w:t xml:space="preserve">trhu práce je </w:t>
      </w:r>
      <w:r w:rsidR="00492611" w:rsidRPr="00256D89">
        <w:rPr>
          <w:rFonts w:ascii="Arial Narrow" w:hAnsi="Arial Narrow"/>
        </w:rPr>
        <w:t>dlhodob</w:t>
      </w:r>
      <w:r w:rsidR="00492611">
        <w:rPr>
          <w:rFonts w:ascii="Arial Narrow" w:hAnsi="Arial Narrow"/>
        </w:rPr>
        <w:t>á</w:t>
      </w:r>
      <w:r w:rsidR="00492611" w:rsidRPr="00256D89">
        <w:rPr>
          <w:rFonts w:ascii="Arial Narrow" w:hAnsi="Arial Narrow"/>
        </w:rPr>
        <w:t xml:space="preserve"> nezamestnanos</w:t>
      </w:r>
      <w:r w:rsidR="00492611">
        <w:rPr>
          <w:rFonts w:ascii="Arial Narrow" w:hAnsi="Arial Narrow"/>
        </w:rPr>
        <w:t>ť</w:t>
      </w:r>
      <w:r w:rsidR="00492611" w:rsidRPr="00256D89">
        <w:rPr>
          <w:rFonts w:ascii="Arial Narrow" w:hAnsi="Arial Narrow"/>
        </w:rPr>
        <w:t xml:space="preserve"> </w:t>
      </w:r>
      <w:r w:rsidR="00492611">
        <w:rPr>
          <w:rFonts w:ascii="Arial Narrow" w:hAnsi="Arial Narrow"/>
        </w:rPr>
        <w:t>a</w:t>
      </w:r>
      <w:r w:rsidR="00624888">
        <w:rPr>
          <w:rFonts w:ascii="Arial Narrow" w:hAnsi="Arial Narrow"/>
        </w:rPr>
        <w:t> </w:t>
      </w:r>
      <w:r w:rsidRPr="00256D89">
        <w:rPr>
          <w:rFonts w:ascii="Arial Narrow" w:hAnsi="Arial Narrow"/>
        </w:rPr>
        <w:t>zamestnávan</w:t>
      </w:r>
      <w:r>
        <w:rPr>
          <w:rFonts w:ascii="Arial Narrow" w:hAnsi="Arial Narrow"/>
        </w:rPr>
        <w:t>ie</w:t>
      </w:r>
      <w:r w:rsidR="00624888">
        <w:rPr>
          <w:rFonts w:ascii="Arial Narrow" w:hAnsi="Arial Narrow"/>
        </w:rPr>
        <w:t xml:space="preserve"> </w:t>
      </w:r>
      <w:proofErr w:type="spellStart"/>
      <w:r>
        <w:rPr>
          <w:rFonts w:ascii="Arial Narrow" w:hAnsi="Arial Narrow"/>
        </w:rPr>
        <w:t>UoZ</w:t>
      </w:r>
      <w:proofErr w:type="spellEnd"/>
      <w:r w:rsidRPr="00256D89">
        <w:rPr>
          <w:rFonts w:ascii="Arial Narrow" w:hAnsi="Arial Narrow"/>
        </w:rPr>
        <w:t xml:space="preserve"> </w:t>
      </w:r>
      <w:r>
        <w:rPr>
          <w:rFonts w:ascii="Arial Narrow" w:hAnsi="Arial Narrow"/>
        </w:rPr>
        <w:t>so základným vzdelaním</w:t>
      </w:r>
      <w:r w:rsidR="00492611">
        <w:rPr>
          <w:rFonts w:ascii="Arial Narrow" w:hAnsi="Arial Narrow"/>
        </w:rPr>
        <w:t>.</w:t>
      </w:r>
      <w:r w:rsidRPr="00256D89">
        <w:rPr>
          <w:rFonts w:ascii="Arial Narrow" w:hAnsi="Arial Narrow"/>
        </w:rPr>
        <w:t xml:space="preserve"> Dlhodobá nezamestnanosť a s ňou súvisiaca strata zručností je ďalšou bariérou lepších výsledkov </w:t>
      </w:r>
      <w:r>
        <w:rPr>
          <w:rFonts w:ascii="Arial Narrow" w:hAnsi="Arial Narrow"/>
        </w:rPr>
        <w:t>slovenského</w:t>
      </w:r>
      <w:r w:rsidRPr="00256D89">
        <w:rPr>
          <w:rFonts w:ascii="Arial Narrow" w:hAnsi="Arial Narrow"/>
        </w:rPr>
        <w:t xml:space="preserve"> pracovného trhu. </w:t>
      </w:r>
      <w:r>
        <w:rPr>
          <w:rFonts w:ascii="Arial Narrow" w:hAnsi="Arial Narrow"/>
        </w:rPr>
        <w:t>Z pohľadu vekového rozdelenia je situácia na trhu práce horšia najmä u starších</w:t>
      </w:r>
      <w:r w:rsidRPr="00256D89">
        <w:rPr>
          <w:rFonts w:ascii="Arial Narrow" w:hAnsi="Arial Narrow"/>
        </w:rPr>
        <w:t xml:space="preserve"> (</w:t>
      </w:r>
      <w:r>
        <w:rPr>
          <w:rFonts w:ascii="Arial Narrow" w:hAnsi="Arial Narrow"/>
        </w:rPr>
        <w:t xml:space="preserve">vo veku </w:t>
      </w:r>
      <w:r w:rsidRPr="00256D89">
        <w:rPr>
          <w:rFonts w:ascii="Arial Narrow" w:hAnsi="Arial Narrow"/>
        </w:rPr>
        <w:t>55</w:t>
      </w:r>
      <w:r>
        <w:rPr>
          <w:rFonts w:ascii="Arial Narrow" w:hAnsi="Arial Narrow"/>
        </w:rPr>
        <w:t xml:space="preserve"> až </w:t>
      </w:r>
      <w:r w:rsidRPr="00256D89">
        <w:rPr>
          <w:rFonts w:ascii="Arial Narrow" w:hAnsi="Arial Narrow"/>
        </w:rPr>
        <w:t>64</w:t>
      </w:r>
      <w:r>
        <w:rPr>
          <w:rFonts w:ascii="Arial Narrow" w:hAnsi="Arial Narrow"/>
        </w:rPr>
        <w:t xml:space="preserve"> rokov</w:t>
      </w:r>
      <w:r w:rsidRPr="00256D89">
        <w:rPr>
          <w:rFonts w:ascii="Arial Narrow" w:hAnsi="Arial Narrow"/>
        </w:rPr>
        <w:t>)</w:t>
      </w:r>
      <w:r>
        <w:rPr>
          <w:rFonts w:ascii="Arial Narrow" w:hAnsi="Arial Narrow"/>
        </w:rPr>
        <w:t xml:space="preserve"> a u </w:t>
      </w:r>
      <w:r w:rsidRPr="00256D89">
        <w:rPr>
          <w:rFonts w:ascii="Arial Narrow" w:hAnsi="Arial Narrow"/>
        </w:rPr>
        <w:t>ž</w:t>
      </w:r>
      <w:r>
        <w:rPr>
          <w:rFonts w:ascii="Arial Narrow" w:hAnsi="Arial Narrow"/>
        </w:rPr>
        <w:t>i</w:t>
      </w:r>
      <w:r w:rsidRPr="00256D89">
        <w:rPr>
          <w:rFonts w:ascii="Arial Narrow" w:hAnsi="Arial Narrow"/>
        </w:rPr>
        <w:t>e</w:t>
      </w:r>
      <w:r>
        <w:rPr>
          <w:rFonts w:ascii="Arial Narrow" w:hAnsi="Arial Narrow"/>
        </w:rPr>
        <w:t>n</w:t>
      </w:r>
      <w:r w:rsidRPr="00256D89">
        <w:rPr>
          <w:rFonts w:ascii="Arial Narrow" w:hAnsi="Arial Narrow"/>
        </w:rPr>
        <w:t xml:space="preserve">. </w:t>
      </w:r>
      <w:r w:rsidRPr="00DD6942">
        <w:rPr>
          <w:rFonts w:ascii="Arial Narrow" w:hAnsi="Arial Narrow"/>
        </w:rPr>
        <w:t xml:space="preserve">Podiel nezamestnanosti mladých na celkovej nezamestnanosti je nižší ako priemer krajín </w:t>
      </w:r>
      <w:r>
        <w:rPr>
          <w:rFonts w:ascii="Arial Narrow" w:hAnsi="Arial Narrow"/>
        </w:rPr>
        <w:t>OECD</w:t>
      </w:r>
      <w:r w:rsidRPr="00DD6942">
        <w:rPr>
          <w:rFonts w:ascii="Arial Narrow" w:hAnsi="Arial Narrow"/>
        </w:rPr>
        <w:t>, aj keď ich miera nezamestnanosti je vyššia ako priemer.</w:t>
      </w:r>
      <w:r>
        <w:rPr>
          <w:rFonts w:ascii="Arial Narrow" w:hAnsi="Arial Narrow"/>
        </w:rPr>
        <w:t xml:space="preserve"> </w:t>
      </w:r>
    </w:p>
    <w:p w14:paraId="57EAC456" w14:textId="77777777" w:rsidR="001C2E48" w:rsidRPr="00256D89" w:rsidRDefault="001C2E48" w:rsidP="001C2E48">
      <w:pPr>
        <w:spacing w:after="0" w:line="240" w:lineRule="auto"/>
        <w:jc w:val="both"/>
        <w:rPr>
          <w:rFonts w:ascii="Arial Narrow" w:hAnsi="Arial Narrow"/>
        </w:rPr>
      </w:pPr>
      <w:r w:rsidRPr="00256D89">
        <w:rPr>
          <w:rFonts w:ascii="Arial Narrow" w:hAnsi="Arial Narrow"/>
        </w:rPr>
        <w:lastRenderedPageBreak/>
        <w:t>Slov</w:t>
      </w:r>
      <w:r>
        <w:rPr>
          <w:rFonts w:ascii="Arial Narrow" w:hAnsi="Arial Narrow"/>
        </w:rPr>
        <w:t xml:space="preserve">ensko zaostáva v počte </w:t>
      </w:r>
      <w:proofErr w:type="spellStart"/>
      <w:r>
        <w:rPr>
          <w:rFonts w:ascii="Arial Narrow" w:hAnsi="Arial Narrow"/>
        </w:rPr>
        <w:t>predchádzateľných</w:t>
      </w:r>
      <w:proofErr w:type="spellEnd"/>
      <w:r>
        <w:rPr>
          <w:rFonts w:ascii="Arial Narrow" w:hAnsi="Arial Narrow"/>
        </w:rPr>
        <w:t xml:space="preserve"> úmrtí, </w:t>
      </w:r>
      <w:r w:rsidRPr="00FD3BA6">
        <w:rPr>
          <w:rFonts w:ascii="Arial Narrow" w:hAnsi="Arial Narrow"/>
        </w:rPr>
        <w:t>ktorým sa dalo zabrániť kvalitnou zdravotnou starostlivosťou</w:t>
      </w:r>
      <w:r>
        <w:rPr>
          <w:rFonts w:ascii="Arial Narrow" w:hAnsi="Arial Narrow"/>
        </w:rPr>
        <w:t>, a Slováci</w:t>
      </w:r>
      <w:r w:rsidRPr="00256D89">
        <w:rPr>
          <w:rFonts w:ascii="Arial Narrow" w:hAnsi="Arial Narrow"/>
        </w:rPr>
        <w:t xml:space="preserve"> zároveň </w:t>
      </w:r>
      <w:r>
        <w:rPr>
          <w:rFonts w:ascii="Arial Narrow" w:hAnsi="Arial Narrow"/>
        </w:rPr>
        <w:t xml:space="preserve">prežijú takmer </w:t>
      </w:r>
      <w:r w:rsidRPr="00256D89">
        <w:rPr>
          <w:rFonts w:ascii="Arial Narrow" w:hAnsi="Arial Narrow"/>
        </w:rPr>
        <w:t>najmenej rokov zdravého života</w:t>
      </w:r>
      <w:r>
        <w:rPr>
          <w:rFonts w:ascii="Arial Narrow" w:hAnsi="Arial Narrow"/>
        </w:rPr>
        <w:t xml:space="preserve"> v EÚ</w:t>
      </w:r>
      <w:r w:rsidRPr="00256D89">
        <w:rPr>
          <w:rFonts w:ascii="Arial Narrow" w:hAnsi="Arial Narrow"/>
        </w:rPr>
        <w:t>. Aktualizovaný model, ktorý bol použitý v štúdií o zdravotníctve</w:t>
      </w:r>
      <w:r w:rsidRPr="00256D89">
        <w:rPr>
          <w:rStyle w:val="Odkaznapoznmkupodiarou"/>
          <w:rFonts w:ascii="Arial Narrow" w:hAnsi="Arial Narrow"/>
        </w:rPr>
        <w:footnoteReference w:id="4"/>
      </w:r>
      <w:r w:rsidRPr="00256D89">
        <w:rPr>
          <w:rFonts w:ascii="Arial Narrow" w:hAnsi="Arial Narrow"/>
        </w:rPr>
        <w:t xml:space="preserve">, naznačuje vysokú </w:t>
      </w:r>
      <w:proofErr w:type="spellStart"/>
      <w:r w:rsidRPr="00256D89">
        <w:rPr>
          <w:rFonts w:ascii="Arial Narrow" w:hAnsi="Arial Narrow"/>
        </w:rPr>
        <w:t>neefektivitu</w:t>
      </w:r>
      <w:proofErr w:type="spellEnd"/>
      <w:r w:rsidRPr="00256D89">
        <w:rPr>
          <w:rFonts w:ascii="Arial Narrow" w:hAnsi="Arial Narrow"/>
        </w:rPr>
        <w:t xml:space="preserve"> vynakladaných zdrojov. </w:t>
      </w:r>
    </w:p>
    <w:p w14:paraId="647B09CE" w14:textId="77777777" w:rsidR="001C2E48" w:rsidRPr="00256D89" w:rsidRDefault="00882023" w:rsidP="00882023">
      <w:pPr>
        <w:spacing w:after="0" w:line="240" w:lineRule="auto"/>
        <w:rPr>
          <w:rFonts w:ascii="Arial Narrow" w:hAnsi="Arial Narrow"/>
        </w:rPr>
      </w:pPr>
      <w:r>
        <w:rPr>
          <w:rFonts w:ascii="Arial Narrow" w:hAnsi="Arial Narrow"/>
        </w:rPr>
        <w:br w:type="page"/>
      </w:r>
    </w:p>
    <w:p w14:paraId="5F34199F" w14:textId="77777777" w:rsidR="00DC0931" w:rsidRPr="00256D89" w:rsidRDefault="000E4403" w:rsidP="00FB625E">
      <w:pPr>
        <w:pStyle w:val="Nadpis1"/>
        <w:numPr>
          <w:ilvl w:val="0"/>
          <w:numId w:val="1"/>
        </w:numPr>
        <w:spacing w:line="240" w:lineRule="auto"/>
      </w:pPr>
      <w:bookmarkStart w:id="8" w:name="_Toc386005358"/>
      <w:r>
        <w:rPr>
          <w:rFonts w:ascii="Arial Narrow" w:hAnsi="Arial Narrow"/>
          <w:color w:val="auto"/>
          <w:sz w:val="32"/>
          <w:szCs w:val="32"/>
        </w:rPr>
        <w:lastRenderedPageBreak/>
        <w:t xml:space="preserve"> </w:t>
      </w:r>
      <w:bookmarkStart w:id="9" w:name="_Toc508039573"/>
      <w:r w:rsidR="00492611">
        <w:rPr>
          <w:rFonts w:ascii="Arial Narrow" w:hAnsi="Arial Narrow"/>
          <w:color w:val="auto"/>
          <w:sz w:val="32"/>
          <w:szCs w:val="32"/>
        </w:rPr>
        <w:t>O</w:t>
      </w:r>
      <w:r>
        <w:rPr>
          <w:rFonts w:ascii="Arial Narrow" w:hAnsi="Arial Narrow"/>
          <w:color w:val="auto"/>
          <w:sz w:val="32"/>
          <w:szCs w:val="32"/>
        </w:rPr>
        <w:t xml:space="preserve">patrenia </w:t>
      </w:r>
      <w:r w:rsidR="00492611">
        <w:rPr>
          <w:rFonts w:ascii="Arial Narrow" w:hAnsi="Arial Narrow"/>
          <w:color w:val="auto"/>
          <w:sz w:val="32"/>
          <w:szCs w:val="32"/>
        </w:rPr>
        <w:t xml:space="preserve">prijaté </w:t>
      </w:r>
      <w:r>
        <w:rPr>
          <w:rFonts w:ascii="Arial Narrow" w:hAnsi="Arial Narrow"/>
          <w:color w:val="auto"/>
          <w:sz w:val="32"/>
          <w:szCs w:val="32"/>
        </w:rPr>
        <w:t>v roku</w:t>
      </w:r>
      <w:r w:rsidR="00E81DE6" w:rsidRPr="00256D89">
        <w:rPr>
          <w:rFonts w:ascii="Arial Narrow" w:hAnsi="Arial Narrow"/>
          <w:color w:val="auto"/>
          <w:sz w:val="32"/>
          <w:szCs w:val="32"/>
        </w:rPr>
        <w:t xml:space="preserve"> 201</w:t>
      </w:r>
      <w:bookmarkEnd w:id="8"/>
      <w:r w:rsidR="00722219">
        <w:rPr>
          <w:rFonts w:ascii="Arial Narrow" w:hAnsi="Arial Narrow"/>
          <w:color w:val="auto"/>
          <w:sz w:val="32"/>
          <w:szCs w:val="32"/>
        </w:rPr>
        <w:t>7</w:t>
      </w:r>
      <w:bookmarkEnd w:id="9"/>
    </w:p>
    <w:p w14:paraId="6CC7D747" w14:textId="77777777" w:rsidR="009C7EEA" w:rsidRPr="00256D89" w:rsidRDefault="009C7EEA" w:rsidP="00FB625E">
      <w:pPr>
        <w:spacing w:after="0" w:line="240" w:lineRule="auto"/>
        <w:jc w:val="both"/>
        <w:rPr>
          <w:rFonts w:ascii="Arial Narrow" w:hAnsi="Arial Narrow"/>
        </w:rPr>
      </w:pPr>
    </w:p>
    <w:p w14:paraId="499ABBEC" w14:textId="77777777" w:rsidR="00682C07" w:rsidRDefault="00682C07" w:rsidP="00FB625E">
      <w:pPr>
        <w:spacing w:after="0" w:line="240" w:lineRule="auto"/>
        <w:jc w:val="both"/>
        <w:rPr>
          <w:rFonts w:ascii="Arial Narrow" w:hAnsi="Arial Narrow"/>
        </w:rPr>
      </w:pPr>
      <w:r w:rsidRPr="005B48EF">
        <w:rPr>
          <w:rFonts w:ascii="Arial Narrow" w:hAnsi="Arial Narrow"/>
        </w:rPr>
        <w:t>Odpočet plnenia úloh akčného plánu NPR je vecne usporiadaný podľa jednotlivých špecifických odporúčaní, ktoré boli schválené na zasadnutí júnového summitu Európskej rady</w:t>
      </w:r>
      <w:r w:rsidR="00722219">
        <w:rPr>
          <w:rFonts w:ascii="Arial Narrow" w:hAnsi="Arial Narrow"/>
        </w:rPr>
        <w:t xml:space="preserve"> a v júli 2017</w:t>
      </w:r>
      <w:r w:rsidRPr="005B48EF">
        <w:rPr>
          <w:rFonts w:ascii="Arial Narrow" w:hAnsi="Arial Narrow"/>
        </w:rPr>
        <w:t xml:space="preserve"> prijaté Radou</w:t>
      </w:r>
      <w:r w:rsidR="00552526">
        <w:rPr>
          <w:rStyle w:val="Odkaznapoznmkupodiarou"/>
          <w:rFonts w:ascii="Arial Narrow" w:hAnsi="Arial Narrow"/>
        </w:rPr>
        <w:footnoteReference w:id="5"/>
      </w:r>
      <w:r w:rsidRPr="005B48EF">
        <w:rPr>
          <w:rFonts w:ascii="Arial Narrow" w:hAnsi="Arial Narrow"/>
        </w:rPr>
        <w:t>.</w:t>
      </w:r>
      <w:r w:rsidR="00894482">
        <w:rPr>
          <w:rFonts w:ascii="Arial Narrow" w:hAnsi="Arial Narrow"/>
        </w:rPr>
        <w:t xml:space="preserve"> </w:t>
      </w:r>
    </w:p>
    <w:p w14:paraId="502833C3" w14:textId="77777777" w:rsidR="00A455A6" w:rsidRPr="005B48EF" w:rsidRDefault="00A455A6" w:rsidP="00FB625E">
      <w:pPr>
        <w:spacing w:after="0" w:line="240" w:lineRule="auto"/>
        <w:jc w:val="both"/>
        <w:rPr>
          <w:rFonts w:ascii="Arial Narrow" w:hAnsi="Arial Narrow"/>
        </w:rPr>
      </w:pPr>
    </w:p>
    <w:p w14:paraId="31569050" w14:textId="77777777" w:rsidR="00682C07" w:rsidRPr="005B48EF" w:rsidRDefault="000909AE" w:rsidP="00A877C3">
      <w:pPr>
        <w:pStyle w:val="Odsekzoznamu"/>
        <w:numPr>
          <w:ilvl w:val="0"/>
          <w:numId w:val="3"/>
        </w:numPr>
        <w:spacing w:after="0" w:line="240" w:lineRule="auto"/>
        <w:ind w:left="425" w:hanging="425"/>
        <w:contextualSpacing w:val="0"/>
        <w:jc w:val="both"/>
        <w:rPr>
          <w:rFonts w:ascii="Arial Narrow" w:hAnsi="Arial Narrow"/>
          <w:b/>
          <w:sz w:val="24"/>
          <w:szCs w:val="24"/>
        </w:rPr>
      </w:pPr>
      <w:r>
        <w:rPr>
          <w:rFonts w:ascii="Arial Narrow" w:hAnsi="Arial Narrow"/>
          <w:b/>
          <w:sz w:val="24"/>
          <w:szCs w:val="24"/>
        </w:rPr>
        <w:t>Fiškálna politika</w:t>
      </w:r>
      <w:r w:rsidR="00116F6B">
        <w:rPr>
          <w:rFonts w:ascii="Arial Narrow" w:hAnsi="Arial Narrow"/>
          <w:b/>
          <w:sz w:val="24"/>
          <w:szCs w:val="24"/>
        </w:rPr>
        <w:t xml:space="preserve"> a efektivita zdravotníctva</w:t>
      </w:r>
    </w:p>
    <w:p w14:paraId="60EB2A0C" w14:textId="77777777" w:rsidR="00682C07" w:rsidRPr="005B48EF" w:rsidRDefault="00682C07" w:rsidP="00FB625E">
      <w:pPr>
        <w:pStyle w:val="Odsekzoznamu"/>
        <w:spacing w:before="120" w:after="0" w:line="240" w:lineRule="auto"/>
        <w:ind w:left="0"/>
        <w:jc w:val="both"/>
        <w:rPr>
          <w:rFonts w:ascii="Arial Narrow" w:hAnsi="Arial Narrow"/>
          <w:b/>
          <w:i/>
          <w:szCs w:val="36"/>
        </w:rPr>
      </w:pPr>
    </w:p>
    <w:p w14:paraId="38B8F829" w14:textId="77777777" w:rsidR="00682C07" w:rsidRPr="006C620A" w:rsidRDefault="00682C07" w:rsidP="00FB625E">
      <w:pPr>
        <w:spacing w:after="240" w:line="240" w:lineRule="auto"/>
        <w:jc w:val="both"/>
        <w:rPr>
          <w:rFonts w:ascii="Arial Narrow" w:hAnsi="Arial Narrow"/>
          <w:b/>
          <w:i/>
        </w:rPr>
      </w:pPr>
      <w:r w:rsidRPr="005B48EF">
        <w:rPr>
          <w:rFonts w:ascii="Arial Narrow" w:hAnsi="Arial Narrow"/>
          <w:b/>
          <w:i/>
          <w:szCs w:val="36"/>
        </w:rPr>
        <w:t xml:space="preserve">Špecifické odporúčanie Rady: </w:t>
      </w:r>
      <w:r w:rsidR="00722219" w:rsidRPr="00722219">
        <w:rPr>
          <w:rFonts w:ascii="Arial Narrow" w:hAnsi="Arial Narrow"/>
          <w:b/>
          <w:i/>
        </w:rPr>
        <w:t>Vykonávať svoju fiškálnu politiku v súlade s požiadavkami preventívnej časti Paktu stability a rastu, čo znamená, že je potrebné vynaložiť značné finančné úsilie v roku 2018. Pri prijímaní politických opatrení by sa malo zohľadniť dosiahnutie zámerov fiškálnej politiky, ktoré prispievajú k posilneniu prebiehajúceho oživenia, ako aj k zaisteniu udržateľnosti verejných financií na Slovensku. Zlepšiť nákladovú účinnosť systému zdravotnej starostlivosti vrátane implementácie projektu Hodnota za peniaze.</w:t>
      </w:r>
    </w:p>
    <w:p w14:paraId="2B1502A8" w14:textId="4DE24AD8" w:rsidR="009E5B19" w:rsidRDefault="007D2366" w:rsidP="009E1647">
      <w:pPr>
        <w:spacing w:after="0" w:line="240" w:lineRule="auto"/>
        <w:jc w:val="both"/>
        <w:rPr>
          <w:rFonts w:ascii="Arial Narrow" w:hAnsi="Arial Narrow"/>
          <w:i/>
        </w:rPr>
      </w:pPr>
      <w:r w:rsidRPr="00313DFD">
        <w:rPr>
          <w:rFonts w:ascii="Arial Narrow" w:hAnsi="Arial Narrow"/>
          <w:i/>
        </w:rPr>
        <w:t>V roku 201</w:t>
      </w:r>
      <w:r w:rsidR="00291EA7">
        <w:rPr>
          <w:rFonts w:ascii="Arial Narrow" w:hAnsi="Arial Narrow"/>
          <w:i/>
        </w:rPr>
        <w:t>7</w:t>
      </w:r>
      <w:r w:rsidRPr="00313DFD">
        <w:rPr>
          <w:rFonts w:ascii="Arial Narrow" w:hAnsi="Arial Narrow"/>
          <w:i/>
        </w:rPr>
        <w:t xml:space="preserve"> </w:t>
      </w:r>
      <w:r w:rsidR="00011E74">
        <w:rPr>
          <w:rFonts w:ascii="Arial Narrow" w:hAnsi="Arial Narrow"/>
          <w:i/>
        </w:rPr>
        <w:t>pokračovala</w:t>
      </w:r>
      <w:r w:rsidR="00291EA7">
        <w:rPr>
          <w:rFonts w:ascii="Arial Narrow" w:hAnsi="Arial Narrow"/>
          <w:i/>
        </w:rPr>
        <w:t xml:space="preserve"> implementácia opatrení, ktoré boli identifikované v rámci revízie</w:t>
      </w:r>
      <w:r w:rsidRPr="00313DFD">
        <w:rPr>
          <w:rFonts w:ascii="Arial Narrow" w:hAnsi="Arial Narrow"/>
          <w:i/>
        </w:rPr>
        <w:t xml:space="preserve"> v</w:t>
      </w:r>
      <w:r w:rsidR="00291EA7">
        <w:rPr>
          <w:rFonts w:ascii="Arial Narrow" w:hAnsi="Arial Narrow"/>
          <w:i/>
        </w:rPr>
        <w:t xml:space="preserve">ýdavkov v sektore zdravotníctva. </w:t>
      </w:r>
      <w:r w:rsidR="00436DCF">
        <w:rPr>
          <w:rFonts w:ascii="Arial Narrow" w:hAnsi="Arial Narrow"/>
          <w:i/>
        </w:rPr>
        <w:t xml:space="preserve">Plánovaná </w:t>
      </w:r>
      <w:r w:rsidR="00850E56">
        <w:rPr>
          <w:rFonts w:ascii="Arial Narrow" w:hAnsi="Arial Narrow"/>
          <w:i/>
        </w:rPr>
        <w:t xml:space="preserve">úspora v roku 2018 pri plnej implementácii opatrení predstavuje 190 mil. eur. </w:t>
      </w:r>
      <w:r w:rsidR="00A877C3" w:rsidRPr="00A877C3">
        <w:rPr>
          <w:rFonts w:ascii="Arial Narrow" w:hAnsi="Arial Narrow"/>
          <w:i/>
        </w:rPr>
        <w:t>Dlhodobo plánovaná elektronizácia (</w:t>
      </w:r>
      <w:proofErr w:type="spellStart"/>
      <w:r w:rsidR="00A877C3" w:rsidRPr="00A877C3">
        <w:rPr>
          <w:rFonts w:ascii="Arial Narrow" w:hAnsi="Arial Narrow"/>
          <w:i/>
        </w:rPr>
        <w:t>eHealth</w:t>
      </w:r>
      <w:proofErr w:type="spellEnd"/>
      <w:r w:rsidR="00A877C3" w:rsidRPr="00A877C3">
        <w:rPr>
          <w:rFonts w:ascii="Arial Narrow" w:hAnsi="Arial Narrow"/>
          <w:i/>
        </w:rPr>
        <w:t>) ako aj zavedenie platieb za diagnostickú skupinu sú v procese postupnej implementácie a zostávajú hlavnými prioritami v zdravotníctve.</w:t>
      </w:r>
      <w:r w:rsidR="008974FB">
        <w:rPr>
          <w:rFonts w:ascii="Arial Narrow" w:hAnsi="Arial Narrow"/>
          <w:i/>
        </w:rPr>
        <w:t xml:space="preserve"> Došlo k definovaniu základnej siete poskytovateľov nepretržitej záchrannej služby.</w:t>
      </w:r>
      <w:r w:rsidR="00D07EA0">
        <w:rPr>
          <w:rFonts w:ascii="Arial Narrow" w:hAnsi="Arial Narrow"/>
          <w:i/>
        </w:rPr>
        <w:t xml:space="preserve"> </w:t>
      </w:r>
      <w:r w:rsidR="00D07EA0" w:rsidRPr="009E5B19">
        <w:rPr>
          <w:rFonts w:ascii="Arial Narrow" w:hAnsi="Arial Narrow"/>
          <w:i/>
        </w:rPr>
        <w:t xml:space="preserve">Bola prijatá novela zákona o liekoch, ktorá upresňuje podmienky pri preplácaní liekov na výnimku. Nad rámec revízie táto novela upravuje a zjednodušuje </w:t>
      </w:r>
      <w:r w:rsidR="008974FB" w:rsidRPr="009E5B19">
        <w:rPr>
          <w:rFonts w:ascii="Arial Narrow" w:hAnsi="Arial Narrow"/>
          <w:i/>
        </w:rPr>
        <w:t xml:space="preserve">vstup inovatívnych </w:t>
      </w:r>
      <w:r w:rsidR="00D07EA0" w:rsidRPr="009E5B19">
        <w:rPr>
          <w:rFonts w:ascii="Arial Narrow" w:hAnsi="Arial Narrow"/>
          <w:i/>
        </w:rPr>
        <w:t xml:space="preserve">a generických </w:t>
      </w:r>
      <w:r w:rsidR="008974FB" w:rsidRPr="009E5B19">
        <w:rPr>
          <w:rFonts w:ascii="Arial Narrow" w:hAnsi="Arial Narrow"/>
          <w:i/>
        </w:rPr>
        <w:t>liekov na trh</w:t>
      </w:r>
      <w:r w:rsidR="00D07EA0" w:rsidRPr="009E5B19">
        <w:rPr>
          <w:rFonts w:ascii="Arial Narrow" w:hAnsi="Arial Narrow"/>
          <w:i/>
        </w:rPr>
        <w:t>.</w:t>
      </w:r>
      <w:r w:rsidR="0072225B" w:rsidRPr="009E5B19">
        <w:rPr>
          <w:rFonts w:ascii="Arial Narrow" w:hAnsi="Arial Narrow"/>
          <w:i/>
        </w:rPr>
        <w:t xml:space="preserve"> </w:t>
      </w:r>
    </w:p>
    <w:p w14:paraId="60139EA0" w14:textId="77777777" w:rsidR="00682C07" w:rsidRPr="005B48EF" w:rsidRDefault="007D2366" w:rsidP="00FB625E">
      <w:pPr>
        <w:spacing w:after="0" w:line="240" w:lineRule="auto"/>
        <w:jc w:val="both"/>
        <w:rPr>
          <w:rFonts w:ascii="Arial Narrow" w:hAnsi="Arial Narrow"/>
          <w:i/>
        </w:rPr>
      </w:pPr>
      <w:r w:rsidRPr="000909AE">
        <w:rPr>
          <w:rFonts w:ascii="Arial Narrow" w:hAnsi="Arial Narrow"/>
          <w:i/>
        </w:rPr>
        <w:t xml:space="preserve"> </w:t>
      </w:r>
    </w:p>
    <w:p w14:paraId="6BB957C8" w14:textId="7AD4F927" w:rsidR="00D31752" w:rsidRPr="00D31752" w:rsidRDefault="00D31752" w:rsidP="00FB625E">
      <w:pPr>
        <w:tabs>
          <w:tab w:val="center" w:pos="4282"/>
        </w:tabs>
        <w:spacing w:after="0" w:line="240" w:lineRule="auto"/>
        <w:jc w:val="both"/>
        <w:rPr>
          <w:rFonts w:ascii="Arial Narrow" w:hAnsi="Arial Narrow"/>
          <w:b/>
          <w:i/>
        </w:rPr>
      </w:pPr>
      <w:r w:rsidRPr="00D31752">
        <w:rPr>
          <w:rFonts w:ascii="Arial Narrow" w:hAnsi="Arial Narrow"/>
          <w:b/>
          <w:i/>
        </w:rPr>
        <w:t>Fiškálna politika</w:t>
      </w:r>
    </w:p>
    <w:p w14:paraId="1647B342" w14:textId="77777777" w:rsidR="00473CEC" w:rsidRPr="000C4F08" w:rsidRDefault="00D31752" w:rsidP="00E95C1F">
      <w:pPr>
        <w:tabs>
          <w:tab w:val="center" w:pos="4282"/>
        </w:tabs>
        <w:spacing w:after="0" w:line="240" w:lineRule="auto"/>
        <w:jc w:val="both"/>
        <w:rPr>
          <w:rFonts w:ascii="Arial Narrow" w:hAnsi="Arial Narrow" w:cs="ArialNarrow"/>
        </w:rPr>
      </w:pPr>
      <w:r w:rsidRPr="000C4F08">
        <w:rPr>
          <w:rFonts w:ascii="Arial Narrow" w:hAnsi="Arial Narrow" w:cs="ArialNarrow"/>
        </w:rPr>
        <w:t>Výsledky a ciele rozpočtovej politiky sú špecifikované v Programe stab</w:t>
      </w:r>
      <w:r w:rsidR="00850E56" w:rsidRPr="000C4F08">
        <w:rPr>
          <w:rFonts w:ascii="Arial Narrow" w:hAnsi="Arial Narrow" w:cs="ArialNarrow"/>
        </w:rPr>
        <w:t>ility SR na roky 2018</w:t>
      </w:r>
      <w:r w:rsidRPr="000C4F08">
        <w:rPr>
          <w:rFonts w:ascii="Arial Narrow" w:hAnsi="Arial Narrow" w:cs="ArialNarrow"/>
        </w:rPr>
        <w:t xml:space="preserve"> až</w:t>
      </w:r>
      <w:r w:rsidR="00850E56" w:rsidRPr="000C4F08">
        <w:rPr>
          <w:rFonts w:ascii="Arial Narrow" w:hAnsi="Arial Narrow" w:cs="ArialNarrow"/>
        </w:rPr>
        <w:t xml:space="preserve"> 2021</w:t>
      </w:r>
      <w:r w:rsidR="00473CEC" w:rsidRPr="000C4F08">
        <w:rPr>
          <w:rFonts w:ascii="Arial Narrow" w:hAnsi="Arial Narrow" w:cs="ArialNarrow"/>
        </w:rPr>
        <w:t xml:space="preserve"> (</w:t>
      </w:r>
      <w:r w:rsidR="00473CEC" w:rsidRPr="000C4F08">
        <w:rPr>
          <w:rFonts w:ascii="Arial Narrow" w:hAnsi="Arial Narrow" w:cs="ArialNarrow"/>
          <w:i/>
        </w:rPr>
        <w:t>bude doplnené z finálnej verzie Programu stability</w:t>
      </w:r>
      <w:r w:rsidR="00473CEC" w:rsidRPr="000C4F08">
        <w:rPr>
          <w:rFonts w:ascii="Arial Narrow" w:hAnsi="Arial Narrow" w:cs="ArialNarrow"/>
        </w:rPr>
        <w:t>)</w:t>
      </w:r>
      <w:r w:rsidRPr="000C4F08">
        <w:rPr>
          <w:rFonts w:ascii="Arial Narrow" w:hAnsi="Arial Narrow" w:cs="ArialNarrow"/>
        </w:rPr>
        <w:t>.</w:t>
      </w:r>
    </w:p>
    <w:p w14:paraId="406996EE" w14:textId="57B4AE1C" w:rsidR="00291EA7" w:rsidRPr="00473CEC" w:rsidRDefault="00682C07" w:rsidP="00E95C1F">
      <w:pPr>
        <w:tabs>
          <w:tab w:val="center" w:pos="4282"/>
        </w:tabs>
        <w:spacing w:after="0" w:line="240" w:lineRule="auto"/>
        <w:jc w:val="both"/>
        <w:rPr>
          <w:rFonts w:ascii="Arial Narrow" w:hAnsi="Arial Narrow" w:cs="ArialNarrow"/>
          <w:highlight w:val="yellow"/>
          <w:lang w:val="en-US"/>
        </w:rPr>
      </w:pPr>
      <w:r w:rsidRPr="00D31752">
        <w:rPr>
          <w:rFonts w:ascii="Arial Narrow" w:hAnsi="Arial Narrow"/>
          <w:b/>
          <w:i/>
        </w:rPr>
        <w:tab/>
      </w:r>
    </w:p>
    <w:p w14:paraId="2DD00B4B" w14:textId="77777777" w:rsidR="00A877C3" w:rsidRDefault="00A877C3" w:rsidP="00A877C3">
      <w:pPr>
        <w:pStyle w:val="Odsekzoznamu"/>
        <w:spacing w:after="0" w:line="240" w:lineRule="auto"/>
        <w:ind w:left="0"/>
        <w:contextualSpacing w:val="0"/>
        <w:jc w:val="both"/>
        <w:rPr>
          <w:rFonts w:ascii="Arial Narrow" w:hAnsi="Arial Narrow"/>
          <w:b/>
          <w:i/>
        </w:rPr>
      </w:pPr>
      <w:r w:rsidRPr="00A94E2C">
        <w:rPr>
          <w:rFonts w:ascii="Arial Narrow" w:hAnsi="Arial Narrow"/>
          <w:b/>
          <w:i/>
        </w:rPr>
        <w:t>Zdravotníctvo</w:t>
      </w:r>
    </w:p>
    <w:p w14:paraId="214E0621" w14:textId="77777777" w:rsidR="00A877C3" w:rsidRDefault="00A877C3" w:rsidP="00A877C3">
      <w:pPr>
        <w:pStyle w:val="Odsekzoznamu"/>
        <w:spacing w:after="160" w:line="240" w:lineRule="auto"/>
        <w:ind w:left="0"/>
        <w:contextualSpacing w:val="0"/>
        <w:jc w:val="both"/>
        <w:rPr>
          <w:rFonts w:ascii="Arial Narrow" w:hAnsi="Arial Narrow"/>
        </w:rPr>
      </w:pPr>
      <w:r w:rsidRPr="00957069">
        <w:rPr>
          <w:rFonts w:ascii="Arial Narrow" w:hAnsi="Arial Narrow"/>
        </w:rPr>
        <w:t xml:space="preserve">Revízia výdavkov na zdravotníctvo v roku 2016 identifikovala potenciál pre zvýšenie efektívnosti </w:t>
      </w:r>
      <w:r w:rsidR="003648B9">
        <w:rPr>
          <w:rFonts w:ascii="Arial Narrow" w:hAnsi="Arial Narrow"/>
        </w:rPr>
        <w:t>celého systému</w:t>
      </w:r>
      <w:r w:rsidRPr="00957069">
        <w:rPr>
          <w:rFonts w:ascii="Arial Narrow" w:hAnsi="Arial Narrow"/>
        </w:rPr>
        <w:t xml:space="preserve">. </w:t>
      </w:r>
      <w:r w:rsidR="003648B9">
        <w:rPr>
          <w:rFonts w:ascii="Arial Narrow" w:hAnsi="Arial Narrow"/>
        </w:rPr>
        <w:t xml:space="preserve">Pri úplnom naplnení </w:t>
      </w:r>
      <w:r w:rsidRPr="00957069">
        <w:rPr>
          <w:rFonts w:ascii="Arial Narrow" w:hAnsi="Arial Narrow"/>
        </w:rPr>
        <w:t>úsporn</w:t>
      </w:r>
      <w:r w:rsidR="003648B9">
        <w:rPr>
          <w:rFonts w:ascii="Arial Narrow" w:hAnsi="Arial Narrow"/>
        </w:rPr>
        <w:t>ých</w:t>
      </w:r>
      <w:r w:rsidRPr="00957069">
        <w:rPr>
          <w:rFonts w:ascii="Arial Narrow" w:hAnsi="Arial Narrow"/>
        </w:rPr>
        <w:t xml:space="preserve"> opatren</w:t>
      </w:r>
      <w:r w:rsidR="003648B9">
        <w:rPr>
          <w:rFonts w:ascii="Arial Narrow" w:hAnsi="Arial Narrow"/>
        </w:rPr>
        <w:t>í</w:t>
      </w:r>
      <w:r w:rsidRPr="00957069">
        <w:rPr>
          <w:rFonts w:ascii="Arial Narrow" w:hAnsi="Arial Narrow"/>
        </w:rPr>
        <w:t xml:space="preserve"> na rok 201</w:t>
      </w:r>
      <w:r>
        <w:rPr>
          <w:rFonts w:ascii="Arial Narrow" w:hAnsi="Arial Narrow"/>
        </w:rPr>
        <w:t xml:space="preserve">8 </w:t>
      </w:r>
      <w:r w:rsidR="003648B9">
        <w:rPr>
          <w:rFonts w:ascii="Arial Narrow" w:hAnsi="Arial Narrow"/>
        </w:rPr>
        <w:t xml:space="preserve">by tak mohlo dôjsť k úspore vo výške </w:t>
      </w:r>
      <w:r>
        <w:rPr>
          <w:rFonts w:ascii="Arial Narrow" w:hAnsi="Arial Narrow"/>
        </w:rPr>
        <w:t>190</w:t>
      </w:r>
      <w:r w:rsidRPr="00957069">
        <w:rPr>
          <w:rFonts w:ascii="Arial Narrow" w:hAnsi="Arial Narrow"/>
        </w:rPr>
        <w:t xml:space="preserve"> mil. eur</w:t>
      </w:r>
      <w:r>
        <w:rPr>
          <w:rFonts w:ascii="Arial Narrow" w:hAnsi="Arial Narrow"/>
        </w:rPr>
        <w:t>. Tie</w:t>
      </w:r>
      <w:r w:rsidR="00146090">
        <w:rPr>
          <w:rFonts w:ascii="Arial Narrow" w:hAnsi="Arial Narrow"/>
        </w:rPr>
        <w:t>to zdroje</w:t>
      </w:r>
      <w:r w:rsidRPr="00957069">
        <w:rPr>
          <w:rFonts w:ascii="Arial Narrow" w:hAnsi="Arial Narrow"/>
        </w:rPr>
        <w:t xml:space="preserve"> </w:t>
      </w:r>
      <w:r w:rsidR="00146090">
        <w:rPr>
          <w:rFonts w:ascii="Arial Narrow" w:hAnsi="Arial Narrow"/>
        </w:rPr>
        <w:t>môžu byť následne</w:t>
      </w:r>
      <w:r w:rsidR="00146090" w:rsidRPr="00957069">
        <w:rPr>
          <w:rFonts w:ascii="Arial Narrow" w:hAnsi="Arial Narrow"/>
        </w:rPr>
        <w:t xml:space="preserve"> </w:t>
      </w:r>
      <w:r w:rsidRPr="00957069">
        <w:rPr>
          <w:rFonts w:ascii="Arial Narrow" w:hAnsi="Arial Narrow"/>
        </w:rPr>
        <w:t xml:space="preserve">použité na zdravotnú starostlivosť tak, aby efektívne prispeli k znižovaniu úmrtnosti odvrátiteľnej systémom </w:t>
      </w:r>
      <w:r>
        <w:rPr>
          <w:rFonts w:ascii="Arial Narrow" w:hAnsi="Arial Narrow"/>
        </w:rPr>
        <w:t xml:space="preserve">včasnej </w:t>
      </w:r>
      <w:r w:rsidRPr="00957069">
        <w:rPr>
          <w:rFonts w:ascii="Arial Narrow" w:hAnsi="Arial Narrow"/>
        </w:rPr>
        <w:t>zdravotnej starostlivosti.</w:t>
      </w:r>
    </w:p>
    <w:p w14:paraId="494DD736" w14:textId="616D2A59" w:rsidR="009E5B19" w:rsidRPr="009E5B19" w:rsidRDefault="009E5B19" w:rsidP="009E5B19">
      <w:pPr>
        <w:pStyle w:val="Popis"/>
        <w:rPr>
          <w:szCs w:val="20"/>
        </w:rPr>
      </w:pPr>
      <w:r w:rsidRPr="009F63CE">
        <w:rPr>
          <w:szCs w:val="20"/>
        </w:rPr>
        <w:t xml:space="preserve">Tabuľka </w:t>
      </w:r>
      <w:r w:rsidRPr="009F63CE">
        <w:rPr>
          <w:szCs w:val="20"/>
        </w:rPr>
        <w:fldChar w:fldCharType="begin"/>
      </w:r>
      <w:r w:rsidRPr="009F63CE">
        <w:rPr>
          <w:szCs w:val="20"/>
        </w:rPr>
        <w:instrText xml:space="preserve"> SEQ Tabuľka \* ARABIC </w:instrText>
      </w:r>
      <w:r w:rsidRPr="009F63CE">
        <w:rPr>
          <w:szCs w:val="20"/>
        </w:rPr>
        <w:fldChar w:fldCharType="separate"/>
      </w:r>
      <w:r w:rsidR="00EE7207">
        <w:rPr>
          <w:noProof/>
          <w:szCs w:val="20"/>
        </w:rPr>
        <w:t>1</w:t>
      </w:r>
      <w:r w:rsidRPr="009F63CE">
        <w:rPr>
          <w:szCs w:val="20"/>
        </w:rPr>
        <w:fldChar w:fldCharType="end"/>
      </w:r>
      <w:r w:rsidRPr="009F63CE">
        <w:rPr>
          <w:szCs w:val="20"/>
        </w:rPr>
        <w:t xml:space="preserve">: </w:t>
      </w:r>
      <w:r w:rsidRPr="009F63CE">
        <w:rPr>
          <w:szCs w:val="20"/>
          <w:lang w:eastAsia="zh-TW"/>
        </w:rPr>
        <w:t>Úsporné opatrenia MZ SR</w:t>
      </w:r>
      <w:r w:rsidR="00D5170A">
        <w:rPr>
          <w:szCs w:val="20"/>
          <w:lang w:eastAsia="zh-TW"/>
        </w:rPr>
        <w:t xml:space="preserve"> a ich plnenie</w:t>
      </w:r>
    </w:p>
    <w:tbl>
      <w:tblPr>
        <w:tblW w:w="5000" w:type="pct"/>
        <w:tblCellMar>
          <w:left w:w="70" w:type="dxa"/>
          <w:right w:w="70" w:type="dxa"/>
        </w:tblCellMar>
        <w:tblLook w:val="04A0" w:firstRow="1" w:lastRow="0" w:firstColumn="1" w:lastColumn="0" w:noHBand="0" w:noVBand="1"/>
      </w:tblPr>
      <w:tblGrid>
        <w:gridCol w:w="4346"/>
        <w:gridCol w:w="637"/>
        <w:gridCol w:w="1338"/>
        <w:gridCol w:w="637"/>
        <w:gridCol w:w="637"/>
        <w:gridCol w:w="969"/>
      </w:tblGrid>
      <w:tr w:rsidR="009E5B19" w:rsidRPr="00A76B2C" w14:paraId="5BBCA5CD" w14:textId="77777777" w:rsidTr="00BA1BFF">
        <w:trPr>
          <w:trHeight w:val="529"/>
        </w:trPr>
        <w:tc>
          <w:tcPr>
            <w:tcW w:w="2537" w:type="pct"/>
            <w:tcBorders>
              <w:top w:val="single" w:sz="4" w:space="0" w:color="auto"/>
              <w:left w:val="nil"/>
              <w:bottom w:val="single" w:sz="4" w:space="0" w:color="auto"/>
              <w:right w:val="nil"/>
            </w:tcBorders>
            <w:shd w:val="clear" w:color="auto" w:fill="auto"/>
            <w:noWrap/>
            <w:vAlign w:val="center"/>
            <w:hideMark/>
          </w:tcPr>
          <w:p w14:paraId="4A460770" w14:textId="77777777" w:rsidR="009E5B19" w:rsidRPr="00312B80" w:rsidRDefault="009E5B19" w:rsidP="00BA1BFF">
            <w:pPr>
              <w:spacing w:after="0" w:line="240" w:lineRule="auto"/>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v mil. eur</w:t>
            </w:r>
          </w:p>
        </w:tc>
        <w:tc>
          <w:tcPr>
            <w:tcW w:w="372" w:type="pct"/>
            <w:tcBorders>
              <w:top w:val="single" w:sz="4" w:space="0" w:color="auto"/>
              <w:left w:val="nil"/>
              <w:bottom w:val="single" w:sz="4" w:space="0" w:color="auto"/>
              <w:right w:val="nil"/>
            </w:tcBorders>
            <w:shd w:val="clear" w:color="auto" w:fill="auto"/>
            <w:vAlign w:val="center"/>
            <w:hideMark/>
          </w:tcPr>
          <w:p w14:paraId="7B981ED6" w14:textId="77777777" w:rsidR="009E5B19" w:rsidRPr="00312B80" w:rsidRDefault="009E5B19" w:rsidP="00BA1BFF">
            <w:pPr>
              <w:spacing w:after="0" w:line="240" w:lineRule="auto"/>
              <w:jc w:val="center"/>
              <w:rPr>
                <w:rFonts w:ascii="Arial Narrow" w:hAnsi="Arial Narrow" w:cs="Arial"/>
                <w:b/>
                <w:bCs/>
                <w:color w:val="000000"/>
                <w:sz w:val="18"/>
                <w:szCs w:val="18"/>
                <w:lang w:eastAsia="zh-TW"/>
              </w:rPr>
            </w:pPr>
            <w:r w:rsidRPr="00312B80">
              <w:rPr>
                <w:rFonts w:ascii="Arial Narrow" w:hAnsi="Arial Narrow" w:cs="Arial"/>
                <w:b/>
                <w:bCs/>
                <w:color w:val="000000"/>
                <w:sz w:val="18"/>
                <w:szCs w:val="18"/>
                <w:lang w:eastAsia="zh-TW"/>
              </w:rPr>
              <w:t>2017</w:t>
            </w:r>
          </w:p>
        </w:tc>
        <w:tc>
          <w:tcPr>
            <w:tcW w:w="781" w:type="pct"/>
            <w:tcBorders>
              <w:top w:val="single" w:sz="4" w:space="0" w:color="auto"/>
              <w:left w:val="nil"/>
              <w:bottom w:val="single" w:sz="4" w:space="0" w:color="auto"/>
              <w:right w:val="nil"/>
            </w:tcBorders>
            <w:vAlign w:val="center"/>
          </w:tcPr>
          <w:p w14:paraId="15E3FF11" w14:textId="531E8857" w:rsidR="009E5B19" w:rsidRPr="00312B80" w:rsidRDefault="009E5B19" w:rsidP="00BA1BFF">
            <w:pPr>
              <w:spacing w:after="0" w:line="240" w:lineRule="auto"/>
              <w:jc w:val="center"/>
              <w:rPr>
                <w:rFonts w:ascii="Arial Narrow" w:hAnsi="Arial Narrow" w:cs="Arial"/>
                <w:b/>
                <w:bCs/>
                <w:i/>
                <w:color w:val="000000"/>
                <w:sz w:val="18"/>
                <w:szCs w:val="18"/>
                <w:lang w:eastAsia="zh-TW"/>
              </w:rPr>
            </w:pPr>
            <w:r w:rsidRPr="006C550D">
              <w:rPr>
                <w:rFonts w:ascii="Arial Narrow" w:hAnsi="Arial Narrow" w:cs="Arial"/>
                <w:b/>
                <w:bCs/>
                <w:i/>
                <w:color w:val="000000"/>
                <w:sz w:val="18"/>
                <w:szCs w:val="18"/>
                <w:lang w:eastAsia="zh-TW"/>
              </w:rPr>
              <w:t>Plnenie k 30.9.2017</w:t>
            </w:r>
            <w:r w:rsidR="006C550D">
              <w:rPr>
                <w:rFonts w:ascii="Arial Narrow" w:hAnsi="Arial Narrow" w:cs="Arial"/>
                <w:b/>
                <w:bCs/>
                <w:i/>
                <w:color w:val="000000"/>
                <w:sz w:val="18"/>
                <w:szCs w:val="18"/>
                <w:lang w:eastAsia="zh-TW"/>
              </w:rPr>
              <w:t xml:space="preserve"> </w:t>
            </w:r>
            <w:r w:rsidR="006C550D" w:rsidRPr="006C550D">
              <w:rPr>
                <w:rFonts w:ascii="Arial Narrow" w:hAnsi="Arial Narrow" w:cs="Arial"/>
                <w:bCs/>
                <w:i/>
                <w:color w:val="000000"/>
                <w:sz w:val="18"/>
                <w:szCs w:val="18"/>
                <w:lang w:eastAsia="zh-TW"/>
              </w:rPr>
              <w:t>(</w:t>
            </w:r>
            <w:r w:rsidR="00A3488E">
              <w:rPr>
                <w:rFonts w:ascii="Arial Narrow" w:hAnsi="Arial Narrow" w:cs="Arial"/>
                <w:bCs/>
                <w:i/>
                <w:color w:val="000000"/>
                <w:sz w:val="18"/>
                <w:szCs w:val="18"/>
                <w:lang w:eastAsia="zh-TW"/>
              </w:rPr>
              <w:t xml:space="preserve">bude </w:t>
            </w:r>
            <w:r w:rsidR="006C550D" w:rsidRPr="006C550D">
              <w:rPr>
                <w:rFonts w:ascii="Arial Narrow" w:hAnsi="Arial Narrow" w:cs="Arial"/>
                <w:bCs/>
                <w:i/>
                <w:color w:val="000000"/>
                <w:sz w:val="18"/>
                <w:szCs w:val="18"/>
                <w:lang w:eastAsia="zh-TW"/>
              </w:rPr>
              <w:t>update)</w:t>
            </w:r>
          </w:p>
        </w:tc>
        <w:tc>
          <w:tcPr>
            <w:tcW w:w="372" w:type="pct"/>
            <w:tcBorders>
              <w:top w:val="single" w:sz="4" w:space="0" w:color="auto"/>
              <w:left w:val="nil"/>
              <w:bottom w:val="single" w:sz="4" w:space="0" w:color="auto"/>
              <w:right w:val="nil"/>
            </w:tcBorders>
            <w:shd w:val="clear" w:color="auto" w:fill="auto"/>
            <w:vAlign w:val="center"/>
            <w:hideMark/>
          </w:tcPr>
          <w:p w14:paraId="66BCE473" w14:textId="77777777" w:rsidR="009E5B19" w:rsidRPr="00312B80" w:rsidRDefault="009E5B19" w:rsidP="00BA1BFF">
            <w:pPr>
              <w:spacing w:after="0" w:line="240" w:lineRule="auto"/>
              <w:jc w:val="center"/>
              <w:rPr>
                <w:rFonts w:ascii="Arial Narrow" w:hAnsi="Arial Narrow" w:cs="Arial"/>
                <w:b/>
                <w:bCs/>
                <w:color w:val="000000"/>
                <w:sz w:val="18"/>
                <w:szCs w:val="18"/>
                <w:lang w:eastAsia="zh-TW"/>
              </w:rPr>
            </w:pPr>
            <w:r w:rsidRPr="00312B80">
              <w:rPr>
                <w:rFonts w:ascii="Arial Narrow" w:hAnsi="Arial Narrow" w:cs="Arial"/>
                <w:b/>
                <w:bCs/>
                <w:color w:val="000000"/>
                <w:sz w:val="18"/>
                <w:szCs w:val="18"/>
                <w:lang w:eastAsia="zh-TW"/>
              </w:rPr>
              <w:t>2018</w:t>
            </w:r>
          </w:p>
        </w:tc>
        <w:tc>
          <w:tcPr>
            <w:tcW w:w="372" w:type="pct"/>
            <w:tcBorders>
              <w:top w:val="single" w:sz="4" w:space="0" w:color="auto"/>
              <w:left w:val="nil"/>
              <w:bottom w:val="single" w:sz="4" w:space="0" w:color="auto"/>
              <w:right w:val="nil"/>
            </w:tcBorders>
            <w:shd w:val="clear" w:color="auto" w:fill="auto"/>
            <w:vAlign w:val="center"/>
            <w:hideMark/>
          </w:tcPr>
          <w:p w14:paraId="7794EF3C" w14:textId="77777777" w:rsidR="009E5B19" w:rsidRPr="00312B80" w:rsidRDefault="009E5B19" w:rsidP="00BA1BFF">
            <w:pPr>
              <w:spacing w:after="0" w:line="240" w:lineRule="auto"/>
              <w:jc w:val="center"/>
              <w:rPr>
                <w:rFonts w:ascii="Arial Narrow" w:hAnsi="Arial Narrow" w:cs="Arial"/>
                <w:b/>
                <w:bCs/>
                <w:color w:val="000000"/>
                <w:sz w:val="18"/>
                <w:szCs w:val="18"/>
                <w:lang w:eastAsia="zh-TW"/>
              </w:rPr>
            </w:pPr>
            <w:r w:rsidRPr="00312B80">
              <w:rPr>
                <w:rFonts w:ascii="Arial Narrow" w:hAnsi="Arial Narrow" w:cs="Arial"/>
                <w:b/>
                <w:bCs/>
                <w:color w:val="000000"/>
                <w:sz w:val="18"/>
                <w:szCs w:val="18"/>
                <w:lang w:eastAsia="zh-TW"/>
              </w:rPr>
              <w:t>2019</w:t>
            </w:r>
          </w:p>
        </w:tc>
        <w:tc>
          <w:tcPr>
            <w:tcW w:w="566" w:type="pct"/>
            <w:tcBorders>
              <w:top w:val="single" w:sz="4" w:space="0" w:color="auto"/>
              <w:left w:val="nil"/>
              <w:bottom w:val="single" w:sz="4" w:space="0" w:color="auto"/>
              <w:right w:val="nil"/>
            </w:tcBorders>
            <w:shd w:val="clear" w:color="auto" w:fill="auto"/>
            <w:vAlign w:val="center"/>
            <w:hideMark/>
          </w:tcPr>
          <w:p w14:paraId="27AABA5F" w14:textId="77777777" w:rsidR="009E5B19" w:rsidRPr="00312B80" w:rsidRDefault="009E5B19" w:rsidP="00BA1BFF">
            <w:pPr>
              <w:spacing w:after="0" w:line="240" w:lineRule="auto"/>
              <w:jc w:val="center"/>
              <w:rPr>
                <w:rFonts w:ascii="Arial Narrow" w:hAnsi="Arial Narrow" w:cs="Arial"/>
                <w:b/>
                <w:bCs/>
                <w:i/>
                <w:iCs/>
                <w:color w:val="000000"/>
                <w:sz w:val="18"/>
                <w:szCs w:val="18"/>
                <w:lang w:eastAsia="zh-TW"/>
              </w:rPr>
            </w:pPr>
            <w:r>
              <w:rPr>
                <w:rFonts w:ascii="Arial Narrow" w:hAnsi="Arial Narrow" w:cs="Arial"/>
                <w:b/>
                <w:bCs/>
                <w:i/>
                <w:iCs/>
                <w:color w:val="000000"/>
                <w:sz w:val="18"/>
                <w:szCs w:val="18"/>
                <w:lang w:eastAsia="zh-TW"/>
              </w:rPr>
              <w:t>P</w:t>
            </w:r>
            <w:r w:rsidRPr="00312B80">
              <w:rPr>
                <w:rFonts w:ascii="Arial Narrow" w:hAnsi="Arial Narrow" w:cs="Arial"/>
                <w:b/>
                <w:bCs/>
                <w:i/>
                <w:iCs/>
                <w:color w:val="000000"/>
                <w:sz w:val="18"/>
                <w:szCs w:val="18"/>
                <w:lang w:eastAsia="zh-TW"/>
              </w:rPr>
              <w:t>otenciálna úspora</w:t>
            </w:r>
          </w:p>
        </w:tc>
      </w:tr>
      <w:tr w:rsidR="009E5B19" w:rsidRPr="00A76B2C" w14:paraId="3DE9A2C6" w14:textId="77777777" w:rsidTr="00BA1BFF">
        <w:trPr>
          <w:trHeight w:val="230"/>
        </w:trPr>
        <w:tc>
          <w:tcPr>
            <w:tcW w:w="2537" w:type="pct"/>
            <w:tcBorders>
              <w:top w:val="nil"/>
              <w:left w:val="nil"/>
              <w:bottom w:val="nil"/>
              <w:right w:val="nil"/>
            </w:tcBorders>
            <w:shd w:val="clear" w:color="auto" w:fill="auto"/>
            <w:noWrap/>
            <w:vAlign w:val="center"/>
            <w:hideMark/>
          </w:tcPr>
          <w:p w14:paraId="6F319AC3" w14:textId="77777777" w:rsidR="009E5B19" w:rsidRPr="00312B80" w:rsidRDefault="009E5B19" w:rsidP="00BA1BFF">
            <w:pPr>
              <w:spacing w:after="0" w:line="240" w:lineRule="auto"/>
              <w:rPr>
                <w:rFonts w:ascii="Arial Narrow" w:hAnsi="Arial Narrow" w:cs="Arial"/>
                <w:b/>
                <w:bCs/>
                <w:color w:val="000000"/>
                <w:sz w:val="18"/>
                <w:szCs w:val="18"/>
                <w:lang w:eastAsia="zh-TW"/>
              </w:rPr>
            </w:pPr>
            <w:r w:rsidRPr="00312B80">
              <w:rPr>
                <w:rFonts w:ascii="Arial Narrow" w:hAnsi="Arial Narrow" w:cs="Arial"/>
                <w:b/>
                <w:bCs/>
                <w:color w:val="000000"/>
                <w:sz w:val="18"/>
                <w:szCs w:val="18"/>
                <w:lang w:eastAsia="zh-TW"/>
              </w:rPr>
              <w:t>Opatrenia znižujúce výdavky VZP</w:t>
            </w:r>
          </w:p>
        </w:tc>
        <w:tc>
          <w:tcPr>
            <w:tcW w:w="372" w:type="pct"/>
            <w:tcBorders>
              <w:top w:val="nil"/>
              <w:left w:val="nil"/>
              <w:bottom w:val="nil"/>
              <w:right w:val="nil"/>
            </w:tcBorders>
            <w:shd w:val="clear" w:color="auto" w:fill="auto"/>
            <w:noWrap/>
            <w:vAlign w:val="center"/>
            <w:hideMark/>
          </w:tcPr>
          <w:p w14:paraId="5D0B1D41" w14:textId="77777777" w:rsidR="009E5B19" w:rsidRPr="00312B80" w:rsidRDefault="009E5B19" w:rsidP="00BA1BFF">
            <w:pPr>
              <w:spacing w:after="0" w:line="240" w:lineRule="auto"/>
              <w:jc w:val="center"/>
              <w:rPr>
                <w:rFonts w:ascii="Arial Narrow" w:hAnsi="Arial Narrow" w:cs="Arial"/>
                <w:b/>
                <w:bCs/>
                <w:color w:val="000000"/>
                <w:sz w:val="18"/>
                <w:szCs w:val="18"/>
                <w:lang w:eastAsia="zh-TW"/>
              </w:rPr>
            </w:pPr>
            <w:r w:rsidRPr="00312B80">
              <w:rPr>
                <w:rFonts w:ascii="Arial Narrow" w:hAnsi="Arial Narrow" w:cs="Arial"/>
                <w:b/>
                <w:bCs/>
                <w:color w:val="000000"/>
                <w:sz w:val="18"/>
                <w:szCs w:val="18"/>
                <w:lang w:eastAsia="zh-TW"/>
              </w:rPr>
              <w:t>143</w:t>
            </w:r>
          </w:p>
        </w:tc>
        <w:tc>
          <w:tcPr>
            <w:tcW w:w="781" w:type="pct"/>
            <w:tcBorders>
              <w:top w:val="nil"/>
              <w:left w:val="nil"/>
              <w:bottom w:val="nil"/>
              <w:right w:val="nil"/>
            </w:tcBorders>
            <w:vAlign w:val="center"/>
          </w:tcPr>
          <w:p w14:paraId="0E6E2E8B" w14:textId="77777777" w:rsidR="009E5B19" w:rsidRPr="00312B80" w:rsidRDefault="009E5B19" w:rsidP="00BA1BFF">
            <w:pPr>
              <w:spacing w:after="0" w:line="240" w:lineRule="auto"/>
              <w:jc w:val="center"/>
              <w:rPr>
                <w:rFonts w:ascii="Arial Narrow" w:hAnsi="Arial Narrow" w:cs="Arial"/>
                <w:b/>
                <w:bCs/>
                <w:i/>
                <w:color w:val="000000"/>
                <w:sz w:val="18"/>
                <w:szCs w:val="18"/>
                <w:lang w:eastAsia="zh-TW"/>
              </w:rPr>
            </w:pPr>
            <w:r w:rsidRPr="00312B80">
              <w:rPr>
                <w:rFonts w:ascii="Arial Narrow" w:hAnsi="Arial Narrow" w:cs="Arial"/>
                <w:b/>
                <w:bCs/>
                <w:i/>
                <w:color w:val="000000"/>
                <w:sz w:val="18"/>
                <w:szCs w:val="18"/>
                <w:lang w:eastAsia="zh-TW"/>
              </w:rPr>
              <w:t>69</w:t>
            </w:r>
          </w:p>
        </w:tc>
        <w:tc>
          <w:tcPr>
            <w:tcW w:w="372" w:type="pct"/>
            <w:tcBorders>
              <w:top w:val="nil"/>
              <w:left w:val="nil"/>
              <w:bottom w:val="nil"/>
              <w:right w:val="nil"/>
            </w:tcBorders>
            <w:shd w:val="clear" w:color="auto" w:fill="auto"/>
            <w:noWrap/>
            <w:vAlign w:val="center"/>
            <w:hideMark/>
          </w:tcPr>
          <w:p w14:paraId="33FC3B80" w14:textId="77777777" w:rsidR="009E5B19" w:rsidRPr="00312B80" w:rsidRDefault="009E5B19" w:rsidP="00BA1BFF">
            <w:pPr>
              <w:spacing w:after="0" w:line="240" w:lineRule="auto"/>
              <w:jc w:val="center"/>
              <w:rPr>
                <w:rFonts w:ascii="Arial Narrow" w:hAnsi="Arial Narrow" w:cs="Arial"/>
                <w:b/>
                <w:bCs/>
                <w:color w:val="000000"/>
                <w:sz w:val="18"/>
                <w:szCs w:val="18"/>
                <w:lang w:eastAsia="zh-TW"/>
              </w:rPr>
            </w:pPr>
            <w:r w:rsidRPr="00312B80">
              <w:rPr>
                <w:rFonts w:ascii="Arial Narrow" w:hAnsi="Arial Narrow" w:cs="Arial"/>
                <w:b/>
                <w:bCs/>
                <w:color w:val="000000"/>
                <w:sz w:val="18"/>
                <w:szCs w:val="18"/>
                <w:lang w:eastAsia="zh-TW"/>
              </w:rPr>
              <w:t>159</w:t>
            </w:r>
          </w:p>
        </w:tc>
        <w:tc>
          <w:tcPr>
            <w:tcW w:w="372" w:type="pct"/>
            <w:tcBorders>
              <w:top w:val="nil"/>
              <w:left w:val="nil"/>
              <w:bottom w:val="nil"/>
              <w:right w:val="nil"/>
            </w:tcBorders>
            <w:shd w:val="clear" w:color="auto" w:fill="auto"/>
            <w:noWrap/>
            <w:vAlign w:val="center"/>
            <w:hideMark/>
          </w:tcPr>
          <w:p w14:paraId="6E836F65" w14:textId="77777777" w:rsidR="009E5B19" w:rsidRPr="00312B80" w:rsidRDefault="009E5B19" w:rsidP="00BA1BFF">
            <w:pPr>
              <w:spacing w:after="0" w:line="240" w:lineRule="auto"/>
              <w:jc w:val="center"/>
              <w:rPr>
                <w:rFonts w:ascii="Arial Narrow" w:hAnsi="Arial Narrow" w:cs="Arial"/>
                <w:b/>
                <w:bCs/>
                <w:color w:val="000000"/>
                <w:sz w:val="18"/>
                <w:szCs w:val="18"/>
                <w:lang w:eastAsia="zh-TW"/>
              </w:rPr>
            </w:pPr>
            <w:r w:rsidRPr="00312B80">
              <w:rPr>
                <w:rFonts w:ascii="Arial Narrow" w:hAnsi="Arial Narrow" w:cs="Arial"/>
                <w:b/>
                <w:bCs/>
                <w:color w:val="000000"/>
                <w:sz w:val="18"/>
                <w:szCs w:val="18"/>
                <w:lang w:eastAsia="zh-TW"/>
              </w:rPr>
              <w:t>165</w:t>
            </w:r>
          </w:p>
        </w:tc>
        <w:tc>
          <w:tcPr>
            <w:tcW w:w="566" w:type="pct"/>
            <w:tcBorders>
              <w:top w:val="nil"/>
              <w:left w:val="nil"/>
              <w:bottom w:val="nil"/>
              <w:right w:val="nil"/>
            </w:tcBorders>
            <w:shd w:val="clear" w:color="auto" w:fill="auto"/>
            <w:noWrap/>
            <w:vAlign w:val="center"/>
            <w:hideMark/>
          </w:tcPr>
          <w:p w14:paraId="435563FC" w14:textId="77777777" w:rsidR="009E5B19" w:rsidRPr="00312B80" w:rsidRDefault="009E5B19" w:rsidP="00BA1BFF">
            <w:pPr>
              <w:spacing w:after="0" w:line="240" w:lineRule="auto"/>
              <w:jc w:val="center"/>
              <w:rPr>
                <w:rFonts w:ascii="Arial Narrow" w:hAnsi="Arial Narrow" w:cs="Arial"/>
                <w:b/>
                <w:bCs/>
                <w:i/>
                <w:color w:val="000000"/>
                <w:sz w:val="18"/>
                <w:szCs w:val="18"/>
                <w:lang w:eastAsia="zh-TW"/>
              </w:rPr>
            </w:pPr>
            <w:r w:rsidRPr="00312B80">
              <w:rPr>
                <w:rFonts w:ascii="Arial Narrow" w:hAnsi="Arial Narrow" w:cs="Arial"/>
                <w:b/>
                <w:bCs/>
                <w:i/>
                <w:color w:val="000000"/>
                <w:sz w:val="18"/>
                <w:szCs w:val="18"/>
                <w:lang w:eastAsia="zh-TW"/>
              </w:rPr>
              <w:t>268</w:t>
            </w:r>
          </w:p>
        </w:tc>
      </w:tr>
      <w:tr w:rsidR="009E5B19" w:rsidRPr="00A76B2C" w14:paraId="496C01A8" w14:textId="77777777" w:rsidTr="00BA1BFF">
        <w:trPr>
          <w:trHeight w:val="230"/>
        </w:trPr>
        <w:tc>
          <w:tcPr>
            <w:tcW w:w="2537" w:type="pct"/>
            <w:tcBorders>
              <w:top w:val="nil"/>
              <w:left w:val="nil"/>
              <w:bottom w:val="nil"/>
              <w:right w:val="nil"/>
            </w:tcBorders>
            <w:shd w:val="clear" w:color="auto" w:fill="auto"/>
            <w:vAlign w:val="center"/>
            <w:hideMark/>
          </w:tcPr>
          <w:p w14:paraId="471652CE" w14:textId="77777777" w:rsidR="009E5B19" w:rsidRPr="00312B80" w:rsidRDefault="009E5B19" w:rsidP="00BA1BFF">
            <w:pPr>
              <w:spacing w:after="0" w:line="240" w:lineRule="auto"/>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 xml:space="preserve">Nadspotreba liekov - </w:t>
            </w:r>
            <w:r w:rsidRPr="00312B80">
              <w:rPr>
                <w:rFonts w:ascii="Arial Narrow" w:hAnsi="Arial Narrow"/>
                <w:color w:val="000000"/>
                <w:sz w:val="18"/>
                <w:szCs w:val="18"/>
                <w:lang w:eastAsia="zh-TW"/>
              </w:rPr>
              <w:t>zavedenie predpisových limitov pre ambulantných poskytovateľov</w:t>
            </w:r>
          </w:p>
        </w:tc>
        <w:tc>
          <w:tcPr>
            <w:tcW w:w="372" w:type="pct"/>
            <w:tcBorders>
              <w:top w:val="nil"/>
              <w:left w:val="nil"/>
              <w:bottom w:val="nil"/>
              <w:right w:val="nil"/>
            </w:tcBorders>
            <w:shd w:val="clear" w:color="auto" w:fill="auto"/>
            <w:noWrap/>
            <w:vAlign w:val="center"/>
            <w:hideMark/>
          </w:tcPr>
          <w:p w14:paraId="3E73909D"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20</w:t>
            </w:r>
          </w:p>
        </w:tc>
        <w:tc>
          <w:tcPr>
            <w:tcW w:w="781" w:type="pct"/>
            <w:tcBorders>
              <w:top w:val="nil"/>
              <w:left w:val="nil"/>
              <w:bottom w:val="nil"/>
              <w:right w:val="nil"/>
            </w:tcBorders>
            <w:vAlign w:val="center"/>
          </w:tcPr>
          <w:p w14:paraId="727FA076" w14:textId="77777777" w:rsidR="009E5B19" w:rsidRPr="00312B80" w:rsidRDefault="009E5B19" w:rsidP="00BA1BFF">
            <w:pPr>
              <w:spacing w:after="0" w:line="240" w:lineRule="auto"/>
              <w:jc w:val="center"/>
              <w:rPr>
                <w:rFonts w:ascii="Arial Narrow" w:hAnsi="Arial Narrow" w:cs="Arial"/>
                <w:i/>
                <w:color w:val="000000"/>
                <w:sz w:val="18"/>
                <w:szCs w:val="18"/>
                <w:lang w:val="en-US" w:eastAsia="zh-TW"/>
              </w:rPr>
            </w:pPr>
            <w:r w:rsidRPr="00312B80">
              <w:rPr>
                <w:rFonts w:ascii="Arial Narrow" w:hAnsi="Arial Narrow" w:cs="Arial"/>
                <w:i/>
                <w:color w:val="000000"/>
                <w:sz w:val="18"/>
                <w:szCs w:val="18"/>
                <w:lang w:val="en-US" w:eastAsia="zh-TW"/>
              </w:rPr>
              <w:t>18</w:t>
            </w:r>
          </w:p>
        </w:tc>
        <w:tc>
          <w:tcPr>
            <w:tcW w:w="372" w:type="pct"/>
            <w:tcBorders>
              <w:top w:val="nil"/>
              <w:left w:val="nil"/>
              <w:bottom w:val="nil"/>
              <w:right w:val="nil"/>
            </w:tcBorders>
            <w:shd w:val="clear" w:color="auto" w:fill="auto"/>
            <w:noWrap/>
            <w:vAlign w:val="center"/>
            <w:hideMark/>
          </w:tcPr>
          <w:p w14:paraId="253BCF5F"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20</w:t>
            </w:r>
          </w:p>
        </w:tc>
        <w:tc>
          <w:tcPr>
            <w:tcW w:w="372" w:type="pct"/>
            <w:tcBorders>
              <w:top w:val="nil"/>
              <w:left w:val="nil"/>
              <w:bottom w:val="nil"/>
              <w:right w:val="nil"/>
            </w:tcBorders>
            <w:shd w:val="clear" w:color="auto" w:fill="auto"/>
            <w:noWrap/>
            <w:vAlign w:val="center"/>
            <w:hideMark/>
          </w:tcPr>
          <w:p w14:paraId="028F36C6"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20</w:t>
            </w:r>
          </w:p>
        </w:tc>
        <w:tc>
          <w:tcPr>
            <w:tcW w:w="566" w:type="pct"/>
            <w:tcBorders>
              <w:top w:val="nil"/>
              <w:left w:val="nil"/>
              <w:bottom w:val="nil"/>
              <w:right w:val="nil"/>
            </w:tcBorders>
            <w:shd w:val="clear" w:color="auto" w:fill="auto"/>
            <w:noWrap/>
            <w:vAlign w:val="center"/>
            <w:hideMark/>
          </w:tcPr>
          <w:p w14:paraId="4B34F371" w14:textId="77777777" w:rsidR="009E5B19" w:rsidRPr="00312B80" w:rsidRDefault="009E5B19" w:rsidP="00BA1BFF">
            <w:pPr>
              <w:spacing w:after="0" w:line="240" w:lineRule="auto"/>
              <w:jc w:val="center"/>
              <w:rPr>
                <w:rFonts w:ascii="Arial Narrow" w:hAnsi="Arial Narrow" w:cs="Arial"/>
                <w:i/>
                <w:color w:val="000000"/>
                <w:sz w:val="18"/>
                <w:szCs w:val="18"/>
                <w:lang w:eastAsia="zh-TW"/>
              </w:rPr>
            </w:pPr>
            <w:r w:rsidRPr="00312B80">
              <w:rPr>
                <w:rFonts w:ascii="Arial Narrow" w:hAnsi="Arial Narrow" w:cs="Arial"/>
                <w:i/>
                <w:color w:val="000000"/>
                <w:sz w:val="18"/>
                <w:szCs w:val="18"/>
                <w:lang w:eastAsia="zh-TW"/>
              </w:rPr>
              <w:t>59</w:t>
            </w:r>
          </w:p>
        </w:tc>
      </w:tr>
      <w:tr w:rsidR="009E5B19" w:rsidRPr="00A76B2C" w14:paraId="12F4EF24" w14:textId="77777777" w:rsidTr="00BA1BFF">
        <w:trPr>
          <w:trHeight w:val="230"/>
        </w:trPr>
        <w:tc>
          <w:tcPr>
            <w:tcW w:w="2537" w:type="pct"/>
            <w:tcBorders>
              <w:top w:val="nil"/>
              <w:left w:val="nil"/>
              <w:bottom w:val="nil"/>
              <w:right w:val="nil"/>
            </w:tcBorders>
            <w:shd w:val="clear" w:color="auto" w:fill="auto"/>
            <w:vAlign w:val="center"/>
            <w:hideMark/>
          </w:tcPr>
          <w:p w14:paraId="4F885F13" w14:textId="77777777" w:rsidR="009E5B19" w:rsidRPr="00312B80" w:rsidRDefault="009E5B19" w:rsidP="00BA1BFF">
            <w:pPr>
              <w:spacing w:after="0" w:line="240" w:lineRule="auto"/>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Výnimky na lieky - zavedenie pravidiel pre preplácanie výnimiek</w:t>
            </w:r>
          </w:p>
        </w:tc>
        <w:tc>
          <w:tcPr>
            <w:tcW w:w="372" w:type="pct"/>
            <w:tcBorders>
              <w:top w:val="nil"/>
              <w:left w:val="nil"/>
              <w:bottom w:val="nil"/>
              <w:right w:val="nil"/>
            </w:tcBorders>
            <w:shd w:val="clear" w:color="auto" w:fill="auto"/>
            <w:noWrap/>
            <w:vAlign w:val="center"/>
            <w:hideMark/>
          </w:tcPr>
          <w:p w14:paraId="3DB43BF6"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10</w:t>
            </w:r>
          </w:p>
        </w:tc>
        <w:tc>
          <w:tcPr>
            <w:tcW w:w="781" w:type="pct"/>
            <w:tcBorders>
              <w:top w:val="nil"/>
              <w:left w:val="nil"/>
              <w:bottom w:val="nil"/>
              <w:right w:val="nil"/>
            </w:tcBorders>
            <w:vAlign w:val="center"/>
          </w:tcPr>
          <w:p w14:paraId="466D20F6" w14:textId="77777777" w:rsidR="009E5B19" w:rsidRPr="00312B80" w:rsidRDefault="009E5B19" w:rsidP="00BA1BFF">
            <w:pPr>
              <w:spacing w:after="0" w:line="240" w:lineRule="auto"/>
              <w:jc w:val="center"/>
              <w:rPr>
                <w:rFonts w:ascii="Arial Narrow" w:hAnsi="Arial Narrow" w:cs="Arial"/>
                <w:i/>
                <w:color w:val="000000"/>
                <w:sz w:val="18"/>
                <w:szCs w:val="18"/>
                <w:lang w:val="en-US" w:eastAsia="zh-TW"/>
              </w:rPr>
            </w:pPr>
            <w:r w:rsidRPr="00312B80">
              <w:rPr>
                <w:rFonts w:ascii="Arial Narrow" w:hAnsi="Arial Narrow" w:cs="Arial"/>
                <w:i/>
                <w:color w:val="000000"/>
                <w:sz w:val="18"/>
                <w:szCs w:val="18"/>
                <w:lang w:eastAsia="zh-TW"/>
              </w:rPr>
              <w:t>1</w:t>
            </w:r>
          </w:p>
        </w:tc>
        <w:tc>
          <w:tcPr>
            <w:tcW w:w="372" w:type="pct"/>
            <w:tcBorders>
              <w:top w:val="nil"/>
              <w:left w:val="nil"/>
              <w:bottom w:val="nil"/>
              <w:right w:val="nil"/>
            </w:tcBorders>
            <w:shd w:val="clear" w:color="auto" w:fill="auto"/>
            <w:noWrap/>
            <w:vAlign w:val="center"/>
            <w:hideMark/>
          </w:tcPr>
          <w:p w14:paraId="639659FA"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10</w:t>
            </w:r>
          </w:p>
        </w:tc>
        <w:tc>
          <w:tcPr>
            <w:tcW w:w="372" w:type="pct"/>
            <w:tcBorders>
              <w:top w:val="nil"/>
              <w:left w:val="nil"/>
              <w:bottom w:val="nil"/>
              <w:right w:val="nil"/>
            </w:tcBorders>
            <w:shd w:val="clear" w:color="auto" w:fill="auto"/>
            <w:noWrap/>
            <w:vAlign w:val="center"/>
            <w:hideMark/>
          </w:tcPr>
          <w:p w14:paraId="1A06B925"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10</w:t>
            </w:r>
          </w:p>
        </w:tc>
        <w:tc>
          <w:tcPr>
            <w:tcW w:w="566" w:type="pct"/>
            <w:tcBorders>
              <w:top w:val="nil"/>
              <w:left w:val="nil"/>
              <w:bottom w:val="nil"/>
              <w:right w:val="nil"/>
            </w:tcBorders>
            <w:shd w:val="clear" w:color="auto" w:fill="auto"/>
            <w:noWrap/>
            <w:vAlign w:val="center"/>
            <w:hideMark/>
          </w:tcPr>
          <w:p w14:paraId="0EF97472" w14:textId="77777777" w:rsidR="009E5B19" w:rsidRPr="00312B80" w:rsidRDefault="009E5B19" w:rsidP="00BA1BFF">
            <w:pPr>
              <w:spacing w:after="0" w:line="240" w:lineRule="auto"/>
              <w:jc w:val="center"/>
              <w:rPr>
                <w:rFonts w:ascii="Arial Narrow" w:hAnsi="Arial Narrow" w:cs="Arial"/>
                <w:i/>
                <w:color w:val="000000"/>
                <w:sz w:val="18"/>
                <w:szCs w:val="18"/>
                <w:lang w:eastAsia="zh-TW"/>
              </w:rPr>
            </w:pPr>
            <w:r w:rsidRPr="00312B80">
              <w:rPr>
                <w:rFonts w:ascii="Arial Narrow" w:hAnsi="Arial Narrow" w:cs="Arial"/>
                <w:i/>
                <w:color w:val="000000"/>
                <w:sz w:val="18"/>
                <w:szCs w:val="18"/>
                <w:lang w:eastAsia="zh-TW"/>
              </w:rPr>
              <w:t>10</w:t>
            </w:r>
          </w:p>
        </w:tc>
      </w:tr>
      <w:tr w:rsidR="009E5B19" w:rsidRPr="00A76B2C" w14:paraId="3EF83BCD" w14:textId="77777777" w:rsidTr="00BA1BFF">
        <w:trPr>
          <w:trHeight w:val="230"/>
        </w:trPr>
        <w:tc>
          <w:tcPr>
            <w:tcW w:w="2537" w:type="pct"/>
            <w:tcBorders>
              <w:top w:val="nil"/>
              <w:left w:val="nil"/>
              <w:bottom w:val="nil"/>
              <w:right w:val="nil"/>
            </w:tcBorders>
            <w:shd w:val="clear" w:color="auto" w:fill="auto"/>
            <w:vAlign w:val="center"/>
            <w:hideMark/>
          </w:tcPr>
          <w:p w14:paraId="5986F49E" w14:textId="77777777" w:rsidR="009E5B19" w:rsidRPr="00312B80" w:rsidRDefault="009E5B19" w:rsidP="00BA1BFF">
            <w:pPr>
              <w:spacing w:after="0" w:line="240" w:lineRule="auto"/>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 xml:space="preserve">Potenciálne nákladovo neefektívne lieky - centrálny nákup liekov ZP </w:t>
            </w:r>
          </w:p>
        </w:tc>
        <w:tc>
          <w:tcPr>
            <w:tcW w:w="372" w:type="pct"/>
            <w:tcBorders>
              <w:top w:val="nil"/>
              <w:left w:val="nil"/>
              <w:bottom w:val="nil"/>
              <w:right w:val="nil"/>
            </w:tcBorders>
            <w:shd w:val="clear" w:color="auto" w:fill="auto"/>
            <w:noWrap/>
            <w:vAlign w:val="center"/>
            <w:hideMark/>
          </w:tcPr>
          <w:p w14:paraId="2963489C"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25</w:t>
            </w:r>
          </w:p>
        </w:tc>
        <w:tc>
          <w:tcPr>
            <w:tcW w:w="781" w:type="pct"/>
            <w:tcBorders>
              <w:top w:val="nil"/>
              <w:left w:val="nil"/>
              <w:bottom w:val="nil"/>
              <w:right w:val="nil"/>
            </w:tcBorders>
            <w:vAlign w:val="center"/>
          </w:tcPr>
          <w:p w14:paraId="60E56222" w14:textId="77777777" w:rsidR="009E5B19" w:rsidRPr="00312B80" w:rsidRDefault="009E5B19" w:rsidP="00BA1BFF">
            <w:pPr>
              <w:spacing w:after="0" w:line="240" w:lineRule="auto"/>
              <w:jc w:val="center"/>
              <w:rPr>
                <w:rFonts w:ascii="Arial Narrow" w:hAnsi="Arial Narrow" w:cs="Arial"/>
                <w:i/>
                <w:color w:val="000000"/>
                <w:sz w:val="18"/>
                <w:szCs w:val="18"/>
                <w:lang w:eastAsia="zh-TW"/>
              </w:rPr>
            </w:pPr>
            <w:r w:rsidRPr="00312B80">
              <w:rPr>
                <w:rFonts w:ascii="Arial Narrow" w:hAnsi="Arial Narrow" w:cs="Arial"/>
                <w:i/>
                <w:color w:val="000000"/>
                <w:sz w:val="18"/>
                <w:szCs w:val="18"/>
                <w:lang w:eastAsia="zh-TW"/>
              </w:rPr>
              <w:t>-3</w:t>
            </w:r>
          </w:p>
        </w:tc>
        <w:tc>
          <w:tcPr>
            <w:tcW w:w="372" w:type="pct"/>
            <w:tcBorders>
              <w:top w:val="nil"/>
              <w:left w:val="nil"/>
              <w:bottom w:val="nil"/>
              <w:right w:val="nil"/>
            </w:tcBorders>
            <w:shd w:val="clear" w:color="auto" w:fill="auto"/>
            <w:noWrap/>
            <w:vAlign w:val="center"/>
            <w:hideMark/>
          </w:tcPr>
          <w:p w14:paraId="5AF2ADE8"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25</w:t>
            </w:r>
          </w:p>
        </w:tc>
        <w:tc>
          <w:tcPr>
            <w:tcW w:w="372" w:type="pct"/>
            <w:tcBorders>
              <w:top w:val="nil"/>
              <w:left w:val="nil"/>
              <w:bottom w:val="nil"/>
              <w:right w:val="nil"/>
            </w:tcBorders>
            <w:shd w:val="clear" w:color="auto" w:fill="auto"/>
            <w:noWrap/>
            <w:vAlign w:val="center"/>
            <w:hideMark/>
          </w:tcPr>
          <w:p w14:paraId="2B068B47"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25</w:t>
            </w:r>
          </w:p>
        </w:tc>
        <w:tc>
          <w:tcPr>
            <w:tcW w:w="566" w:type="pct"/>
            <w:tcBorders>
              <w:top w:val="nil"/>
              <w:left w:val="nil"/>
              <w:bottom w:val="nil"/>
              <w:right w:val="nil"/>
            </w:tcBorders>
            <w:shd w:val="clear" w:color="auto" w:fill="auto"/>
            <w:noWrap/>
            <w:vAlign w:val="center"/>
            <w:hideMark/>
          </w:tcPr>
          <w:p w14:paraId="3519EF25" w14:textId="77777777" w:rsidR="009E5B19" w:rsidRPr="00312B80" w:rsidRDefault="009E5B19" w:rsidP="00BA1BFF">
            <w:pPr>
              <w:spacing w:after="0" w:line="240" w:lineRule="auto"/>
              <w:jc w:val="center"/>
              <w:rPr>
                <w:rFonts w:ascii="Arial Narrow" w:hAnsi="Arial Narrow" w:cs="Arial"/>
                <w:i/>
                <w:color w:val="000000"/>
                <w:sz w:val="18"/>
                <w:szCs w:val="18"/>
                <w:lang w:eastAsia="zh-TW"/>
              </w:rPr>
            </w:pPr>
            <w:r w:rsidRPr="00312B80">
              <w:rPr>
                <w:rFonts w:ascii="Arial Narrow" w:hAnsi="Arial Narrow" w:cs="Arial"/>
                <w:i/>
                <w:color w:val="000000"/>
                <w:sz w:val="18"/>
                <w:szCs w:val="18"/>
                <w:lang w:eastAsia="zh-TW"/>
              </w:rPr>
              <w:t>42</w:t>
            </w:r>
          </w:p>
        </w:tc>
      </w:tr>
      <w:tr w:rsidR="009E5B19" w:rsidRPr="00A76B2C" w14:paraId="118BC2B3" w14:textId="77777777" w:rsidTr="00BA1BFF">
        <w:trPr>
          <w:trHeight w:val="230"/>
        </w:trPr>
        <w:tc>
          <w:tcPr>
            <w:tcW w:w="2537" w:type="pct"/>
            <w:tcBorders>
              <w:top w:val="nil"/>
              <w:left w:val="nil"/>
              <w:bottom w:val="nil"/>
              <w:right w:val="nil"/>
            </w:tcBorders>
            <w:shd w:val="clear" w:color="auto" w:fill="auto"/>
            <w:vAlign w:val="center"/>
            <w:hideMark/>
          </w:tcPr>
          <w:p w14:paraId="541B0DC0" w14:textId="77777777" w:rsidR="009E5B19" w:rsidRPr="00312B80" w:rsidRDefault="009E5B19" w:rsidP="00BA1BFF">
            <w:pPr>
              <w:spacing w:after="0" w:line="240" w:lineRule="auto"/>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Špeciálny zdravotnícky materiál - zníženie cien (</w:t>
            </w:r>
            <w:proofErr w:type="spellStart"/>
            <w:r w:rsidRPr="00312B80">
              <w:rPr>
                <w:rFonts w:ascii="Arial Narrow" w:hAnsi="Arial Narrow" w:cs="Arial"/>
                <w:color w:val="000000"/>
                <w:sz w:val="18"/>
                <w:szCs w:val="18"/>
                <w:lang w:eastAsia="zh-TW"/>
              </w:rPr>
              <w:t>referencovanie</w:t>
            </w:r>
            <w:proofErr w:type="spellEnd"/>
            <w:r w:rsidRPr="00312B80">
              <w:rPr>
                <w:rFonts w:ascii="Arial Narrow" w:hAnsi="Arial Narrow" w:cs="Arial"/>
                <w:color w:val="000000"/>
                <w:sz w:val="18"/>
                <w:szCs w:val="18"/>
                <w:lang w:eastAsia="zh-TW"/>
              </w:rPr>
              <w:t>)</w:t>
            </w:r>
          </w:p>
        </w:tc>
        <w:tc>
          <w:tcPr>
            <w:tcW w:w="372" w:type="pct"/>
            <w:tcBorders>
              <w:top w:val="nil"/>
              <w:left w:val="nil"/>
              <w:bottom w:val="nil"/>
              <w:right w:val="nil"/>
            </w:tcBorders>
            <w:shd w:val="clear" w:color="auto" w:fill="auto"/>
            <w:noWrap/>
            <w:vAlign w:val="center"/>
            <w:hideMark/>
          </w:tcPr>
          <w:p w14:paraId="2CEB5645"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35</w:t>
            </w:r>
          </w:p>
        </w:tc>
        <w:tc>
          <w:tcPr>
            <w:tcW w:w="781" w:type="pct"/>
            <w:tcBorders>
              <w:top w:val="nil"/>
              <w:left w:val="nil"/>
              <w:bottom w:val="nil"/>
              <w:right w:val="nil"/>
            </w:tcBorders>
            <w:vAlign w:val="center"/>
          </w:tcPr>
          <w:p w14:paraId="5B594E89" w14:textId="77777777" w:rsidR="009E5B19" w:rsidRPr="00312B80" w:rsidRDefault="009E5B19" w:rsidP="00BA1BFF">
            <w:pPr>
              <w:spacing w:after="0" w:line="240" w:lineRule="auto"/>
              <w:jc w:val="center"/>
              <w:rPr>
                <w:rFonts w:ascii="Arial Narrow" w:hAnsi="Arial Narrow" w:cs="Arial"/>
                <w:i/>
                <w:color w:val="000000"/>
                <w:sz w:val="18"/>
                <w:szCs w:val="18"/>
                <w:lang w:eastAsia="zh-TW"/>
              </w:rPr>
            </w:pPr>
            <w:r w:rsidRPr="00312B80">
              <w:rPr>
                <w:rFonts w:ascii="Arial Narrow" w:hAnsi="Arial Narrow" w:cs="Arial"/>
                <w:i/>
                <w:color w:val="000000"/>
                <w:sz w:val="18"/>
                <w:szCs w:val="18"/>
                <w:lang w:eastAsia="zh-TW"/>
              </w:rPr>
              <w:t>16</w:t>
            </w:r>
          </w:p>
        </w:tc>
        <w:tc>
          <w:tcPr>
            <w:tcW w:w="372" w:type="pct"/>
            <w:tcBorders>
              <w:top w:val="nil"/>
              <w:left w:val="nil"/>
              <w:bottom w:val="nil"/>
              <w:right w:val="nil"/>
            </w:tcBorders>
            <w:shd w:val="clear" w:color="auto" w:fill="auto"/>
            <w:noWrap/>
            <w:vAlign w:val="center"/>
            <w:hideMark/>
          </w:tcPr>
          <w:p w14:paraId="0C26C3D3"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45</w:t>
            </w:r>
          </w:p>
        </w:tc>
        <w:tc>
          <w:tcPr>
            <w:tcW w:w="372" w:type="pct"/>
            <w:tcBorders>
              <w:top w:val="nil"/>
              <w:left w:val="nil"/>
              <w:bottom w:val="nil"/>
              <w:right w:val="nil"/>
            </w:tcBorders>
            <w:shd w:val="clear" w:color="auto" w:fill="auto"/>
            <w:noWrap/>
            <w:vAlign w:val="center"/>
            <w:hideMark/>
          </w:tcPr>
          <w:p w14:paraId="46333843"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45</w:t>
            </w:r>
          </w:p>
        </w:tc>
        <w:tc>
          <w:tcPr>
            <w:tcW w:w="566" w:type="pct"/>
            <w:tcBorders>
              <w:top w:val="nil"/>
              <w:left w:val="nil"/>
              <w:bottom w:val="nil"/>
              <w:right w:val="nil"/>
            </w:tcBorders>
            <w:shd w:val="clear" w:color="auto" w:fill="auto"/>
            <w:noWrap/>
            <w:vAlign w:val="center"/>
            <w:hideMark/>
          </w:tcPr>
          <w:p w14:paraId="36024E8A" w14:textId="77777777" w:rsidR="009E5B19" w:rsidRPr="00312B80" w:rsidRDefault="009E5B19" w:rsidP="00BA1BFF">
            <w:pPr>
              <w:spacing w:after="0" w:line="240" w:lineRule="auto"/>
              <w:jc w:val="center"/>
              <w:rPr>
                <w:rFonts w:ascii="Arial Narrow" w:hAnsi="Arial Narrow" w:cs="Arial"/>
                <w:i/>
                <w:color w:val="000000"/>
                <w:sz w:val="18"/>
                <w:szCs w:val="18"/>
                <w:lang w:eastAsia="zh-TW"/>
              </w:rPr>
            </w:pPr>
            <w:r w:rsidRPr="00312B80">
              <w:rPr>
                <w:rFonts w:ascii="Arial Narrow" w:hAnsi="Arial Narrow" w:cs="Arial"/>
                <w:i/>
                <w:color w:val="000000"/>
                <w:sz w:val="18"/>
                <w:szCs w:val="18"/>
                <w:lang w:eastAsia="zh-TW"/>
              </w:rPr>
              <w:t>55</w:t>
            </w:r>
          </w:p>
        </w:tc>
      </w:tr>
      <w:tr w:rsidR="009E5B19" w:rsidRPr="00A76B2C" w14:paraId="171F59E6" w14:textId="77777777" w:rsidTr="00BA1BFF">
        <w:trPr>
          <w:trHeight w:val="230"/>
        </w:trPr>
        <w:tc>
          <w:tcPr>
            <w:tcW w:w="2537" w:type="pct"/>
            <w:tcBorders>
              <w:top w:val="nil"/>
              <w:left w:val="nil"/>
              <w:bottom w:val="nil"/>
              <w:right w:val="nil"/>
            </w:tcBorders>
            <w:shd w:val="clear" w:color="auto" w:fill="auto"/>
            <w:vAlign w:val="center"/>
            <w:hideMark/>
          </w:tcPr>
          <w:p w14:paraId="39B91A34" w14:textId="77777777" w:rsidR="009E5B19" w:rsidRPr="00312B80" w:rsidRDefault="009E5B19" w:rsidP="00BA1BFF">
            <w:pPr>
              <w:spacing w:after="0" w:line="240" w:lineRule="auto"/>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 xml:space="preserve">Zdravotnícke pomôcky - </w:t>
            </w:r>
            <w:proofErr w:type="spellStart"/>
            <w:r w:rsidRPr="00312B80">
              <w:rPr>
                <w:rFonts w:ascii="Arial Narrow" w:hAnsi="Arial Narrow" w:cs="Arial"/>
                <w:color w:val="000000"/>
                <w:sz w:val="18"/>
                <w:szCs w:val="18"/>
                <w:lang w:eastAsia="zh-TW"/>
              </w:rPr>
              <w:t>referencovanie</w:t>
            </w:r>
            <w:proofErr w:type="spellEnd"/>
            <w:r w:rsidRPr="00312B80">
              <w:rPr>
                <w:rFonts w:ascii="Arial Narrow" w:hAnsi="Arial Narrow" w:cs="Arial"/>
                <w:color w:val="000000"/>
                <w:sz w:val="18"/>
                <w:szCs w:val="18"/>
                <w:lang w:eastAsia="zh-TW"/>
              </w:rPr>
              <w:t xml:space="preserve"> a revízne činnosti</w:t>
            </w:r>
          </w:p>
        </w:tc>
        <w:tc>
          <w:tcPr>
            <w:tcW w:w="372" w:type="pct"/>
            <w:tcBorders>
              <w:top w:val="nil"/>
              <w:left w:val="nil"/>
              <w:bottom w:val="nil"/>
              <w:right w:val="nil"/>
            </w:tcBorders>
            <w:shd w:val="clear" w:color="auto" w:fill="auto"/>
            <w:noWrap/>
            <w:vAlign w:val="center"/>
            <w:hideMark/>
          </w:tcPr>
          <w:p w14:paraId="0D2F1A2E"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15</w:t>
            </w:r>
          </w:p>
        </w:tc>
        <w:tc>
          <w:tcPr>
            <w:tcW w:w="781" w:type="pct"/>
            <w:tcBorders>
              <w:top w:val="nil"/>
              <w:left w:val="nil"/>
              <w:bottom w:val="nil"/>
              <w:right w:val="nil"/>
            </w:tcBorders>
            <w:vAlign w:val="center"/>
          </w:tcPr>
          <w:p w14:paraId="630C0FA8" w14:textId="77777777" w:rsidR="009E5B19" w:rsidRPr="00312B80" w:rsidRDefault="009E5B19" w:rsidP="00BA1BFF">
            <w:pPr>
              <w:spacing w:after="0" w:line="240" w:lineRule="auto"/>
              <w:jc w:val="center"/>
              <w:rPr>
                <w:rFonts w:ascii="Arial Narrow" w:hAnsi="Arial Narrow" w:cs="Arial"/>
                <w:i/>
                <w:color w:val="000000"/>
                <w:sz w:val="18"/>
                <w:szCs w:val="18"/>
                <w:lang w:eastAsia="zh-TW"/>
              </w:rPr>
            </w:pPr>
            <w:r w:rsidRPr="00312B80">
              <w:rPr>
                <w:rFonts w:ascii="Arial Narrow" w:hAnsi="Arial Narrow" w:cs="Arial"/>
                <w:i/>
                <w:color w:val="000000"/>
                <w:sz w:val="18"/>
                <w:szCs w:val="18"/>
                <w:lang w:eastAsia="zh-TW"/>
              </w:rPr>
              <w:t>4</w:t>
            </w:r>
          </w:p>
        </w:tc>
        <w:tc>
          <w:tcPr>
            <w:tcW w:w="372" w:type="pct"/>
            <w:tcBorders>
              <w:top w:val="nil"/>
              <w:left w:val="nil"/>
              <w:bottom w:val="nil"/>
              <w:right w:val="nil"/>
            </w:tcBorders>
            <w:shd w:val="clear" w:color="auto" w:fill="auto"/>
            <w:noWrap/>
            <w:vAlign w:val="center"/>
            <w:hideMark/>
          </w:tcPr>
          <w:p w14:paraId="60C17BAB"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15</w:t>
            </w:r>
          </w:p>
        </w:tc>
        <w:tc>
          <w:tcPr>
            <w:tcW w:w="372" w:type="pct"/>
            <w:tcBorders>
              <w:top w:val="nil"/>
              <w:left w:val="nil"/>
              <w:bottom w:val="nil"/>
              <w:right w:val="nil"/>
            </w:tcBorders>
            <w:shd w:val="clear" w:color="auto" w:fill="auto"/>
            <w:noWrap/>
            <w:vAlign w:val="center"/>
            <w:hideMark/>
          </w:tcPr>
          <w:p w14:paraId="79B22E94"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15</w:t>
            </w:r>
          </w:p>
        </w:tc>
        <w:tc>
          <w:tcPr>
            <w:tcW w:w="566" w:type="pct"/>
            <w:tcBorders>
              <w:top w:val="nil"/>
              <w:left w:val="nil"/>
              <w:bottom w:val="nil"/>
              <w:right w:val="nil"/>
            </w:tcBorders>
            <w:shd w:val="clear" w:color="auto" w:fill="auto"/>
            <w:noWrap/>
            <w:vAlign w:val="center"/>
            <w:hideMark/>
          </w:tcPr>
          <w:p w14:paraId="43B1CD57" w14:textId="77777777" w:rsidR="009E5B19" w:rsidRPr="00312B80" w:rsidRDefault="009E5B19" w:rsidP="00BA1BFF">
            <w:pPr>
              <w:spacing w:after="0" w:line="240" w:lineRule="auto"/>
              <w:jc w:val="center"/>
              <w:rPr>
                <w:rFonts w:ascii="Arial Narrow" w:hAnsi="Arial Narrow" w:cs="Arial"/>
                <w:i/>
                <w:color w:val="000000"/>
                <w:sz w:val="18"/>
                <w:szCs w:val="18"/>
                <w:lang w:eastAsia="zh-TW"/>
              </w:rPr>
            </w:pPr>
            <w:r w:rsidRPr="00312B80">
              <w:rPr>
                <w:rFonts w:ascii="Arial Narrow" w:hAnsi="Arial Narrow" w:cs="Arial"/>
                <w:i/>
                <w:color w:val="000000"/>
                <w:sz w:val="18"/>
                <w:szCs w:val="18"/>
                <w:lang w:eastAsia="zh-TW"/>
              </w:rPr>
              <w:t>15</w:t>
            </w:r>
          </w:p>
        </w:tc>
      </w:tr>
      <w:tr w:rsidR="009E5B19" w:rsidRPr="00A76B2C" w14:paraId="6FF4F972" w14:textId="77777777" w:rsidTr="00BA1BFF">
        <w:trPr>
          <w:trHeight w:val="243"/>
        </w:trPr>
        <w:tc>
          <w:tcPr>
            <w:tcW w:w="2537" w:type="pct"/>
            <w:tcBorders>
              <w:top w:val="nil"/>
              <w:left w:val="nil"/>
              <w:bottom w:val="nil"/>
              <w:right w:val="nil"/>
            </w:tcBorders>
            <w:shd w:val="clear" w:color="auto" w:fill="auto"/>
            <w:vAlign w:val="center"/>
            <w:hideMark/>
          </w:tcPr>
          <w:p w14:paraId="28C8977C" w14:textId="77777777" w:rsidR="009E5B19" w:rsidRPr="00312B80" w:rsidRDefault="009E5B19" w:rsidP="00BA1BFF">
            <w:pPr>
              <w:spacing w:after="0" w:line="240" w:lineRule="auto"/>
              <w:rPr>
                <w:rFonts w:ascii="Arial Narrow" w:hAnsi="Arial Narrow" w:cs="Arial"/>
                <w:color w:val="000000"/>
                <w:sz w:val="18"/>
                <w:szCs w:val="18"/>
                <w:lang w:eastAsia="zh-TW"/>
              </w:rPr>
            </w:pPr>
            <w:r w:rsidRPr="00312B80">
              <w:rPr>
                <w:rFonts w:ascii="Arial Narrow" w:hAnsi="Arial Narrow"/>
                <w:color w:val="000000"/>
                <w:sz w:val="18"/>
                <w:szCs w:val="18"/>
                <w:lang w:eastAsia="zh-TW"/>
              </w:rPr>
              <w:t>SVLZ - zníženie jednotkových cien a limitov CT a MR vyšetrení</w:t>
            </w:r>
          </w:p>
        </w:tc>
        <w:tc>
          <w:tcPr>
            <w:tcW w:w="372" w:type="pct"/>
            <w:tcBorders>
              <w:top w:val="nil"/>
              <w:left w:val="nil"/>
              <w:bottom w:val="nil"/>
              <w:right w:val="nil"/>
            </w:tcBorders>
            <w:shd w:val="clear" w:color="auto" w:fill="auto"/>
            <w:noWrap/>
            <w:vAlign w:val="center"/>
            <w:hideMark/>
          </w:tcPr>
          <w:p w14:paraId="32683C1A"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10</w:t>
            </w:r>
          </w:p>
        </w:tc>
        <w:tc>
          <w:tcPr>
            <w:tcW w:w="781" w:type="pct"/>
            <w:tcBorders>
              <w:top w:val="nil"/>
              <w:left w:val="nil"/>
              <w:bottom w:val="nil"/>
              <w:right w:val="nil"/>
            </w:tcBorders>
            <w:vAlign w:val="center"/>
          </w:tcPr>
          <w:p w14:paraId="63D672EE" w14:textId="77777777" w:rsidR="009E5B19" w:rsidRPr="00312B80" w:rsidRDefault="009E5B19" w:rsidP="00BA1BFF">
            <w:pPr>
              <w:spacing w:after="0" w:line="240" w:lineRule="auto"/>
              <w:jc w:val="center"/>
              <w:rPr>
                <w:rFonts w:ascii="Arial Narrow" w:hAnsi="Arial Narrow" w:cs="Arial"/>
                <w:i/>
                <w:color w:val="000000"/>
                <w:sz w:val="18"/>
                <w:szCs w:val="18"/>
                <w:lang w:eastAsia="zh-TW"/>
              </w:rPr>
            </w:pPr>
            <w:r w:rsidRPr="00312B80">
              <w:rPr>
                <w:rFonts w:ascii="Arial Narrow" w:hAnsi="Arial Narrow" w:cs="Arial"/>
                <w:i/>
                <w:color w:val="000000"/>
                <w:sz w:val="18"/>
                <w:szCs w:val="18"/>
                <w:lang w:eastAsia="zh-TW"/>
              </w:rPr>
              <w:t>8</w:t>
            </w:r>
          </w:p>
        </w:tc>
        <w:tc>
          <w:tcPr>
            <w:tcW w:w="372" w:type="pct"/>
            <w:tcBorders>
              <w:top w:val="nil"/>
              <w:left w:val="nil"/>
              <w:bottom w:val="nil"/>
              <w:right w:val="nil"/>
            </w:tcBorders>
            <w:shd w:val="clear" w:color="auto" w:fill="auto"/>
            <w:noWrap/>
            <w:vAlign w:val="center"/>
            <w:hideMark/>
          </w:tcPr>
          <w:p w14:paraId="35040B39"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16</w:t>
            </w:r>
          </w:p>
        </w:tc>
        <w:tc>
          <w:tcPr>
            <w:tcW w:w="372" w:type="pct"/>
            <w:tcBorders>
              <w:top w:val="nil"/>
              <w:left w:val="nil"/>
              <w:bottom w:val="nil"/>
              <w:right w:val="nil"/>
            </w:tcBorders>
            <w:shd w:val="clear" w:color="auto" w:fill="auto"/>
            <w:noWrap/>
            <w:vAlign w:val="center"/>
            <w:hideMark/>
          </w:tcPr>
          <w:p w14:paraId="772F5FB9"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22</w:t>
            </w:r>
          </w:p>
        </w:tc>
        <w:tc>
          <w:tcPr>
            <w:tcW w:w="566" w:type="pct"/>
            <w:tcBorders>
              <w:top w:val="nil"/>
              <w:left w:val="nil"/>
              <w:bottom w:val="nil"/>
              <w:right w:val="nil"/>
            </w:tcBorders>
            <w:shd w:val="clear" w:color="auto" w:fill="auto"/>
            <w:noWrap/>
            <w:vAlign w:val="center"/>
            <w:hideMark/>
          </w:tcPr>
          <w:p w14:paraId="6F782A20" w14:textId="77777777" w:rsidR="009E5B19" w:rsidRPr="00312B80" w:rsidRDefault="009E5B19" w:rsidP="00BA1BFF">
            <w:pPr>
              <w:spacing w:after="0" w:line="240" w:lineRule="auto"/>
              <w:jc w:val="center"/>
              <w:rPr>
                <w:rFonts w:ascii="Arial Narrow" w:hAnsi="Arial Narrow" w:cs="Arial"/>
                <w:i/>
                <w:color w:val="000000"/>
                <w:sz w:val="18"/>
                <w:szCs w:val="18"/>
                <w:lang w:eastAsia="zh-TW"/>
              </w:rPr>
            </w:pPr>
            <w:r w:rsidRPr="00312B80">
              <w:rPr>
                <w:rFonts w:ascii="Arial Narrow" w:hAnsi="Arial Narrow" w:cs="Arial"/>
                <w:i/>
                <w:color w:val="000000"/>
                <w:sz w:val="18"/>
                <w:szCs w:val="18"/>
                <w:lang w:eastAsia="zh-TW"/>
              </w:rPr>
              <w:t>25</w:t>
            </w:r>
          </w:p>
        </w:tc>
      </w:tr>
      <w:tr w:rsidR="009E5B19" w:rsidRPr="00A76B2C" w14:paraId="0FBAA42F" w14:textId="77777777" w:rsidTr="00BA1BFF">
        <w:trPr>
          <w:trHeight w:val="230"/>
        </w:trPr>
        <w:tc>
          <w:tcPr>
            <w:tcW w:w="2537" w:type="pct"/>
            <w:tcBorders>
              <w:top w:val="nil"/>
              <w:left w:val="nil"/>
              <w:right w:val="nil"/>
            </w:tcBorders>
            <w:shd w:val="clear" w:color="auto" w:fill="auto"/>
            <w:vAlign w:val="center"/>
            <w:hideMark/>
          </w:tcPr>
          <w:p w14:paraId="241272F1" w14:textId="77777777" w:rsidR="009E5B19" w:rsidRPr="00312B80" w:rsidRDefault="009E5B19" w:rsidP="00BA1BFF">
            <w:pPr>
              <w:spacing w:after="0" w:line="240" w:lineRule="auto"/>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 xml:space="preserve">SVLZ - zavedenie limitov </w:t>
            </w:r>
            <w:r w:rsidRPr="00312B80">
              <w:rPr>
                <w:rFonts w:ascii="Arial Narrow" w:hAnsi="Arial Narrow"/>
                <w:color w:val="000000"/>
                <w:sz w:val="18"/>
                <w:szCs w:val="18"/>
                <w:lang w:eastAsia="zh-TW"/>
              </w:rPr>
              <w:t>pre ambulantných poskytovateľov</w:t>
            </w:r>
          </w:p>
        </w:tc>
        <w:tc>
          <w:tcPr>
            <w:tcW w:w="372" w:type="pct"/>
            <w:tcBorders>
              <w:top w:val="nil"/>
              <w:left w:val="nil"/>
              <w:right w:val="nil"/>
            </w:tcBorders>
            <w:shd w:val="clear" w:color="auto" w:fill="auto"/>
            <w:noWrap/>
            <w:vAlign w:val="center"/>
            <w:hideMark/>
          </w:tcPr>
          <w:p w14:paraId="72D04A02"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3</w:t>
            </w:r>
          </w:p>
        </w:tc>
        <w:tc>
          <w:tcPr>
            <w:tcW w:w="781" w:type="pct"/>
            <w:tcBorders>
              <w:top w:val="nil"/>
              <w:left w:val="nil"/>
              <w:right w:val="nil"/>
            </w:tcBorders>
            <w:vAlign w:val="center"/>
          </w:tcPr>
          <w:p w14:paraId="3BB4335A" w14:textId="77777777" w:rsidR="009E5B19" w:rsidRPr="00312B80" w:rsidRDefault="009E5B19" w:rsidP="00BA1BFF">
            <w:pPr>
              <w:spacing w:after="0" w:line="240" w:lineRule="auto"/>
              <w:jc w:val="center"/>
              <w:rPr>
                <w:rFonts w:ascii="Arial Narrow" w:hAnsi="Arial Narrow" w:cs="Arial"/>
                <w:i/>
                <w:color w:val="000000"/>
                <w:sz w:val="18"/>
                <w:szCs w:val="18"/>
                <w:lang w:eastAsia="zh-TW"/>
              </w:rPr>
            </w:pPr>
            <w:r w:rsidRPr="00312B80">
              <w:rPr>
                <w:rFonts w:ascii="Arial Narrow" w:hAnsi="Arial Narrow" w:cs="Arial"/>
                <w:i/>
                <w:color w:val="000000"/>
                <w:sz w:val="18"/>
                <w:szCs w:val="18"/>
                <w:lang w:eastAsia="zh-TW"/>
              </w:rPr>
              <w:t>5</w:t>
            </w:r>
          </w:p>
        </w:tc>
        <w:tc>
          <w:tcPr>
            <w:tcW w:w="372" w:type="pct"/>
            <w:tcBorders>
              <w:top w:val="nil"/>
              <w:left w:val="nil"/>
              <w:right w:val="nil"/>
            </w:tcBorders>
            <w:shd w:val="clear" w:color="auto" w:fill="auto"/>
            <w:noWrap/>
            <w:vAlign w:val="center"/>
            <w:hideMark/>
          </w:tcPr>
          <w:p w14:paraId="0B22CAA8"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3</w:t>
            </w:r>
          </w:p>
        </w:tc>
        <w:tc>
          <w:tcPr>
            <w:tcW w:w="372" w:type="pct"/>
            <w:tcBorders>
              <w:top w:val="nil"/>
              <w:left w:val="nil"/>
              <w:right w:val="nil"/>
            </w:tcBorders>
            <w:shd w:val="clear" w:color="auto" w:fill="auto"/>
            <w:noWrap/>
            <w:vAlign w:val="center"/>
            <w:hideMark/>
          </w:tcPr>
          <w:p w14:paraId="50C54308"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3</w:t>
            </w:r>
          </w:p>
        </w:tc>
        <w:tc>
          <w:tcPr>
            <w:tcW w:w="566" w:type="pct"/>
            <w:tcBorders>
              <w:top w:val="nil"/>
              <w:left w:val="nil"/>
              <w:right w:val="nil"/>
            </w:tcBorders>
            <w:shd w:val="clear" w:color="auto" w:fill="auto"/>
            <w:noWrap/>
            <w:vAlign w:val="center"/>
            <w:hideMark/>
          </w:tcPr>
          <w:p w14:paraId="3AA965FE" w14:textId="77777777" w:rsidR="009E5B19" w:rsidRPr="00312B80" w:rsidRDefault="009E5B19" w:rsidP="00BA1BFF">
            <w:pPr>
              <w:spacing w:after="0" w:line="240" w:lineRule="auto"/>
              <w:jc w:val="center"/>
              <w:rPr>
                <w:rFonts w:ascii="Arial Narrow" w:hAnsi="Arial Narrow" w:cs="Arial"/>
                <w:i/>
                <w:color w:val="000000"/>
                <w:sz w:val="18"/>
                <w:szCs w:val="18"/>
                <w:lang w:eastAsia="zh-TW"/>
              </w:rPr>
            </w:pPr>
            <w:r w:rsidRPr="00312B80">
              <w:rPr>
                <w:rFonts w:ascii="Arial Narrow" w:hAnsi="Arial Narrow" w:cs="Arial"/>
                <w:i/>
                <w:color w:val="000000"/>
                <w:sz w:val="18"/>
                <w:szCs w:val="18"/>
                <w:lang w:eastAsia="zh-TW"/>
              </w:rPr>
              <w:t>37</w:t>
            </w:r>
          </w:p>
        </w:tc>
      </w:tr>
      <w:tr w:rsidR="009E5B19" w:rsidRPr="00A76B2C" w14:paraId="680595A1" w14:textId="77777777" w:rsidTr="00BA1BFF">
        <w:trPr>
          <w:trHeight w:val="230"/>
        </w:trPr>
        <w:tc>
          <w:tcPr>
            <w:tcW w:w="2537" w:type="pct"/>
            <w:tcBorders>
              <w:top w:val="nil"/>
              <w:left w:val="nil"/>
              <w:bottom w:val="single" w:sz="4" w:space="0" w:color="auto"/>
              <w:right w:val="nil"/>
            </w:tcBorders>
            <w:shd w:val="clear" w:color="auto" w:fill="auto"/>
            <w:vAlign w:val="center"/>
            <w:hideMark/>
          </w:tcPr>
          <w:p w14:paraId="06394990" w14:textId="77777777" w:rsidR="009E5B19" w:rsidRPr="00312B80" w:rsidRDefault="009E5B19" w:rsidP="00BA1BFF">
            <w:pPr>
              <w:spacing w:after="0" w:line="240" w:lineRule="auto"/>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 xml:space="preserve">Zlepšenie revíznych činností </w:t>
            </w:r>
            <w:proofErr w:type="spellStart"/>
            <w:r w:rsidRPr="00312B80">
              <w:rPr>
                <w:rFonts w:ascii="Arial Narrow" w:hAnsi="Arial Narrow"/>
                <w:color w:val="000000"/>
                <w:sz w:val="18"/>
                <w:szCs w:val="18"/>
                <w:lang w:eastAsia="zh-TW"/>
              </w:rPr>
              <w:t>VšZP</w:t>
            </w:r>
            <w:proofErr w:type="spellEnd"/>
          </w:p>
        </w:tc>
        <w:tc>
          <w:tcPr>
            <w:tcW w:w="372" w:type="pct"/>
            <w:tcBorders>
              <w:top w:val="nil"/>
              <w:left w:val="nil"/>
              <w:bottom w:val="single" w:sz="4" w:space="0" w:color="auto"/>
              <w:right w:val="nil"/>
            </w:tcBorders>
            <w:shd w:val="clear" w:color="auto" w:fill="auto"/>
            <w:noWrap/>
            <w:vAlign w:val="center"/>
            <w:hideMark/>
          </w:tcPr>
          <w:p w14:paraId="5EC7CC69"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25</w:t>
            </w:r>
          </w:p>
        </w:tc>
        <w:tc>
          <w:tcPr>
            <w:tcW w:w="781" w:type="pct"/>
            <w:tcBorders>
              <w:top w:val="nil"/>
              <w:left w:val="nil"/>
              <w:bottom w:val="single" w:sz="4" w:space="0" w:color="auto"/>
              <w:right w:val="nil"/>
            </w:tcBorders>
            <w:vAlign w:val="center"/>
          </w:tcPr>
          <w:p w14:paraId="31F9D3B4" w14:textId="77777777" w:rsidR="009E5B19" w:rsidRPr="00312B80" w:rsidRDefault="009E5B19" w:rsidP="00BA1BFF">
            <w:pPr>
              <w:spacing w:after="0" w:line="240" w:lineRule="auto"/>
              <w:jc w:val="center"/>
              <w:rPr>
                <w:rFonts w:ascii="Arial Narrow" w:hAnsi="Arial Narrow" w:cs="Arial"/>
                <w:i/>
                <w:color w:val="000000"/>
                <w:sz w:val="18"/>
                <w:szCs w:val="18"/>
                <w:lang w:eastAsia="zh-TW"/>
              </w:rPr>
            </w:pPr>
            <w:r w:rsidRPr="00312B80">
              <w:rPr>
                <w:rFonts w:ascii="Arial Narrow" w:hAnsi="Arial Narrow" w:cs="Arial"/>
                <w:i/>
                <w:color w:val="000000"/>
                <w:sz w:val="18"/>
                <w:szCs w:val="18"/>
                <w:lang w:eastAsia="zh-TW"/>
              </w:rPr>
              <w:t>20</w:t>
            </w:r>
          </w:p>
        </w:tc>
        <w:tc>
          <w:tcPr>
            <w:tcW w:w="372" w:type="pct"/>
            <w:tcBorders>
              <w:top w:val="nil"/>
              <w:left w:val="nil"/>
              <w:bottom w:val="single" w:sz="4" w:space="0" w:color="auto"/>
              <w:right w:val="nil"/>
            </w:tcBorders>
            <w:shd w:val="clear" w:color="auto" w:fill="auto"/>
            <w:noWrap/>
            <w:vAlign w:val="center"/>
            <w:hideMark/>
          </w:tcPr>
          <w:p w14:paraId="583B6805"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25</w:t>
            </w:r>
          </w:p>
        </w:tc>
        <w:tc>
          <w:tcPr>
            <w:tcW w:w="372" w:type="pct"/>
            <w:tcBorders>
              <w:top w:val="nil"/>
              <w:left w:val="nil"/>
              <w:bottom w:val="single" w:sz="4" w:space="0" w:color="auto"/>
              <w:right w:val="nil"/>
            </w:tcBorders>
            <w:shd w:val="clear" w:color="auto" w:fill="auto"/>
            <w:noWrap/>
            <w:vAlign w:val="center"/>
            <w:hideMark/>
          </w:tcPr>
          <w:p w14:paraId="7A127A87"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25</w:t>
            </w:r>
          </w:p>
        </w:tc>
        <w:tc>
          <w:tcPr>
            <w:tcW w:w="566" w:type="pct"/>
            <w:tcBorders>
              <w:top w:val="nil"/>
              <w:left w:val="nil"/>
              <w:bottom w:val="single" w:sz="4" w:space="0" w:color="auto"/>
              <w:right w:val="nil"/>
            </w:tcBorders>
            <w:shd w:val="clear" w:color="auto" w:fill="auto"/>
            <w:noWrap/>
            <w:vAlign w:val="center"/>
            <w:hideMark/>
          </w:tcPr>
          <w:p w14:paraId="31F390C5" w14:textId="77777777" w:rsidR="009E5B19" w:rsidRPr="00312B80" w:rsidRDefault="009E5B19" w:rsidP="00BA1BFF">
            <w:pPr>
              <w:spacing w:after="0" w:line="240" w:lineRule="auto"/>
              <w:jc w:val="center"/>
              <w:rPr>
                <w:rFonts w:ascii="Arial Narrow" w:hAnsi="Arial Narrow" w:cs="Arial"/>
                <w:i/>
                <w:color w:val="000000"/>
                <w:sz w:val="18"/>
                <w:szCs w:val="18"/>
                <w:lang w:eastAsia="zh-TW"/>
              </w:rPr>
            </w:pPr>
            <w:r w:rsidRPr="00312B80">
              <w:rPr>
                <w:rFonts w:ascii="Arial Narrow" w:hAnsi="Arial Narrow" w:cs="Arial"/>
                <w:i/>
                <w:color w:val="000000"/>
                <w:sz w:val="18"/>
                <w:szCs w:val="18"/>
                <w:lang w:eastAsia="zh-TW"/>
              </w:rPr>
              <w:t>25</w:t>
            </w:r>
          </w:p>
        </w:tc>
      </w:tr>
      <w:tr w:rsidR="009E5B19" w:rsidRPr="00A76B2C" w14:paraId="22784B64" w14:textId="77777777" w:rsidTr="00BA1BFF">
        <w:trPr>
          <w:trHeight w:val="230"/>
        </w:trPr>
        <w:tc>
          <w:tcPr>
            <w:tcW w:w="2537" w:type="pct"/>
            <w:tcBorders>
              <w:top w:val="single" w:sz="4" w:space="0" w:color="auto"/>
              <w:left w:val="nil"/>
              <w:bottom w:val="nil"/>
              <w:right w:val="nil"/>
            </w:tcBorders>
            <w:shd w:val="clear" w:color="auto" w:fill="auto"/>
            <w:vAlign w:val="center"/>
            <w:hideMark/>
          </w:tcPr>
          <w:p w14:paraId="394A26F1" w14:textId="77777777" w:rsidR="009E5B19" w:rsidRPr="00312B80" w:rsidRDefault="009E5B19" w:rsidP="00BA1BFF">
            <w:pPr>
              <w:spacing w:after="0" w:line="240" w:lineRule="auto"/>
              <w:rPr>
                <w:rFonts w:ascii="Arial Narrow" w:hAnsi="Arial Narrow" w:cs="Arial"/>
                <w:b/>
                <w:bCs/>
                <w:color w:val="000000"/>
                <w:sz w:val="18"/>
                <w:szCs w:val="18"/>
                <w:lang w:eastAsia="zh-TW"/>
              </w:rPr>
            </w:pPr>
            <w:r w:rsidRPr="00312B80">
              <w:rPr>
                <w:rFonts w:ascii="Arial Narrow" w:hAnsi="Arial Narrow" w:cs="Arial"/>
                <w:b/>
                <w:bCs/>
                <w:color w:val="000000"/>
                <w:sz w:val="18"/>
                <w:szCs w:val="18"/>
                <w:lang w:eastAsia="zh-TW"/>
              </w:rPr>
              <w:t>Opatrenia znižujúce výdavky nemocníc (podriadených organizácií MZ SR)</w:t>
            </w:r>
          </w:p>
        </w:tc>
        <w:tc>
          <w:tcPr>
            <w:tcW w:w="372" w:type="pct"/>
            <w:tcBorders>
              <w:top w:val="single" w:sz="4" w:space="0" w:color="auto"/>
              <w:left w:val="nil"/>
              <w:bottom w:val="nil"/>
              <w:right w:val="nil"/>
            </w:tcBorders>
            <w:shd w:val="clear" w:color="auto" w:fill="auto"/>
            <w:noWrap/>
            <w:vAlign w:val="center"/>
            <w:hideMark/>
          </w:tcPr>
          <w:p w14:paraId="6CC4C324" w14:textId="77777777" w:rsidR="009E5B19" w:rsidRPr="00312B80" w:rsidRDefault="009E5B19" w:rsidP="00BA1BFF">
            <w:pPr>
              <w:spacing w:after="0" w:line="240" w:lineRule="auto"/>
              <w:jc w:val="center"/>
              <w:rPr>
                <w:rFonts w:ascii="Arial Narrow" w:hAnsi="Arial Narrow" w:cs="Arial"/>
                <w:b/>
                <w:bCs/>
                <w:color w:val="000000"/>
                <w:sz w:val="18"/>
                <w:szCs w:val="18"/>
                <w:lang w:eastAsia="zh-TW"/>
              </w:rPr>
            </w:pPr>
            <w:r w:rsidRPr="00312B80">
              <w:rPr>
                <w:rFonts w:ascii="Arial Narrow" w:hAnsi="Arial Narrow" w:cs="Arial"/>
                <w:b/>
                <w:bCs/>
                <w:color w:val="000000"/>
                <w:sz w:val="18"/>
                <w:szCs w:val="18"/>
                <w:lang w:eastAsia="zh-TW"/>
              </w:rPr>
              <w:t>31</w:t>
            </w:r>
          </w:p>
        </w:tc>
        <w:tc>
          <w:tcPr>
            <w:tcW w:w="781" w:type="pct"/>
            <w:tcBorders>
              <w:top w:val="single" w:sz="4" w:space="0" w:color="auto"/>
              <w:left w:val="nil"/>
              <w:bottom w:val="nil"/>
              <w:right w:val="nil"/>
            </w:tcBorders>
            <w:vAlign w:val="center"/>
          </w:tcPr>
          <w:p w14:paraId="537F22E1" w14:textId="77777777" w:rsidR="009E5B19" w:rsidRPr="00312B80" w:rsidRDefault="009E5B19" w:rsidP="00BA1BFF">
            <w:pPr>
              <w:spacing w:after="0" w:line="240" w:lineRule="auto"/>
              <w:jc w:val="center"/>
              <w:rPr>
                <w:rFonts w:ascii="Arial Narrow" w:hAnsi="Arial Narrow" w:cs="Arial"/>
                <w:b/>
                <w:bCs/>
                <w:i/>
                <w:color w:val="000000"/>
                <w:sz w:val="18"/>
                <w:szCs w:val="18"/>
                <w:lang w:eastAsia="zh-TW"/>
              </w:rPr>
            </w:pPr>
            <w:r w:rsidRPr="00312B80">
              <w:rPr>
                <w:rFonts w:ascii="Arial Narrow" w:hAnsi="Arial Narrow" w:cs="Arial"/>
                <w:b/>
                <w:bCs/>
                <w:i/>
                <w:color w:val="000000"/>
                <w:sz w:val="18"/>
                <w:szCs w:val="18"/>
                <w:lang w:eastAsia="zh-TW"/>
              </w:rPr>
              <w:t>-9</w:t>
            </w:r>
          </w:p>
        </w:tc>
        <w:tc>
          <w:tcPr>
            <w:tcW w:w="372" w:type="pct"/>
            <w:tcBorders>
              <w:top w:val="single" w:sz="4" w:space="0" w:color="auto"/>
              <w:left w:val="nil"/>
              <w:bottom w:val="nil"/>
              <w:right w:val="nil"/>
            </w:tcBorders>
            <w:shd w:val="clear" w:color="auto" w:fill="auto"/>
            <w:noWrap/>
            <w:vAlign w:val="center"/>
            <w:hideMark/>
          </w:tcPr>
          <w:p w14:paraId="4F69F3AB" w14:textId="77777777" w:rsidR="009E5B19" w:rsidRPr="00312B80" w:rsidRDefault="009E5B19" w:rsidP="00BA1BFF">
            <w:pPr>
              <w:spacing w:after="0" w:line="240" w:lineRule="auto"/>
              <w:jc w:val="center"/>
              <w:rPr>
                <w:rFonts w:ascii="Arial Narrow" w:hAnsi="Arial Narrow" w:cs="Arial"/>
                <w:b/>
                <w:bCs/>
                <w:color w:val="000000"/>
                <w:sz w:val="18"/>
                <w:szCs w:val="18"/>
                <w:lang w:eastAsia="zh-TW"/>
              </w:rPr>
            </w:pPr>
            <w:r w:rsidRPr="00312B80">
              <w:rPr>
                <w:rFonts w:ascii="Arial Narrow" w:hAnsi="Arial Narrow" w:cs="Arial"/>
                <w:b/>
                <w:bCs/>
                <w:color w:val="000000"/>
                <w:sz w:val="18"/>
                <w:szCs w:val="18"/>
                <w:lang w:eastAsia="zh-TW"/>
              </w:rPr>
              <w:t>31</w:t>
            </w:r>
          </w:p>
        </w:tc>
        <w:tc>
          <w:tcPr>
            <w:tcW w:w="372" w:type="pct"/>
            <w:tcBorders>
              <w:top w:val="single" w:sz="4" w:space="0" w:color="auto"/>
              <w:left w:val="nil"/>
              <w:bottom w:val="nil"/>
              <w:right w:val="nil"/>
            </w:tcBorders>
            <w:shd w:val="clear" w:color="auto" w:fill="auto"/>
            <w:noWrap/>
            <w:vAlign w:val="center"/>
            <w:hideMark/>
          </w:tcPr>
          <w:p w14:paraId="2EB5D079" w14:textId="77777777" w:rsidR="009E5B19" w:rsidRPr="00312B80" w:rsidRDefault="009E5B19" w:rsidP="00BA1BFF">
            <w:pPr>
              <w:spacing w:after="0" w:line="240" w:lineRule="auto"/>
              <w:jc w:val="center"/>
              <w:rPr>
                <w:rFonts w:ascii="Arial Narrow" w:hAnsi="Arial Narrow" w:cs="Arial"/>
                <w:b/>
                <w:bCs/>
                <w:color w:val="000000"/>
                <w:sz w:val="18"/>
                <w:szCs w:val="18"/>
                <w:lang w:eastAsia="zh-TW"/>
              </w:rPr>
            </w:pPr>
            <w:r w:rsidRPr="00312B80">
              <w:rPr>
                <w:rFonts w:ascii="Arial Narrow" w:hAnsi="Arial Narrow" w:cs="Arial"/>
                <w:b/>
                <w:bCs/>
                <w:color w:val="000000"/>
                <w:sz w:val="18"/>
                <w:szCs w:val="18"/>
                <w:lang w:eastAsia="zh-TW"/>
              </w:rPr>
              <w:t>31</w:t>
            </w:r>
          </w:p>
        </w:tc>
        <w:tc>
          <w:tcPr>
            <w:tcW w:w="566" w:type="pct"/>
            <w:tcBorders>
              <w:top w:val="single" w:sz="4" w:space="0" w:color="auto"/>
              <w:left w:val="nil"/>
              <w:bottom w:val="nil"/>
              <w:right w:val="nil"/>
            </w:tcBorders>
            <w:shd w:val="clear" w:color="auto" w:fill="auto"/>
            <w:noWrap/>
            <w:vAlign w:val="center"/>
            <w:hideMark/>
          </w:tcPr>
          <w:p w14:paraId="100B7446" w14:textId="77777777" w:rsidR="009E5B19" w:rsidRPr="00312B80" w:rsidRDefault="009E5B19" w:rsidP="00BA1BFF">
            <w:pPr>
              <w:spacing w:after="0" w:line="240" w:lineRule="auto"/>
              <w:jc w:val="center"/>
              <w:rPr>
                <w:rFonts w:ascii="Arial Narrow" w:hAnsi="Arial Narrow" w:cs="Arial"/>
                <w:b/>
                <w:bCs/>
                <w:i/>
                <w:color w:val="000000"/>
                <w:sz w:val="18"/>
                <w:szCs w:val="18"/>
                <w:lang w:eastAsia="zh-TW"/>
              </w:rPr>
            </w:pPr>
            <w:r w:rsidRPr="00312B80">
              <w:rPr>
                <w:rFonts w:ascii="Arial Narrow" w:hAnsi="Arial Narrow" w:cs="Arial"/>
                <w:b/>
                <w:bCs/>
                <w:i/>
                <w:color w:val="000000"/>
                <w:sz w:val="18"/>
                <w:szCs w:val="18"/>
                <w:lang w:eastAsia="zh-TW"/>
              </w:rPr>
              <w:t>95</w:t>
            </w:r>
          </w:p>
        </w:tc>
      </w:tr>
      <w:tr w:rsidR="009E5B19" w:rsidRPr="00A76B2C" w14:paraId="3C7DA1F1" w14:textId="77777777" w:rsidTr="00BA1BFF">
        <w:trPr>
          <w:trHeight w:val="243"/>
        </w:trPr>
        <w:tc>
          <w:tcPr>
            <w:tcW w:w="2537" w:type="pct"/>
            <w:tcBorders>
              <w:top w:val="nil"/>
              <w:left w:val="nil"/>
              <w:bottom w:val="nil"/>
              <w:right w:val="nil"/>
            </w:tcBorders>
            <w:shd w:val="clear" w:color="auto" w:fill="auto"/>
            <w:vAlign w:val="center"/>
            <w:hideMark/>
          </w:tcPr>
          <w:p w14:paraId="7BF10A60" w14:textId="77777777" w:rsidR="009E5B19" w:rsidRPr="00312B80" w:rsidRDefault="009E5B19" w:rsidP="00BA1BFF">
            <w:pPr>
              <w:spacing w:after="0" w:line="240" w:lineRule="auto"/>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Optimalizácia prevádzkových nákladov</w:t>
            </w:r>
          </w:p>
        </w:tc>
        <w:tc>
          <w:tcPr>
            <w:tcW w:w="372" w:type="pct"/>
            <w:tcBorders>
              <w:top w:val="nil"/>
              <w:left w:val="nil"/>
              <w:bottom w:val="nil"/>
              <w:right w:val="nil"/>
            </w:tcBorders>
            <w:shd w:val="clear" w:color="auto" w:fill="auto"/>
            <w:noWrap/>
            <w:vAlign w:val="center"/>
            <w:hideMark/>
          </w:tcPr>
          <w:p w14:paraId="6927F6EA"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5</w:t>
            </w:r>
          </w:p>
        </w:tc>
        <w:tc>
          <w:tcPr>
            <w:tcW w:w="781" w:type="pct"/>
            <w:tcBorders>
              <w:top w:val="nil"/>
              <w:left w:val="nil"/>
              <w:bottom w:val="nil"/>
              <w:right w:val="nil"/>
            </w:tcBorders>
            <w:vAlign w:val="center"/>
          </w:tcPr>
          <w:p w14:paraId="3D385A88" w14:textId="77777777" w:rsidR="009E5B19" w:rsidRPr="00312B80" w:rsidRDefault="009E5B19" w:rsidP="00BA1BFF">
            <w:pPr>
              <w:spacing w:after="0" w:line="240" w:lineRule="auto"/>
              <w:jc w:val="center"/>
              <w:rPr>
                <w:rFonts w:ascii="Arial Narrow" w:hAnsi="Arial Narrow" w:cs="Arial"/>
                <w:i/>
                <w:color w:val="000000"/>
                <w:sz w:val="18"/>
                <w:szCs w:val="18"/>
                <w:lang w:eastAsia="zh-TW"/>
              </w:rPr>
            </w:pPr>
            <w:r w:rsidRPr="00312B80">
              <w:rPr>
                <w:rFonts w:ascii="Arial Narrow" w:hAnsi="Arial Narrow" w:cs="Arial"/>
                <w:i/>
                <w:color w:val="000000"/>
                <w:sz w:val="18"/>
                <w:szCs w:val="18"/>
                <w:lang w:eastAsia="zh-TW"/>
              </w:rPr>
              <w:t>-1</w:t>
            </w:r>
          </w:p>
        </w:tc>
        <w:tc>
          <w:tcPr>
            <w:tcW w:w="372" w:type="pct"/>
            <w:tcBorders>
              <w:top w:val="nil"/>
              <w:left w:val="nil"/>
              <w:bottom w:val="nil"/>
              <w:right w:val="nil"/>
            </w:tcBorders>
            <w:shd w:val="clear" w:color="auto" w:fill="auto"/>
            <w:noWrap/>
            <w:vAlign w:val="center"/>
            <w:hideMark/>
          </w:tcPr>
          <w:p w14:paraId="35F5DFFC"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5</w:t>
            </w:r>
          </w:p>
        </w:tc>
        <w:tc>
          <w:tcPr>
            <w:tcW w:w="372" w:type="pct"/>
            <w:tcBorders>
              <w:top w:val="nil"/>
              <w:left w:val="nil"/>
              <w:bottom w:val="nil"/>
              <w:right w:val="nil"/>
            </w:tcBorders>
            <w:shd w:val="clear" w:color="auto" w:fill="auto"/>
            <w:noWrap/>
            <w:vAlign w:val="center"/>
            <w:hideMark/>
          </w:tcPr>
          <w:p w14:paraId="349E9273"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5</w:t>
            </w:r>
          </w:p>
        </w:tc>
        <w:tc>
          <w:tcPr>
            <w:tcW w:w="566" w:type="pct"/>
            <w:tcBorders>
              <w:top w:val="nil"/>
              <w:left w:val="nil"/>
              <w:bottom w:val="nil"/>
              <w:right w:val="nil"/>
            </w:tcBorders>
            <w:shd w:val="clear" w:color="auto" w:fill="auto"/>
            <w:noWrap/>
            <w:vAlign w:val="center"/>
            <w:hideMark/>
          </w:tcPr>
          <w:p w14:paraId="42651FB1" w14:textId="77777777" w:rsidR="009E5B19" w:rsidRPr="00312B80" w:rsidRDefault="009E5B19" w:rsidP="00BA1BFF">
            <w:pPr>
              <w:spacing w:after="0" w:line="240" w:lineRule="auto"/>
              <w:jc w:val="center"/>
              <w:rPr>
                <w:rFonts w:ascii="Arial Narrow" w:hAnsi="Arial Narrow" w:cs="Arial"/>
                <w:i/>
                <w:color w:val="000000"/>
                <w:sz w:val="18"/>
                <w:szCs w:val="18"/>
                <w:lang w:eastAsia="zh-TW"/>
              </w:rPr>
            </w:pPr>
            <w:r w:rsidRPr="00312B80">
              <w:rPr>
                <w:rFonts w:ascii="Arial Narrow" w:hAnsi="Arial Narrow" w:cs="Arial"/>
                <w:i/>
                <w:color w:val="000000"/>
                <w:sz w:val="18"/>
                <w:szCs w:val="18"/>
                <w:lang w:eastAsia="zh-TW"/>
              </w:rPr>
              <w:t>10</w:t>
            </w:r>
          </w:p>
        </w:tc>
      </w:tr>
      <w:tr w:rsidR="009E5B19" w:rsidRPr="00A76B2C" w14:paraId="3AA19C55" w14:textId="77777777" w:rsidTr="00BA1BFF">
        <w:trPr>
          <w:trHeight w:val="243"/>
        </w:trPr>
        <w:tc>
          <w:tcPr>
            <w:tcW w:w="2537" w:type="pct"/>
            <w:tcBorders>
              <w:top w:val="nil"/>
              <w:left w:val="nil"/>
              <w:bottom w:val="nil"/>
              <w:right w:val="nil"/>
            </w:tcBorders>
            <w:shd w:val="clear" w:color="auto" w:fill="auto"/>
            <w:vAlign w:val="center"/>
            <w:hideMark/>
          </w:tcPr>
          <w:p w14:paraId="3ABA6FD2" w14:textId="77777777" w:rsidR="009E5B19" w:rsidRPr="00312B80" w:rsidRDefault="009E5B19" w:rsidP="00BA1BFF">
            <w:pPr>
              <w:spacing w:after="0" w:line="240" w:lineRule="auto"/>
              <w:rPr>
                <w:rFonts w:ascii="Arial Narrow" w:hAnsi="Arial Narrow" w:cs="Arial"/>
                <w:color w:val="000000"/>
                <w:sz w:val="18"/>
                <w:szCs w:val="18"/>
                <w:lang w:eastAsia="zh-TW"/>
              </w:rPr>
            </w:pPr>
            <w:r w:rsidRPr="00312B80">
              <w:rPr>
                <w:rFonts w:ascii="Arial Narrow" w:hAnsi="Arial Narrow"/>
                <w:color w:val="000000"/>
                <w:sz w:val="18"/>
                <w:szCs w:val="18"/>
                <w:lang w:eastAsia="zh-TW"/>
              </w:rPr>
              <w:t>Optimalizácia medicínskych procesov</w:t>
            </w:r>
          </w:p>
        </w:tc>
        <w:tc>
          <w:tcPr>
            <w:tcW w:w="372" w:type="pct"/>
            <w:tcBorders>
              <w:top w:val="nil"/>
              <w:left w:val="nil"/>
              <w:bottom w:val="nil"/>
              <w:right w:val="nil"/>
            </w:tcBorders>
            <w:shd w:val="clear" w:color="auto" w:fill="auto"/>
            <w:noWrap/>
            <w:vAlign w:val="center"/>
            <w:hideMark/>
          </w:tcPr>
          <w:p w14:paraId="1D6099E4"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15</w:t>
            </w:r>
          </w:p>
        </w:tc>
        <w:tc>
          <w:tcPr>
            <w:tcW w:w="781" w:type="pct"/>
            <w:tcBorders>
              <w:top w:val="nil"/>
              <w:left w:val="nil"/>
              <w:bottom w:val="nil"/>
              <w:right w:val="nil"/>
            </w:tcBorders>
            <w:vAlign w:val="center"/>
          </w:tcPr>
          <w:p w14:paraId="1DFC8810" w14:textId="77777777" w:rsidR="009E5B19" w:rsidRPr="00312B80" w:rsidRDefault="009E5B19" w:rsidP="00BA1BFF">
            <w:pPr>
              <w:spacing w:after="0" w:line="240" w:lineRule="auto"/>
              <w:jc w:val="center"/>
              <w:rPr>
                <w:rFonts w:ascii="Arial Narrow" w:hAnsi="Arial Narrow" w:cs="Arial"/>
                <w:i/>
                <w:color w:val="000000"/>
                <w:sz w:val="18"/>
                <w:szCs w:val="18"/>
                <w:lang w:eastAsia="zh-TW"/>
              </w:rPr>
            </w:pPr>
            <w:r w:rsidRPr="00312B80">
              <w:rPr>
                <w:rFonts w:ascii="Arial Narrow" w:hAnsi="Arial Narrow" w:cs="Arial"/>
                <w:i/>
                <w:color w:val="000000"/>
                <w:sz w:val="18"/>
                <w:szCs w:val="18"/>
                <w:lang w:eastAsia="zh-TW"/>
              </w:rPr>
              <w:t>-26</w:t>
            </w:r>
          </w:p>
        </w:tc>
        <w:tc>
          <w:tcPr>
            <w:tcW w:w="372" w:type="pct"/>
            <w:tcBorders>
              <w:top w:val="nil"/>
              <w:left w:val="nil"/>
              <w:bottom w:val="nil"/>
              <w:right w:val="nil"/>
            </w:tcBorders>
            <w:shd w:val="clear" w:color="auto" w:fill="auto"/>
            <w:noWrap/>
            <w:vAlign w:val="center"/>
            <w:hideMark/>
          </w:tcPr>
          <w:p w14:paraId="7BFC852E"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15</w:t>
            </w:r>
          </w:p>
        </w:tc>
        <w:tc>
          <w:tcPr>
            <w:tcW w:w="372" w:type="pct"/>
            <w:tcBorders>
              <w:top w:val="nil"/>
              <w:left w:val="nil"/>
              <w:bottom w:val="nil"/>
              <w:right w:val="nil"/>
            </w:tcBorders>
            <w:shd w:val="clear" w:color="auto" w:fill="auto"/>
            <w:noWrap/>
            <w:vAlign w:val="center"/>
            <w:hideMark/>
          </w:tcPr>
          <w:p w14:paraId="218E3ED5"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15</w:t>
            </w:r>
          </w:p>
        </w:tc>
        <w:tc>
          <w:tcPr>
            <w:tcW w:w="566" w:type="pct"/>
            <w:tcBorders>
              <w:top w:val="nil"/>
              <w:left w:val="nil"/>
              <w:bottom w:val="nil"/>
              <w:right w:val="nil"/>
            </w:tcBorders>
            <w:shd w:val="clear" w:color="auto" w:fill="auto"/>
            <w:noWrap/>
            <w:vAlign w:val="center"/>
            <w:hideMark/>
          </w:tcPr>
          <w:p w14:paraId="690D3470" w14:textId="77777777" w:rsidR="009E5B19" w:rsidRPr="00312B80" w:rsidRDefault="009E5B19" w:rsidP="00BA1BFF">
            <w:pPr>
              <w:spacing w:after="0" w:line="240" w:lineRule="auto"/>
              <w:jc w:val="center"/>
              <w:rPr>
                <w:rFonts w:ascii="Arial Narrow" w:hAnsi="Arial Narrow" w:cs="Arial"/>
                <w:i/>
                <w:color w:val="000000"/>
                <w:sz w:val="18"/>
                <w:szCs w:val="18"/>
                <w:lang w:eastAsia="zh-TW"/>
              </w:rPr>
            </w:pPr>
            <w:r w:rsidRPr="00312B80">
              <w:rPr>
                <w:rFonts w:ascii="Arial Narrow" w:hAnsi="Arial Narrow" w:cs="Arial"/>
                <w:i/>
                <w:color w:val="000000"/>
                <w:sz w:val="18"/>
                <w:szCs w:val="18"/>
                <w:lang w:eastAsia="zh-TW"/>
              </w:rPr>
              <w:t>74</w:t>
            </w:r>
          </w:p>
        </w:tc>
      </w:tr>
      <w:tr w:rsidR="009E5B19" w:rsidRPr="00A76B2C" w14:paraId="3A51C04E" w14:textId="77777777" w:rsidTr="00BA1BFF">
        <w:trPr>
          <w:trHeight w:val="230"/>
        </w:trPr>
        <w:tc>
          <w:tcPr>
            <w:tcW w:w="2537" w:type="pct"/>
            <w:tcBorders>
              <w:top w:val="nil"/>
              <w:left w:val="nil"/>
              <w:bottom w:val="nil"/>
              <w:right w:val="nil"/>
            </w:tcBorders>
            <w:shd w:val="clear" w:color="auto" w:fill="auto"/>
            <w:vAlign w:val="center"/>
            <w:hideMark/>
          </w:tcPr>
          <w:p w14:paraId="64F73514" w14:textId="77777777" w:rsidR="009E5B19" w:rsidRPr="00312B80" w:rsidRDefault="009E5B19" w:rsidP="00BA1BFF">
            <w:pPr>
              <w:spacing w:after="0" w:line="240" w:lineRule="auto"/>
              <w:rPr>
                <w:rFonts w:ascii="Arial Narrow" w:hAnsi="Arial Narrow" w:cs="Arial"/>
                <w:color w:val="000000"/>
                <w:sz w:val="18"/>
                <w:szCs w:val="18"/>
                <w:lang w:eastAsia="zh-TW"/>
              </w:rPr>
            </w:pPr>
            <w:r w:rsidRPr="00312B80">
              <w:rPr>
                <w:rFonts w:ascii="Arial Narrow" w:hAnsi="Arial Narrow"/>
                <w:color w:val="000000"/>
                <w:sz w:val="18"/>
                <w:szCs w:val="18"/>
                <w:lang w:eastAsia="zh-TW"/>
              </w:rPr>
              <w:t>Optimalizácia nákupu liekov a ŠZM</w:t>
            </w:r>
          </w:p>
        </w:tc>
        <w:tc>
          <w:tcPr>
            <w:tcW w:w="372" w:type="pct"/>
            <w:tcBorders>
              <w:top w:val="nil"/>
              <w:left w:val="nil"/>
              <w:bottom w:val="nil"/>
              <w:right w:val="nil"/>
            </w:tcBorders>
            <w:shd w:val="clear" w:color="auto" w:fill="auto"/>
            <w:noWrap/>
            <w:vAlign w:val="center"/>
            <w:hideMark/>
          </w:tcPr>
          <w:p w14:paraId="7ABC360D"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8</w:t>
            </w:r>
          </w:p>
        </w:tc>
        <w:tc>
          <w:tcPr>
            <w:tcW w:w="781" w:type="pct"/>
            <w:tcBorders>
              <w:top w:val="nil"/>
              <w:left w:val="nil"/>
              <w:bottom w:val="nil"/>
              <w:right w:val="nil"/>
            </w:tcBorders>
            <w:vAlign w:val="center"/>
          </w:tcPr>
          <w:p w14:paraId="21727F3E" w14:textId="77777777" w:rsidR="009E5B19" w:rsidRPr="00312B80" w:rsidRDefault="009E5B19" w:rsidP="00BA1BFF">
            <w:pPr>
              <w:spacing w:after="0" w:line="240" w:lineRule="auto"/>
              <w:jc w:val="center"/>
              <w:rPr>
                <w:rFonts w:ascii="Arial Narrow" w:hAnsi="Arial Narrow" w:cs="Arial"/>
                <w:i/>
                <w:color w:val="000000"/>
                <w:sz w:val="18"/>
                <w:szCs w:val="18"/>
                <w:lang w:eastAsia="zh-TW"/>
              </w:rPr>
            </w:pPr>
            <w:r w:rsidRPr="00312B80">
              <w:rPr>
                <w:rFonts w:ascii="Arial Narrow" w:hAnsi="Arial Narrow" w:cs="Arial"/>
                <w:i/>
                <w:color w:val="000000"/>
                <w:sz w:val="18"/>
                <w:szCs w:val="18"/>
                <w:lang w:eastAsia="zh-TW"/>
              </w:rPr>
              <w:t>4</w:t>
            </w:r>
          </w:p>
        </w:tc>
        <w:tc>
          <w:tcPr>
            <w:tcW w:w="372" w:type="pct"/>
            <w:tcBorders>
              <w:top w:val="nil"/>
              <w:left w:val="nil"/>
              <w:bottom w:val="nil"/>
              <w:right w:val="nil"/>
            </w:tcBorders>
            <w:shd w:val="clear" w:color="auto" w:fill="auto"/>
            <w:noWrap/>
            <w:vAlign w:val="center"/>
            <w:hideMark/>
          </w:tcPr>
          <w:p w14:paraId="4088445E"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8</w:t>
            </w:r>
          </w:p>
        </w:tc>
        <w:tc>
          <w:tcPr>
            <w:tcW w:w="372" w:type="pct"/>
            <w:tcBorders>
              <w:top w:val="nil"/>
              <w:left w:val="nil"/>
              <w:bottom w:val="nil"/>
              <w:right w:val="nil"/>
            </w:tcBorders>
            <w:shd w:val="clear" w:color="auto" w:fill="auto"/>
            <w:noWrap/>
            <w:vAlign w:val="center"/>
            <w:hideMark/>
          </w:tcPr>
          <w:p w14:paraId="46B391A1"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8</w:t>
            </w:r>
          </w:p>
        </w:tc>
        <w:tc>
          <w:tcPr>
            <w:tcW w:w="566" w:type="pct"/>
            <w:tcBorders>
              <w:top w:val="nil"/>
              <w:left w:val="nil"/>
              <w:bottom w:val="nil"/>
              <w:right w:val="nil"/>
            </w:tcBorders>
            <w:shd w:val="clear" w:color="auto" w:fill="auto"/>
            <w:noWrap/>
            <w:vAlign w:val="center"/>
            <w:hideMark/>
          </w:tcPr>
          <w:p w14:paraId="71E6B244" w14:textId="77777777" w:rsidR="009E5B19" w:rsidRPr="00312B80" w:rsidRDefault="009E5B19" w:rsidP="00BA1BFF">
            <w:pPr>
              <w:spacing w:after="0" w:line="240" w:lineRule="auto"/>
              <w:jc w:val="center"/>
              <w:rPr>
                <w:rFonts w:ascii="Arial Narrow" w:hAnsi="Arial Narrow" w:cs="Arial"/>
                <w:i/>
                <w:color w:val="000000"/>
                <w:sz w:val="18"/>
                <w:szCs w:val="18"/>
                <w:lang w:eastAsia="zh-TW"/>
              </w:rPr>
            </w:pPr>
            <w:r w:rsidRPr="00312B80">
              <w:rPr>
                <w:rFonts w:ascii="Arial Narrow" w:hAnsi="Arial Narrow" w:cs="Arial"/>
                <w:i/>
                <w:color w:val="000000"/>
                <w:sz w:val="18"/>
                <w:szCs w:val="18"/>
                <w:lang w:eastAsia="zh-TW"/>
              </w:rPr>
              <w:t>8</w:t>
            </w:r>
          </w:p>
        </w:tc>
      </w:tr>
      <w:tr w:rsidR="009E5B19" w:rsidRPr="00A76B2C" w14:paraId="7B05EDAC" w14:textId="77777777" w:rsidTr="00BA1BFF">
        <w:trPr>
          <w:trHeight w:val="230"/>
        </w:trPr>
        <w:tc>
          <w:tcPr>
            <w:tcW w:w="2537" w:type="pct"/>
            <w:tcBorders>
              <w:top w:val="nil"/>
              <w:left w:val="nil"/>
              <w:bottom w:val="single" w:sz="4" w:space="0" w:color="auto"/>
              <w:right w:val="nil"/>
            </w:tcBorders>
            <w:shd w:val="clear" w:color="auto" w:fill="auto"/>
            <w:vAlign w:val="center"/>
            <w:hideMark/>
          </w:tcPr>
          <w:p w14:paraId="6D4B55DD" w14:textId="77777777" w:rsidR="009E5B19" w:rsidRPr="00312B80" w:rsidRDefault="009E5B19" w:rsidP="00BA1BFF">
            <w:pPr>
              <w:spacing w:after="0" w:line="240" w:lineRule="auto"/>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Hospodárne obstarávanie zdravotníckej techniky</w:t>
            </w:r>
          </w:p>
        </w:tc>
        <w:tc>
          <w:tcPr>
            <w:tcW w:w="372" w:type="pct"/>
            <w:tcBorders>
              <w:top w:val="nil"/>
              <w:left w:val="nil"/>
              <w:bottom w:val="single" w:sz="4" w:space="0" w:color="auto"/>
              <w:right w:val="nil"/>
            </w:tcBorders>
            <w:shd w:val="clear" w:color="auto" w:fill="auto"/>
            <w:noWrap/>
            <w:vAlign w:val="center"/>
            <w:hideMark/>
          </w:tcPr>
          <w:p w14:paraId="7E29DDD7"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3</w:t>
            </w:r>
          </w:p>
        </w:tc>
        <w:tc>
          <w:tcPr>
            <w:tcW w:w="781" w:type="pct"/>
            <w:tcBorders>
              <w:top w:val="nil"/>
              <w:left w:val="nil"/>
              <w:bottom w:val="single" w:sz="4" w:space="0" w:color="auto"/>
              <w:right w:val="nil"/>
            </w:tcBorders>
            <w:vAlign w:val="center"/>
          </w:tcPr>
          <w:p w14:paraId="27308A4D" w14:textId="77777777" w:rsidR="009E5B19" w:rsidRPr="00312B80" w:rsidRDefault="009E5B19" w:rsidP="00BA1BFF">
            <w:pPr>
              <w:spacing w:after="0" w:line="240" w:lineRule="auto"/>
              <w:jc w:val="center"/>
              <w:rPr>
                <w:rFonts w:ascii="Arial Narrow" w:hAnsi="Arial Narrow" w:cs="Arial"/>
                <w:i/>
                <w:color w:val="000000"/>
                <w:sz w:val="18"/>
                <w:szCs w:val="18"/>
                <w:lang w:eastAsia="zh-TW"/>
              </w:rPr>
            </w:pPr>
            <w:r w:rsidRPr="00312B80">
              <w:rPr>
                <w:rFonts w:ascii="Arial Narrow" w:hAnsi="Arial Narrow" w:cs="Arial"/>
                <w:i/>
                <w:color w:val="000000"/>
                <w:sz w:val="18"/>
                <w:szCs w:val="18"/>
                <w:lang w:eastAsia="zh-TW"/>
              </w:rPr>
              <w:t>14</w:t>
            </w:r>
          </w:p>
        </w:tc>
        <w:tc>
          <w:tcPr>
            <w:tcW w:w="372" w:type="pct"/>
            <w:tcBorders>
              <w:top w:val="nil"/>
              <w:left w:val="nil"/>
              <w:bottom w:val="single" w:sz="4" w:space="0" w:color="auto"/>
              <w:right w:val="nil"/>
            </w:tcBorders>
            <w:shd w:val="clear" w:color="auto" w:fill="auto"/>
            <w:noWrap/>
            <w:vAlign w:val="center"/>
            <w:hideMark/>
          </w:tcPr>
          <w:p w14:paraId="0C3675EE"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3</w:t>
            </w:r>
          </w:p>
        </w:tc>
        <w:tc>
          <w:tcPr>
            <w:tcW w:w="372" w:type="pct"/>
            <w:tcBorders>
              <w:top w:val="nil"/>
              <w:left w:val="nil"/>
              <w:bottom w:val="single" w:sz="4" w:space="0" w:color="auto"/>
              <w:right w:val="nil"/>
            </w:tcBorders>
            <w:shd w:val="clear" w:color="auto" w:fill="auto"/>
            <w:noWrap/>
            <w:vAlign w:val="center"/>
            <w:hideMark/>
          </w:tcPr>
          <w:p w14:paraId="2056E9A7" w14:textId="77777777" w:rsidR="009E5B19" w:rsidRPr="00312B80" w:rsidRDefault="009E5B19" w:rsidP="00BA1BFF">
            <w:pPr>
              <w:spacing w:after="0" w:line="240" w:lineRule="auto"/>
              <w:jc w:val="center"/>
              <w:rPr>
                <w:rFonts w:ascii="Arial Narrow" w:hAnsi="Arial Narrow" w:cs="Arial"/>
                <w:color w:val="000000"/>
                <w:sz w:val="18"/>
                <w:szCs w:val="18"/>
                <w:lang w:eastAsia="zh-TW"/>
              </w:rPr>
            </w:pPr>
            <w:r w:rsidRPr="00312B80">
              <w:rPr>
                <w:rFonts w:ascii="Arial Narrow" w:hAnsi="Arial Narrow" w:cs="Arial"/>
                <w:color w:val="000000"/>
                <w:sz w:val="18"/>
                <w:szCs w:val="18"/>
                <w:lang w:eastAsia="zh-TW"/>
              </w:rPr>
              <w:t>3</w:t>
            </w:r>
          </w:p>
        </w:tc>
        <w:tc>
          <w:tcPr>
            <w:tcW w:w="566" w:type="pct"/>
            <w:tcBorders>
              <w:top w:val="nil"/>
              <w:left w:val="nil"/>
              <w:bottom w:val="single" w:sz="4" w:space="0" w:color="auto"/>
              <w:right w:val="nil"/>
            </w:tcBorders>
            <w:shd w:val="clear" w:color="auto" w:fill="auto"/>
            <w:noWrap/>
            <w:vAlign w:val="center"/>
            <w:hideMark/>
          </w:tcPr>
          <w:p w14:paraId="414E7C5E" w14:textId="77777777" w:rsidR="009E5B19" w:rsidRPr="00312B80" w:rsidRDefault="009E5B19" w:rsidP="00BA1BFF">
            <w:pPr>
              <w:spacing w:after="0" w:line="240" w:lineRule="auto"/>
              <w:jc w:val="center"/>
              <w:rPr>
                <w:rFonts w:ascii="Arial Narrow" w:hAnsi="Arial Narrow" w:cs="Arial"/>
                <w:i/>
                <w:color w:val="000000"/>
                <w:sz w:val="18"/>
                <w:szCs w:val="18"/>
                <w:lang w:eastAsia="zh-TW"/>
              </w:rPr>
            </w:pPr>
            <w:r w:rsidRPr="00312B80">
              <w:rPr>
                <w:rFonts w:ascii="Arial Narrow" w:hAnsi="Arial Narrow" w:cs="Arial"/>
                <w:i/>
                <w:color w:val="000000"/>
                <w:sz w:val="18"/>
                <w:szCs w:val="18"/>
                <w:lang w:eastAsia="zh-TW"/>
              </w:rPr>
              <w:t>3</w:t>
            </w:r>
          </w:p>
        </w:tc>
      </w:tr>
      <w:tr w:rsidR="009E5B19" w:rsidRPr="00A76B2C" w14:paraId="04CB2E7B" w14:textId="77777777" w:rsidTr="00BA1BFF">
        <w:trPr>
          <w:trHeight w:val="230"/>
        </w:trPr>
        <w:tc>
          <w:tcPr>
            <w:tcW w:w="5000" w:type="pct"/>
            <w:gridSpan w:val="6"/>
            <w:tcBorders>
              <w:top w:val="single" w:sz="4" w:space="0" w:color="auto"/>
              <w:left w:val="nil"/>
              <w:right w:val="nil"/>
            </w:tcBorders>
            <w:shd w:val="clear" w:color="auto" w:fill="auto"/>
            <w:vAlign w:val="center"/>
          </w:tcPr>
          <w:p w14:paraId="2D7BE349" w14:textId="5B035656" w:rsidR="009E5B19" w:rsidRPr="00312B80" w:rsidRDefault="009E5B19" w:rsidP="00BA1BFF">
            <w:pPr>
              <w:spacing w:after="0" w:line="240" w:lineRule="auto"/>
              <w:jc w:val="right"/>
              <w:rPr>
                <w:rFonts w:ascii="Arial Narrow" w:hAnsi="Arial Narrow" w:cs="Arial"/>
                <w:color w:val="000000"/>
                <w:sz w:val="18"/>
                <w:szCs w:val="18"/>
                <w:lang w:eastAsia="zh-TW"/>
              </w:rPr>
            </w:pPr>
            <w:r>
              <w:rPr>
                <w:rFonts w:ascii="Arial Narrow" w:hAnsi="Arial Narrow" w:cs="Arial"/>
                <w:i/>
                <w:iCs/>
                <w:color w:val="000000"/>
                <w:sz w:val="18"/>
                <w:szCs w:val="18"/>
                <w:lang w:eastAsia="zh-TW"/>
              </w:rPr>
              <w:t>Zdroj: Implementačná jednotka</w:t>
            </w:r>
            <w:r w:rsidR="000C4F08">
              <w:rPr>
                <w:rFonts w:ascii="Arial Narrow" w:hAnsi="Arial Narrow" w:cs="Arial"/>
                <w:i/>
                <w:iCs/>
                <w:color w:val="000000"/>
                <w:sz w:val="18"/>
                <w:szCs w:val="18"/>
                <w:lang w:eastAsia="zh-TW"/>
              </w:rPr>
              <w:t xml:space="preserve"> (ÚPVII)</w:t>
            </w:r>
          </w:p>
        </w:tc>
      </w:tr>
    </w:tbl>
    <w:p w14:paraId="01C2D8B0" w14:textId="77777777" w:rsidR="009E5B19" w:rsidRDefault="009E5B19" w:rsidP="009E5B19">
      <w:pPr>
        <w:spacing w:after="0" w:line="240" w:lineRule="auto"/>
        <w:jc w:val="both"/>
        <w:rPr>
          <w:rFonts w:ascii="Arial Narrow" w:hAnsi="Arial Narrow"/>
        </w:rPr>
      </w:pPr>
    </w:p>
    <w:p w14:paraId="2AFF8DAA" w14:textId="77777777" w:rsidR="00A877C3" w:rsidRPr="009B6814" w:rsidRDefault="00A877C3" w:rsidP="005F0B85">
      <w:pPr>
        <w:spacing w:after="0" w:line="240" w:lineRule="auto"/>
        <w:jc w:val="both"/>
        <w:rPr>
          <w:rFonts w:ascii="Arial Narrow" w:hAnsi="Arial Narrow"/>
        </w:rPr>
      </w:pPr>
      <w:r w:rsidRPr="009B6814">
        <w:rPr>
          <w:rFonts w:ascii="Arial Narrow" w:hAnsi="Arial Narrow"/>
        </w:rPr>
        <w:lastRenderedPageBreak/>
        <w:t>Dlhodobo sa realizuje viacero projektov, ktoré prispejú k vyššej efektívnosti a transparentnosti zdravotníctva:</w:t>
      </w:r>
    </w:p>
    <w:p w14:paraId="28EA6F4E" w14:textId="77777777" w:rsidR="00A877C3" w:rsidRPr="009B6814" w:rsidRDefault="00A877C3" w:rsidP="00154031">
      <w:pPr>
        <w:pStyle w:val="Odsekzoznamu"/>
        <w:numPr>
          <w:ilvl w:val="0"/>
          <w:numId w:val="11"/>
        </w:numPr>
        <w:spacing w:after="120" w:line="240" w:lineRule="auto"/>
        <w:contextualSpacing w:val="0"/>
        <w:jc w:val="both"/>
        <w:rPr>
          <w:rFonts w:ascii="Arial Narrow" w:hAnsi="Arial Narrow"/>
        </w:rPr>
      </w:pPr>
      <w:r w:rsidRPr="009B6814">
        <w:rPr>
          <w:rFonts w:ascii="Arial Narrow" w:hAnsi="Arial Narrow"/>
          <w:b/>
        </w:rPr>
        <w:t>Elektronizácia zdravotníctva a Elektronické služby zdravotníctva.</w:t>
      </w:r>
      <w:r w:rsidRPr="009B6814">
        <w:rPr>
          <w:rFonts w:ascii="Arial Narrow" w:hAnsi="Arial Narrow"/>
        </w:rPr>
        <w:t xml:space="preserve"> V priebehu roka 2017 dochádzalo k postupnému pripájaniu lekárov do prostredia </w:t>
      </w:r>
      <w:proofErr w:type="spellStart"/>
      <w:r w:rsidRPr="00644958">
        <w:rPr>
          <w:rFonts w:ascii="Arial Narrow" w:hAnsi="Arial Narrow"/>
          <w:i/>
        </w:rPr>
        <w:t>eHealth</w:t>
      </w:r>
      <w:proofErr w:type="spellEnd"/>
      <w:r w:rsidRPr="009B6814">
        <w:rPr>
          <w:rFonts w:ascii="Arial Narrow" w:hAnsi="Arial Narrow"/>
        </w:rPr>
        <w:t xml:space="preserve">. </w:t>
      </w:r>
      <w:r w:rsidR="00154031" w:rsidRPr="00154031">
        <w:rPr>
          <w:rFonts w:ascii="Arial Narrow" w:hAnsi="Arial Narrow"/>
        </w:rPr>
        <w:t>Boli distribuované elektronické preukazy zdravotného poistenia (</w:t>
      </w:r>
      <w:proofErr w:type="spellStart"/>
      <w:r w:rsidR="00154031" w:rsidRPr="00154031">
        <w:rPr>
          <w:rFonts w:ascii="Arial Narrow" w:hAnsi="Arial Narrow"/>
        </w:rPr>
        <w:t>ePZP</w:t>
      </w:r>
      <w:proofErr w:type="spellEnd"/>
      <w:r w:rsidR="00154031" w:rsidRPr="00154031">
        <w:rPr>
          <w:rFonts w:ascii="Arial Narrow" w:hAnsi="Arial Narrow"/>
        </w:rPr>
        <w:t>), ktoré umožňujú prístup do systému.</w:t>
      </w:r>
      <w:r w:rsidR="00154031">
        <w:rPr>
          <w:rFonts w:ascii="Arial Narrow" w:hAnsi="Arial Narrow"/>
        </w:rPr>
        <w:t xml:space="preserve"> </w:t>
      </w:r>
      <w:r w:rsidR="00410BFA">
        <w:rPr>
          <w:rFonts w:ascii="Arial Narrow" w:hAnsi="Arial Narrow"/>
        </w:rPr>
        <w:t>Prijala sa</w:t>
      </w:r>
      <w:r>
        <w:rPr>
          <w:rFonts w:ascii="Arial Narrow" w:hAnsi="Arial Narrow"/>
        </w:rPr>
        <w:t xml:space="preserve"> legislatíva, ktorá zj</w:t>
      </w:r>
      <w:r w:rsidR="00644958">
        <w:rPr>
          <w:rFonts w:ascii="Arial Narrow" w:hAnsi="Arial Narrow"/>
        </w:rPr>
        <w:t>ednodušuje používanie Pacientske</w:t>
      </w:r>
      <w:r>
        <w:rPr>
          <w:rFonts w:ascii="Arial Narrow" w:hAnsi="Arial Narrow"/>
        </w:rPr>
        <w:t>ho sumáru. Prebieha aj postupný pro</w:t>
      </w:r>
      <w:r w:rsidR="00644958">
        <w:rPr>
          <w:rFonts w:ascii="Arial Narrow" w:hAnsi="Arial Narrow"/>
        </w:rPr>
        <w:t>ces čistenia dát, aby Pacientsky</w:t>
      </w:r>
      <w:r>
        <w:rPr>
          <w:rFonts w:ascii="Arial Narrow" w:hAnsi="Arial Narrow"/>
        </w:rPr>
        <w:t xml:space="preserve"> sumár obsahoval všetky život zachraňujúce dáta potrebné pre poskytnutie kvalitnej zdravotnej starostlivosti.</w:t>
      </w:r>
    </w:p>
    <w:p w14:paraId="44BCC4D3" w14:textId="33DC2FF5" w:rsidR="00A877C3" w:rsidRPr="009B6814" w:rsidRDefault="00A877C3" w:rsidP="00154031">
      <w:pPr>
        <w:pStyle w:val="Odsekzoznamu"/>
        <w:numPr>
          <w:ilvl w:val="0"/>
          <w:numId w:val="11"/>
        </w:numPr>
        <w:spacing w:after="120" w:line="240" w:lineRule="auto"/>
        <w:contextualSpacing w:val="0"/>
        <w:jc w:val="both"/>
        <w:rPr>
          <w:rFonts w:ascii="Arial Narrow" w:hAnsi="Arial Narrow"/>
        </w:rPr>
      </w:pPr>
      <w:r w:rsidRPr="009B6814">
        <w:rPr>
          <w:rFonts w:ascii="Arial Narrow" w:hAnsi="Arial Narrow"/>
          <w:b/>
        </w:rPr>
        <w:t>Zavedenie platieb za diagnostickú skupinu.</w:t>
      </w:r>
      <w:r w:rsidRPr="009B6814">
        <w:rPr>
          <w:rFonts w:ascii="Arial Narrow" w:hAnsi="Arial Narrow"/>
        </w:rPr>
        <w:t xml:space="preserve"> </w:t>
      </w:r>
      <w:r w:rsidR="00154031" w:rsidRPr="00154031">
        <w:rPr>
          <w:rFonts w:ascii="Arial Narrow" w:hAnsi="Arial Narrow"/>
        </w:rPr>
        <w:t>Legislatívne zmeny z roku 2016 umožnili nemocniciam zaviesť D</w:t>
      </w:r>
      <w:r w:rsidR="000C4F08">
        <w:rPr>
          <w:rFonts w:ascii="Arial Narrow" w:hAnsi="Arial Narrow"/>
        </w:rPr>
        <w:t>RG ako spôsob platby zmlúv so zdravotnými poisťovňami</w:t>
      </w:r>
      <w:r w:rsidR="00154031" w:rsidRPr="00154031">
        <w:rPr>
          <w:rFonts w:ascii="Arial Narrow" w:hAnsi="Arial Narrow"/>
        </w:rPr>
        <w:t>, pričom najmenej 20 % platieb musí prebehnúť použitím tejto metodiky. V priebehu roka 2017 prešlo približne 93 % nemocníc na aspoň čiastočnú úhradu pomocou DRG</w:t>
      </w:r>
      <w:r w:rsidR="005A35DB">
        <w:rPr>
          <w:rStyle w:val="Odkaznapoznmkupodiarou"/>
          <w:rFonts w:ascii="Arial Narrow" w:hAnsi="Arial Narrow"/>
        </w:rPr>
        <w:footnoteReference w:id="6"/>
      </w:r>
      <w:r w:rsidR="00154031" w:rsidRPr="00154031">
        <w:rPr>
          <w:rFonts w:ascii="Arial Narrow" w:hAnsi="Arial Narrow"/>
        </w:rPr>
        <w:t>.</w:t>
      </w:r>
    </w:p>
    <w:p w14:paraId="18D7A30E" w14:textId="77777777" w:rsidR="00291EA7" w:rsidRPr="00644958" w:rsidRDefault="00A877C3" w:rsidP="008A1BFF">
      <w:pPr>
        <w:pStyle w:val="Odsekzoznamu"/>
        <w:numPr>
          <w:ilvl w:val="0"/>
          <w:numId w:val="11"/>
        </w:numPr>
        <w:spacing w:after="160" w:line="240" w:lineRule="auto"/>
        <w:ind w:left="357" w:hanging="357"/>
        <w:contextualSpacing w:val="0"/>
        <w:jc w:val="both"/>
        <w:rPr>
          <w:rFonts w:ascii="Arial Narrow" w:hAnsi="Arial Narrow"/>
        </w:rPr>
      </w:pPr>
      <w:proofErr w:type="spellStart"/>
      <w:r w:rsidRPr="00617BDE">
        <w:rPr>
          <w:rFonts w:ascii="Arial Narrow" w:hAnsi="Arial Narrow"/>
          <w:b/>
        </w:rPr>
        <w:t>Redefinovanie</w:t>
      </w:r>
      <w:proofErr w:type="spellEnd"/>
      <w:r w:rsidRPr="00617BDE">
        <w:rPr>
          <w:rFonts w:ascii="Arial Narrow" w:hAnsi="Arial Narrow"/>
          <w:b/>
        </w:rPr>
        <w:t xml:space="preserve"> typov nemocníc a</w:t>
      </w:r>
      <w:r>
        <w:rPr>
          <w:rFonts w:ascii="Arial Narrow" w:hAnsi="Arial Narrow"/>
          <w:b/>
        </w:rPr>
        <w:t xml:space="preserve"> zefektívnenie </w:t>
      </w:r>
      <w:r w:rsidRPr="00617BDE">
        <w:rPr>
          <w:rFonts w:ascii="Arial Narrow" w:hAnsi="Arial Narrow"/>
          <w:b/>
        </w:rPr>
        <w:t>starostlivosti.</w:t>
      </w:r>
      <w:r w:rsidRPr="00617BDE">
        <w:rPr>
          <w:rFonts w:ascii="Arial Narrow" w:hAnsi="Arial Narrow"/>
        </w:rPr>
        <w:t xml:space="preserve"> MZ SR pripravilo vlastný návrh stratifikácie, ktorý bol zverejnený v rámci príloh čerpania EÚ fondov z Integrovaného regionálneho operačného programu (IROP) v prvej polovici novembra 2016. V roku 2017 bola prijatá legislatíva </w:t>
      </w:r>
      <w:r>
        <w:rPr>
          <w:rFonts w:ascii="Arial Narrow" w:hAnsi="Arial Narrow"/>
        </w:rPr>
        <w:t xml:space="preserve">upravujúca nový systém </w:t>
      </w:r>
      <w:r w:rsidR="00154031">
        <w:rPr>
          <w:rFonts w:ascii="Arial Narrow" w:hAnsi="Arial Narrow"/>
        </w:rPr>
        <w:t>urgentných príjmov</w:t>
      </w:r>
      <w:r w:rsidRPr="00617BDE">
        <w:rPr>
          <w:rFonts w:ascii="Arial Narrow" w:hAnsi="Arial Narrow"/>
        </w:rPr>
        <w:t>.</w:t>
      </w:r>
      <w:r>
        <w:rPr>
          <w:rFonts w:ascii="Arial Narrow" w:hAnsi="Arial Narrow"/>
        </w:rPr>
        <w:t xml:space="preserve"> V rámci nej bola definovaná pevná sieť poskytovateľov nepretržitej zdravotnej starostlivosti ako aj ich personálne a technické vybavenie. </w:t>
      </w:r>
    </w:p>
    <w:p w14:paraId="2396FFBE" w14:textId="78581B03" w:rsidR="00A455A6" w:rsidRDefault="00154031" w:rsidP="00FB625E">
      <w:pPr>
        <w:spacing w:after="0" w:line="240" w:lineRule="auto"/>
        <w:jc w:val="both"/>
        <w:rPr>
          <w:rFonts w:ascii="Arial Narrow" w:hAnsi="Arial Narrow"/>
          <w:szCs w:val="24"/>
        </w:rPr>
      </w:pPr>
      <w:r w:rsidRPr="00154031">
        <w:rPr>
          <w:rFonts w:ascii="Arial Narrow" w:hAnsi="Arial Narrow"/>
          <w:szCs w:val="24"/>
        </w:rPr>
        <w:t xml:space="preserve">V oblasti liekovej politiky </w:t>
      </w:r>
      <w:r w:rsidR="00146090">
        <w:rPr>
          <w:rFonts w:ascii="Arial Narrow" w:hAnsi="Arial Narrow"/>
          <w:szCs w:val="24"/>
        </w:rPr>
        <w:t>bola</w:t>
      </w:r>
      <w:r w:rsidRPr="00154031">
        <w:rPr>
          <w:rFonts w:ascii="Arial Narrow" w:hAnsi="Arial Narrow"/>
          <w:szCs w:val="24"/>
        </w:rPr>
        <w:t xml:space="preserve"> v priebehu roka 2017 priprav</w:t>
      </w:r>
      <w:r w:rsidR="00146090">
        <w:rPr>
          <w:rFonts w:ascii="Arial Narrow" w:hAnsi="Arial Narrow"/>
          <w:szCs w:val="24"/>
        </w:rPr>
        <w:t>ená</w:t>
      </w:r>
      <w:r w:rsidRPr="00154031">
        <w:rPr>
          <w:rFonts w:ascii="Arial Narrow" w:hAnsi="Arial Narrow"/>
          <w:szCs w:val="24"/>
        </w:rPr>
        <w:t xml:space="preserve"> legislatív</w:t>
      </w:r>
      <w:r w:rsidR="000F12AF">
        <w:rPr>
          <w:rFonts w:ascii="Arial Narrow" w:hAnsi="Arial Narrow"/>
          <w:szCs w:val="24"/>
        </w:rPr>
        <w:t>a</w:t>
      </w:r>
      <w:r w:rsidRPr="00154031">
        <w:rPr>
          <w:rFonts w:ascii="Arial Narrow" w:hAnsi="Arial Narrow"/>
          <w:szCs w:val="24"/>
        </w:rPr>
        <w:t>, ktorej cieľom je</w:t>
      </w:r>
      <w:r w:rsidR="00127B19">
        <w:rPr>
          <w:rFonts w:ascii="Arial Narrow" w:hAnsi="Arial Narrow"/>
          <w:szCs w:val="24"/>
        </w:rPr>
        <w:t xml:space="preserve"> zmena systému preplácania liekov a zvýšenie dostupnosti nových liekov.</w:t>
      </w:r>
      <w:r w:rsidRPr="00154031">
        <w:rPr>
          <w:rFonts w:ascii="Arial Narrow" w:hAnsi="Arial Narrow"/>
          <w:szCs w:val="24"/>
        </w:rPr>
        <w:t xml:space="preserve"> </w:t>
      </w:r>
      <w:r w:rsidR="00784324">
        <w:rPr>
          <w:rFonts w:ascii="Arial Narrow" w:hAnsi="Arial Narrow"/>
          <w:szCs w:val="24"/>
        </w:rPr>
        <w:t>S</w:t>
      </w:r>
      <w:r w:rsidRPr="00154031">
        <w:rPr>
          <w:rFonts w:ascii="Arial Narrow" w:hAnsi="Arial Narrow"/>
          <w:szCs w:val="24"/>
        </w:rPr>
        <w:t>chválen</w:t>
      </w:r>
      <w:r w:rsidR="00784324">
        <w:rPr>
          <w:rFonts w:ascii="Arial Narrow" w:hAnsi="Arial Narrow"/>
          <w:szCs w:val="24"/>
        </w:rPr>
        <w:t>á novela zákona o úhradách liekov a zdravotníckych pomôcok</w:t>
      </w:r>
      <w:r w:rsidRPr="00154031">
        <w:rPr>
          <w:rFonts w:ascii="Arial Narrow" w:hAnsi="Arial Narrow"/>
          <w:szCs w:val="24"/>
        </w:rPr>
        <w:t xml:space="preserve"> </w:t>
      </w:r>
      <w:r w:rsidR="00784324" w:rsidRPr="00154031">
        <w:rPr>
          <w:rFonts w:ascii="Arial Narrow" w:hAnsi="Arial Narrow"/>
          <w:szCs w:val="24"/>
        </w:rPr>
        <w:t>zav</w:t>
      </w:r>
      <w:r w:rsidR="00784324">
        <w:rPr>
          <w:rFonts w:ascii="Arial Narrow" w:hAnsi="Arial Narrow"/>
          <w:szCs w:val="24"/>
        </w:rPr>
        <w:t>iedla</w:t>
      </w:r>
      <w:r w:rsidR="00784324" w:rsidRPr="00154031">
        <w:rPr>
          <w:rFonts w:ascii="Arial Narrow" w:hAnsi="Arial Narrow"/>
          <w:szCs w:val="24"/>
        </w:rPr>
        <w:t xml:space="preserve"> </w:t>
      </w:r>
      <w:r w:rsidRPr="00154031">
        <w:rPr>
          <w:rFonts w:ascii="Arial Narrow" w:hAnsi="Arial Narrow"/>
          <w:szCs w:val="24"/>
        </w:rPr>
        <w:t xml:space="preserve">presné podmienky, ktoré </w:t>
      </w:r>
      <w:r w:rsidR="00784324" w:rsidRPr="00154031">
        <w:rPr>
          <w:rFonts w:ascii="Arial Narrow" w:hAnsi="Arial Narrow"/>
          <w:szCs w:val="24"/>
        </w:rPr>
        <w:t>uprav</w:t>
      </w:r>
      <w:r w:rsidR="00784324">
        <w:rPr>
          <w:rFonts w:ascii="Arial Narrow" w:hAnsi="Arial Narrow"/>
          <w:szCs w:val="24"/>
        </w:rPr>
        <w:t>ujú</w:t>
      </w:r>
      <w:r w:rsidR="00784324" w:rsidRPr="00154031">
        <w:rPr>
          <w:rFonts w:ascii="Arial Narrow" w:hAnsi="Arial Narrow"/>
          <w:szCs w:val="24"/>
        </w:rPr>
        <w:t xml:space="preserve"> </w:t>
      </w:r>
      <w:r w:rsidRPr="00154031">
        <w:rPr>
          <w:rFonts w:ascii="Arial Narrow" w:hAnsi="Arial Narrow"/>
          <w:szCs w:val="24"/>
        </w:rPr>
        <w:t>preplácanie liekov na výnimku.</w:t>
      </w:r>
      <w:r w:rsidR="000F12AF">
        <w:rPr>
          <w:rFonts w:ascii="Arial Narrow" w:hAnsi="Arial Narrow"/>
          <w:szCs w:val="24"/>
        </w:rPr>
        <w:t xml:space="preserve"> </w:t>
      </w:r>
      <w:r w:rsidR="00784324">
        <w:rPr>
          <w:rFonts w:ascii="Arial Narrow" w:hAnsi="Arial Narrow"/>
          <w:szCs w:val="24"/>
        </w:rPr>
        <w:t>Predmetná</w:t>
      </w:r>
      <w:r w:rsidR="00784324" w:rsidRPr="00154031">
        <w:rPr>
          <w:rFonts w:ascii="Arial Narrow" w:hAnsi="Arial Narrow"/>
          <w:szCs w:val="24"/>
        </w:rPr>
        <w:t xml:space="preserve"> </w:t>
      </w:r>
      <w:r w:rsidRPr="00154031">
        <w:rPr>
          <w:rFonts w:ascii="Arial Narrow" w:hAnsi="Arial Narrow"/>
          <w:szCs w:val="24"/>
        </w:rPr>
        <w:t>novela zákona o liekoch tiež zabezpečí rýchlejší vstup inovatívnych a generických liekov na slovenský trh.</w:t>
      </w:r>
      <w:r w:rsidR="005A35DB" w:rsidRPr="005A35DB">
        <w:t xml:space="preserve"> </w:t>
      </w:r>
    </w:p>
    <w:p w14:paraId="72DDE394" w14:textId="77777777" w:rsidR="00154031" w:rsidRDefault="00154031" w:rsidP="00FB625E">
      <w:pPr>
        <w:spacing w:after="0" w:line="240" w:lineRule="auto"/>
        <w:jc w:val="both"/>
        <w:rPr>
          <w:rFonts w:ascii="Arial Narrow" w:hAnsi="Arial Narrow"/>
          <w:szCs w:val="24"/>
        </w:rPr>
      </w:pPr>
    </w:p>
    <w:p w14:paraId="45709083" w14:textId="77777777" w:rsidR="00682C07" w:rsidRPr="00A455A6" w:rsidRDefault="00894482" w:rsidP="00A877C3">
      <w:pPr>
        <w:pStyle w:val="Odsekzoznamu"/>
        <w:numPr>
          <w:ilvl w:val="0"/>
          <w:numId w:val="3"/>
        </w:numPr>
        <w:spacing w:after="0" w:line="240" w:lineRule="auto"/>
        <w:ind w:left="357" w:hanging="357"/>
        <w:jc w:val="both"/>
        <w:rPr>
          <w:rFonts w:ascii="Arial Narrow" w:hAnsi="Arial Narrow"/>
          <w:szCs w:val="24"/>
        </w:rPr>
      </w:pPr>
      <w:r>
        <w:rPr>
          <w:rFonts w:ascii="Arial Narrow" w:hAnsi="Arial Narrow"/>
          <w:b/>
          <w:sz w:val="24"/>
          <w:szCs w:val="24"/>
        </w:rPr>
        <w:t xml:space="preserve">Dlhodobá nezamestnanosť a </w:t>
      </w:r>
      <w:r w:rsidR="00682C07" w:rsidRPr="00A455A6">
        <w:rPr>
          <w:rFonts w:ascii="Arial Narrow" w:hAnsi="Arial Narrow"/>
          <w:b/>
          <w:sz w:val="24"/>
          <w:szCs w:val="24"/>
        </w:rPr>
        <w:t>zamestnanosť žien a</w:t>
      </w:r>
      <w:r w:rsidR="00A455A6">
        <w:rPr>
          <w:rFonts w:ascii="Arial Narrow" w:hAnsi="Arial Narrow"/>
          <w:b/>
          <w:sz w:val="24"/>
          <w:szCs w:val="24"/>
        </w:rPr>
        <w:t> </w:t>
      </w:r>
      <w:r w:rsidR="00682C07" w:rsidRPr="00A455A6">
        <w:rPr>
          <w:rFonts w:ascii="Arial Narrow" w:hAnsi="Arial Narrow"/>
          <w:b/>
          <w:sz w:val="24"/>
          <w:szCs w:val="24"/>
        </w:rPr>
        <w:t>vzdelávanie</w:t>
      </w:r>
    </w:p>
    <w:p w14:paraId="0A64D33A" w14:textId="77777777" w:rsidR="00A455A6" w:rsidRPr="00A455A6" w:rsidRDefault="00A455A6" w:rsidP="00FB625E">
      <w:pPr>
        <w:pStyle w:val="Odsekzoznamu"/>
        <w:spacing w:after="0" w:line="240" w:lineRule="auto"/>
        <w:ind w:left="357"/>
        <w:jc w:val="both"/>
        <w:rPr>
          <w:rFonts w:ascii="Arial Narrow" w:hAnsi="Arial Narrow"/>
          <w:szCs w:val="24"/>
        </w:rPr>
      </w:pPr>
    </w:p>
    <w:p w14:paraId="5907FF2F" w14:textId="77777777" w:rsidR="00682C07" w:rsidRDefault="00682C07" w:rsidP="008A1BFF">
      <w:pPr>
        <w:spacing w:after="0" w:line="240" w:lineRule="auto"/>
        <w:jc w:val="both"/>
        <w:rPr>
          <w:rFonts w:ascii="Arial Narrow" w:hAnsi="Arial Narrow"/>
          <w:b/>
          <w:i/>
        </w:rPr>
      </w:pPr>
      <w:r w:rsidRPr="005B48EF">
        <w:rPr>
          <w:rFonts w:ascii="Arial Narrow" w:hAnsi="Arial Narrow"/>
          <w:b/>
          <w:i/>
          <w:szCs w:val="36"/>
          <w:lang w:eastAsia="en-US"/>
        </w:rPr>
        <w:t xml:space="preserve">Špecifické odporúčanie Rady: </w:t>
      </w:r>
      <w:r w:rsidR="00554B02" w:rsidRPr="00554B02">
        <w:rPr>
          <w:rFonts w:ascii="Arial Narrow" w:hAnsi="Arial Narrow"/>
          <w:b/>
          <w:i/>
        </w:rPr>
        <w:t xml:space="preserve">Zlepšiť aktivačné opatrenia pre znevýhodnené skupiny, a to aj vykonávaním akčného plánu pre dlhodobo nezamestnaných a poskytovaním individualizovaných služieb a cielenej odbornej prípravy. Zlepšiť pracovné príležitosti pre ženy, a to najmä rozšírením cenovo dostupnej a kvalitnej starostlivosti o deti. Zlepšiť kvalitu vzdelávania a zvýšiť účasť Rómov v </w:t>
      </w:r>
      <w:proofErr w:type="spellStart"/>
      <w:r w:rsidR="00554B02" w:rsidRPr="00554B02">
        <w:rPr>
          <w:rFonts w:ascii="Arial Narrow" w:hAnsi="Arial Narrow"/>
          <w:b/>
          <w:i/>
        </w:rPr>
        <w:t>inkluzívnom</w:t>
      </w:r>
      <w:proofErr w:type="spellEnd"/>
      <w:r w:rsidR="00554B02" w:rsidRPr="00554B02">
        <w:rPr>
          <w:rFonts w:ascii="Arial Narrow" w:hAnsi="Arial Narrow"/>
          <w:b/>
          <w:i/>
        </w:rPr>
        <w:t xml:space="preserve"> hlavnom prúde vzdelávania.</w:t>
      </w:r>
    </w:p>
    <w:p w14:paraId="22D580DF" w14:textId="77777777" w:rsidR="008A1BFF" w:rsidRDefault="008A1BFF" w:rsidP="008A1BFF">
      <w:pPr>
        <w:spacing w:after="0" w:line="240" w:lineRule="auto"/>
        <w:jc w:val="both"/>
        <w:rPr>
          <w:rFonts w:ascii="Arial Narrow" w:hAnsi="Arial Narrow"/>
          <w:b/>
          <w:i/>
        </w:rPr>
      </w:pPr>
    </w:p>
    <w:p w14:paraId="73BDB9D5" w14:textId="3F06A7A3" w:rsidR="007D2366" w:rsidRPr="003A116A" w:rsidRDefault="00E34972" w:rsidP="00A76457">
      <w:pPr>
        <w:spacing w:after="0" w:line="240" w:lineRule="auto"/>
        <w:jc w:val="both"/>
        <w:rPr>
          <w:rFonts w:ascii="Arial Narrow" w:hAnsi="Arial Narrow"/>
          <w:i/>
          <w:color w:val="000000" w:themeColor="text1"/>
        </w:rPr>
      </w:pPr>
      <w:r w:rsidRPr="003A116A">
        <w:rPr>
          <w:rFonts w:ascii="Arial Narrow" w:hAnsi="Arial Narrow"/>
          <w:i/>
        </w:rPr>
        <w:t>I</w:t>
      </w:r>
      <w:r w:rsidR="007D2366" w:rsidRPr="003A116A">
        <w:rPr>
          <w:rFonts w:ascii="Arial Narrow" w:hAnsi="Arial Narrow"/>
          <w:i/>
        </w:rPr>
        <w:t xml:space="preserve">mplementovali sa viaceré </w:t>
      </w:r>
      <w:r w:rsidRPr="003A116A">
        <w:rPr>
          <w:rFonts w:ascii="Arial Narrow" w:hAnsi="Arial Narrow"/>
          <w:i/>
        </w:rPr>
        <w:t xml:space="preserve">nástroje na integráciu dlhodobo nezamestnaných, vrátane profilácie a individualizovaného poradenstva. Zatraktívnili sa príspevky na </w:t>
      </w:r>
      <w:r w:rsidR="002F6048" w:rsidRPr="00D617DA">
        <w:rPr>
          <w:rFonts w:ascii="Arial Narrow" w:hAnsi="Arial Narrow"/>
          <w:i/>
        </w:rPr>
        <w:t xml:space="preserve">podporu pracovnej mobility a bola prijatá legislatíva na rozvoj sociálnej ekonomiky. </w:t>
      </w:r>
      <w:r w:rsidRPr="003A116A">
        <w:rPr>
          <w:rFonts w:ascii="Arial Narrow" w:hAnsi="Arial Narrow"/>
          <w:i/>
        </w:rPr>
        <w:t xml:space="preserve">Po vytvorení </w:t>
      </w:r>
      <w:r w:rsidRPr="003A116A">
        <w:rPr>
          <w:rFonts w:ascii="Arial Narrow" w:hAnsi="Arial Narrow"/>
          <w:i/>
          <w:color w:val="000000" w:themeColor="text1"/>
        </w:rPr>
        <w:t>legislatívneho rám</w:t>
      </w:r>
      <w:r w:rsidR="007D2366" w:rsidRPr="003A116A">
        <w:rPr>
          <w:rFonts w:ascii="Arial Narrow" w:hAnsi="Arial Narrow"/>
          <w:i/>
          <w:color w:val="000000" w:themeColor="text1"/>
        </w:rPr>
        <w:t>c</w:t>
      </w:r>
      <w:r w:rsidRPr="003A116A">
        <w:rPr>
          <w:rFonts w:ascii="Arial Narrow" w:hAnsi="Arial Narrow"/>
          <w:i/>
          <w:color w:val="000000" w:themeColor="text1"/>
        </w:rPr>
        <w:t>a</w:t>
      </w:r>
      <w:r w:rsidR="007D2366" w:rsidRPr="003A116A">
        <w:rPr>
          <w:rFonts w:ascii="Arial Narrow" w:hAnsi="Arial Narrow"/>
          <w:i/>
          <w:color w:val="000000" w:themeColor="text1"/>
        </w:rPr>
        <w:t xml:space="preserve"> pre činnosť zariadení starostlivosti o deti do troch rokov </w:t>
      </w:r>
      <w:r w:rsidR="0000346B" w:rsidRPr="00672863">
        <w:rPr>
          <w:rFonts w:ascii="Arial Narrow" w:hAnsi="Arial Narrow" w:cs="Arial Narrow"/>
          <w:i/>
          <w:color w:val="000000"/>
        </w:rPr>
        <w:t>sa pripravili podmienky finančnej podpory pre čerpanie finančných zdrojov z EÚ</w:t>
      </w:r>
      <w:r w:rsidRPr="003A116A">
        <w:rPr>
          <w:rFonts w:ascii="Arial Narrow" w:hAnsi="Arial Narrow"/>
          <w:i/>
          <w:color w:val="000000" w:themeColor="text1"/>
        </w:rPr>
        <w:t>. Pokračujú projekty na podporu terénnej sociálnej práce a komunitných centier</w:t>
      </w:r>
      <w:r w:rsidR="0094144C" w:rsidRPr="003A116A">
        <w:rPr>
          <w:rFonts w:ascii="Arial Narrow" w:hAnsi="Arial Narrow"/>
          <w:i/>
          <w:color w:val="000000" w:themeColor="text1"/>
        </w:rPr>
        <w:t xml:space="preserve">, takisto projekty </w:t>
      </w:r>
      <w:r w:rsidR="0094144C" w:rsidRPr="00D617DA">
        <w:rPr>
          <w:rFonts w:ascii="Arial Narrow" w:hAnsi="Arial Narrow"/>
          <w:i/>
          <w:color w:val="000000" w:themeColor="text1"/>
        </w:rPr>
        <w:t xml:space="preserve">podporujúce </w:t>
      </w:r>
      <w:proofErr w:type="spellStart"/>
      <w:r w:rsidR="0094144C" w:rsidRPr="00D617DA">
        <w:rPr>
          <w:rFonts w:ascii="Arial Narrow" w:hAnsi="Arial Narrow"/>
          <w:i/>
          <w:color w:val="000000" w:themeColor="text1"/>
        </w:rPr>
        <w:t>inkluzívny</w:t>
      </w:r>
      <w:proofErr w:type="spellEnd"/>
      <w:r w:rsidR="0094144C" w:rsidRPr="00D617DA">
        <w:rPr>
          <w:rFonts w:ascii="Arial Narrow" w:hAnsi="Arial Narrow"/>
          <w:i/>
          <w:color w:val="000000" w:themeColor="text1"/>
        </w:rPr>
        <w:t xml:space="preserve"> model vzdelávania.</w:t>
      </w:r>
      <w:r w:rsidR="00A76457" w:rsidRPr="00D617DA">
        <w:rPr>
          <w:rFonts w:ascii="Arial Narrow" w:hAnsi="Arial Narrow"/>
          <w:i/>
          <w:color w:val="000000" w:themeColor="text1"/>
        </w:rPr>
        <w:t xml:space="preserve"> </w:t>
      </w:r>
      <w:r w:rsidR="00A76457" w:rsidRPr="00AC4A1D">
        <w:rPr>
          <w:rFonts w:ascii="Arial Narrow" w:hAnsi="Arial Narrow"/>
          <w:i/>
          <w:color w:val="000000" w:themeColor="text1"/>
        </w:rPr>
        <w:t xml:space="preserve">V rámci hodnotenia </w:t>
      </w:r>
      <w:r w:rsidR="00A76457" w:rsidRPr="003A116A">
        <w:rPr>
          <w:rFonts w:ascii="Arial Narrow" w:hAnsi="Arial Narrow"/>
          <w:i/>
          <w:color w:val="000000" w:themeColor="text1"/>
        </w:rPr>
        <w:t>inklúzie MRK sa spustil projekt monitorovania a hodnotenia Stratégie Slovenskej republiky pre integráciu Rómov do roku 2020</w:t>
      </w:r>
      <w:r w:rsidR="002F6048" w:rsidRPr="003A116A">
        <w:rPr>
          <w:rFonts w:ascii="Arial Narrow" w:hAnsi="Arial Narrow"/>
          <w:i/>
          <w:color w:val="000000" w:themeColor="text1"/>
        </w:rPr>
        <w:t>.</w:t>
      </w:r>
      <w:r w:rsidR="0094144C" w:rsidRPr="003A116A">
        <w:rPr>
          <w:rFonts w:ascii="Arial Narrow" w:hAnsi="Arial Narrow"/>
          <w:i/>
          <w:color w:val="000000" w:themeColor="text1"/>
        </w:rPr>
        <w:t xml:space="preserve"> Pokračuje sa v </w:t>
      </w:r>
      <w:r w:rsidR="0094144C" w:rsidRPr="003A116A">
        <w:rPr>
          <w:rFonts w:ascii="Arial Narrow" w:hAnsi="Arial Narrow"/>
          <w:i/>
        </w:rPr>
        <w:t>rozširovaní kapacít materských škôl.</w:t>
      </w:r>
      <w:r w:rsidR="000A6E3E" w:rsidRPr="003A116A">
        <w:rPr>
          <w:rFonts w:ascii="Arial Narrow" w:hAnsi="Arial Narrow"/>
          <w:i/>
        </w:rPr>
        <w:t xml:space="preserve"> </w:t>
      </w:r>
      <w:r w:rsidR="007D2366" w:rsidRPr="003A116A">
        <w:rPr>
          <w:rFonts w:ascii="Arial Narrow" w:hAnsi="Arial Narrow"/>
          <w:i/>
          <w:lang w:eastAsia="en-US"/>
        </w:rPr>
        <w:t>Platy pedagogických zamestnancov rástli od roku 2013, v </w:t>
      </w:r>
      <w:r w:rsidR="00A14844" w:rsidRPr="003A116A">
        <w:rPr>
          <w:rFonts w:ascii="Arial Narrow" w:hAnsi="Arial Narrow"/>
          <w:i/>
          <w:lang w:eastAsia="en-US"/>
        </w:rPr>
        <w:t>roku</w:t>
      </w:r>
      <w:r w:rsidR="007D2366" w:rsidRPr="003A116A">
        <w:rPr>
          <w:rFonts w:ascii="Arial Narrow" w:hAnsi="Arial Narrow"/>
          <w:i/>
          <w:lang w:eastAsia="en-US"/>
        </w:rPr>
        <w:t xml:space="preserve"> 2016 sa zvýšili</w:t>
      </w:r>
      <w:r w:rsidR="00A14844" w:rsidRPr="003A116A">
        <w:rPr>
          <w:rFonts w:ascii="Arial Narrow" w:hAnsi="Arial Narrow"/>
          <w:i/>
          <w:lang w:eastAsia="en-US"/>
        </w:rPr>
        <w:t xml:space="preserve"> dvakrát -</w:t>
      </w:r>
      <w:r w:rsidR="007D2366" w:rsidRPr="003A116A">
        <w:rPr>
          <w:rFonts w:ascii="Arial Narrow" w:hAnsi="Arial Narrow"/>
          <w:i/>
          <w:lang w:eastAsia="en-US"/>
        </w:rPr>
        <w:t xml:space="preserve"> o 4 % a</w:t>
      </w:r>
      <w:r w:rsidR="00A14844" w:rsidRPr="003A116A">
        <w:rPr>
          <w:rFonts w:ascii="Arial Narrow" w:hAnsi="Arial Narrow"/>
          <w:i/>
          <w:lang w:eastAsia="en-US"/>
        </w:rPr>
        <w:t> </w:t>
      </w:r>
      <w:r w:rsidR="00B23E71" w:rsidRPr="003A116A">
        <w:rPr>
          <w:rFonts w:ascii="Arial Narrow" w:hAnsi="Arial Narrow"/>
          <w:i/>
          <w:lang w:eastAsia="en-US"/>
        </w:rPr>
        <w:t xml:space="preserve">od septembra o ďalších 6 %, </w:t>
      </w:r>
      <w:r w:rsidR="00A14844" w:rsidRPr="003A116A">
        <w:rPr>
          <w:rFonts w:ascii="Arial Narrow" w:hAnsi="Arial Narrow"/>
          <w:i/>
          <w:lang w:eastAsia="en-US"/>
        </w:rPr>
        <w:t xml:space="preserve">od septembra 2017 </w:t>
      </w:r>
      <w:r w:rsidR="00B23E71" w:rsidRPr="003A116A">
        <w:rPr>
          <w:rFonts w:ascii="Arial Narrow" w:hAnsi="Arial Narrow"/>
          <w:i/>
          <w:lang w:eastAsia="en-US"/>
        </w:rPr>
        <w:t xml:space="preserve">taktiež </w:t>
      </w:r>
      <w:r w:rsidR="00A14844" w:rsidRPr="003A116A">
        <w:rPr>
          <w:rFonts w:ascii="Arial Narrow" w:hAnsi="Arial Narrow"/>
          <w:i/>
          <w:lang w:eastAsia="en-US"/>
        </w:rPr>
        <w:t xml:space="preserve">o 6 </w:t>
      </w:r>
      <w:r w:rsidR="00A14844" w:rsidRPr="003A116A">
        <w:rPr>
          <w:rFonts w:ascii="Arial Narrow" w:hAnsi="Arial Narrow"/>
          <w:i/>
          <w:lang w:val="en-US" w:eastAsia="en-US"/>
        </w:rPr>
        <w:t>%.</w:t>
      </w:r>
      <w:r w:rsidR="007D2366" w:rsidRPr="003A116A">
        <w:rPr>
          <w:rFonts w:ascii="Arial Narrow" w:hAnsi="Arial Narrow"/>
          <w:i/>
        </w:rPr>
        <w:t xml:space="preserve"> </w:t>
      </w:r>
    </w:p>
    <w:p w14:paraId="508F23E1" w14:textId="77777777" w:rsidR="007D2366" w:rsidRPr="007D2366" w:rsidRDefault="007D2366" w:rsidP="007D2366">
      <w:pPr>
        <w:spacing w:after="0" w:line="240" w:lineRule="auto"/>
        <w:jc w:val="both"/>
        <w:rPr>
          <w:rFonts w:ascii="Arial Narrow" w:hAnsi="Arial Narrow"/>
          <w:i/>
        </w:rPr>
      </w:pPr>
    </w:p>
    <w:p w14:paraId="1E604030" w14:textId="77777777" w:rsidR="00E34972" w:rsidRPr="007D7576" w:rsidRDefault="00E34972" w:rsidP="00E34972">
      <w:pPr>
        <w:spacing w:after="0" w:line="240" w:lineRule="auto"/>
        <w:jc w:val="both"/>
        <w:rPr>
          <w:rFonts w:ascii="Arial Narrow" w:hAnsi="Arial Narrow"/>
          <w:b/>
          <w:i/>
        </w:rPr>
      </w:pPr>
      <w:r w:rsidRPr="007D7576">
        <w:rPr>
          <w:rFonts w:ascii="Arial Narrow" w:hAnsi="Arial Narrow"/>
          <w:b/>
          <w:i/>
        </w:rPr>
        <w:t>Služby zamestnanosti</w:t>
      </w:r>
    </w:p>
    <w:p w14:paraId="6D8B35EB" w14:textId="0805D309" w:rsidR="00E34972" w:rsidRDefault="00E34972" w:rsidP="00E34972">
      <w:pPr>
        <w:spacing w:after="0" w:line="240" w:lineRule="auto"/>
        <w:jc w:val="both"/>
        <w:rPr>
          <w:rFonts w:ascii="Arial Narrow" w:hAnsi="Arial Narrow"/>
        </w:rPr>
      </w:pPr>
      <w:r w:rsidRPr="00572238">
        <w:rPr>
          <w:rFonts w:ascii="Arial Narrow" w:hAnsi="Arial Narrow"/>
          <w:b/>
        </w:rPr>
        <w:t>Revízie výdavkov na politiky trhu práce</w:t>
      </w:r>
      <w:r>
        <w:rPr>
          <w:rStyle w:val="Odkaznapoznmkupodiarou"/>
          <w:rFonts w:ascii="Arial Narrow" w:hAnsi="Arial Narrow"/>
        </w:rPr>
        <w:footnoteReference w:id="7"/>
      </w:r>
      <w:r>
        <w:rPr>
          <w:rFonts w:ascii="Arial Narrow" w:hAnsi="Arial Narrow"/>
        </w:rPr>
        <w:t xml:space="preserve"> </w:t>
      </w:r>
      <w:r w:rsidRPr="00C6455D">
        <w:rPr>
          <w:rFonts w:ascii="Arial Narrow" w:hAnsi="Arial Narrow"/>
        </w:rPr>
        <w:t xml:space="preserve">identifikovali priestor na zlepšenie prevádzkovej efektívnosti úradov práce a možnosti </w:t>
      </w:r>
      <w:proofErr w:type="spellStart"/>
      <w:r w:rsidRPr="00C6455D">
        <w:rPr>
          <w:rFonts w:ascii="Arial Narrow" w:hAnsi="Arial Narrow"/>
        </w:rPr>
        <w:t>realokácie</w:t>
      </w:r>
      <w:proofErr w:type="spellEnd"/>
      <w:r w:rsidRPr="00C6455D">
        <w:rPr>
          <w:rFonts w:ascii="Arial Narrow" w:hAnsi="Arial Narrow"/>
        </w:rPr>
        <w:t xml:space="preserve"> zdrojov na nástroje </w:t>
      </w:r>
      <w:r w:rsidR="000C4F08">
        <w:rPr>
          <w:rFonts w:ascii="Arial Narrow" w:hAnsi="Arial Narrow"/>
        </w:rPr>
        <w:t>aktívnych opatrení trhu práce (</w:t>
      </w:r>
      <w:r w:rsidRPr="00C6455D">
        <w:rPr>
          <w:rFonts w:ascii="Arial Narrow" w:hAnsi="Arial Narrow"/>
        </w:rPr>
        <w:t>A</w:t>
      </w:r>
      <w:r w:rsidR="000C4F08">
        <w:rPr>
          <w:rFonts w:ascii="Arial Narrow" w:hAnsi="Arial Narrow"/>
        </w:rPr>
        <w:t>O</w:t>
      </w:r>
      <w:r w:rsidRPr="00C6455D">
        <w:rPr>
          <w:rFonts w:ascii="Arial Narrow" w:hAnsi="Arial Narrow"/>
        </w:rPr>
        <w:t>TP</w:t>
      </w:r>
      <w:r w:rsidR="000C4F08">
        <w:rPr>
          <w:rFonts w:ascii="Arial Narrow" w:hAnsi="Arial Narrow"/>
        </w:rPr>
        <w:t>)</w:t>
      </w:r>
      <w:r w:rsidRPr="00C6455D">
        <w:rPr>
          <w:rFonts w:ascii="Arial Narrow" w:hAnsi="Arial Narrow"/>
        </w:rPr>
        <w:t xml:space="preserve"> a prevádzku. Na základe interného vyhodnocovania efektívnosti činností úradov práce pokračovala</w:t>
      </w:r>
      <w:r>
        <w:rPr>
          <w:rFonts w:ascii="Arial Narrow" w:hAnsi="Arial Narrow"/>
        </w:rPr>
        <w:t xml:space="preserve"> aj v roku 2017</w:t>
      </w:r>
      <w:r w:rsidRPr="00C6455D">
        <w:rPr>
          <w:rFonts w:ascii="Arial Narrow" w:hAnsi="Arial Narrow"/>
        </w:rPr>
        <w:t xml:space="preserve"> </w:t>
      </w:r>
      <w:proofErr w:type="spellStart"/>
      <w:r w:rsidRPr="00C6455D">
        <w:rPr>
          <w:rFonts w:ascii="Arial Narrow" w:hAnsi="Arial Narrow"/>
        </w:rPr>
        <w:t>realokácia</w:t>
      </w:r>
      <w:proofErr w:type="spellEnd"/>
      <w:r w:rsidRPr="00C6455D">
        <w:rPr>
          <w:rFonts w:ascii="Arial Narrow" w:hAnsi="Arial Narrow"/>
        </w:rPr>
        <w:t xml:space="preserve"> zamestnancov na frekventovanejšie a náročnejšie činnosti.</w:t>
      </w:r>
    </w:p>
    <w:p w14:paraId="10A07953" w14:textId="77777777" w:rsidR="00E34972" w:rsidRDefault="00E34972" w:rsidP="00E34972">
      <w:pPr>
        <w:spacing w:after="0" w:line="240" w:lineRule="auto"/>
        <w:jc w:val="both"/>
        <w:rPr>
          <w:rFonts w:ascii="Arial Narrow" w:hAnsi="Arial Narrow"/>
        </w:rPr>
      </w:pPr>
    </w:p>
    <w:p w14:paraId="775B2FDA" w14:textId="77777777" w:rsidR="00E34972" w:rsidRDefault="00E34972" w:rsidP="00E34972">
      <w:pPr>
        <w:spacing w:after="120" w:line="240" w:lineRule="auto"/>
        <w:jc w:val="both"/>
        <w:rPr>
          <w:rFonts w:ascii="Arial Narrow" w:hAnsi="Arial Narrow"/>
        </w:rPr>
      </w:pPr>
      <w:r w:rsidRPr="00C92662">
        <w:rPr>
          <w:rFonts w:ascii="Arial Narrow" w:hAnsi="Arial Narrow"/>
        </w:rPr>
        <w:t>V roku 20</w:t>
      </w:r>
      <w:r>
        <w:rPr>
          <w:rFonts w:ascii="Arial Narrow" w:hAnsi="Arial Narrow"/>
        </w:rPr>
        <w:t xml:space="preserve">16 MPSVR SR prijalo </w:t>
      </w:r>
      <w:r w:rsidRPr="00572238">
        <w:rPr>
          <w:rFonts w:ascii="Arial Narrow" w:hAnsi="Arial Narrow"/>
          <w:b/>
        </w:rPr>
        <w:t>akčný plán</w:t>
      </w:r>
      <w:r>
        <w:rPr>
          <w:rStyle w:val="Odkaznapoznmkupodiarou"/>
          <w:rFonts w:ascii="Arial Narrow" w:hAnsi="Arial Narrow"/>
        </w:rPr>
        <w:footnoteReference w:id="8"/>
      </w:r>
      <w:r>
        <w:rPr>
          <w:rFonts w:ascii="Arial Narrow" w:hAnsi="Arial Narrow"/>
        </w:rPr>
        <w:t xml:space="preserve"> pre implementáciu </w:t>
      </w:r>
      <w:r w:rsidRPr="00C92662">
        <w:rPr>
          <w:rFonts w:ascii="Arial Narrow" w:hAnsi="Arial Narrow"/>
        </w:rPr>
        <w:t>viacer</w:t>
      </w:r>
      <w:r w:rsidR="004A5140">
        <w:rPr>
          <w:rFonts w:ascii="Arial Narrow" w:hAnsi="Arial Narrow"/>
        </w:rPr>
        <w:t>ých</w:t>
      </w:r>
      <w:r w:rsidRPr="00C92662">
        <w:rPr>
          <w:rFonts w:ascii="Arial Narrow" w:hAnsi="Arial Narrow"/>
        </w:rPr>
        <w:t xml:space="preserve"> foriem podpory </w:t>
      </w:r>
      <w:r w:rsidRPr="00572238">
        <w:rPr>
          <w:rFonts w:ascii="Arial Narrow" w:hAnsi="Arial Narrow"/>
          <w:b/>
        </w:rPr>
        <w:t>integrácie dlhodobo nezamestnaných na trhu práce</w:t>
      </w:r>
      <w:r>
        <w:rPr>
          <w:rFonts w:ascii="Arial Narrow" w:hAnsi="Arial Narrow"/>
        </w:rPr>
        <w:t xml:space="preserve">: </w:t>
      </w:r>
    </w:p>
    <w:p w14:paraId="0047C213" w14:textId="77777777" w:rsidR="00E34972" w:rsidRDefault="00E34972" w:rsidP="00E34972">
      <w:pPr>
        <w:pStyle w:val="Odsekzoznamu"/>
        <w:numPr>
          <w:ilvl w:val="0"/>
          <w:numId w:val="16"/>
        </w:numPr>
        <w:spacing w:after="120" w:line="240" w:lineRule="auto"/>
        <w:ind w:left="357" w:hanging="357"/>
        <w:contextualSpacing w:val="0"/>
        <w:jc w:val="both"/>
        <w:rPr>
          <w:rFonts w:ascii="Arial Narrow" w:hAnsi="Arial Narrow"/>
        </w:rPr>
      </w:pPr>
      <w:r>
        <w:rPr>
          <w:rFonts w:ascii="Arial Narrow" w:hAnsi="Arial Narrow"/>
        </w:rPr>
        <w:lastRenderedPageBreak/>
        <w:t xml:space="preserve">V priebehu roka 2017 sa zaviedla </w:t>
      </w:r>
      <w:r w:rsidRPr="004A62D2">
        <w:rPr>
          <w:rFonts w:ascii="Arial Narrow" w:hAnsi="Arial Narrow"/>
          <w:b/>
        </w:rPr>
        <w:t xml:space="preserve">profilácia </w:t>
      </w:r>
      <w:r w:rsidRPr="004A62D2">
        <w:rPr>
          <w:rFonts w:ascii="Arial Narrow" w:hAnsi="Arial Narrow"/>
        </w:rPr>
        <w:t xml:space="preserve">na základe individuálneho posúdenia </w:t>
      </w:r>
      <w:proofErr w:type="spellStart"/>
      <w:r w:rsidRPr="004A62D2">
        <w:rPr>
          <w:rFonts w:ascii="Arial Narrow" w:hAnsi="Arial Narrow"/>
        </w:rPr>
        <w:t>UoZ</w:t>
      </w:r>
      <w:proofErr w:type="spellEnd"/>
      <w:r w:rsidRPr="004A62D2">
        <w:rPr>
          <w:rFonts w:ascii="Arial Narrow" w:hAnsi="Arial Narrow"/>
        </w:rPr>
        <w:t>. Výsledok profilácie je relevantný pre odporúčanie a poskytovanie adekvátnych služieb zamestnanosti a prideľovanie aktivačných opatrení.</w:t>
      </w:r>
    </w:p>
    <w:p w14:paraId="5BECFA63" w14:textId="62962FA8" w:rsidR="00E34972" w:rsidRDefault="00E34972" w:rsidP="00E34972">
      <w:pPr>
        <w:pStyle w:val="Odsekzoznamu"/>
        <w:numPr>
          <w:ilvl w:val="0"/>
          <w:numId w:val="16"/>
        </w:numPr>
        <w:spacing w:after="120" w:line="240" w:lineRule="auto"/>
        <w:ind w:left="357" w:hanging="357"/>
        <w:contextualSpacing w:val="0"/>
        <w:jc w:val="both"/>
        <w:rPr>
          <w:rFonts w:ascii="Arial Narrow" w:hAnsi="Arial Narrow"/>
        </w:rPr>
      </w:pPr>
      <w:r>
        <w:rPr>
          <w:rFonts w:ascii="Arial Narrow" w:hAnsi="Arial Narrow"/>
        </w:rPr>
        <w:t xml:space="preserve">Od septembra 2017 sa začala vykonávať </w:t>
      </w:r>
      <w:r w:rsidRPr="004D49D6">
        <w:rPr>
          <w:rFonts w:ascii="Arial Narrow" w:hAnsi="Arial Narrow"/>
        </w:rPr>
        <w:t xml:space="preserve">aktívna podpora pre ťažko umiestniteľných </w:t>
      </w:r>
      <w:r>
        <w:rPr>
          <w:rFonts w:ascii="Arial Narrow" w:hAnsi="Arial Narrow"/>
        </w:rPr>
        <w:t>dlhodobo nezames</w:t>
      </w:r>
      <w:r w:rsidRPr="004D49D6">
        <w:rPr>
          <w:rFonts w:ascii="Arial Narrow" w:hAnsi="Arial Narrow"/>
        </w:rPr>
        <w:t>t</w:t>
      </w:r>
      <w:r>
        <w:rPr>
          <w:rFonts w:ascii="Arial Narrow" w:hAnsi="Arial Narrow"/>
        </w:rPr>
        <w:t>n</w:t>
      </w:r>
      <w:r w:rsidRPr="004D49D6">
        <w:rPr>
          <w:rFonts w:ascii="Arial Narrow" w:hAnsi="Arial Narrow"/>
        </w:rPr>
        <w:t xml:space="preserve">aných </w:t>
      </w:r>
      <w:proofErr w:type="spellStart"/>
      <w:r w:rsidRPr="004D49D6">
        <w:rPr>
          <w:rFonts w:ascii="Arial Narrow" w:hAnsi="Arial Narrow"/>
        </w:rPr>
        <w:t>UoZ</w:t>
      </w:r>
      <w:proofErr w:type="spellEnd"/>
      <w:r w:rsidRPr="004D49D6">
        <w:rPr>
          <w:rFonts w:ascii="Arial Narrow" w:hAnsi="Arial Narrow"/>
        </w:rPr>
        <w:t xml:space="preserve"> prostredníctvom </w:t>
      </w:r>
      <w:r w:rsidRPr="004D49D6">
        <w:rPr>
          <w:rFonts w:ascii="Arial Narrow" w:hAnsi="Arial Narrow"/>
          <w:b/>
        </w:rPr>
        <w:t>individualizovaných poradenských aktivít</w:t>
      </w:r>
      <w:r w:rsidRPr="004D49D6">
        <w:rPr>
          <w:rFonts w:ascii="Arial Narrow" w:hAnsi="Arial Narrow"/>
        </w:rPr>
        <w:t xml:space="preserve"> zameraných najmä  na zhodnotenie celkového potenciálu </w:t>
      </w:r>
      <w:proofErr w:type="spellStart"/>
      <w:r w:rsidRPr="004D49D6">
        <w:rPr>
          <w:rFonts w:ascii="Arial Narrow" w:hAnsi="Arial Narrow"/>
        </w:rPr>
        <w:t>UoZ</w:t>
      </w:r>
      <w:proofErr w:type="spellEnd"/>
      <w:r w:rsidRPr="004D49D6">
        <w:rPr>
          <w:rFonts w:ascii="Arial Narrow" w:hAnsi="Arial Narrow"/>
        </w:rPr>
        <w:t xml:space="preserve"> z hľadiska uplatniteľnosti na trhu práce. </w:t>
      </w:r>
      <w:r w:rsidR="00441F3B">
        <w:rPr>
          <w:rFonts w:ascii="Arial Narrow" w:hAnsi="Arial Narrow"/>
        </w:rPr>
        <w:t>Predpokladaný počet podporených osôb cieľovej skupiny predstavuje 32 000 do roku 2020</w:t>
      </w:r>
      <w:r w:rsidR="006F2363">
        <w:rPr>
          <w:rStyle w:val="Odkaznapoznmkupodiarou"/>
          <w:rFonts w:ascii="Arial Narrow" w:hAnsi="Arial Narrow"/>
        </w:rPr>
        <w:footnoteReference w:id="9"/>
      </w:r>
      <w:r w:rsidR="00441F3B">
        <w:rPr>
          <w:rFonts w:ascii="Arial Narrow" w:hAnsi="Arial Narrow"/>
        </w:rPr>
        <w:t>.</w:t>
      </w:r>
    </w:p>
    <w:p w14:paraId="2D4E9D9B" w14:textId="47B245E7" w:rsidR="00E34972" w:rsidRPr="003C1E23" w:rsidRDefault="00336F2A" w:rsidP="00E34972">
      <w:pPr>
        <w:pStyle w:val="Odsekzoznamu"/>
        <w:numPr>
          <w:ilvl w:val="0"/>
          <w:numId w:val="16"/>
        </w:numPr>
        <w:spacing w:after="120" w:line="240" w:lineRule="auto"/>
        <w:ind w:left="357" w:hanging="357"/>
        <w:contextualSpacing w:val="0"/>
        <w:jc w:val="both"/>
        <w:rPr>
          <w:rFonts w:ascii="Arial Narrow" w:hAnsi="Arial Narrow"/>
        </w:rPr>
      </w:pPr>
      <w:r>
        <w:rPr>
          <w:rFonts w:ascii="Arial Narrow" w:hAnsi="Arial Narrow"/>
        </w:rPr>
        <w:t>Na realizácii</w:t>
      </w:r>
      <w:r w:rsidR="00E34972" w:rsidRPr="004D49D6">
        <w:rPr>
          <w:rFonts w:ascii="Arial Narrow" w:hAnsi="Arial Narrow"/>
        </w:rPr>
        <w:t xml:space="preserve"> aktivít individualizovaného poradenstva sa bude podieľať </w:t>
      </w:r>
      <w:r w:rsidR="00E34972" w:rsidRPr="004D49D6">
        <w:rPr>
          <w:rFonts w:ascii="Arial Narrow" w:hAnsi="Arial Narrow"/>
          <w:b/>
        </w:rPr>
        <w:t>129 novoprijatých odborných poradcov</w:t>
      </w:r>
      <w:r w:rsidR="00E34972" w:rsidRPr="004D49D6">
        <w:rPr>
          <w:rFonts w:ascii="Arial Narrow" w:hAnsi="Arial Narrow"/>
        </w:rPr>
        <w:t xml:space="preserve"> v maximálnom rozsahu 45 hodín/15 stretnutí pre jedné</w:t>
      </w:r>
      <w:r w:rsidR="007146DA">
        <w:rPr>
          <w:rFonts w:ascii="Arial Narrow" w:hAnsi="Arial Narrow"/>
        </w:rPr>
        <w:t xml:space="preserve">ho dlhodobo nezamestnaného </w:t>
      </w:r>
      <w:proofErr w:type="spellStart"/>
      <w:r w:rsidR="007146DA">
        <w:rPr>
          <w:rFonts w:ascii="Arial Narrow" w:hAnsi="Arial Narrow"/>
        </w:rPr>
        <w:t>UoZ</w:t>
      </w:r>
      <w:proofErr w:type="spellEnd"/>
      <w:r w:rsidR="007146DA">
        <w:rPr>
          <w:rFonts w:ascii="Arial Narrow" w:hAnsi="Arial Narrow"/>
        </w:rPr>
        <w:t>.</w:t>
      </w:r>
      <w:r w:rsidR="00E34972" w:rsidRPr="004D49D6">
        <w:rPr>
          <w:rFonts w:ascii="Arial Narrow" w:hAnsi="Arial Narrow"/>
        </w:rPr>
        <w:t xml:space="preserve"> </w:t>
      </w:r>
    </w:p>
    <w:p w14:paraId="3C010BEA" w14:textId="77777777" w:rsidR="00E34972" w:rsidRPr="003C1E23" w:rsidRDefault="00E34972" w:rsidP="00E34972">
      <w:pPr>
        <w:pStyle w:val="Odsekzoznamu"/>
        <w:numPr>
          <w:ilvl w:val="0"/>
          <w:numId w:val="16"/>
        </w:numPr>
        <w:spacing w:after="120" w:line="240" w:lineRule="auto"/>
        <w:ind w:left="357" w:hanging="357"/>
        <w:contextualSpacing w:val="0"/>
        <w:jc w:val="both"/>
        <w:rPr>
          <w:rFonts w:ascii="Arial Narrow" w:hAnsi="Arial Narrow"/>
        </w:rPr>
      </w:pPr>
      <w:r w:rsidRPr="003C1E23">
        <w:rPr>
          <w:rFonts w:ascii="Arial Narrow" w:hAnsi="Arial Narrow"/>
        </w:rPr>
        <w:t>V marci sa začal realizovať národný projekt „</w:t>
      </w:r>
      <w:r w:rsidRPr="003C1E23">
        <w:rPr>
          <w:rFonts w:ascii="Arial Narrow" w:hAnsi="Arial Narrow"/>
          <w:i/>
        </w:rPr>
        <w:t>Cesta na trh práce</w:t>
      </w:r>
      <w:r w:rsidRPr="003C1E23">
        <w:rPr>
          <w:rFonts w:ascii="Arial Narrow" w:hAnsi="Arial Narrow"/>
        </w:rPr>
        <w:t xml:space="preserve">“ na </w:t>
      </w:r>
      <w:r w:rsidRPr="003C1E23">
        <w:rPr>
          <w:rFonts w:ascii="Arial Narrow" w:hAnsi="Arial Narrow"/>
          <w:b/>
        </w:rPr>
        <w:t xml:space="preserve">podporu zníženia </w:t>
      </w:r>
      <w:r w:rsidR="000F12AF">
        <w:rPr>
          <w:rFonts w:ascii="Arial Narrow" w:hAnsi="Arial Narrow"/>
          <w:b/>
        </w:rPr>
        <w:t>najmä</w:t>
      </w:r>
      <w:r w:rsidR="000F12AF" w:rsidRPr="003C1E23">
        <w:rPr>
          <w:rFonts w:ascii="Arial Narrow" w:hAnsi="Arial Narrow"/>
          <w:b/>
        </w:rPr>
        <w:t xml:space="preserve"> </w:t>
      </w:r>
      <w:r w:rsidRPr="003C1E23">
        <w:rPr>
          <w:rFonts w:ascii="Arial Narrow" w:hAnsi="Arial Narrow"/>
          <w:b/>
        </w:rPr>
        <w:t>dlhodobej nezamestnanosti v najmenej rozvinutých okresoch</w:t>
      </w:r>
      <w:r w:rsidRPr="003C1E23">
        <w:rPr>
          <w:rFonts w:ascii="Arial Narrow" w:hAnsi="Arial Narrow"/>
        </w:rPr>
        <w:t xml:space="preserve"> s vysokou mierou evidovanej nezamestnanosti.</w:t>
      </w:r>
      <w:r w:rsidR="00AF75F7">
        <w:rPr>
          <w:rFonts w:ascii="Arial Narrow" w:hAnsi="Arial Narrow"/>
        </w:rPr>
        <w:t xml:space="preserve"> V rámci všetkých aktivít bolo v roku 2017 vytvorených 4 653 pracovných miest. V priebehu roka bolo na úrady práce v najmenej rozvinutých okresoch prijatých 53 odborných poradcov pre poskytovanie individualizovaných služieb </w:t>
      </w:r>
      <w:proofErr w:type="spellStart"/>
      <w:r w:rsidR="00AF75F7">
        <w:rPr>
          <w:rFonts w:ascii="Arial Narrow" w:hAnsi="Arial Narrow"/>
        </w:rPr>
        <w:t>UoZ</w:t>
      </w:r>
      <w:proofErr w:type="spellEnd"/>
      <w:r w:rsidR="00AF75F7">
        <w:rPr>
          <w:rFonts w:ascii="Arial Narrow" w:hAnsi="Arial Narrow"/>
        </w:rPr>
        <w:t>.</w:t>
      </w:r>
    </w:p>
    <w:p w14:paraId="0F32EA3A" w14:textId="7EDB3A6C" w:rsidR="00E34972" w:rsidRPr="003C1E23" w:rsidRDefault="00E34972" w:rsidP="00E34972">
      <w:pPr>
        <w:pStyle w:val="Odsekzoznamu"/>
        <w:numPr>
          <w:ilvl w:val="0"/>
          <w:numId w:val="16"/>
        </w:numPr>
        <w:spacing w:after="0" w:line="240" w:lineRule="auto"/>
        <w:jc w:val="both"/>
        <w:rPr>
          <w:rFonts w:ascii="Arial Narrow" w:hAnsi="Arial Narrow"/>
          <w:bCs/>
          <w:color w:val="000000"/>
        </w:rPr>
      </w:pPr>
      <w:r w:rsidRPr="003C1E23">
        <w:rPr>
          <w:rFonts w:ascii="Arial Narrow" w:hAnsi="Arial Narrow"/>
        </w:rPr>
        <w:t xml:space="preserve">Národný projekt </w:t>
      </w:r>
      <w:r w:rsidRPr="003C1E23">
        <w:rPr>
          <w:rFonts w:ascii="Arial Narrow" w:hAnsi="Arial Narrow"/>
          <w:bCs/>
          <w:color w:val="000000"/>
        </w:rPr>
        <w:t>„</w:t>
      </w:r>
      <w:r w:rsidRPr="003C1E23">
        <w:rPr>
          <w:rFonts w:ascii="Arial Narrow" w:hAnsi="Arial Narrow"/>
          <w:bCs/>
          <w:i/>
          <w:color w:val="000000"/>
        </w:rPr>
        <w:t>Reštart - Príležitosť pre dlhodobo nezamestnaných vrátiť sa na trh práce</w:t>
      </w:r>
      <w:r w:rsidRPr="003C1E23">
        <w:rPr>
          <w:rFonts w:ascii="Arial Narrow" w:hAnsi="Arial Narrow"/>
          <w:bCs/>
          <w:color w:val="000000"/>
        </w:rPr>
        <w:t xml:space="preserve">“ má od júla 2017 za cieľ </w:t>
      </w:r>
      <w:r w:rsidRPr="003C1E23">
        <w:rPr>
          <w:rFonts w:ascii="Arial Narrow" w:hAnsi="Arial Narrow"/>
          <w:b/>
          <w:bCs/>
          <w:color w:val="000000"/>
        </w:rPr>
        <w:t xml:space="preserve">motivovať dlhodobo nezamestnaných </w:t>
      </w:r>
      <w:proofErr w:type="spellStart"/>
      <w:r w:rsidRPr="003C1E23">
        <w:rPr>
          <w:rFonts w:ascii="Arial Narrow" w:hAnsi="Arial Narrow"/>
          <w:b/>
          <w:bCs/>
          <w:color w:val="000000"/>
        </w:rPr>
        <w:t>UoZ</w:t>
      </w:r>
      <w:proofErr w:type="spellEnd"/>
      <w:r w:rsidRPr="003C1E23">
        <w:rPr>
          <w:rFonts w:ascii="Arial Narrow" w:hAnsi="Arial Narrow"/>
          <w:b/>
          <w:bCs/>
          <w:color w:val="000000"/>
        </w:rPr>
        <w:t xml:space="preserve"> k nájdeniu si zamestnania</w:t>
      </w:r>
      <w:r w:rsidRPr="003C1E23">
        <w:rPr>
          <w:rFonts w:ascii="Arial Narrow" w:hAnsi="Arial Narrow"/>
          <w:bCs/>
          <w:color w:val="000000"/>
        </w:rPr>
        <w:t xml:space="preserve">. Pre skupinu dlhodobo nezamestnaných dlhšie ako 24 mesiacov </w:t>
      </w:r>
      <w:r w:rsidRPr="003C1E23">
        <w:rPr>
          <w:rFonts w:ascii="Arial Narrow" w:hAnsi="Arial Narrow"/>
          <w:b/>
          <w:bCs/>
          <w:color w:val="000000"/>
        </w:rPr>
        <w:t xml:space="preserve">opatrenie </w:t>
      </w:r>
      <w:r w:rsidR="007146DA">
        <w:rPr>
          <w:rFonts w:ascii="Arial Narrow" w:hAnsi="Arial Narrow"/>
          <w:bCs/>
          <w:color w:val="000000"/>
        </w:rPr>
        <w:t xml:space="preserve">prispeje k </w:t>
      </w:r>
      <w:r w:rsidRPr="003C1E23">
        <w:rPr>
          <w:rFonts w:ascii="Arial Narrow" w:hAnsi="Arial Narrow"/>
          <w:b/>
          <w:bCs/>
          <w:color w:val="000000"/>
        </w:rPr>
        <w:t>získaniu a obnove pracovných návykov</w:t>
      </w:r>
      <w:r w:rsidRPr="003C1E23">
        <w:rPr>
          <w:rFonts w:ascii="Arial Narrow" w:hAnsi="Arial Narrow"/>
          <w:bCs/>
          <w:color w:val="000000"/>
        </w:rPr>
        <w:t xml:space="preserve"> u zapojených zamestnávateľov.</w:t>
      </w:r>
      <w:r w:rsidR="00AF75F7">
        <w:rPr>
          <w:rFonts w:ascii="Arial Narrow" w:hAnsi="Arial Narrow"/>
          <w:bCs/>
          <w:color w:val="000000"/>
        </w:rPr>
        <w:t xml:space="preserve"> Do konca roka 2017 bolo podporených 1 907 ľudí z cieľovej skupiny.</w:t>
      </w:r>
    </w:p>
    <w:p w14:paraId="2F505ADC" w14:textId="77777777" w:rsidR="00E34972" w:rsidRDefault="00E34972" w:rsidP="00E34972">
      <w:pPr>
        <w:spacing w:after="0" w:line="240" w:lineRule="auto"/>
        <w:jc w:val="both"/>
        <w:rPr>
          <w:rFonts w:ascii="Arial Narrow" w:hAnsi="Arial Narrow"/>
        </w:rPr>
      </w:pPr>
    </w:p>
    <w:p w14:paraId="38BA6EB5" w14:textId="7D59FFFD" w:rsidR="00E34972" w:rsidRDefault="00E34972" w:rsidP="00E34972">
      <w:pPr>
        <w:spacing w:after="0" w:line="240" w:lineRule="auto"/>
        <w:jc w:val="both"/>
        <w:rPr>
          <w:rFonts w:ascii="Arial Narrow" w:hAnsi="Arial Narrow"/>
        </w:rPr>
      </w:pPr>
      <w:r>
        <w:rPr>
          <w:rFonts w:ascii="Arial Narrow" w:hAnsi="Arial Narrow"/>
        </w:rPr>
        <w:t xml:space="preserve">V roku 2017 pokračovala </w:t>
      </w:r>
      <w:r w:rsidRPr="003C1E23">
        <w:rPr>
          <w:rFonts w:ascii="Arial Narrow" w:hAnsi="Arial Narrow"/>
          <w:b/>
        </w:rPr>
        <w:t xml:space="preserve">implementácia </w:t>
      </w:r>
      <w:r w:rsidRPr="00387D6C">
        <w:rPr>
          <w:rFonts w:ascii="Arial Narrow" w:hAnsi="Arial Narrow"/>
        </w:rPr>
        <w:t>viacerých nových alebo modifikovaných</w:t>
      </w:r>
      <w:r>
        <w:rPr>
          <w:rFonts w:ascii="Arial Narrow" w:hAnsi="Arial Narrow"/>
          <w:b/>
        </w:rPr>
        <w:t xml:space="preserve"> </w:t>
      </w:r>
      <w:r w:rsidRPr="003C1E23">
        <w:rPr>
          <w:rFonts w:ascii="Arial Narrow" w:hAnsi="Arial Narrow"/>
          <w:b/>
        </w:rPr>
        <w:t xml:space="preserve">národných projektov na podporu </w:t>
      </w:r>
      <w:proofErr w:type="spellStart"/>
      <w:r w:rsidRPr="003C1E23">
        <w:rPr>
          <w:rFonts w:ascii="Arial Narrow" w:hAnsi="Arial Narrow"/>
          <w:b/>
        </w:rPr>
        <w:t>zamestnateľnosti</w:t>
      </w:r>
      <w:proofErr w:type="spellEnd"/>
      <w:r w:rsidRPr="003C1E23">
        <w:rPr>
          <w:rFonts w:ascii="Arial Narrow" w:hAnsi="Arial Narrow"/>
          <w:b/>
        </w:rPr>
        <w:t xml:space="preserve"> </w:t>
      </w:r>
      <w:r>
        <w:rPr>
          <w:rFonts w:ascii="Arial Narrow" w:hAnsi="Arial Narrow"/>
          <w:b/>
        </w:rPr>
        <w:t xml:space="preserve">ostatných </w:t>
      </w:r>
      <w:r w:rsidRPr="003C1E23">
        <w:rPr>
          <w:rFonts w:ascii="Arial Narrow" w:hAnsi="Arial Narrow"/>
          <w:b/>
        </w:rPr>
        <w:t>znevýhodnených skupín na trhu práce</w:t>
      </w:r>
      <w:r>
        <w:rPr>
          <w:rFonts w:ascii="Arial Narrow" w:hAnsi="Arial Narrow"/>
        </w:rPr>
        <w:t xml:space="preserve"> (</w:t>
      </w:r>
      <w:proofErr w:type="spellStart"/>
      <w:r>
        <w:rPr>
          <w:rFonts w:ascii="Arial Narrow" w:hAnsi="Arial Narrow"/>
        </w:rPr>
        <w:t>UoZ</w:t>
      </w:r>
      <w:proofErr w:type="spellEnd"/>
      <w:r>
        <w:rPr>
          <w:rFonts w:ascii="Arial Narrow" w:hAnsi="Arial Narrow"/>
        </w:rPr>
        <w:t xml:space="preserve"> do 29 rokov, </w:t>
      </w:r>
      <w:proofErr w:type="spellStart"/>
      <w:r>
        <w:rPr>
          <w:rFonts w:ascii="Arial Narrow" w:hAnsi="Arial Narrow"/>
        </w:rPr>
        <w:t>UoZ</w:t>
      </w:r>
      <w:proofErr w:type="spellEnd"/>
      <w:r>
        <w:rPr>
          <w:rFonts w:ascii="Arial Narrow" w:hAnsi="Arial Narrow"/>
        </w:rPr>
        <w:t xml:space="preserve"> starší ako 50 rokov a </w:t>
      </w:r>
      <w:r w:rsidR="0000346B">
        <w:rPr>
          <w:rFonts w:ascii="Arial Narrow" w:hAnsi="Arial Narrow"/>
        </w:rPr>
        <w:t>občania so zdravotným postihnutím</w:t>
      </w:r>
      <w:r>
        <w:rPr>
          <w:rFonts w:ascii="Arial Narrow" w:hAnsi="Arial Narrow"/>
        </w:rPr>
        <w:t>).</w:t>
      </w:r>
    </w:p>
    <w:p w14:paraId="6335E5DA" w14:textId="77777777" w:rsidR="00E34972" w:rsidRDefault="00E34972" w:rsidP="00E34972">
      <w:pPr>
        <w:spacing w:after="0" w:line="240" w:lineRule="auto"/>
        <w:jc w:val="both"/>
        <w:rPr>
          <w:rFonts w:ascii="Arial Narrow" w:hAnsi="Arial Narrow"/>
        </w:rPr>
      </w:pPr>
    </w:p>
    <w:p w14:paraId="25BFBCB4" w14:textId="529B8F57" w:rsidR="00E34972" w:rsidRPr="005008DC" w:rsidRDefault="0000346B" w:rsidP="00E34972">
      <w:pPr>
        <w:spacing w:after="0" w:line="240" w:lineRule="auto"/>
        <w:jc w:val="both"/>
        <w:rPr>
          <w:rFonts w:ascii="Arial Narrow" w:hAnsi="Arial Narrow"/>
        </w:rPr>
      </w:pPr>
      <w:r>
        <w:rPr>
          <w:rFonts w:ascii="Arial Narrow" w:hAnsi="Arial Narrow"/>
        </w:rPr>
        <w:t xml:space="preserve">Na podporu rozvoja </w:t>
      </w:r>
      <w:r w:rsidRPr="0000346B">
        <w:rPr>
          <w:rFonts w:ascii="Arial Narrow" w:hAnsi="Arial Narrow"/>
          <w:b/>
        </w:rPr>
        <w:t>sociálnej ekonomiky</w:t>
      </w:r>
      <w:r>
        <w:rPr>
          <w:rFonts w:ascii="Arial Narrow" w:hAnsi="Arial Narrow"/>
        </w:rPr>
        <w:t xml:space="preserve"> </w:t>
      </w:r>
      <w:r w:rsidR="002C1750">
        <w:rPr>
          <w:rFonts w:ascii="Arial Narrow" w:hAnsi="Arial Narrow"/>
        </w:rPr>
        <w:t>schválil parlament v</w:t>
      </w:r>
      <w:r w:rsidR="00DE1A72">
        <w:rPr>
          <w:rFonts w:ascii="Arial Narrow" w:hAnsi="Arial Narrow"/>
        </w:rPr>
        <w:t xml:space="preserve"> marci</w:t>
      </w:r>
      <w:r w:rsidR="00E34972">
        <w:rPr>
          <w:rFonts w:ascii="Arial Narrow" w:hAnsi="Arial Narrow"/>
        </w:rPr>
        <w:t xml:space="preserve"> 2018 nový </w:t>
      </w:r>
      <w:r w:rsidR="00E34972" w:rsidRPr="00990059">
        <w:rPr>
          <w:rFonts w:ascii="Arial Narrow" w:hAnsi="Arial Narrow"/>
        </w:rPr>
        <w:t xml:space="preserve">zákon </w:t>
      </w:r>
      <w:r>
        <w:rPr>
          <w:rFonts w:ascii="Arial Narrow" w:hAnsi="Arial Narrow"/>
        </w:rPr>
        <w:t>o sociálnej ekonomike a sociálnych podnikoch</w:t>
      </w:r>
      <w:r w:rsidR="002C1750">
        <w:rPr>
          <w:rFonts w:ascii="Arial Narrow" w:hAnsi="Arial Narrow"/>
          <w:color w:val="000000"/>
        </w:rPr>
        <w:t xml:space="preserve">, ktorý definuje pravidlá pre fungovanie sociálnych podnikov a formy ich podpory. </w:t>
      </w:r>
      <w:r w:rsidR="00E34972">
        <w:rPr>
          <w:rFonts w:ascii="Arial Narrow" w:hAnsi="Arial Narrow"/>
          <w:color w:val="000000"/>
        </w:rPr>
        <w:t>Cieľom je</w:t>
      </w:r>
      <w:r w:rsidR="002C1750">
        <w:rPr>
          <w:rFonts w:ascii="Arial Narrow" w:hAnsi="Arial Narrow"/>
          <w:color w:val="000000"/>
        </w:rPr>
        <w:t xml:space="preserve"> aj </w:t>
      </w:r>
      <w:r w:rsidR="00E34972">
        <w:rPr>
          <w:rFonts w:ascii="Arial Narrow" w:hAnsi="Arial Narrow"/>
          <w:color w:val="000000"/>
        </w:rPr>
        <w:t xml:space="preserve">podpora zamestnávania znevýhodnených </w:t>
      </w:r>
      <w:proofErr w:type="spellStart"/>
      <w:r w:rsidR="00E34972">
        <w:rPr>
          <w:rFonts w:ascii="Arial Narrow" w:hAnsi="Arial Narrow"/>
          <w:color w:val="000000"/>
        </w:rPr>
        <w:t>UoZ</w:t>
      </w:r>
      <w:proofErr w:type="spellEnd"/>
      <w:r w:rsidR="00E34972">
        <w:rPr>
          <w:rFonts w:ascii="Arial Narrow" w:hAnsi="Arial Narrow"/>
          <w:color w:val="000000"/>
        </w:rPr>
        <w:t xml:space="preserve">, </w:t>
      </w:r>
      <w:r w:rsidR="002C1750">
        <w:rPr>
          <w:rFonts w:ascii="Arial Narrow" w:hAnsi="Arial Narrow"/>
          <w:color w:val="000000"/>
        </w:rPr>
        <w:t xml:space="preserve">vrátane </w:t>
      </w:r>
      <w:r w:rsidR="00E34972">
        <w:rPr>
          <w:rFonts w:ascii="Arial Narrow" w:hAnsi="Arial Narrow"/>
          <w:color w:val="000000"/>
        </w:rPr>
        <w:t>dlhodobo nezamestnaných</w:t>
      </w:r>
      <w:r w:rsidR="002C1750">
        <w:rPr>
          <w:rFonts w:ascii="Arial Narrow" w:hAnsi="Arial Narrow"/>
          <w:color w:val="000000"/>
        </w:rPr>
        <w:t xml:space="preserve">, </w:t>
      </w:r>
      <w:r w:rsidR="002C1750" w:rsidRPr="002C1750">
        <w:rPr>
          <w:rFonts w:ascii="Arial Narrow" w:hAnsi="Arial Narrow"/>
          <w:color w:val="000000"/>
        </w:rPr>
        <w:t>osôb so zdravotným postihnutím a zraniteľných skupín osôb v integračných podnikoch</w:t>
      </w:r>
      <w:r w:rsidR="00E34972">
        <w:rPr>
          <w:rFonts w:ascii="Arial Narrow" w:hAnsi="Arial Narrow"/>
          <w:color w:val="000000"/>
        </w:rPr>
        <w:t xml:space="preserve">. </w:t>
      </w:r>
    </w:p>
    <w:p w14:paraId="47B71D6E" w14:textId="77777777" w:rsidR="00E34972" w:rsidRPr="004A20C8" w:rsidRDefault="00E34972" w:rsidP="00E34972">
      <w:pPr>
        <w:spacing w:after="0" w:line="240" w:lineRule="auto"/>
        <w:jc w:val="both"/>
        <w:rPr>
          <w:rFonts w:ascii="Arial Narrow" w:hAnsi="Arial Narrow"/>
        </w:rPr>
      </w:pPr>
    </w:p>
    <w:p w14:paraId="45A67F41" w14:textId="34D6E342" w:rsidR="00F455B1" w:rsidRDefault="00F455B1" w:rsidP="00F455B1">
      <w:pPr>
        <w:spacing w:after="0" w:line="240" w:lineRule="auto"/>
        <w:jc w:val="both"/>
        <w:rPr>
          <w:rFonts w:ascii="Arial Narrow" w:hAnsi="Arial Narrow"/>
          <w:b/>
          <w:i/>
        </w:rPr>
      </w:pPr>
      <w:r w:rsidRPr="00F455B1">
        <w:rPr>
          <w:rFonts w:ascii="Arial Narrow" w:hAnsi="Arial Narrow"/>
          <w:b/>
          <w:i/>
        </w:rPr>
        <w:t>Zosúlaďovanie pracovného a rodinného života</w:t>
      </w:r>
      <w:r>
        <w:rPr>
          <w:rFonts w:ascii="Arial Narrow" w:hAnsi="Arial Narrow"/>
          <w:b/>
          <w:i/>
        </w:rPr>
        <w:t xml:space="preserve"> </w:t>
      </w:r>
    </w:p>
    <w:p w14:paraId="6C4054EA" w14:textId="0F408D05" w:rsidR="00F455B1" w:rsidRDefault="00187712" w:rsidP="00F455B1">
      <w:pPr>
        <w:spacing w:after="0" w:line="240" w:lineRule="auto"/>
        <w:jc w:val="both"/>
        <w:rPr>
          <w:rFonts w:ascii="Arial Narrow" w:hAnsi="Arial Narrow" w:cs="Arial Narrow"/>
          <w:color w:val="000000"/>
        </w:rPr>
      </w:pPr>
      <w:r>
        <w:rPr>
          <w:rFonts w:ascii="Arial Narrow" w:hAnsi="Arial Narrow" w:cs="Arial Narrow"/>
          <w:color w:val="000000"/>
        </w:rPr>
        <w:t>Za</w:t>
      </w:r>
      <w:r w:rsidR="00F455B1">
        <w:rPr>
          <w:rFonts w:ascii="Arial Narrow" w:hAnsi="Arial Narrow" w:cs="Arial Narrow"/>
          <w:color w:val="000000"/>
        </w:rPr>
        <w:t xml:space="preserve"> </w:t>
      </w:r>
      <w:r>
        <w:rPr>
          <w:rFonts w:ascii="Arial Narrow" w:hAnsi="Arial Narrow" w:cs="Arial Narrow"/>
          <w:color w:val="000000"/>
        </w:rPr>
        <w:t>účelom podpory zosúladenia</w:t>
      </w:r>
      <w:r w:rsidR="000A6E3E">
        <w:rPr>
          <w:rFonts w:ascii="Arial Narrow" w:hAnsi="Arial Narrow" w:cs="Arial Narrow"/>
          <w:color w:val="000000"/>
        </w:rPr>
        <w:t xml:space="preserve"> pracovného a </w:t>
      </w:r>
      <w:r w:rsidR="00882023">
        <w:rPr>
          <w:rFonts w:ascii="Arial Narrow" w:hAnsi="Arial Narrow" w:cs="Arial Narrow"/>
          <w:color w:val="000000"/>
        </w:rPr>
        <w:t xml:space="preserve">rodinného života sa naďalej podporujú zariadenia starostlivosti pre deti do troch rokov a materské školy (pre deti vo veku 3 až 6 rokov). </w:t>
      </w:r>
      <w:r w:rsidR="00E34972">
        <w:rPr>
          <w:rFonts w:ascii="Arial Narrow" w:hAnsi="Arial Narrow" w:cs="Arial Narrow"/>
          <w:color w:val="000000"/>
        </w:rPr>
        <w:t xml:space="preserve">Po schválení tzv. </w:t>
      </w:r>
      <w:r w:rsidR="004A5140">
        <w:rPr>
          <w:rFonts w:ascii="Arial Narrow" w:hAnsi="Arial Narrow" w:cs="Arial Narrow"/>
          <w:color w:val="000000"/>
        </w:rPr>
        <w:t xml:space="preserve">jasličkového </w:t>
      </w:r>
      <w:r w:rsidR="00E34972">
        <w:rPr>
          <w:rFonts w:ascii="Arial Narrow" w:hAnsi="Arial Narrow" w:cs="Arial Narrow"/>
          <w:color w:val="000000"/>
        </w:rPr>
        <w:t xml:space="preserve">zákona v roku 2017, ktorý definuje </w:t>
      </w:r>
      <w:r w:rsidR="00E34972" w:rsidRPr="00B84AF8">
        <w:rPr>
          <w:rFonts w:ascii="Arial Narrow" w:hAnsi="Arial Narrow"/>
          <w:color w:val="000000" w:themeColor="text1"/>
        </w:rPr>
        <w:t xml:space="preserve">legislatívny rámec pre činnosť </w:t>
      </w:r>
      <w:r w:rsidR="00E34972" w:rsidRPr="008F393C">
        <w:rPr>
          <w:rFonts w:ascii="Arial Narrow" w:hAnsi="Arial Narrow"/>
          <w:b/>
          <w:color w:val="000000" w:themeColor="text1"/>
        </w:rPr>
        <w:t>zariadení starostlivosti o deti do troch rokov</w:t>
      </w:r>
      <w:r w:rsidR="00E34972">
        <w:rPr>
          <w:rFonts w:ascii="Arial Narrow" w:hAnsi="Arial Narrow"/>
          <w:color w:val="000000" w:themeColor="text1"/>
        </w:rPr>
        <w:t xml:space="preserve">, </w:t>
      </w:r>
      <w:r w:rsidR="00E34972">
        <w:rPr>
          <w:rFonts w:ascii="Arial Narrow" w:hAnsi="Arial Narrow" w:cs="Arial Narrow"/>
          <w:color w:val="000000"/>
        </w:rPr>
        <w:t>sa pripravili</w:t>
      </w:r>
      <w:r w:rsidR="00E34972" w:rsidRPr="008F393C">
        <w:rPr>
          <w:rFonts w:ascii="Arial Narrow" w:hAnsi="Arial Narrow" w:cs="Arial Narrow"/>
          <w:color w:val="000000"/>
        </w:rPr>
        <w:t xml:space="preserve"> podmienky finančnej podpory pre čerpanie finančných zdrojov </w:t>
      </w:r>
      <w:r w:rsidR="007146DA">
        <w:rPr>
          <w:rFonts w:ascii="Arial Narrow" w:hAnsi="Arial Narrow" w:cs="Arial Narrow"/>
          <w:color w:val="000000"/>
        </w:rPr>
        <w:t xml:space="preserve">z EÚ                             </w:t>
      </w:r>
      <w:r w:rsidR="00E34972" w:rsidRPr="008F393C">
        <w:rPr>
          <w:rFonts w:ascii="Arial Narrow" w:hAnsi="Arial Narrow" w:cs="Arial Narrow"/>
          <w:color w:val="000000"/>
        </w:rPr>
        <w:t>v pr</w:t>
      </w:r>
      <w:r w:rsidR="00E34972">
        <w:rPr>
          <w:rFonts w:ascii="Arial Narrow" w:hAnsi="Arial Narrow" w:cs="Arial Narrow"/>
          <w:color w:val="000000"/>
        </w:rPr>
        <w:t xml:space="preserve">ogramovom období na roky 2014 </w:t>
      </w:r>
      <w:r w:rsidR="00552526">
        <w:rPr>
          <w:rFonts w:ascii="Arial Narrow" w:hAnsi="Arial Narrow" w:cs="Arial Narrow"/>
          <w:color w:val="000000"/>
        </w:rPr>
        <w:t xml:space="preserve">až </w:t>
      </w:r>
      <w:r w:rsidR="00E34972" w:rsidRPr="008F393C">
        <w:rPr>
          <w:rFonts w:ascii="Arial Narrow" w:hAnsi="Arial Narrow" w:cs="Arial Narrow"/>
          <w:color w:val="000000"/>
        </w:rPr>
        <w:t>2020.</w:t>
      </w:r>
      <w:r w:rsidR="00F455B1">
        <w:rPr>
          <w:rFonts w:ascii="Arial Narrow" w:hAnsi="Arial Narrow" w:cs="Arial Narrow"/>
          <w:color w:val="000000"/>
        </w:rPr>
        <w:t xml:space="preserve"> </w:t>
      </w:r>
    </w:p>
    <w:p w14:paraId="44A2E0DE" w14:textId="77777777" w:rsidR="00F455B1" w:rsidRDefault="00F455B1" w:rsidP="00F455B1">
      <w:pPr>
        <w:spacing w:after="0" w:line="240" w:lineRule="auto"/>
        <w:jc w:val="both"/>
        <w:rPr>
          <w:rFonts w:ascii="Arial Narrow" w:hAnsi="Arial Narrow" w:cs="Arial Narrow"/>
          <w:color w:val="000000"/>
        </w:rPr>
      </w:pPr>
    </w:p>
    <w:p w14:paraId="7415B3D2" w14:textId="50EBD1AF" w:rsidR="00E34972" w:rsidRPr="00F455B1" w:rsidRDefault="00E34972" w:rsidP="00F455B1">
      <w:pPr>
        <w:spacing w:after="0" w:line="240" w:lineRule="auto"/>
        <w:jc w:val="both"/>
        <w:rPr>
          <w:rFonts w:ascii="Arial Narrow" w:hAnsi="Arial Narrow" w:cs="Arial Narrow"/>
          <w:color w:val="000000"/>
        </w:rPr>
      </w:pPr>
      <w:r>
        <w:rPr>
          <w:rFonts w:ascii="Arial Narrow" w:hAnsi="Arial Narrow" w:cs="Arial Narrow"/>
          <w:color w:val="000000"/>
        </w:rPr>
        <w:t xml:space="preserve">V období od októbra 2017 do júna 2018 boli vyhlásené výzvy </w:t>
      </w:r>
      <w:r w:rsidR="0019222E">
        <w:rPr>
          <w:rFonts w:ascii="Arial Narrow" w:hAnsi="Arial Narrow" w:cs="Arial Narrow"/>
          <w:color w:val="000000"/>
        </w:rPr>
        <w:t xml:space="preserve">na podporu flexibilných foriem starostlivosti o deti a flexibilných pracovných miest </w:t>
      </w:r>
      <w:r>
        <w:rPr>
          <w:rFonts w:ascii="Arial Narrow" w:hAnsi="Arial Narrow" w:cs="Arial Narrow"/>
          <w:color w:val="000000"/>
        </w:rPr>
        <w:t>s finančnou alokáciou 3,3 mil. eur pre viac rozvinuté, respektíve 10 mil. eur pre menej rozvinuté regióny</w:t>
      </w:r>
      <w:r>
        <w:rPr>
          <w:rStyle w:val="Odkaznapoznmkupodiarou"/>
          <w:rFonts w:ascii="Arial Narrow" w:hAnsi="Arial Narrow" w:cs="Arial Narrow"/>
          <w:color w:val="000000"/>
        </w:rPr>
        <w:footnoteReference w:id="10"/>
      </w:r>
      <w:r>
        <w:rPr>
          <w:rFonts w:ascii="Arial Narrow" w:hAnsi="Arial Narrow" w:cs="Arial Narrow"/>
          <w:color w:val="000000"/>
        </w:rPr>
        <w:t>.</w:t>
      </w:r>
    </w:p>
    <w:p w14:paraId="7FA06AE2" w14:textId="77777777" w:rsidR="00187712" w:rsidRDefault="00187712" w:rsidP="00E34972">
      <w:pPr>
        <w:pStyle w:val="Odsekzoznamu"/>
        <w:spacing w:after="0" w:line="240" w:lineRule="auto"/>
        <w:ind w:left="0"/>
        <w:contextualSpacing w:val="0"/>
        <w:jc w:val="both"/>
        <w:rPr>
          <w:rFonts w:ascii="Arial Narrow" w:hAnsi="Arial Narrow" w:cs="Arial Narrow"/>
          <w:color w:val="000000"/>
        </w:rPr>
      </w:pPr>
    </w:p>
    <w:p w14:paraId="094D7164" w14:textId="62BBD359" w:rsidR="00F455B1" w:rsidRPr="00F455B1" w:rsidRDefault="00400DA9" w:rsidP="00187712">
      <w:pPr>
        <w:spacing w:after="0" w:line="240" w:lineRule="auto"/>
        <w:jc w:val="both"/>
        <w:rPr>
          <w:rFonts w:ascii="Arial Narrow" w:hAnsi="Arial Narrow"/>
          <w:b/>
          <w:i/>
        </w:rPr>
      </w:pPr>
      <w:r>
        <w:rPr>
          <w:rFonts w:ascii="Arial Narrow" w:hAnsi="Arial Narrow"/>
          <w:b/>
          <w:i/>
        </w:rPr>
        <w:t>V</w:t>
      </w:r>
      <w:r w:rsidR="00F455B1">
        <w:rPr>
          <w:rFonts w:ascii="Arial Narrow" w:hAnsi="Arial Narrow"/>
          <w:b/>
          <w:i/>
        </w:rPr>
        <w:t>zdelávanie</w:t>
      </w:r>
    </w:p>
    <w:p w14:paraId="2856ECF3" w14:textId="2F9C5451" w:rsidR="00187712" w:rsidRDefault="00187712" w:rsidP="00187712">
      <w:pPr>
        <w:spacing w:after="0" w:line="240" w:lineRule="auto"/>
        <w:jc w:val="both"/>
        <w:rPr>
          <w:rFonts w:ascii="Arial Narrow" w:hAnsi="Arial Narrow"/>
        </w:rPr>
      </w:pPr>
      <w:r>
        <w:rPr>
          <w:rFonts w:ascii="Arial Narrow" w:hAnsi="Arial Narrow"/>
        </w:rPr>
        <w:t>Zo 77</w:t>
      </w:r>
      <w:r w:rsidR="00D00671">
        <w:rPr>
          <w:rFonts w:ascii="Arial Narrow" w:hAnsi="Arial Narrow"/>
        </w:rPr>
        <w:t xml:space="preserve">,2 </w:t>
      </w:r>
      <w:r>
        <w:rPr>
          <w:rFonts w:ascii="Arial Narrow" w:hAnsi="Arial Narrow"/>
        </w:rPr>
        <w:t xml:space="preserve">mil. eur alokovaných na </w:t>
      </w:r>
      <w:r w:rsidRPr="008A1BFF">
        <w:rPr>
          <w:rFonts w:ascii="Arial Narrow" w:hAnsi="Arial Narrow"/>
          <w:b/>
        </w:rPr>
        <w:t xml:space="preserve">rozširovanie </w:t>
      </w:r>
      <w:r w:rsidRPr="00B973EE">
        <w:rPr>
          <w:rFonts w:ascii="Arial Narrow" w:hAnsi="Arial Narrow"/>
          <w:b/>
        </w:rPr>
        <w:t>kapacít materských škôl</w:t>
      </w:r>
      <w:r w:rsidRPr="000A32C4">
        <w:rPr>
          <w:rFonts w:ascii="Arial Narrow" w:hAnsi="Arial Narrow"/>
        </w:rPr>
        <w:t xml:space="preserve"> </w:t>
      </w:r>
      <w:r w:rsidR="007146DA">
        <w:rPr>
          <w:rFonts w:ascii="Arial Narrow" w:hAnsi="Arial Narrow"/>
        </w:rPr>
        <w:t xml:space="preserve">v rámci Integrovaného regionálneho operačného </w:t>
      </w:r>
      <w:r w:rsidR="007146DA" w:rsidRPr="007146DA">
        <w:rPr>
          <w:rFonts w:ascii="Arial Narrow" w:hAnsi="Arial Narrow"/>
        </w:rPr>
        <w:t>program</w:t>
      </w:r>
      <w:r w:rsidR="007146DA">
        <w:rPr>
          <w:rFonts w:ascii="Arial Narrow" w:hAnsi="Arial Narrow"/>
        </w:rPr>
        <w:t>u (</w:t>
      </w:r>
      <w:r>
        <w:rPr>
          <w:rFonts w:ascii="Arial Narrow" w:hAnsi="Arial Narrow"/>
        </w:rPr>
        <w:t>IROP</w:t>
      </w:r>
      <w:r w:rsidR="007146DA">
        <w:rPr>
          <w:rFonts w:ascii="Arial Narrow" w:hAnsi="Arial Narrow"/>
        </w:rPr>
        <w:t xml:space="preserve">) </w:t>
      </w:r>
      <w:r>
        <w:rPr>
          <w:rFonts w:ascii="Arial Narrow" w:hAnsi="Arial Narrow"/>
        </w:rPr>
        <w:t xml:space="preserve">bolo v roku 2017 schválených 158 projektov v </w:t>
      </w:r>
      <w:r w:rsidRPr="00BF3DF2">
        <w:rPr>
          <w:rFonts w:ascii="Arial Narrow" w:hAnsi="Arial Narrow"/>
        </w:rPr>
        <w:t>celkov</w:t>
      </w:r>
      <w:r>
        <w:rPr>
          <w:rFonts w:ascii="Arial Narrow" w:hAnsi="Arial Narrow"/>
        </w:rPr>
        <w:t>om</w:t>
      </w:r>
      <w:r w:rsidRPr="00BF3DF2">
        <w:rPr>
          <w:rFonts w:ascii="Arial Narrow" w:hAnsi="Arial Narrow"/>
        </w:rPr>
        <w:t xml:space="preserve"> objem</w:t>
      </w:r>
      <w:r>
        <w:rPr>
          <w:rFonts w:ascii="Arial Narrow" w:hAnsi="Arial Narrow"/>
        </w:rPr>
        <w:t>e 43 mil. eur</w:t>
      </w:r>
      <w:r w:rsidRPr="00BF3DF2">
        <w:rPr>
          <w:rFonts w:ascii="Arial Narrow" w:hAnsi="Arial Narrow"/>
        </w:rPr>
        <w:t xml:space="preserve">, čo </w:t>
      </w:r>
      <w:r>
        <w:rPr>
          <w:rFonts w:ascii="Arial Narrow" w:hAnsi="Arial Narrow"/>
        </w:rPr>
        <w:t xml:space="preserve">by malo vytvoriť </w:t>
      </w:r>
      <w:r w:rsidRPr="00BF3DF2">
        <w:rPr>
          <w:rFonts w:ascii="Arial Narrow" w:hAnsi="Arial Narrow"/>
        </w:rPr>
        <w:t>4 780 nových miest v materských školách</w:t>
      </w:r>
      <w:r>
        <w:rPr>
          <w:rFonts w:ascii="Arial Narrow" w:hAnsi="Arial Narrow"/>
        </w:rPr>
        <w:t xml:space="preserve">. Zo </w:t>
      </w:r>
      <w:r w:rsidRPr="00A76748">
        <w:rPr>
          <w:rFonts w:ascii="Arial Narrow" w:hAnsi="Arial Narrow"/>
        </w:rPr>
        <w:t>14</w:t>
      </w:r>
      <w:r>
        <w:rPr>
          <w:rFonts w:ascii="Arial Narrow" w:hAnsi="Arial Narrow"/>
        </w:rPr>
        <w:t>,5 mil. eur</w:t>
      </w:r>
      <w:r w:rsidRPr="00A76748">
        <w:rPr>
          <w:rFonts w:ascii="Arial Narrow" w:hAnsi="Arial Narrow"/>
        </w:rPr>
        <w:t xml:space="preserve"> </w:t>
      </w:r>
      <w:r>
        <w:rPr>
          <w:rFonts w:ascii="Arial Narrow" w:hAnsi="Arial Narrow"/>
        </w:rPr>
        <w:t>vyčlenených v rezorte školstva</w:t>
      </w:r>
      <w:r w:rsidRPr="00A76748">
        <w:rPr>
          <w:rFonts w:ascii="Arial Narrow" w:hAnsi="Arial Narrow"/>
        </w:rPr>
        <w:t xml:space="preserve"> </w:t>
      </w:r>
      <w:r>
        <w:rPr>
          <w:rFonts w:ascii="Arial Narrow" w:hAnsi="Arial Narrow"/>
        </w:rPr>
        <w:t xml:space="preserve">sa ku koncu roka </w:t>
      </w:r>
      <w:r w:rsidRPr="00A76748">
        <w:rPr>
          <w:rFonts w:ascii="Arial Narrow" w:hAnsi="Arial Narrow"/>
        </w:rPr>
        <w:t>2017 rozšírili kapacity materských škôl o 204 nových tried</w:t>
      </w:r>
      <w:r w:rsidR="000A6E3E">
        <w:rPr>
          <w:rFonts w:ascii="Arial Narrow" w:hAnsi="Arial Narrow"/>
        </w:rPr>
        <w:t xml:space="preserve"> (z plánovaných 227)</w:t>
      </w:r>
      <w:r w:rsidRPr="00A76748">
        <w:rPr>
          <w:rFonts w:ascii="Arial Narrow" w:hAnsi="Arial Narrow"/>
        </w:rPr>
        <w:t xml:space="preserve"> a 19 tried bolo udržaných naďalej v</w:t>
      </w:r>
      <w:r>
        <w:rPr>
          <w:rFonts w:ascii="Arial Narrow" w:hAnsi="Arial Narrow"/>
        </w:rPr>
        <w:t> </w:t>
      </w:r>
      <w:r w:rsidRPr="00A76748">
        <w:rPr>
          <w:rFonts w:ascii="Arial Narrow" w:hAnsi="Arial Narrow"/>
        </w:rPr>
        <w:t>prevádzke</w:t>
      </w:r>
      <w:r w:rsidR="00EB2F5E">
        <w:rPr>
          <w:rFonts w:ascii="Arial Narrow" w:hAnsi="Arial Narrow"/>
        </w:rPr>
        <w:t xml:space="preserve"> (napr. rekonštrukciou, riešením havarijných stavov</w:t>
      </w:r>
      <w:r w:rsidR="000A6E3E">
        <w:rPr>
          <w:rFonts w:ascii="Arial Narrow" w:hAnsi="Arial Narrow"/>
        </w:rPr>
        <w:t>; z plánovaných 22</w:t>
      </w:r>
      <w:r w:rsidR="00EB2F5E">
        <w:rPr>
          <w:rFonts w:ascii="Arial Narrow" w:hAnsi="Arial Narrow"/>
        </w:rPr>
        <w:t>)</w:t>
      </w:r>
      <w:r w:rsidR="0000346B">
        <w:rPr>
          <w:rFonts w:ascii="Arial Narrow" w:hAnsi="Arial Narrow"/>
        </w:rPr>
        <w:t>.</w:t>
      </w:r>
    </w:p>
    <w:p w14:paraId="4CADC4A9" w14:textId="77777777" w:rsidR="0000346B" w:rsidRDefault="0000346B" w:rsidP="00187712">
      <w:pPr>
        <w:spacing w:after="0" w:line="240" w:lineRule="auto"/>
        <w:jc w:val="both"/>
        <w:rPr>
          <w:rFonts w:ascii="Arial Narrow" w:hAnsi="Arial Narrow"/>
        </w:rPr>
      </w:pPr>
    </w:p>
    <w:p w14:paraId="05057427" w14:textId="77777777" w:rsidR="0000346B" w:rsidRDefault="00187712" w:rsidP="0000346B">
      <w:pPr>
        <w:spacing w:after="0" w:line="240" w:lineRule="auto"/>
        <w:jc w:val="both"/>
        <w:rPr>
          <w:rFonts w:ascii="Arial Narrow" w:hAnsi="Arial Narrow"/>
        </w:rPr>
      </w:pPr>
      <w:r>
        <w:rPr>
          <w:rFonts w:ascii="Arial Narrow" w:hAnsi="Arial Narrow"/>
        </w:rPr>
        <w:lastRenderedPageBreak/>
        <w:t>O</w:t>
      </w:r>
      <w:r w:rsidRPr="003570EE">
        <w:rPr>
          <w:rFonts w:ascii="Arial Narrow" w:hAnsi="Arial Narrow"/>
        </w:rPr>
        <w:t>d</w:t>
      </w:r>
      <w:r>
        <w:rPr>
          <w:rFonts w:ascii="Arial Narrow" w:hAnsi="Arial Narrow"/>
        </w:rPr>
        <w:t xml:space="preserve"> januára</w:t>
      </w:r>
      <w:r w:rsidRPr="003570EE">
        <w:rPr>
          <w:rFonts w:ascii="Arial Narrow" w:hAnsi="Arial Narrow"/>
        </w:rPr>
        <w:t xml:space="preserve"> 2018 štát uhrádza </w:t>
      </w:r>
      <w:r>
        <w:rPr>
          <w:rFonts w:ascii="Arial Narrow" w:hAnsi="Arial Narrow"/>
        </w:rPr>
        <w:t xml:space="preserve">približne pre 5 400 detí </w:t>
      </w:r>
      <w:r w:rsidRPr="008A1BFF">
        <w:rPr>
          <w:rFonts w:ascii="Arial Narrow" w:hAnsi="Arial Narrow"/>
          <w:b/>
        </w:rPr>
        <w:t>príspevok na čiastočnú úhradu nákladov za deti z rodín v hmotnej núdzi</w:t>
      </w:r>
      <w:r w:rsidRPr="003570EE">
        <w:rPr>
          <w:rFonts w:ascii="Arial Narrow" w:hAnsi="Arial Narrow"/>
        </w:rPr>
        <w:t xml:space="preserve"> počas celej doby ich dochádzky do materskej školy, čím sa podpor</w:t>
      </w:r>
      <w:r>
        <w:rPr>
          <w:rFonts w:ascii="Arial Narrow" w:hAnsi="Arial Narrow"/>
        </w:rPr>
        <w:t xml:space="preserve">uje </w:t>
      </w:r>
      <w:r w:rsidRPr="003570EE">
        <w:rPr>
          <w:rFonts w:ascii="Arial Narrow" w:hAnsi="Arial Narrow"/>
        </w:rPr>
        <w:t xml:space="preserve">ich participácia na </w:t>
      </w:r>
      <w:proofErr w:type="spellStart"/>
      <w:r w:rsidRPr="003570EE">
        <w:rPr>
          <w:rFonts w:ascii="Arial Narrow" w:hAnsi="Arial Narrow"/>
        </w:rPr>
        <w:t>predprimárnom</w:t>
      </w:r>
      <w:proofErr w:type="spellEnd"/>
      <w:r w:rsidRPr="003570EE">
        <w:rPr>
          <w:rFonts w:ascii="Arial Narrow" w:hAnsi="Arial Narrow"/>
        </w:rPr>
        <w:t xml:space="preserve"> vzdelávaní</w:t>
      </w:r>
      <w:r>
        <w:rPr>
          <w:rFonts w:ascii="Arial Narrow" w:hAnsi="Arial Narrow"/>
        </w:rPr>
        <w:t>.</w:t>
      </w:r>
    </w:p>
    <w:p w14:paraId="10051AD8" w14:textId="77777777" w:rsidR="00400DA9" w:rsidRDefault="00400DA9" w:rsidP="0000346B">
      <w:pPr>
        <w:spacing w:after="0" w:line="240" w:lineRule="auto"/>
        <w:jc w:val="both"/>
        <w:rPr>
          <w:rFonts w:ascii="Arial Narrow" w:hAnsi="Arial Narrow"/>
        </w:rPr>
      </w:pPr>
    </w:p>
    <w:p w14:paraId="7DE24871" w14:textId="4E384DFB" w:rsidR="00187712" w:rsidRDefault="0000346B" w:rsidP="00672863">
      <w:pPr>
        <w:spacing w:after="0" w:line="240" w:lineRule="auto"/>
        <w:jc w:val="both"/>
        <w:rPr>
          <w:rFonts w:ascii="Arial Narrow" w:hAnsi="Arial Narrow"/>
        </w:rPr>
      </w:pPr>
      <w:r>
        <w:rPr>
          <w:rFonts w:ascii="Arial Narrow" w:hAnsi="Arial Narrow"/>
          <w:b/>
        </w:rPr>
        <w:t xml:space="preserve">Platy pedagogických, </w:t>
      </w:r>
      <w:r w:rsidR="00BB52E7" w:rsidRPr="00644958">
        <w:rPr>
          <w:rFonts w:ascii="Arial Narrow" w:hAnsi="Arial Narrow"/>
          <w:b/>
        </w:rPr>
        <w:t>odborných zamestnancov</w:t>
      </w:r>
      <w:r w:rsidR="00BB52E7" w:rsidRPr="005B48EF">
        <w:rPr>
          <w:rFonts w:ascii="Arial Narrow" w:hAnsi="Arial Narrow"/>
        </w:rPr>
        <w:t xml:space="preserve"> </w:t>
      </w:r>
      <w:r w:rsidR="00116FBC">
        <w:rPr>
          <w:rFonts w:ascii="Arial Narrow" w:hAnsi="Arial Narrow"/>
        </w:rPr>
        <w:t xml:space="preserve">a učiteľov vysokých škôl </w:t>
      </w:r>
      <w:r w:rsidR="00BB52E7" w:rsidRPr="005B48EF">
        <w:rPr>
          <w:rFonts w:ascii="Arial Narrow" w:hAnsi="Arial Narrow"/>
        </w:rPr>
        <w:t xml:space="preserve">sa </w:t>
      </w:r>
      <w:r w:rsidR="00BB52E7">
        <w:rPr>
          <w:rFonts w:ascii="Arial Narrow" w:hAnsi="Arial Narrow"/>
        </w:rPr>
        <w:t>od septembra</w:t>
      </w:r>
      <w:r w:rsidR="00BB52E7" w:rsidRPr="005B48EF">
        <w:rPr>
          <w:rFonts w:ascii="Arial Narrow" w:hAnsi="Arial Narrow"/>
        </w:rPr>
        <w:t xml:space="preserve"> 201</w:t>
      </w:r>
      <w:r w:rsidR="00BB52E7">
        <w:rPr>
          <w:rFonts w:ascii="Arial Narrow" w:hAnsi="Arial Narrow"/>
        </w:rPr>
        <w:t>7</w:t>
      </w:r>
      <w:r w:rsidR="00BB52E7" w:rsidRPr="005B48EF">
        <w:rPr>
          <w:rFonts w:ascii="Arial Narrow" w:hAnsi="Arial Narrow"/>
        </w:rPr>
        <w:t xml:space="preserve"> </w:t>
      </w:r>
      <w:r w:rsidR="00BB52E7">
        <w:rPr>
          <w:rFonts w:ascii="Arial Narrow" w:hAnsi="Arial Narrow"/>
          <w:b/>
        </w:rPr>
        <w:t>zvýšili o 6</w:t>
      </w:r>
      <w:r w:rsidR="00BB52E7" w:rsidRPr="005B48EF">
        <w:rPr>
          <w:rFonts w:ascii="Arial Narrow" w:hAnsi="Arial Narrow"/>
          <w:b/>
        </w:rPr>
        <w:t xml:space="preserve"> </w:t>
      </w:r>
      <w:r w:rsidR="00BB52E7" w:rsidRPr="008B6B5C">
        <w:rPr>
          <w:rFonts w:ascii="Arial Narrow" w:hAnsi="Arial Narrow"/>
          <w:b/>
        </w:rPr>
        <w:t>%</w:t>
      </w:r>
      <w:r w:rsidR="00BB52E7" w:rsidRPr="005B48EF">
        <w:rPr>
          <w:rFonts w:ascii="Arial Narrow" w:hAnsi="Arial Narrow"/>
        </w:rPr>
        <w:t>.</w:t>
      </w:r>
      <w:r w:rsidR="00BB52E7">
        <w:rPr>
          <w:rFonts w:ascii="Arial Narrow" w:hAnsi="Arial Narrow"/>
        </w:rPr>
        <w:t xml:space="preserve"> </w:t>
      </w:r>
    </w:p>
    <w:p w14:paraId="2EE378A2" w14:textId="77777777" w:rsidR="00400DA9" w:rsidRDefault="00400DA9" w:rsidP="008A1BFF">
      <w:pPr>
        <w:spacing w:after="0" w:line="240" w:lineRule="auto"/>
        <w:jc w:val="both"/>
        <w:rPr>
          <w:rFonts w:ascii="Arial Narrow" w:hAnsi="Arial Narrow"/>
        </w:rPr>
      </w:pPr>
    </w:p>
    <w:p w14:paraId="01A52892" w14:textId="77777777" w:rsidR="00BB52E7" w:rsidRDefault="00BB52E7" w:rsidP="008A1BFF">
      <w:pPr>
        <w:spacing w:after="0" w:line="240" w:lineRule="auto"/>
        <w:jc w:val="both"/>
        <w:rPr>
          <w:rFonts w:ascii="Arial Narrow" w:hAnsi="Arial Narrow"/>
        </w:rPr>
      </w:pPr>
      <w:r w:rsidRPr="00790451">
        <w:rPr>
          <w:rFonts w:ascii="Arial Narrow" w:hAnsi="Arial Narrow"/>
        </w:rPr>
        <w:t xml:space="preserve">V septembri 2017 </w:t>
      </w:r>
      <w:r>
        <w:rPr>
          <w:rFonts w:ascii="Arial Narrow" w:hAnsi="Arial Narrow"/>
        </w:rPr>
        <w:t>bola zverejnená finálna verzia dokumentu</w:t>
      </w:r>
      <w:r w:rsidRPr="00790451">
        <w:rPr>
          <w:rFonts w:ascii="Arial Narrow" w:hAnsi="Arial Narrow"/>
        </w:rPr>
        <w:t xml:space="preserve"> </w:t>
      </w:r>
      <w:r w:rsidRPr="00187712">
        <w:rPr>
          <w:rFonts w:ascii="Arial Narrow" w:hAnsi="Arial Narrow"/>
          <w:i/>
        </w:rPr>
        <w:t>Učiace sa Slovensko</w:t>
      </w:r>
      <w:r>
        <w:rPr>
          <w:rFonts w:ascii="Arial Narrow" w:hAnsi="Arial Narrow"/>
        </w:rPr>
        <w:t>, ktorý bude slúžiť ako podklad</w:t>
      </w:r>
      <w:r w:rsidRPr="00790451">
        <w:rPr>
          <w:rFonts w:ascii="Arial Narrow" w:hAnsi="Arial Narrow"/>
        </w:rPr>
        <w:t xml:space="preserve"> </w:t>
      </w:r>
      <w:r w:rsidRPr="00187712">
        <w:rPr>
          <w:rFonts w:ascii="Arial Narrow" w:hAnsi="Arial Narrow"/>
          <w:b/>
          <w:i/>
        </w:rPr>
        <w:t>Národného programu rozvoja výchovy a vzdelávania na Slovensku do roku 2027</w:t>
      </w:r>
      <w:r w:rsidRPr="00790451">
        <w:rPr>
          <w:rFonts w:ascii="Arial Narrow" w:hAnsi="Arial Narrow"/>
        </w:rPr>
        <w:t xml:space="preserve">. </w:t>
      </w:r>
    </w:p>
    <w:p w14:paraId="38122B34" w14:textId="77777777" w:rsidR="008A1BFF" w:rsidRDefault="008A1BFF" w:rsidP="008A1BFF">
      <w:pPr>
        <w:spacing w:after="0" w:line="240" w:lineRule="auto"/>
        <w:jc w:val="both"/>
        <w:rPr>
          <w:rFonts w:ascii="Arial Narrow" w:hAnsi="Arial Narrow"/>
        </w:rPr>
      </w:pPr>
    </w:p>
    <w:p w14:paraId="2C102C48" w14:textId="6A2E2FED" w:rsidR="003A4FB9" w:rsidRPr="003A4FB9" w:rsidRDefault="004451BF" w:rsidP="00DB0BFA">
      <w:pPr>
        <w:spacing w:after="0" w:line="240" w:lineRule="auto"/>
        <w:jc w:val="both"/>
        <w:rPr>
          <w:rFonts w:ascii="Arial Narrow" w:hAnsi="Arial Narrow"/>
          <w:b/>
          <w:i/>
        </w:rPr>
      </w:pPr>
      <w:r>
        <w:rPr>
          <w:rFonts w:ascii="Arial Narrow" w:hAnsi="Arial Narrow"/>
          <w:b/>
          <w:i/>
        </w:rPr>
        <w:t>Integrácia sociálne vylúčených</w:t>
      </w:r>
      <w:r w:rsidR="00400DA9">
        <w:rPr>
          <w:rFonts w:ascii="Arial Narrow" w:hAnsi="Arial Narrow"/>
          <w:b/>
          <w:i/>
        </w:rPr>
        <w:t xml:space="preserve"> ľudí a </w:t>
      </w:r>
      <w:r w:rsidR="00365506">
        <w:rPr>
          <w:rFonts w:ascii="Arial Narrow" w:hAnsi="Arial Narrow"/>
          <w:b/>
          <w:i/>
        </w:rPr>
        <w:t xml:space="preserve">marginalizovaných rómskych </w:t>
      </w:r>
      <w:r>
        <w:rPr>
          <w:rFonts w:ascii="Arial Narrow" w:hAnsi="Arial Narrow"/>
          <w:b/>
          <w:i/>
        </w:rPr>
        <w:t>komunít</w:t>
      </w:r>
    </w:p>
    <w:p w14:paraId="037F828D" w14:textId="0B54FFBA" w:rsidR="00BB52E7" w:rsidRDefault="00BB52E7" w:rsidP="008A1BFF">
      <w:pPr>
        <w:spacing w:after="0" w:line="240" w:lineRule="auto"/>
        <w:jc w:val="both"/>
        <w:rPr>
          <w:rFonts w:ascii="Arial Narrow" w:hAnsi="Arial Narrow"/>
        </w:rPr>
      </w:pPr>
      <w:r>
        <w:rPr>
          <w:rFonts w:ascii="Arial Narrow" w:hAnsi="Arial Narrow"/>
        </w:rPr>
        <w:t xml:space="preserve">V rámci projektu </w:t>
      </w:r>
      <w:r w:rsidR="003C20E2" w:rsidRPr="003C20E2">
        <w:rPr>
          <w:rFonts w:ascii="Arial Narrow" w:hAnsi="Arial Narrow"/>
          <w:bCs/>
          <w:i/>
          <w:color w:val="000000"/>
        </w:rPr>
        <w:t>„</w:t>
      </w:r>
      <w:r w:rsidRPr="003C20E2">
        <w:rPr>
          <w:rFonts w:ascii="Arial Narrow" w:hAnsi="Arial Narrow"/>
          <w:i/>
        </w:rPr>
        <w:t>Škola otvorená všetkým</w:t>
      </w:r>
      <w:r w:rsidR="003C20E2" w:rsidRPr="003C20E2">
        <w:rPr>
          <w:rFonts w:ascii="Arial Narrow" w:hAnsi="Arial Narrow"/>
          <w:bCs/>
          <w:i/>
          <w:color w:val="000000"/>
        </w:rPr>
        <w:t>“</w:t>
      </w:r>
      <w:r w:rsidR="009E57F1">
        <w:rPr>
          <w:rFonts w:ascii="Arial Narrow" w:hAnsi="Arial Narrow"/>
          <w:i/>
        </w:rPr>
        <w:t xml:space="preserve"> </w:t>
      </w:r>
      <w:r w:rsidRPr="001D6A51">
        <w:rPr>
          <w:rFonts w:ascii="Arial Narrow" w:hAnsi="Arial Narrow"/>
        </w:rPr>
        <w:t>s alokáciou 25 mil. eur z</w:t>
      </w:r>
      <w:r>
        <w:rPr>
          <w:rFonts w:ascii="Arial Narrow" w:hAnsi="Arial Narrow"/>
        </w:rPr>
        <w:t> </w:t>
      </w:r>
      <w:r w:rsidRPr="001D6A51">
        <w:rPr>
          <w:rFonts w:ascii="Arial Narrow" w:hAnsi="Arial Narrow"/>
        </w:rPr>
        <w:t>ESF</w:t>
      </w:r>
      <w:r>
        <w:rPr>
          <w:rFonts w:ascii="Arial Narrow" w:hAnsi="Arial Narrow"/>
          <w:bCs/>
          <w:lang w:eastAsia="en-US"/>
        </w:rPr>
        <w:t xml:space="preserve"> bolo k januáru 2018 podporených 1</w:t>
      </w:r>
      <w:r w:rsidRPr="005A6EB4">
        <w:rPr>
          <w:rFonts w:ascii="Arial Narrow" w:hAnsi="Arial Narrow"/>
          <w:bCs/>
          <w:lang w:eastAsia="en-US"/>
        </w:rPr>
        <w:t xml:space="preserve">30 škôl, ktoré uplatňujú </w:t>
      </w:r>
      <w:proofErr w:type="spellStart"/>
      <w:r w:rsidRPr="00644958">
        <w:rPr>
          <w:rFonts w:ascii="Arial Narrow" w:hAnsi="Arial Narrow"/>
          <w:b/>
          <w:bCs/>
          <w:lang w:eastAsia="en-US"/>
        </w:rPr>
        <w:t>inkluzívny</w:t>
      </w:r>
      <w:proofErr w:type="spellEnd"/>
      <w:r w:rsidRPr="00644958">
        <w:rPr>
          <w:rFonts w:ascii="Arial Narrow" w:hAnsi="Arial Narrow"/>
          <w:b/>
          <w:bCs/>
          <w:lang w:eastAsia="en-US"/>
        </w:rPr>
        <w:t xml:space="preserve"> model vzdelávania</w:t>
      </w:r>
      <w:r>
        <w:rPr>
          <w:rFonts w:ascii="Arial Narrow" w:hAnsi="Arial Narrow"/>
          <w:bCs/>
          <w:lang w:eastAsia="en-US"/>
        </w:rPr>
        <w:t xml:space="preserve">, </w:t>
      </w:r>
      <w:r w:rsidRPr="005A6EB4">
        <w:rPr>
          <w:rFonts w:ascii="Arial Narrow" w:hAnsi="Arial Narrow"/>
          <w:bCs/>
          <w:lang w:eastAsia="en-US"/>
        </w:rPr>
        <w:t xml:space="preserve">17 831 žiakov </w:t>
      </w:r>
      <w:r>
        <w:rPr>
          <w:rFonts w:ascii="Arial Narrow" w:hAnsi="Arial Narrow"/>
          <w:bCs/>
          <w:lang w:eastAsia="en-US"/>
        </w:rPr>
        <w:t>ZŠ</w:t>
      </w:r>
      <w:r w:rsidRPr="005A6EB4">
        <w:rPr>
          <w:rFonts w:ascii="Arial Narrow" w:hAnsi="Arial Narrow"/>
          <w:bCs/>
          <w:lang w:eastAsia="en-US"/>
        </w:rPr>
        <w:t xml:space="preserve"> so špeciálnymi výchovno-vzdelávacími potrebami v školách zapojených do aktivít zameraných na podporu </w:t>
      </w:r>
      <w:proofErr w:type="spellStart"/>
      <w:r w:rsidRPr="005A6EB4">
        <w:rPr>
          <w:rFonts w:ascii="Arial Narrow" w:hAnsi="Arial Narrow"/>
          <w:bCs/>
          <w:lang w:eastAsia="en-US"/>
        </w:rPr>
        <w:t>inkluzívneho</w:t>
      </w:r>
      <w:proofErr w:type="spellEnd"/>
      <w:r w:rsidRPr="005A6EB4">
        <w:rPr>
          <w:rFonts w:ascii="Arial Narrow" w:hAnsi="Arial Narrow"/>
          <w:bCs/>
          <w:lang w:eastAsia="en-US"/>
        </w:rPr>
        <w:t xml:space="preserve"> modelu vzdelávania a 1 301 pedagogických a odborných zamestnancov zapojených do aktivít na zvýšenie profesijných kompetencií</w:t>
      </w:r>
      <w:r>
        <w:rPr>
          <w:rFonts w:ascii="Arial Narrow" w:hAnsi="Arial Narrow"/>
          <w:bCs/>
          <w:lang w:eastAsia="en-US"/>
        </w:rPr>
        <w:t xml:space="preserve">. </w:t>
      </w:r>
      <w:r w:rsidRPr="00260987">
        <w:rPr>
          <w:rFonts w:ascii="Arial Narrow" w:hAnsi="Arial Narrow"/>
        </w:rPr>
        <w:t xml:space="preserve">V rámci dopytovo orientovanej výzvy </w:t>
      </w:r>
      <w:r w:rsidR="003C20E2" w:rsidRPr="003C20E2">
        <w:rPr>
          <w:rFonts w:ascii="Arial Narrow" w:hAnsi="Arial Narrow"/>
          <w:bCs/>
          <w:i/>
          <w:color w:val="000000"/>
        </w:rPr>
        <w:t>„</w:t>
      </w:r>
      <w:r w:rsidRPr="003C20E2">
        <w:rPr>
          <w:rFonts w:ascii="Arial Narrow" w:hAnsi="Arial Narrow"/>
          <w:i/>
        </w:rPr>
        <w:t>V základnej škole úspešnejší</w:t>
      </w:r>
      <w:r w:rsidR="003C20E2" w:rsidRPr="003C20E2">
        <w:rPr>
          <w:rFonts w:ascii="Arial Narrow" w:hAnsi="Arial Narrow"/>
          <w:bCs/>
          <w:i/>
          <w:color w:val="000000"/>
        </w:rPr>
        <w:t>“</w:t>
      </w:r>
      <w:r w:rsidRPr="00260987">
        <w:rPr>
          <w:rFonts w:ascii="Arial Narrow" w:hAnsi="Arial Narrow"/>
        </w:rPr>
        <w:t xml:space="preserve"> s alokáciou 50 mil. eur z</w:t>
      </w:r>
      <w:r w:rsidR="008B352E">
        <w:rPr>
          <w:rFonts w:ascii="Arial Narrow" w:hAnsi="Arial Narrow"/>
        </w:rPr>
        <w:t> </w:t>
      </w:r>
      <w:r w:rsidRPr="00260987">
        <w:rPr>
          <w:rFonts w:ascii="Arial Narrow" w:hAnsi="Arial Narrow"/>
        </w:rPr>
        <w:t>ESF</w:t>
      </w:r>
      <w:r w:rsidR="008B352E">
        <w:rPr>
          <w:rFonts w:ascii="Arial Narrow" w:hAnsi="Arial Narrow"/>
        </w:rPr>
        <w:t xml:space="preserve"> zameranej na zvýšenie </w:t>
      </w:r>
      <w:proofErr w:type="spellStart"/>
      <w:r w:rsidR="008B352E">
        <w:rPr>
          <w:rFonts w:ascii="Arial Narrow" w:hAnsi="Arial Narrow"/>
        </w:rPr>
        <w:t>inkluzívnosti</w:t>
      </w:r>
      <w:proofErr w:type="spellEnd"/>
      <w:r w:rsidR="008B352E">
        <w:rPr>
          <w:rFonts w:ascii="Arial Narrow" w:hAnsi="Arial Narrow"/>
        </w:rPr>
        <w:t xml:space="preserve"> vzdelávania, prostredníctvom ktorej</w:t>
      </w:r>
      <w:r>
        <w:rPr>
          <w:rFonts w:ascii="Arial Narrow" w:hAnsi="Arial Narrow"/>
        </w:rPr>
        <w:t xml:space="preserve"> </w:t>
      </w:r>
      <w:r w:rsidR="008B352E" w:rsidRPr="008B352E">
        <w:rPr>
          <w:rFonts w:ascii="Arial Narrow" w:hAnsi="Arial Narrow"/>
        </w:rPr>
        <w:t xml:space="preserve">základné školy môžu žiadať o finančný príspevok na vlastné projekty určené na vytvorenie nových pracovných miest pre pedagogických asistentov, asistentov učiteľa a </w:t>
      </w:r>
      <w:proofErr w:type="spellStart"/>
      <w:r w:rsidR="008B352E" w:rsidRPr="008B352E">
        <w:rPr>
          <w:rFonts w:ascii="Arial Narrow" w:hAnsi="Arial Narrow"/>
        </w:rPr>
        <w:t>inkluzívny</w:t>
      </w:r>
      <w:proofErr w:type="spellEnd"/>
      <w:r w:rsidR="008B352E" w:rsidRPr="008B352E">
        <w:rPr>
          <w:rFonts w:ascii="Arial Narrow" w:hAnsi="Arial Narrow"/>
        </w:rPr>
        <w:t xml:space="preserve"> tím</w:t>
      </w:r>
      <w:r w:rsidR="008B352E">
        <w:rPr>
          <w:rFonts w:ascii="Arial Narrow" w:hAnsi="Arial Narrow"/>
        </w:rPr>
        <w:t xml:space="preserve">, </w:t>
      </w:r>
      <w:r>
        <w:rPr>
          <w:rFonts w:ascii="Arial Narrow" w:hAnsi="Arial Narrow"/>
        </w:rPr>
        <w:t>bol</w:t>
      </w:r>
      <w:r w:rsidR="008B352E">
        <w:rPr>
          <w:rFonts w:ascii="Arial Narrow" w:hAnsi="Arial Narrow"/>
        </w:rPr>
        <w:t>o</w:t>
      </w:r>
      <w:r>
        <w:rPr>
          <w:rFonts w:ascii="Arial Narrow" w:hAnsi="Arial Narrow"/>
        </w:rPr>
        <w:t xml:space="preserve"> k januáru 2018 schválených 215 zmlúv</w:t>
      </w:r>
      <w:r w:rsidRPr="004B4CFD">
        <w:rPr>
          <w:rFonts w:ascii="Arial Narrow" w:hAnsi="Arial Narrow"/>
        </w:rPr>
        <w:t xml:space="preserve"> v celkovom objeme </w:t>
      </w:r>
      <w:r>
        <w:rPr>
          <w:rFonts w:ascii="Arial Narrow" w:hAnsi="Arial Narrow"/>
        </w:rPr>
        <w:t>19</w:t>
      </w:r>
      <w:r w:rsidRPr="004B4CFD">
        <w:rPr>
          <w:rFonts w:ascii="Arial Narrow" w:hAnsi="Arial Narrow"/>
        </w:rPr>
        <w:t xml:space="preserve"> </w:t>
      </w:r>
      <w:r>
        <w:rPr>
          <w:rFonts w:ascii="Arial Narrow" w:hAnsi="Arial Narrow"/>
        </w:rPr>
        <w:t xml:space="preserve">mil. eur. </w:t>
      </w:r>
      <w:proofErr w:type="spellStart"/>
      <w:r>
        <w:rPr>
          <w:rFonts w:ascii="Arial Narrow" w:hAnsi="Arial Narrow"/>
        </w:rPr>
        <w:t>Zazmluvnené</w:t>
      </w:r>
      <w:proofErr w:type="spellEnd"/>
      <w:r>
        <w:rPr>
          <w:rFonts w:ascii="Arial Narrow" w:hAnsi="Arial Narrow"/>
        </w:rPr>
        <w:t xml:space="preserve"> projekty sú už čiastočne v implementácii.</w:t>
      </w:r>
      <w:r w:rsidRPr="004B4CFD">
        <w:rPr>
          <w:rFonts w:ascii="Arial Narrow" w:hAnsi="Arial Narrow"/>
        </w:rPr>
        <w:t xml:space="preserve"> </w:t>
      </w:r>
    </w:p>
    <w:p w14:paraId="4DC01E22" w14:textId="77777777" w:rsidR="003A4FB9" w:rsidRDefault="003A4FB9" w:rsidP="008A1BFF">
      <w:pPr>
        <w:spacing w:after="0" w:line="240" w:lineRule="auto"/>
        <w:jc w:val="both"/>
        <w:rPr>
          <w:rFonts w:ascii="Arial Narrow" w:hAnsi="Arial Narrow"/>
        </w:rPr>
      </w:pPr>
    </w:p>
    <w:p w14:paraId="5E50E00E" w14:textId="77777777" w:rsidR="003A4FB9" w:rsidRDefault="004451BF" w:rsidP="003A4FB9">
      <w:pPr>
        <w:spacing w:after="0" w:line="240" w:lineRule="auto"/>
        <w:jc w:val="both"/>
        <w:rPr>
          <w:rFonts w:ascii="Arial Narrow" w:hAnsi="Arial Narrow"/>
        </w:rPr>
      </w:pPr>
      <w:r>
        <w:rPr>
          <w:rFonts w:ascii="Arial Narrow" w:hAnsi="Arial Narrow"/>
        </w:rPr>
        <w:t xml:space="preserve">Pokračujú projekty </w:t>
      </w:r>
      <w:r w:rsidRPr="004451BF">
        <w:rPr>
          <w:rFonts w:ascii="Arial Narrow" w:hAnsi="Arial Narrow"/>
          <w:b/>
        </w:rPr>
        <w:t>na podporu inklúzie vylúčených komunít</w:t>
      </w:r>
      <w:r>
        <w:rPr>
          <w:rFonts w:ascii="Arial Narrow" w:hAnsi="Arial Narrow"/>
          <w:b/>
        </w:rPr>
        <w:t xml:space="preserve"> </w:t>
      </w:r>
      <w:r>
        <w:rPr>
          <w:rFonts w:ascii="Arial Narrow" w:hAnsi="Arial Narrow"/>
        </w:rPr>
        <w:t>v gescii MPSVR SR</w:t>
      </w:r>
      <w:r w:rsidRPr="004451BF">
        <w:rPr>
          <w:rFonts w:ascii="Arial Narrow" w:hAnsi="Arial Narrow"/>
          <w:b/>
        </w:rPr>
        <w:t>.</w:t>
      </w:r>
      <w:r>
        <w:rPr>
          <w:rFonts w:ascii="Arial Narrow" w:hAnsi="Arial Narrow"/>
        </w:rPr>
        <w:t xml:space="preserve"> N</w:t>
      </w:r>
      <w:r w:rsidR="003A4FB9">
        <w:rPr>
          <w:rFonts w:ascii="Arial Narrow" w:hAnsi="Arial Narrow"/>
        </w:rPr>
        <w:t>árodný projekt podpory</w:t>
      </w:r>
      <w:r w:rsidR="003A4FB9" w:rsidRPr="004C1280">
        <w:rPr>
          <w:rFonts w:ascii="Arial Narrow" w:hAnsi="Arial Narrow"/>
        </w:rPr>
        <w:t xml:space="preserve"> rozvoja poskytovateľov </w:t>
      </w:r>
      <w:r w:rsidR="003A4FB9" w:rsidRPr="00272EB4">
        <w:rPr>
          <w:rFonts w:ascii="Arial Narrow" w:hAnsi="Arial Narrow"/>
          <w:b/>
        </w:rPr>
        <w:t>vybraných</w:t>
      </w:r>
      <w:r w:rsidR="003A4FB9">
        <w:rPr>
          <w:rFonts w:ascii="Arial Narrow" w:hAnsi="Arial Narrow"/>
        </w:rPr>
        <w:t xml:space="preserve"> </w:t>
      </w:r>
      <w:r w:rsidR="003A4FB9" w:rsidRPr="00272EB4">
        <w:rPr>
          <w:rFonts w:ascii="Arial Narrow" w:hAnsi="Arial Narrow"/>
          <w:b/>
        </w:rPr>
        <w:t>sociálnych služieb krízovej intervencie na komunitnej úrovni</w:t>
      </w:r>
      <w:r w:rsidR="004C1F7D">
        <w:rPr>
          <w:rFonts w:ascii="Arial Narrow" w:hAnsi="Arial Narrow"/>
          <w:b/>
        </w:rPr>
        <w:t xml:space="preserve"> </w:t>
      </w:r>
      <w:r>
        <w:rPr>
          <w:rFonts w:ascii="Arial Narrow" w:hAnsi="Arial Narrow"/>
        </w:rPr>
        <w:t xml:space="preserve">má za cieľ sociálnu inklúziu osôb v </w:t>
      </w:r>
      <w:r w:rsidR="003A4FB9" w:rsidRPr="004C1280">
        <w:rPr>
          <w:rFonts w:ascii="Arial Narrow" w:hAnsi="Arial Narrow"/>
        </w:rPr>
        <w:t>nepriaznivej sociálnej situácii, ohrozených sociálnym vylúčením alebo s obmedzenou schopnosťou sa spoločensky začleniť a sa</w:t>
      </w:r>
      <w:r w:rsidR="003A4FB9">
        <w:rPr>
          <w:rFonts w:ascii="Arial Narrow" w:hAnsi="Arial Narrow"/>
        </w:rPr>
        <w:t xml:space="preserve">mostatne riešiť svoje problémy. K </w:t>
      </w:r>
      <w:r w:rsidR="003A4FB9" w:rsidRPr="004C1280">
        <w:rPr>
          <w:rFonts w:ascii="Arial Narrow" w:hAnsi="Arial Narrow"/>
        </w:rPr>
        <w:t xml:space="preserve">októbru 2017 bolo vo výkone 96 poskytovateľov v </w:t>
      </w:r>
      <w:r w:rsidR="003A4FB9">
        <w:rPr>
          <w:rFonts w:ascii="Arial Narrow" w:hAnsi="Arial Narrow"/>
        </w:rPr>
        <w:t>k</w:t>
      </w:r>
      <w:r w:rsidR="003A4FB9" w:rsidRPr="004C1280">
        <w:rPr>
          <w:rFonts w:ascii="Arial Narrow" w:hAnsi="Arial Narrow"/>
        </w:rPr>
        <w:t>omunitnom cent</w:t>
      </w:r>
      <w:r w:rsidR="003A4FB9">
        <w:rPr>
          <w:rFonts w:ascii="Arial Narrow" w:hAnsi="Arial Narrow"/>
        </w:rPr>
        <w:t xml:space="preserve">re, </w:t>
      </w:r>
      <w:proofErr w:type="spellStart"/>
      <w:r w:rsidR="003A4FB9">
        <w:rPr>
          <w:rFonts w:ascii="Arial Narrow" w:hAnsi="Arial Narrow"/>
        </w:rPr>
        <w:t>nízkoprahovom</w:t>
      </w:r>
      <w:proofErr w:type="spellEnd"/>
      <w:r w:rsidR="003A4FB9">
        <w:rPr>
          <w:rFonts w:ascii="Arial Narrow" w:hAnsi="Arial Narrow"/>
        </w:rPr>
        <w:t xml:space="preserve"> dennom centre alebo </w:t>
      </w:r>
      <w:proofErr w:type="spellStart"/>
      <w:r w:rsidR="003A4FB9">
        <w:rPr>
          <w:rFonts w:ascii="Arial Narrow" w:hAnsi="Arial Narrow"/>
        </w:rPr>
        <w:t>n</w:t>
      </w:r>
      <w:r w:rsidR="003A4FB9" w:rsidRPr="004C1280">
        <w:rPr>
          <w:rFonts w:ascii="Arial Narrow" w:hAnsi="Arial Narrow"/>
        </w:rPr>
        <w:t>ízkoprahovej</w:t>
      </w:r>
      <w:proofErr w:type="spellEnd"/>
      <w:r w:rsidR="003A4FB9" w:rsidRPr="004C1280">
        <w:rPr>
          <w:rFonts w:ascii="Arial Narrow" w:hAnsi="Arial Narrow"/>
        </w:rPr>
        <w:t xml:space="preserve"> soci</w:t>
      </w:r>
      <w:r w:rsidR="003A4FB9">
        <w:rPr>
          <w:rFonts w:ascii="Arial Narrow" w:hAnsi="Arial Narrow"/>
        </w:rPr>
        <w:t>álnej službe pre deti a rodinu (</w:t>
      </w:r>
      <w:r w:rsidR="003A4FB9" w:rsidRPr="004C1280">
        <w:rPr>
          <w:rFonts w:ascii="Arial Narrow" w:hAnsi="Arial Narrow"/>
        </w:rPr>
        <w:t xml:space="preserve">z toho 60 verejných poskytovateľov </w:t>
      </w:r>
      <w:r w:rsidR="003A4FB9">
        <w:rPr>
          <w:rFonts w:ascii="Arial Narrow" w:hAnsi="Arial Narrow"/>
        </w:rPr>
        <w:t xml:space="preserve">a 36 neverejných poskytovateľov, </w:t>
      </w:r>
      <w:r w:rsidR="003A4FB9" w:rsidRPr="004C1280">
        <w:rPr>
          <w:rFonts w:ascii="Arial Narrow" w:hAnsi="Arial Narrow"/>
        </w:rPr>
        <w:t xml:space="preserve">celkovo s 264 </w:t>
      </w:r>
      <w:r w:rsidR="003A4FB9">
        <w:rPr>
          <w:rFonts w:ascii="Arial Narrow" w:hAnsi="Arial Narrow"/>
        </w:rPr>
        <w:t xml:space="preserve">zamestnancami). Počet klientov </w:t>
      </w:r>
      <w:r w:rsidR="003A4FB9" w:rsidRPr="004C1280">
        <w:rPr>
          <w:rFonts w:ascii="Arial Narrow" w:hAnsi="Arial Narrow"/>
        </w:rPr>
        <w:t xml:space="preserve">zúčastnených na pravidelných </w:t>
      </w:r>
      <w:r w:rsidR="003A4FB9">
        <w:rPr>
          <w:rFonts w:ascii="Arial Narrow" w:hAnsi="Arial Narrow"/>
        </w:rPr>
        <w:t>aktivitách prestavuje 25 311 (</w:t>
      </w:r>
      <w:r w:rsidR="003A4FB9" w:rsidRPr="004C1280">
        <w:rPr>
          <w:rFonts w:ascii="Arial Narrow" w:hAnsi="Arial Narrow"/>
        </w:rPr>
        <w:t>z toho 14 571 žien a 10 740 mužov</w:t>
      </w:r>
      <w:r w:rsidR="004E130D">
        <w:rPr>
          <w:rFonts w:ascii="Arial Narrow" w:hAnsi="Arial Narrow"/>
        </w:rPr>
        <w:t>)</w:t>
      </w:r>
      <w:r w:rsidR="003A4FB9" w:rsidRPr="004C1280">
        <w:rPr>
          <w:rFonts w:ascii="Arial Narrow" w:hAnsi="Arial Narrow"/>
        </w:rPr>
        <w:t>.</w:t>
      </w:r>
      <w:r w:rsidR="008B3920">
        <w:rPr>
          <w:rFonts w:ascii="Arial Narrow" w:hAnsi="Arial Narrow"/>
        </w:rPr>
        <w:t xml:space="preserve"> </w:t>
      </w:r>
    </w:p>
    <w:p w14:paraId="5FB073E4" w14:textId="77777777" w:rsidR="003A4FB9" w:rsidRPr="0015607D" w:rsidRDefault="003A4FB9" w:rsidP="003A4FB9">
      <w:pPr>
        <w:spacing w:after="0" w:line="240" w:lineRule="auto"/>
        <w:jc w:val="both"/>
        <w:rPr>
          <w:rFonts w:ascii="Arial Narrow" w:hAnsi="Arial Narrow"/>
          <w:i/>
        </w:rPr>
      </w:pPr>
    </w:p>
    <w:p w14:paraId="0F5AE6DF" w14:textId="6E71E5E8" w:rsidR="003A4FB9" w:rsidRDefault="003A4FB9" w:rsidP="003A4FB9">
      <w:pPr>
        <w:spacing w:after="0" w:line="240" w:lineRule="auto"/>
        <w:jc w:val="both"/>
        <w:rPr>
          <w:rFonts w:ascii="Arial Narrow" w:hAnsi="Arial Narrow"/>
        </w:rPr>
      </w:pPr>
      <w:r>
        <w:rPr>
          <w:rFonts w:ascii="Arial Narrow" w:hAnsi="Arial Narrow"/>
          <w:b/>
        </w:rPr>
        <w:t>Terénna</w:t>
      </w:r>
      <w:r w:rsidRPr="00272EB4">
        <w:rPr>
          <w:rFonts w:ascii="Arial Narrow" w:hAnsi="Arial Narrow"/>
          <w:b/>
        </w:rPr>
        <w:t xml:space="preserve"> sociálna práca</w:t>
      </w:r>
      <w:r>
        <w:rPr>
          <w:rFonts w:ascii="Arial Narrow" w:hAnsi="Arial Narrow"/>
        </w:rPr>
        <w:t xml:space="preserve"> </w:t>
      </w:r>
      <w:r w:rsidR="004C1F7D">
        <w:rPr>
          <w:rFonts w:ascii="Arial Narrow" w:hAnsi="Arial Narrow"/>
        </w:rPr>
        <w:t xml:space="preserve">v gescii MPSVR </w:t>
      </w:r>
      <w:r>
        <w:rPr>
          <w:rFonts w:ascii="Arial Narrow" w:hAnsi="Arial Narrow"/>
        </w:rPr>
        <w:t>je finančné podpor</w:t>
      </w:r>
      <w:r w:rsidR="009E57F1">
        <w:rPr>
          <w:rFonts w:ascii="Arial Narrow" w:hAnsi="Arial Narrow"/>
        </w:rPr>
        <w:t xml:space="preserve">ená v rámci národného projektu </w:t>
      </w:r>
      <w:r w:rsidR="003C20E2" w:rsidRPr="003C20E2">
        <w:rPr>
          <w:rFonts w:ascii="Arial Narrow" w:hAnsi="Arial Narrow"/>
          <w:bCs/>
          <w:i/>
          <w:color w:val="000000"/>
        </w:rPr>
        <w:t>„</w:t>
      </w:r>
      <w:r w:rsidRPr="003C20E2">
        <w:rPr>
          <w:rFonts w:ascii="Arial Narrow" w:hAnsi="Arial Narrow"/>
          <w:i/>
        </w:rPr>
        <w:t>Terénna sociálna práca v obciach I.</w:t>
      </w:r>
      <w:r w:rsidR="003C20E2" w:rsidRPr="003C20E2">
        <w:rPr>
          <w:rFonts w:ascii="Arial Narrow" w:hAnsi="Arial Narrow"/>
          <w:bCs/>
          <w:i/>
          <w:color w:val="000000"/>
        </w:rPr>
        <w:t>“</w:t>
      </w:r>
      <w:r w:rsidR="003C20E2">
        <w:rPr>
          <w:rFonts w:ascii="Arial Narrow" w:hAnsi="Arial Narrow"/>
        </w:rPr>
        <w:t xml:space="preserve"> </w:t>
      </w:r>
      <w:r>
        <w:rPr>
          <w:rFonts w:ascii="Arial Narrow" w:hAnsi="Arial Narrow"/>
        </w:rPr>
        <w:t>(obdobie október 2015 až september 2019).</w:t>
      </w:r>
      <w:r w:rsidRPr="0015607D">
        <w:rPr>
          <w:rFonts w:ascii="Arial Narrow" w:hAnsi="Arial Narrow"/>
        </w:rPr>
        <w:t xml:space="preserve"> Projekt je zameraný na pomoc osobám, ktoré žijú v riziku chudoby, sú ohrozené sociálnym vylúčením alebo sú sociálne vylúčené. </w:t>
      </w:r>
      <w:r>
        <w:rPr>
          <w:rFonts w:ascii="Arial Narrow" w:hAnsi="Arial Narrow"/>
        </w:rPr>
        <w:t>P</w:t>
      </w:r>
      <w:r w:rsidRPr="0015607D">
        <w:rPr>
          <w:rFonts w:ascii="Arial Narrow" w:hAnsi="Arial Narrow"/>
        </w:rPr>
        <w:t xml:space="preserve">omoc je poskytovaná formou priamej podpory týchto osôb, alebo zvyšovaním dostupnosti a kvality služieb, celkovej sociálnej infraštruktúry a ďalších nástrojov pomoci prostredníctvom </w:t>
      </w:r>
      <w:r>
        <w:rPr>
          <w:rFonts w:ascii="Arial Narrow" w:hAnsi="Arial Narrow"/>
        </w:rPr>
        <w:t xml:space="preserve">napríklad </w:t>
      </w:r>
      <w:r w:rsidRPr="0015607D">
        <w:rPr>
          <w:rFonts w:ascii="Arial Narrow" w:hAnsi="Arial Narrow"/>
        </w:rPr>
        <w:t>preventívnych opatrení, vzdelávan</w:t>
      </w:r>
      <w:r>
        <w:rPr>
          <w:rFonts w:ascii="Arial Narrow" w:hAnsi="Arial Narrow"/>
        </w:rPr>
        <w:t xml:space="preserve">ia, odbornej prípravy alebo </w:t>
      </w:r>
      <w:r w:rsidRPr="0015607D">
        <w:rPr>
          <w:rFonts w:ascii="Arial Narrow" w:hAnsi="Arial Narrow"/>
        </w:rPr>
        <w:t>z</w:t>
      </w:r>
      <w:r>
        <w:rPr>
          <w:rFonts w:ascii="Arial Narrow" w:hAnsi="Arial Narrow"/>
        </w:rPr>
        <w:t xml:space="preserve">dravotnej starostlivosti. </w:t>
      </w:r>
      <w:r w:rsidRPr="0015607D">
        <w:rPr>
          <w:rFonts w:ascii="Arial Narrow" w:hAnsi="Arial Narrow"/>
        </w:rPr>
        <w:t>Aktuálne je do projektu zapojených</w:t>
      </w:r>
      <w:r>
        <w:rPr>
          <w:rFonts w:ascii="Arial Narrow" w:hAnsi="Arial Narrow"/>
        </w:rPr>
        <w:t xml:space="preserve"> 235 subjektov (224 obcí a 9 mimovládnych organi</w:t>
      </w:r>
      <w:r w:rsidR="008B3920">
        <w:rPr>
          <w:rFonts w:ascii="Arial Narrow" w:hAnsi="Arial Narrow"/>
        </w:rPr>
        <w:t>z</w:t>
      </w:r>
      <w:r>
        <w:rPr>
          <w:rFonts w:ascii="Arial Narrow" w:hAnsi="Arial Narrow"/>
        </w:rPr>
        <w:t xml:space="preserve">ácií) a </w:t>
      </w:r>
      <w:r w:rsidRPr="0015607D">
        <w:rPr>
          <w:rFonts w:ascii="Arial Narrow" w:hAnsi="Arial Narrow"/>
        </w:rPr>
        <w:t xml:space="preserve">556 pracovníkov </w:t>
      </w:r>
      <w:r>
        <w:rPr>
          <w:rFonts w:ascii="Arial Narrow" w:hAnsi="Arial Narrow"/>
        </w:rPr>
        <w:t>terénnej sociálnej práce</w:t>
      </w:r>
      <w:r w:rsidRPr="0015607D">
        <w:rPr>
          <w:rFonts w:ascii="Arial Narrow" w:hAnsi="Arial Narrow"/>
        </w:rPr>
        <w:t xml:space="preserve">. </w:t>
      </w:r>
      <w:r w:rsidR="008B3920">
        <w:rPr>
          <w:rFonts w:ascii="Arial Narrow" w:hAnsi="Arial Narrow"/>
        </w:rPr>
        <w:t xml:space="preserve">Ide o pokračovanie podpory z predošlého programového obdobia. </w:t>
      </w:r>
    </w:p>
    <w:p w14:paraId="2D57A1D9" w14:textId="77777777" w:rsidR="003A4FB9" w:rsidRDefault="003A4FB9" w:rsidP="003A4FB9">
      <w:pPr>
        <w:spacing w:after="0" w:line="240" w:lineRule="auto"/>
        <w:jc w:val="both"/>
        <w:rPr>
          <w:rFonts w:ascii="Arial Narrow" w:hAnsi="Arial Narrow"/>
        </w:rPr>
      </w:pPr>
    </w:p>
    <w:p w14:paraId="15E8DB73" w14:textId="468A43FD" w:rsidR="004C1F7D" w:rsidRDefault="003A4FB9" w:rsidP="00365506">
      <w:pPr>
        <w:spacing w:after="0" w:line="240" w:lineRule="auto"/>
        <w:jc w:val="both"/>
        <w:rPr>
          <w:rFonts w:ascii="Arial Narrow" w:hAnsi="Arial Narrow"/>
        </w:rPr>
      </w:pPr>
      <w:r w:rsidRPr="009815E2">
        <w:rPr>
          <w:rFonts w:ascii="Arial Narrow" w:hAnsi="Arial Narrow"/>
          <w:b/>
        </w:rPr>
        <w:t xml:space="preserve">Inklúziu </w:t>
      </w:r>
      <w:r w:rsidR="00365506">
        <w:rPr>
          <w:rFonts w:ascii="Arial Narrow" w:hAnsi="Arial Narrow"/>
          <w:b/>
        </w:rPr>
        <w:t xml:space="preserve">a integráciu </w:t>
      </w:r>
      <w:r w:rsidRPr="009815E2">
        <w:rPr>
          <w:rFonts w:ascii="Arial Narrow" w:hAnsi="Arial Narrow"/>
          <w:b/>
        </w:rPr>
        <w:t>obyvateľov z MRK</w:t>
      </w:r>
      <w:r w:rsidRPr="009815E2">
        <w:rPr>
          <w:rFonts w:ascii="Arial Narrow" w:hAnsi="Arial Narrow"/>
        </w:rPr>
        <w:t xml:space="preserve"> podporujú </w:t>
      </w:r>
      <w:r w:rsidR="004451BF">
        <w:rPr>
          <w:rFonts w:ascii="Arial Narrow" w:hAnsi="Arial Narrow"/>
        </w:rPr>
        <w:t xml:space="preserve">aj </w:t>
      </w:r>
      <w:r w:rsidRPr="009815E2">
        <w:rPr>
          <w:rFonts w:ascii="Arial Narrow" w:hAnsi="Arial Narrow"/>
        </w:rPr>
        <w:t>viaceré projekty financované z EÚ zdrojov</w:t>
      </w:r>
      <w:r w:rsidR="004451BF">
        <w:rPr>
          <w:rFonts w:ascii="Arial Narrow" w:hAnsi="Arial Narrow"/>
        </w:rPr>
        <w:t xml:space="preserve"> </w:t>
      </w:r>
      <w:r w:rsidR="004C1F7D">
        <w:rPr>
          <w:rFonts w:ascii="Arial Narrow" w:hAnsi="Arial Narrow"/>
        </w:rPr>
        <w:t>v</w:t>
      </w:r>
      <w:r w:rsidR="004451BF">
        <w:rPr>
          <w:rFonts w:ascii="Arial Narrow" w:hAnsi="Arial Narrow"/>
        </w:rPr>
        <w:t xml:space="preserve"> </w:t>
      </w:r>
      <w:r w:rsidR="004C1F7D">
        <w:rPr>
          <w:rFonts w:ascii="Arial Narrow" w:hAnsi="Arial Narrow"/>
        </w:rPr>
        <w:t xml:space="preserve">gescii </w:t>
      </w:r>
      <w:r w:rsidR="004451BF" w:rsidRPr="004451BF">
        <w:rPr>
          <w:rFonts w:ascii="Arial Narrow" w:hAnsi="Arial Narrow"/>
        </w:rPr>
        <w:t>Úrad</w:t>
      </w:r>
      <w:r w:rsidR="004451BF">
        <w:rPr>
          <w:rFonts w:ascii="Arial Narrow" w:hAnsi="Arial Narrow"/>
        </w:rPr>
        <w:t>u</w:t>
      </w:r>
      <w:r w:rsidR="004451BF" w:rsidRPr="004451BF">
        <w:rPr>
          <w:rFonts w:ascii="Arial Narrow" w:hAnsi="Arial Narrow"/>
        </w:rPr>
        <w:t xml:space="preserve"> splnomocnenca vlády pre rómske komunity</w:t>
      </w:r>
      <w:r w:rsidR="00365506">
        <w:rPr>
          <w:rFonts w:ascii="Arial Narrow" w:hAnsi="Arial Narrow"/>
        </w:rPr>
        <w:t xml:space="preserve"> (ÚSVRK) a MV SR</w:t>
      </w:r>
      <w:r w:rsidRPr="009815E2">
        <w:rPr>
          <w:rFonts w:ascii="Arial Narrow" w:hAnsi="Arial Narrow"/>
        </w:rPr>
        <w:t xml:space="preserve">. Do konca roka 2017 sa do projektov podpory </w:t>
      </w:r>
      <w:r w:rsidRPr="004451BF">
        <w:rPr>
          <w:rFonts w:ascii="Arial Narrow" w:hAnsi="Arial Narrow"/>
          <w:b/>
        </w:rPr>
        <w:t>terénnej sociálnej</w:t>
      </w:r>
      <w:r w:rsidRPr="009815E2">
        <w:rPr>
          <w:rFonts w:ascii="Arial Narrow" w:hAnsi="Arial Narrow"/>
        </w:rPr>
        <w:t xml:space="preserve"> </w:t>
      </w:r>
      <w:r w:rsidRPr="004451BF">
        <w:rPr>
          <w:rFonts w:ascii="Arial Narrow" w:hAnsi="Arial Narrow"/>
          <w:b/>
        </w:rPr>
        <w:t>práce</w:t>
      </w:r>
      <w:r w:rsidR="004451BF">
        <w:rPr>
          <w:rFonts w:ascii="Arial Narrow" w:hAnsi="Arial Narrow"/>
        </w:rPr>
        <w:t xml:space="preserve"> a </w:t>
      </w:r>
      <w:r w:rsidRPr="004451BF">
        <w:rPr>
          <w:rFonts w:ascii="Arial Narrow" w:hAnsi="Arial Narrow"/>
          <w:b/>
        </w:rPr>
        <w:t>komunitných centier</w:t>
      </w:r>
      <w:r w:rsidRPr="009815E2">
        <w:rPr>
          <w:rFonts w:ascii="Arial Narrow" w:hAnsi="Arial Narrow"/>
        </w:rPr>
        <w:t xml:space="preserve"> </w:t>
      </w:r>
      <w:r w:rsidRPr="004451BF">
        <w:rPr>
          <w:rFonts w:ascii="Arial Narrow" w:hAnsi="Arial Narrow"/>
          <w:b/>
        </w:rPr>
        <w:t xml:space="preserve">v obciach s prítomnosťou MRK </w:t>
      </w:r>
      <w:r w:rsidRPr="009815E2">
        <w:rPr>
          <w:rFonts w:ascii="Arial Narrow" w:hAnsi="Arial Narrow"/>
        </w:rPr>
        <w:t>zapojilo 142 obcí</w:t>
      </w:r>
      <w:r>
        <w:rPr>
          <w:rStyle w:val="Odkaznapoznmkupodiarou"/>
          <w:rFonts w:ascii="Arial Narrow" w:hAnsi="Arial Narrow"/>
        </w:rPr>
        <w:footnoteReference w:id="11"/>
      </w:r>
      <w:r w:rsidRPr="009815E2">
        <w:rPr>
          <w:rFonts w:ascii="Arial Narrow" w:hAnsi="Arial Narrow"/>
        </w:rPr>
        <w:t xml:space="preserve"> a 55 prevádzkovateľov</w:t>
      </w:r>
      <w:r>
        <w:rPr>
          <w:rStyle w:val="Odkaznapoznmkupodiarou"/>
          <w:rFonts w:ascii="Arial Narrow" w:hAnsi="Arial Narrow"/>
        </w:rPr>
        <w:footnoteReference w:id="12"/>
      </w:r>
      <w:r w:rsidRPr="009815E2">
        <w:rPr>
          <w:rFonts w:ascii="Arial Narrow" w:hAnsi="Arial Narrow"/>
        </w:rPr>
        <w:t>.</w:t>
      </w:r>
      <w:r w:rsidR="00365506">
        <w:rPr>
          <w:rFonts w:ascii="Arial Narrow" w:hAnsi="Arial Narrow"/>
        </w:rPr>
        <w:t xml:space="preserve"> </w:t>
      </w:r>
      <w:r w:rsidR="00692C19">
        <w:rPr>
          <w:rFonts w:ascii="Arial Narrow" w:hAnsi="Arial Narrow"/>
        </w:rPr>
        <w:t>Z</w:t>
      </w:r>
      <w:r w:rsidR="00365506">
        <w:rPr>
          <w:rFonts w:ascii="Arial Narrow" w:hAnsi="Arial Narrow"/>
        </w:rPr>
        <w:t>efektívnil</w:t>
      </w:r>
      <w:r w:rsidR="00692C19">
        <w:rPr>
          <w:rFonts w:ascii="Arial Narrow" w:hAnsi="Arial Narrow"/>
        </w:rPr>
        <w:t>i</w:t>
      </w:r>
      <w:r w:rsidR="00365506">
        <w:rPr>
          <w:rFonts w:ascii="Arial Narrow" w:hAnsi="Arial Narrow"/>
        </w:rPr>
        <w:t xml:space="preserve"> </w:t>
      </w:r>
      <w:r w:rsidR="00692C19">
        <w:rPr>
          <w:rFonts w:ascii="Arial Narrow" w:hAnsi="Arial Narrow"/>
        </w:rPr>
        <w:t xml:space="preserve">sa </w:t>
      </w:r>
      <w:r w:rsidR="00365506" w:rsidRPr="00365506">
        <w:rPr>
          <w:rFonts w:ascii="Arial Narrow" w:hAnsi="Arial Narrow"/>
        </w:rPr>
        <w:t>možnosti zapoje</w:t>
      </w:r>
      <w:r w:rsidR="00365506">
        <w:rPr>
          <w:rFonts w:ascii="Arial Narrow" w:hAnsi="Arial Narrow"/>
        </w:rPr>
        <w:t xml:space="preserve">nia vybratých obcí do viacerých </w:t>
      </w:r>
      <w:r w:rsidR="00365506" w:rsidRPr="00365506">
        <w:rPr>
          <w:rFonts w:ascii="Arial Narrow" w:hAnsi="Arial Narrow"/>
        </w:rPr>
        <w:t xml:space="preserve">národných projektov, </w:t>
      </w:r>
      <w:r w:rsidR="00692C19">
        <w:rPr>
          <w:rFonts w:ascii="Arial Narrow" w:hAnsi="Arial Narrow"/>
        </w:rPr>
        <w:t xml:space="preserve">ktoré by mali zlepšovať </w:t>
      </w:r>
      <w:r w:rsidR="00365506" w:rsidRPr="00365506">
        <w:rPr>
          <w:rFonts w:ascii="Arial Narrow" w:hAnsi="Arial Narrow"/>
        </w:rPr>
        <w:t>sociálne postavenie a</w:t>
      </w:r>
      <w:r w:rsidR="00692C19">
        <w:rPr>
          <w:rFonts w:ascii="Arial Narrow" w:hAnsi="Arial Narrow"/>
        </w:rPr>
        <w:t xml:space="preserve"> </w:t>
      </w:r>
      <w:r w:rsidR="00365506" w:rsidRPr="00365506">
        <w:rPr>
          <w:rFonts w:ascii="Arial Narrow" w:hAnsi="Arial Narrow"/>
        </w:rPr>
        <w:t>situ</w:t>
      </w:r>
      <w:r w:rsidR="00365506">
        <w:rPr>
          <w:rFonts w:ascii="Arial Narrow" w:hAnsi="Arial Narrow"/>
        </w:rPr>
        <w:t>áciu Rómov.</w:t>
      </w:r>
    </w:p>
    <w:p w14:paraId="2137878C" w14:textId="77777777" w:rsidR="004C2E3E" w:rsidRDefault="004C2E3E" w:rsidP="003A4FB9">
      <w:pPr>
        <w:spacing w:after="0" w:line="240" w:lineRule="auto"/>
        <w:jc w:val="both"/>
        <w:rPr>
          <w:rFonts w:ascii="Arial Narrow" w:hAnsi="Arial Narrow"/>
        </w:rPr>
      </w:pPr>
    </w:p>
    <w:p w14:paraId="6A57C53F" w14:textId="56E32975" w:rsidR="003A4FB9" w:rsidRPr="003E31A0" w:rsidRDefault="003A4FB9" w:rsidP="00793C93">
      <w:pPr>
        <w:spacing w:after="0" w:line="240" w:lineRule="auto"/>
        <w:jc w:val="both"/>
        <w:rPr>
          <w:rFonts w:ascii="Arial Narrow" w:hAnsi="Arial Narrow"/>
          <w:szCs w:val="24"/>
        </w:rPr>
      </w:pPr>
      <w:r w:rsidRPr="00A12FFB">
        <w:rPr>
          <w:rFonts w:ascii="Arial Narrow" w:hAnsi="Arial Narrow"/>
        </w:rPr>
        <w:t>V</w:t>
      </w:r>
      <w:r>
        <w:rPr>
          <w:rFonts w:ascii="Arial Narrow" w:hAnsi="Arial Narrow"/>
        </w:rPr>
        <w:t xml:space="preserve"> </w:t>
      </w:r>
      <w:r w:rsidRPr="00A12FFB">
        <w:rPr>
          <w:rFonts w:ascii="Arial Narrow" w:hAnsi="Arial Narrow"/>
        </w:rPr>
        <w:t xml:space="preserve">decembri 2017 bola vyhlásená výzva na projekt na </w:t>
      </w:r>
      <w:r w:rsidRPr="00A12FFB">
        <w:rPr>
          <w:rFonts w:ascii="Arial Narrow" w:hAnsi="Arial Narrow"/>
          <w:b/>
        </w:rPr>
        <w:t xml:space="preserve">podporu </w:t>
      </w:r>
      <w:proofErr w:type="spellStart"/>
      <w:r w:rsidRPr="00A12FFB">
        <w:rPr>
          <w:rFonts w:ascii="Arial Narrow" w:hAnsi="Arial Narrow"/>
          <w:b/>
        </w:rPr>
        <w:t>predprimárneho</w:t>
      </w:r>
      <w:proofErr w:type="spellEnd"/>
      <w:r w:rsidRPr="00A12FFB">
        <w:rPr>
          <w:rFonts w:ascii="Arial Narrow" w:hAnsi="Arial Narrow"/>
          <w:b/>
        </w:rPr>
        <w:t xml:space="preserve"> vzdelávania</w:t>
      </w:r>
      <w:r w:rsidRPr="00A12FFB">
        <w:rPr>
          <w:rFonts w:ascii="Arial Narrow" w:hAnsi="Arial Narrow"/>
        </w:rPr>
        <w:t xml:space="preserve"> s cieľom zvýšenia počtu detí z MRK v materských školách. </w:t>
      </w:r>
      <w:r>
        <w:rPr>
          <w:rFonts w:ascii="Arial Narrow" w:hAnsi="Arial Narrow"/>
        </w:rPr>
        <w:t xml:space="preserve">V roku </w:t>
      </w:r>
      <w:r w:rsidR="00793C93">
        <w:rPr>
          <w:rFonts w:ascii="Arial Narrow" w:hAnsi="Arial Narrow"/>
        </w:rPr>
        <w:t xml:space="preserve">2017 </w:t>
      </w:r>
      <w:r>
        <w:rPr>
          <w:rFonts w:ascii="Arial Narrow" w:hAnsi="Arial Narrow"/>
          <w:szCs w:val="24"/>
        </w:rPr>
        <w:t>b</w:t>
      </w:r>
      <w:r w:rsidR="009E57F1">
        <w:rPr>
          <w:rFonts w:ascii="Arial Narrow" w:hAnsi="Arial Narrow"/>
          <w:szCs w:val="24"/>
        </w:rPr>
        <w:t xml:space="preserve">ol spustený národný projekt </w:t>
      </w:r>
      <w:r w:rsidR="003C20E2" w:rsidRPr="003C20E2">
        <w:rPr>
          <w:rFonts w:ascii="Arial Narrow" w:hAnsi="Arial Narrow"/>
          <w:bCs/>
          <w:i/>
          <w:color w:val="000000"/>
        </w:rPr>
        <w:t>„</w:t>
      </w:r>
      <w:r w:rsidRPr="003C20E2">
        <w:rPr>
          <w:rFonts w:ascii="Arial Narrow" w:hAnsi="Arial Narrow"/>
          <w:i/>
          <w:szCs w:val="24"/>
        </w:rPr>
        <w:t xml:space="preserve">Monitorovanie a hodnotenie </w:t>
      </w:r>
      <w:proofErr w:type="spellStart"/>
      <w:r w:rsidRPr="003C20E2">
        <w:rPr>
          <w:rFonts w:ascii="Arial Narrow" w:hAnsi="Arial Narrow"/>
          <w:i/>
          <w:szCs w:val="24"/>
        </w:rPr>
        <w:t>inkluzívnych</w:t>
      </w:r>
      <w:proofErr w:type="spellEnd"/>
      <w:r w:rsidRPr="003C20E2">
        <w:rPr>
          <w:rFonts w:ascii="Arial Narrow" w:hAnsi="Arial Narrow"/>
          <w:i/>
          <w:szCs w:val="24"/>
        </w:rPr>
        <w:t xml:space="preserve"> politík a ich dopad na marginalizované rómske komunity</w:t>
      </w:r>
      <w:r w:rsidR="003C20E2" w:rsidRPr="003C20E2">
        <w:rPr>
          <w:rFonts w:ascii="Arial Narrow" w:hAnsi="Arial Narrow"/>
          <w:bCs/>
          <w:i/>
          <w:color w:val="000000"/>
        </w:rPr>
        <w:t>“</w:t>
      </w:r>
      <w:r>
        <w:rPr>
          <w:rFonts w:ascii="Arial Narrow" w:hAnsi="Arial Narrow"/>
          <w:szCs w:val="24"/>
        </w:rPr>
        <w:t>.</w:t>
      </w:r>
      <w:r w:rsidR="00793C93">
        <w:rPr>
          <w:rFonts w:ascii="Arial Narrow" w:hAnsi="Arial Narrow"/>
          <w:szCs w:val="24"/>
        </w:rPr>
        <w:t xml:space="preserve"> </w:t>
      </w:r>
      <w:r w:rsidR="00793C93" w:rsidRPr="00793C93">
        <w:rPr>
          <w:rFonts w:ascii="Arial Narrow" w:hAnsi="Arial Narrow"/>
          <w:szCs w:val="24"/>
        </w:rPr>
        <w:t xml:space="preserve">Zameriava sa na </w:t>
      </w:r>
      <w:r w:rsidR="00793C93" w:rsidRPr="00793C93">
        <w:rPr>
          <w:rFonts w:ascii="Arial Narrow" w:hAnsi="Arial Narrow"/>
          <w:b/>
          <w:szCs w:val="24"/>
        </w:rPr>
        <w:t>monitorovanie a hodnotenie d</w:t>
      </w:r>
      <w:r w:rsidR="00793C93">
        <w:rPr>
          <w:rFonts w:ascii="Arial Narrow" w:hAnsi="Arial Narrow"/>
          <w:b/>
          <w:szCs w:val="24"/>
        </w:rPr>
        <w:t>osahovaného pokroku vrátane plnenia</w:t>
      </w:r>
      <w:r w:rsidR="00793C93" w:rsidRPr="00793C93">
        <w:rPr>
          <w:rFonts w:ascii="Arial Narrow" w:hAnsi="Arial Narrow"/>
          <w:b/>
          <w:szCs w:val="24"/>
        </w:rPr>
        <w:t xml:space="preserve"> cieľov </w:t>
      </w:r>
      <w:r w:rsidR="00793C93">
        <w:rPr>
          <w:rFonts w:ascii="Arial Narrow" w:hAnsi="Arial Narrow"/>
          <w:szCs w:val="24"/>
        </w:rPr>
        <w:t xml:space="preserve">stratégie SR </w:t>
      </w:r>
      <w:r w:rsidR="00793C93" w:rsidRPr="00793C93">
        <w:rPr>
          <w:rFonts w:ascii="Arial Narrow" w:hAnsi="Arial Narrow"/>
          <w:szCs w:val="24"/>
        </w:rPr>
        <w:t>pre integráciu Rómov do roku 2020</w:t>
      </w:r>
      <w:r w:rsidRPr="00A12FFB">
        <w:rPr>
          <w:rFonts w:ascii="Arial Narrow" w:hAnsi="Arial Narrow"/>
          <w:szCs w:val="24"/>
        </w:rPr>
        <w:t xml:space="preserve">. </w:t>
      </w:r>
    </w:p>
    <w:p w14:paraId="6F3C93E6" w14:textId="0202CFA0" w:rsidR="00A455A6" w:rsidRDefault="003E31A0" w:rsidP="003E31A0">
      <w:pPr>
        <w:spacing w:after="0" w:line="240" w:lineRule="auto"/>
        <w:rPr>
          <w:rFonts w:ascii="Arial Narrow" w:hAnsi="Arial Narrow"/>
        </w:rPr>
      </w:pPr>
      <w:r>
        <w:rPr>
          <w:rFonts w:ascii="Arial Narrow" w:hAnsi="Arial Narrow"/>
        </w:rPr>
        <w:br w:type="page"/>
      </w:r>
    </w:p>
    <w:p w14:paraId="0B6F5404" w14:textId="77777777" w:rsidR="00682C07" w:rsidRPr="00A455A6" w:rsidRDefault="00682C07" w:rsidP="00A877C3">
      <w:pPr>
        <w:pStyle w:val="Odsekzoznamu"/>
        <w:numPr>
          <w:ilvl w:val="0"/>
          <w:numId w:val="3"/>
        </w:numPr>
        <w:spacing w:after="0" w:line="240" w:lineRule="auto"/>
        <w:ind w:left="425" w:hanging="425"/>
        <w:jc w:val="both"/>
        <w:rPr>
          <w:rFonts w:ascii="Arial Narrow" w:hAnsi="Arial Narrow"/>
          <w:b/>
          <w:i/>
          <w:szCs w:val="36"/>
          <w:lang w:eastAsia="en-US"/>
        </w:rPr>
      </w:pPr>
      <w:r w:rsidRPr="00A455A6">
        <w:rPr>
          <w:rFonts w:ascii="Arial Narrow" w:hAnsi="Arial Narrow"/>
          <w:b/>
          <w:sz w:val="24"/>
          <w:szCs w:val="24"/>
        </w:rPr>
        <w:lastRenderedPageBreak/>
        <w:t>Efektívnosť a transparentnosť verejnej správy, podnikateľské prostredie</w:t>
      </w:r>
    </w:p>
    <w:p w14:paraId="48F6DA85" w14:textId="77777777" w:rsidR="00682C07" w:rsidRPr="00A455A6" w:rsidRDefault="00682C07" w:rsidP="00FB625E">
      <w:pPr>
        <w:spacing w:after="0" w:line="240" w:lineRule="auto"/>
        <w:jc w:val="both"/>
        <w:rPr>
          <w:rFonts w:ascii="Arial Narrow" w:hAnsi="Arial Narrow"/>
          <w:b/>
          <w:szCs w:val="24"/>
        </w:rPr>
      </w:pPr>
    </w:p>
    <w:p w14:paraId="4129FB94" w14:textId="77777777" w:rsidR="00682C07" w:rsidRPr="00554B02" w:rsidRDefault="00682C07" w:rsidP="00FB625E">
      <w:pPr>
        <w:spacing w:after="240" w:line="240" w:lineRule="auto"/>
        <w:jc w:val="both"/>
        <w:rPr>
          <w:rFonts w:ascii="Arial Narrow" w:hAnsi="Arial Narrow"/>
          <w:b/>
          <w:i/>
        </w:rPr>
      </w:pPr>
      <w:r w:rsidRPr="00B47351">
        <w:rPr>
          <w:rFonts w:ascii="Arial Narrow" w:hAnsi="Arial Narrow"/>
          <w:b/>
          <w:i/>
          <w:szCs w:val="36"/>
          <w:lang w:eastAsia="en-US"/>
        </w:rPr>
        <w:t xml:space="preserve">Špecifické odporúčanie Rady: </w:t>
      </w:r>
      <w:r w:rsidR="00554B02" w:rsidRPr="00554B02">
        <w:rPr>
          <w:rFonts w:ascii="Arial Narrow" w:hAnsi="Arial Narrow"/>
          <w:b/>
          <w:i/>
        </w:rPr>
        <w:t>Zvýšiť konkurenciu a transparentnosť vo verejnom obstarávaní a posilniť boj proti korupcii dôraznejším presadzovaním platných právnych predpisov. Prijať a vykonať komplexný plán na zníženie administratívnych a regulačných prekážok pre podnikateľov. Zlepšiť účinnosť justičného systému vrátane skrátenia konaní v občianskych a obchodných veciach.</w:t>
      </w:r>
    </w:p>
    <w:p w14:paraId="02A53FC0" w14:textId="659A53D1" w:rsidR="00A455A6" w:rsidRDefault="007D2366" w:rsidP="00FB625E">
      <w:pPr>
        <w:spacing w:after="0" w:line="240" w:lineRule="auto"/>
        <w:jc w:val="both"/>
        <w:rPr>
          <w:rFonts w:ascii="Arial Narrow" w:hAnsi="Arial Narrow"/>
          <w:i/>
          <w:color w:val="000000" w:themeColor="text1"/>
        </w:rPr>
      </w:pPr>
      <w:r w:rsidRPr="003261C4">
        <w:rPr>
          <w:rFonts w:ascii="Arial Narrow" w:hAnsi="Arial Narrow"/>
          <w:i/>
          <w:color w:val="000000" w:themeColor="text1"/>
        </w:rPr>
        <w:t xml:space="preserve">Pre zvýšenie transparentnosti vo verejnom obstarávaní bol s účinnosťou od februára 2017 schválený tzv. </w:t>
      </w:r>
      <w:proofErr w:type="spellStart"/>
      <w:r w:rsidRPr="003261C4">
        <w:rPr>
          <w:rFonts w:ascii="Arial Narrow" w:hAnsi="Arial Narrow"/>
          <w:i/>
          <w:color w:val="000000" w:themeColor="text1"/>
        </w:rPr>
        <w:t>protischránkový</w:t>
      </w:r>
      <w:proofErr w:type="spellEnd"/>
      <w:r w:rsidRPr="003261C4">
        <w:rPr>
          <w:rFonts w:ascii="Arial Narrow" w:hAnsi="Arial Narrow"/>
          <w:i/>
          <w:color w:val="000000" w:themeColor="text1"/>
        </w:rPr>
        <w:t xml:space="preserve"> zákon</w:t>
      </w:r>
      <w:r w:rsidRPr="003261C4">
        <w:rPr>
          <w:rFonts w:ascii="Arial Narrow" w:hAnsi="Arial Narrow"/>
          <w:i/>
          <w:color w:val="000000" w:themeColor="text1"/>
          <w:shd w:val="clear" w:color="auto" w:fill="FFFFFF"/>
        </w:rPr>
        <w:t>.</w:t>
      </w:r>
      <w:r>
        <w:rPr>
          <w:rFonts w:ascii="Arial Narrow" w:hAnsi="Arial Narrow"/>
          <w:i/>
          <w:color w:val="000000" w:themeColor="text1"/>
          <w:shd w:val="clear" w:color="auto" w:fill="FFFFFF"/>
        </w:rPr>
        <w:t xml:space="preserve"> </w:t>
      </w:r>
      <w:r w:rsidRPr="00313DFD">
        <w:rPr>
          <w:rFonts w:ascii="Arial Narrow" w:hAnsi="Arial Narrow"/>
          <w:i/>
          <w:color w:val="000000" w:themeColor="text1"/>
        </w:rPr>
        <w:t xml:space="preserve">Novela </w:t>
      </w:r>
      <w:r w:rsidR="007575B8">
        <w:rPr>
          <w:rFonts w:ascii="Arial Narrow" w:hAnsi="Arial Narrow"/>
          <w:i/>
          <w:color w:val="000000" w:themeColor="text1"/>
        </w:rPr>
        <w:t xml:space="preserve">zákona o konkurze a reštrukturalizácii </w:t>
      </w:r>
      <w:r w:rsidRPr="00313DFD">
        <w:rPr>
          <w:rFonts w:ascii="Arial Narrow" w:hAnsi="Arial Narrow"/>
          <w:i/>
          <w:color w:val="000000" w:themeColor="text1"/>
        </w:rPr>
        <w:t>prin</w:t>
      </w:r>
      <w:r>
        <w:rPr>
          <w:rFonts w:ascii="Arial Narrow" w:hAnsi="Arial Narrow"/>
          <w:i/>
          <w:color w:val="000000" w:themeColor="text1"/>
        </w:rPr>
        <w:t>áša</w:t>
      </w:r>
      <w:r w:rsidRPr="00313DFD">
        <w:rPr>
          <w:rFonts w:ascii="Arial Narrow" w:hAnsi="Arial Narrow"/>
          <w:i/>
          <w:color w:val="000000" w:themeColor="text1"/>
        </w:rPr>
        <w:t xml:space="preserve"> dostupnejší osobný bankrot pre fyzické osoby</w:t>
      </w:r>
      <w:r w:rsidR="007C6B10">
        <w:rPr>
          <w:rFonts w:ascii="Arial Narrow" w:hAnsi="Arial Narrow"/>
          <w:i/>
          <w:color w:val="000000" w:themeColor="text1"/>
        </w:rPr>
        <w:t xml:space="preserve"> a prísnejšiu reguláciu v tzv. veľkej reštrukturalizácii</w:t>
      </w:r>
      <w:r w:rsidRPr="00313DFD">
        <w:rPr>
          <w:rFonts w:ascii="Arial Narrow" w:hAnsi="Arial Narrow"/>
          <w:i/>
          <w:color w:val="000000" w:themeColor="text1"/>
        </w:rPr>
        <w:t xml:space="preserve">. Zmeny s pozitívnym vplyvom aj na podnikateľské prostredie </w:t>
      </w:r>
      <w:r>
        <w:rPr>
          <w:rFonts w:ascii="Arial Narrow" w:hAnsi="Arial Narrow"/>
          <w:i/>
          <w:color w:val="000000" w:themeColor="text1"/>
        </w:rPr>
        <w:t>boli prijaté</w:t>
      </w:r>
      <w:r w:rsidRPr="00313DFD">
        <w:rPr>
          <w:rFonts w:ascii="Arial Narrow" w:hAnsi="Arial Narrow"/>
          <w:i/>
          <w:color w:val="000000" w:themeColor="text1"/>
        </w:rPr>
        <w:t xml:space="preserve"> v procese súdnej reštrukturalizácie</w:t>
      </w:r>
      <w:r w:rsidR="007C6B10">
        <w:rPr>
          <w:rFonts w:ascii="Arial Narrow" w:hAnsi="Arial Narrow"/>
          <w:i/>
          <w:color w:val="000000" w:themeColor="text1"/>
        </w:rPr>
        <w:t xml:space="preserve">, </w:t>
      </w:r>
      <w:r w:rsidR="003C20E2">
        <w:rPr>
          <w:rFonts w:ascii="Arial Narrow" w:hAnsi="Arial Narrow"/>
          <w:i/>
          <w:color w:val="000000" w:themeColor="text1"/>
        </w:rPr>
        <w:t xml:space="preserve">v </w:t>
      </w:r>
      <w:r w:rsidR="007C6B10">
        <w:rPr>
          <w:rFonts w:ascii="Arial Narrow" w:hAnsi="Arial Narrow"/>
          <w:i/>
          <w:color w:val="000000" w:themeColor="text1"/>
        </w:rPr>
        <w:t>obchodnom zákonníku</w:t>
      </w:r>
      <w:r w:rsidRPr="00313DFD">
        <w:rPr>
          <w:rFonts w:ascii="Arial Narrow" w:hAnsi="Arial Narrow"/>
          <w:i/>
          <w:color w:val="000000" w:themeColor="text1"/>
        </w:rPr>
        <w:t xml:space="preserve"> a</w:t>
      </w:r>
      <w:r w:rsidR="003C20E2">
        <w:rPr>
          <w:rFonts w:ascii="Arial Narrow" w:hAnsi="Arial Narrow"/>
          <w:i/>
          <w:color w:val="000000" w:themeColor="text1"/>
        </w:rPr>
        <w:t xml:space="preserve"> vo </w:t>
      </w:r>
      <w:r w:rsidRPr="00313DFD">
        <w:rPr>
          <w:rFonts w:ascii="Arial Narrow" w:hAnsi="Arial Narrow"/>
          <w:i/>
          <w:color w:val="000000" w:themeColor="text1"/>
        </w:rPr>
        <w:t>vymáhaní pohľadávok (súdne exekúcie).</w:t>
      </w:r>
    </w:p>
    <w:p w14:paraId="188B5A35" w14:textId="77777777" w:rsidR="007D2366" w:rsidRDefault="007D2366" w:rsidP="00FB625E">
      <w:pPr>
        <w:spacing w:after="0" w:line="240" w:lineRule="auto"/>
        <w:jc w:val="both"/>
        <w:rPr>
          <w:rFonts w:ascii="Arial Narrow" w:hAnsi="Arial Narrow"/>
          <w:i/>
          <w:color w:val="000000" w:themeColor="text1"/>
        </w:rPr>
      </w:pPr>
    </w:p>
    <w:p w14:paraId="3510523D" w14:textId="77777777" w:rsidR="007D2366" w:rsidRPr="00E5166C" w:rsidRDefault="007D2366" w:rsidP="007D2366">
      <w:pPr>
        <w:spacing w:after="0" w:line="240" w:lineRule="auto"/>
        <w:jc w:val="both"/>
        <w:rPr>
          <w:rFonts w:ascii="Arial Narrow" w:hAnsi="Arial Narrow"/>
          <w:b/>
          <w:i/>
          <w:szCs w:val="24"/>
        </w:rPr>
      </w:pPr>
      <w:r w:rsidRPr="00E5166C">
        <w:rPr>
          <w:rFonts w:ascii="Arial Narrow" w:hAnsi="Arial Narrow"/>
          <w:b/>
          <w:i/>
          <w:szCs w:val="24"/>
        </w:rPr>
        <w:t>Verejné obstarávanie</w:t>
      </w:r>
      <w:r w:rsidR="00D56E79">
        <w:rPr>
          <w:rFonts w:ascii="Arial Narrow" w:hAnsi="Arial Narrow"/>
          <w:b/>
          <w:i/>
          <w:szCs w:val="24"/>
        </w:rPr>
        <w:t xml:space="preserve"> a analytické kapacity</w:t>
      </w:r>
    </w:p>
    <w:p w14:paraId="4E2FB45E" w14:textId="7AEFBC96" w:rsidR="00E5166C" w:rsidRPr="00D929AB" w:rsidRDefault="00E5166C" w:rsidP="00E5166C">
      <w:pPr>
        <w:spacing w:after="0" w:line="240" w:lineRule="auto"/>
        <w:jc w:val="both"/>
        <w:rPr>
          <w:rFonts w:ascii="Arial Narrow" w:hAnsi="Arial Narrow"/>
          <w:bCs/>
          <w:szCs w:val="24"/>
        </w:rPr>
      </w:pPr>
      <w:r w:rsidRPr="00267167">
        <w:rPr>
          <w:rFonts w:ascii="Arial Narrow" w:hAnsi="Arial Narrow"/>
          <w:bCs/>
          <w:szCs w:val="24"/>
        </w:rPr>
        <w:t>Novela</w:t>
      </w:r>
      <w:r>
        <w:rPr>
          <w:rFonts w:ascii="Arial Narrow" w:hAnsi="Arial Narrow"/>
          <w:bCs/>
          <w:szCs w:val="24"/>
        </w:rPr>
        <w:t xml:space="preserve"> zákona </w:t>
      </w:r>
      <w:r w:rsidRPr="00466D1D">
        <w:rPr>
          <w:rFonts w:ascii="Arial Narrow" w:hAnsi="Arial Narrow"/>
          <w:b/>
          <w:bCs/>
          <w:szCs w:val="24"/>
        </w:rPr>
        <w:t>o registri partnerov verejného sektora</w:t>
      </w:r>
      <w:r>
        <w:rPr>
          <w:rFonts w:ascii="Arial Narrow" w:hAnsi="Arial Narrow"/>
          <w:bCs/>
          <w:szCs w:val="24"/>
        </w:rPr>
        <w:t xml:space="preserve"> (tzv. </w:t>
      </w:r>
      <w:proofErr w:type="spellStart"/>
      <w:r>
        <w:rPr>
          <w:rFonts w:ascii="Arial Narrow" w:hAnsi="Arial Narrow"/>
          <w:bCs/>
          <w:szCs w:val="24"/>
        </w:rPr>
        <w:t>protischránkový</w:t>
      </w:r>
      <w:proofErr w:type="spellEnd"/>
      <w:r w:rsidR="003C20E2">
        <w:rPr>
          <w:rFonts w:ascii="Arial Narrow" w:hAnsi="Arial Narrow"/>
          <w:bCs/>
          <w:szCs w:val="24"/>
        </w:rPr>
        <w:t xml:space="preserve"> zákon) účinný od </w:t>
      </w:r>
      <w:r>
        <w:rPr>
          <w:rFonts w:ascii="Arial Narrow" w:hAnsi="Arial Narrow"/>
          <w:bCs/>
          <w:szCs w:val="24"/>
        </w:rPr>
        <w:t>februára 2017 priniesol vyššiu mieru transparentnosti do vzťahov medzi štátom a subjektmi, ktoré sa uchádzajú o verejné zdroje. Zákon odkrýva vlastnícku štruktúru firiem na úroveň konečného užívateľa výhod.</w:t>
      </w:r>
      <w:r w:rsidR="00260C1F">
        <w:rPr>
          <w:rFonts w:ascii="Arial Narrow" w:hAnsi="Arial Narrow"/>
          <w:bCs/>
          <w:szCs w:val="24"/>
        </w:rPr>
        <w:t xml:space="preserve"> </w:t>
      </w:r>
      <w:r w:rsidR="00260C1F" w:rsidRPr="00EA0B0D">
        <w:rPr>
          <w:rFonts w:ascii="Arial Narrow" w:hAnsi="Arial Narrow"/>
          <w:bCs/>
          <w:szCs w:val="24"/>
        </w:rPr>
        <w:t xml:space="preserve">Prínos </w:t>
      </w:r>
      <w:r w:rsidR="00260C1F">
        <w:rPr>
          <w:rFonts w:ascii="Arial Narrow" w:hAnsi="Arial Narrow"/>
          <w:bCs/>
          <w:szCs w:val="24"/>
        </w:rPr>
        <w:t xml:space="preserve">novely </w:t>
      </w:r>
      <w:r w:rsidR="00260C1F" w:rsidRPr="00EA0B0D">
        <w:rPr>
          <w:rFonts w:ascii="Arial Narrow" w:hAnsi="Arial Narrow"/>
          <w:bCs/>
          <w:szCs w:val="24"/>
        </w:rPr>
        <w:t>v odhalení doteraz oficiálne nepoznaného vlastníctva je</w:t>
      </w:r>
      <w:r w:rsidR="002C10A4">
        <w:rPr>
          <w:rFonts w:ascii="Arial Narrow" w:hAnsi="Arial Narrow"/>
          <w:bCs/>
          <w:szCs w:val="24"/>
        </w:rPr>
        <w:t xml:space="preserve"> odhadom</w:t>
      </w:r>
      <w:r w:rsidR="003C20E2">
        <w:rPr>
          <w:rFonts w:ascii="Arial Narrow" w:hAnsi="Arial Narrow"/>
          <w:bCs/>
          <w:szCs w:val="24"/>
        </w:rPr>
        <w:t xml:space="preserve"> pri 10</w:t>
      </w:r>
      <w:r w:rsidR="009B3B3D">
        <w:rPr>
          <w:rFonts w:ascii="Arial Narrow" w:hAnsi="Arial Narrow"/>
          <w:bCs/>
          <w:szCs w:val="24"/>
        </w:rPr>
        <w:t xml:space="preserve"> % </w:t>
      </w:r>
      <w:r w:rsidR="00260C1F" w:rsidRPr="00EA0B0D">
        <w:rPr>
          <w:rFonts w:ascii="Arial Narrow" w:hAnsi="Arial Narrow"/>
          <w:bCs/>
          <w:szCs w:val="24"/>
        </w:rPr>
        <w:t>firiem v</w:t>
      </w:r>
      <w:r w:rsidR="00260C1F">
        <w:rPr>
          <w:rFonts w:ascii="Arial Narrow" w:hAnsi="Arial Narrow"/>
          <w:bCs/>
          <w:szCs w:val="24"/>
        </w:rPr>
        <w:t xml:space="preserve"> novom</w:t>
      </w:r>
      <w:r w:rsidR="00260C1F" w:rsidRPr="00EA0B0D">
        <w:rPr>
          <w:rFonts w:ascii="Arial Narrow" w:hAnsi="Arial Narrow"/>
          <w:bCs/>
          <w:szCs w:val="24"/>
        </w:rPr>
        <w:t xml:space="preserve"> registri </w:t>
      </w:r>
      <w:r w:rsidR="00260C1F">
        <w:rPr>
          <w:rFonts w:ascii="Arial Narrow" w:hAnsi="Arial Narrow"/>
          <w:bCs/>
          <w:szCs w:val="24"/>
        </w:rPr>
        <w:t>(</w:t>
      </w:r>
      <w:r w:rsidR="00260C1F" w:rsidRPr="00EA0B0D">
        <w:rPr>
          <w:rFonts w:ascii="Arial Narrow" w:hAnsi="Arial Narrow"/>
          <w:bCs/>
          <w:szCs w:val="24"/>
        </w:rPr>
        <w:t>zhruba 800 spoločnostiach</w:t>
      </w:r>
      <w:r w:rsidR="00260C1F">
        <w:rPr>
          <w:rFonts w:ascii="Arial Narrow" w:hAnsi="Arial Narrow"/>
          <w:bCs/>
          <w:szCs w:val="24"/>
        </w:rPr>
        <w:t>)</w:t>
      </w:r>
      <w:r w:rsidR="00260C1F">
        <w:rPr>
          <w:rStyle w:val="Odkaznapoznmkupodiarou"/>
          <w:rFonts w:ascii="Arial Narrow" w:hAnsi="Arial Narrow"/>
          <w:bCs/>
          <w:szCs w:val="24"/>
        </w:rPr>
        <w:footnoteReference w:id="13"/>
      </w:r>
      <w:r w:rsidR="00260C1F" w:rsidRPr="00F07289">
        <w:rPr>
          <w:rFonts w:ascii="Arial Narrow" w:hAnsi="Arial Narrow"/>
          <w:b/>
          <w:bCs/>
          <w:szCs w:val="24"/>
        </w:rPr>
        <w:t>.</w:t>
      </w:r>
    </w:p>
    <w:p w14:paraId="17275B8F" w14:textId="77777777" w:rsidR="003E69F2" w:rsidRDefault="003E69F2" w:rsidP="00E5166C">
      <w:pPr>
        <w:spacing w:after="0" w:line="240" w:lineRule="auto"/>
        <w:jc w:val="both"/>
        <w:rPr>
          <w:rFonts w:ascii="Arial Narrow" w:hAnsi="Arial Narrow"/>
          <w:bCs/>
          <w:szCs w:val="24"/>
        </w:rPr>
      </w:pPr>
    </w:p>
    <w:p w14:paraId="5BF03585" w14:textId="77777777" w:rsidR="003E69F2" w:rsidRDefault="003E69F2" w:rsidP="00E5166C">
      <w:pPr>
        <w:spacing w:after="0" w:line="240" w:lineRule="auto"/>
        <w:jc w:val="both"/>
        <w:rPr>
          <w:rFonts w:ascii="Arial Narrow" w:hAnsi="Arial Narrow"/>
          <w:bCs/>
          <w:szCs w:val="24"/>
        </w:rPr>
      </w:pPr>
      <w:r>
        <w:rPr>
          <w:rFonts w:ascii="Arial Narrow" w:hAnsi="Arial Narrow"/>
          <w:bCs/>
          <w:szCs w:val="24"/>
        </w:rPr>
        <w:t xml:space="preserve">Úrad pre verejné obstarávanie vytvoril </w:t>
      </w:r>
      <w:r w:rsidR="008B1360">
        <w:rPr>
          <w:rFonts w:ascii="Arial Narrow" w:hAnsi="Arial Narrow"/>
          <w:bCs/>
          <w:szCs w:val="24"/>
        </w:rPr>
        <w:t>metodologickú</w:t>
      </w:r>
      <w:r>
        <w:rPr>
          <w:rFonts w:ascii="Arial Narrow" w:hAnsi="Arial Narrow"/>
          <w:bCs/>
          <w:szCs w:val="24"/>
        </w:rPr>
        <w:t xml:space="preserve"> príručku vychádzajúcu z </w:t>
      </w:r>
      <w:r w:rsidRPr="003C20E2">
        <w:rPr>
          <w:rFonts w:ascii="Arial Narrow" w:hAnsi="Arial Narrow"/>
          <w:bCs/>
          <w:i/>
          <w:szCs w:val="24"/>
        </w:rPr>
        <w:t>Jednotného európskeho dokumentu pre obstarávanie</w:t>
      </w:r>
      <w:r>
        <w:rPr>
          <w:rFonts w:ascii="Arial Narrow" w:hAnsi="Arial Narrow"/>
          <w:bCs/>
          <w:szCs w:val="24"/>
        </w:rPr>
        <w:t xml:space="preserve">. </w:t>
      </w:r>
      <w:r w:rsidR="00644958">
        <w:rPr>
          <w:rFonts w:ascii="Arial Narrow" w:hAnsi="Arial Narrow"/>
          <w:bCs/>
          <w:szCs w:val="24"/>
        </w:rPr>
        <w:t xml:space="preserve">Dokument </w:t>
      </w:r>
      <w:r>
        <w:rPr>
          <w:rFonts w:ascii="Arial Narrow" w:hAnsi="Arial Narrow"/>
          <w:bCs/>
          <w:szCs w:val="24"/>
        </w:rPr>
        <w:t xml:space="preserve">má zabezpečiť lepšiu aplikáciu </w:t>
      </w:r>
      <w:r w:rsidR="004E1E27">
        <w:rPr>
          <w:rFonts w:ascii="Arial Narrow" w:hAnsi="Arial Narrow"/>
          <w:bCs/>
          <w:szCs w:val="24"/>
        </w:rPr>
        <w:t>e</w:t>
      </w:r>
      <w:r>
        <w:rPr>
          <w:rFonts w:ascii="Arial Narrow" w:hAnsi="Arial Narrow"/>
          <w:bCs/>
          <w:szCs w:val="24"/>
        </w:rPr>
        <w:t>urópskej smernice v praxi.</w:t>
      </w:r>
    </w:p>
    <w:p w14:paraId="29420E7A" w14:textId="77777777" w:rsidR="00C61B85" w:rsidRDefault="00C61B85" w:rsidP="00E5166C">
      <w:pPr>
        <w:spacing w:after="0" w:line="240" w:lineRule="auto"/>
        <w:jc w:val="both"/>
        <w:rPr>
          <w:rFonts w:ascii="Arial Narrow" w:hAnsi="Arial Narrow"/>
          <w:bCs/>
          <w:szCs w:val="24"/>
        </w:rPr>
      </w:pPr>
    </w:p>
    <w:p w14:paraId="66322C05" w14:textId="423B4CBC" w:rsidR="00C61B85" w:rsidRDefault="00C61B85" w:rsidP="00C61B85">
      <w:pPr>
        <w:spacing w:after="0" w:line="240" w:lineRule="auto"/>
        <w:jc w:val="both"/>
        <w:rPr>
          <w:rFonts w:ascii="Arial Narrow" w:hAnsi="Arial Narrow"/>
        </w:rPr>
      </w:pPr>
      <w:r w:rsidRPr="00C61B85">
        <w:rPr>
          <w:rFonts w:ascii="Arial Narrow" w:hAnsi="Arial Narrow"/>
          <w:b/>
        </w:rPr>
        <w:t>Kapacity štátnej správy</w:t>
      </w:r>
      <w:r>
        <w:rPr>
          <w:rFonts w:ascii="Arial Narrow" w:hAnsi="Arial Narrow"/>
        </w:rPr>
        <w:t xml:space="preserve"> boli naďalej podporované v rámci </w:t>
      </w:r>
      <w:r w:rsidR="003F7B42">
        <w:rPr>
          <w:rFonts w:ascii="Arial Narrow" w:hAnsi="Arial Narrow"/>
        </w:rPr>
        <w:t>O</w:t>
      </w:r>
      <w:r w:rsidR="003C20E2">
        <w:rPr>
          <w:rFonts w:ascii="Arial Narrow" w:hAnsi="Arial Narrow"/>
        </w:rPr>
        <w:t>peračného programu Efektívna verejná správa (</w:t>
      </w:r>
      <w:r>
        <w:rPr>
          <w:rFonts w:ascii="Arial Narrow" w:hAnsi="Arial Narrow"/>
        </w:rPr>
        <w:t>OP EVS</w:t>
      </w:r>
      <w:r w:rsidR="003C20E2">
        <w:rPr>
          <w:rFonts w:ascii="Arial Narrow" w:hAnsi="Arial Narrow"/>
        </w:rPr>
        <w:t xml:space="preserve">) – </w:t>
      </w:r>
      <w:r>
        <w:rPr>
          <w:rFonts w:ascii="Arial Narrow" w:hAnsi="Arial Narrow"/>
        </w:rPr>
        <w:t xml:space="preserve">projekty </w:t>
      </w:r>
      <w:r w:rsidRPr="003C5634">
        <w:rPr>
          <w:rFonts w:ascii="Arial Narrow" w:hAnsi="Arial Narrow"/>
          <w:i/>
        </w:rPr>
        <w:t>Hodnoty za peniaze</w:t>
      </w:r>
      <w:r w:rsidR="003C20E2">
        <w:rPr>
          <w:rFonts w:ascii="Arial Narrow" w:hAnsi="Arial Narrow"/>
        </w:rPr>
        <w:t xml:space="preserve"> a </w:t>
      </w:r>
      <w:r w:rsidRPr="003C5634">
        <w:rPr>
          <w:rFonts w:ascii="Arial Narrow" w:hAnsi="Arial Narrow"/>
          <w:i/>
        </w:rPr>
        <w:t>Budovanie analytických kapacít</w:t>
      </w:r>
      <w:r w:rsidR="003C20E2">
        <w:rPr>
          <w:rFonts w:ascii="Arial Narrow" w:hAnsi="Arial Narrow"/>
        </w:rPr>
        <w:t xml:space="preserve">. </w:t>
      </w:r>
      <w:r w:rsidR="00FF67B2">
        <w:rPr>
          <w:rFonts w:ascii="Arial Narrow" w:hAnsi="Arial Narrow"/>
        </w:rPr>
        <w:t xml:space="preserve">Personálne sa posilňovali </w:t>
      </w:r>
      <w:r w:rsidR="003C20E2">
        <w:rPr>
          <w:rFonts w:ascii="Arial Narrow" w:hAnsi="Arial Narrow"/>
        </w:rPr>
        <w:t>existujúce</w:t>
      </w:r>
      <w:r w:rsidR="00FF67B2">
        <w:rPr>
          <w:rFonts w:ascii="Arial Narrow" w:hAnsi="Arial Narrow"/>
        </w:rPr>
        <w:t xml:space="preserve"> analytické útvary. </w:t>
      </w:r>
      <w:r>
        <w:rPr>
          <w:rFonts w:ascii="Arial Narrow" w:hAnsi="Arial Narrow"/>
        </w:rPr>
        <w:t>V priebehu rok</w:t>
      </w:r>
      <w:r w:rsidR="00776C49">
        <w:rPr>
          <w:rFonts w:ascii="Arial Narrow" w:hAnsi="Arial Narrow"/>
        </w:rPr>
        <w:t>a</w:t>
      </w:r>
      <w:r>
        <w:rPr>
          <w:rFonts w:ascii="Arial Narrow" w:hAnsi="Arial Narrow"/>
        </w:rPr>
        <w:t xml:space="preserve"> 2017 vzn</w:t>
      </w:r>
      <w:r w:rsidR="003C20E2">
        <w:rPr>
          <w:rFonts w:ascii="Arial Narrow" w:hAnsi="Arial Narrow"/>
        </w:rPr>
        <w:t>ikli nové analytické útvary na rezortoch</w:t>
      </w:r>
      <w:r>
        <w:rPr>
          <w:rFonts w:ascii="Arial Narrow" w:hAnsi="Arial Narrow"/>
        </w:rPr>
        <w:t xml:space="preserve"> pôdohospodárstva</w:t>
      </w:r>
      <w:r w:rsidR="007575B8">
        <w:rPr>
          <w:rFonts w:ascii="Arial Narrow" w:hAnsi="Arial Narrow"/>
        </w:rPr>
        <w:t>,</w:t>
      </w:r>
      <w:r w:rsidR="00315CED">
        <w:rPr>
          <w:rFonts w:ascii="Arial Narrow" w:hAnsi="Arial Narrow"/>
        </w:rPr>
        <w:t xml:space="preserve"> </w:t>
      </w:r>
      <w:r w:rsidR="003C20E2">
        <w:rPr>
          <w:rFonts w:ascii="Arial Narrow" w:hAnsi="Arial Narrow"/>
        </w:rPr>
        <w:t xml:space="preserve">práce a kultúry, </w:t>
      </w:r>
      <w:r>
        <w:rPr>
          <w:rFonts w:ascii="Arial Narrow" w:hAnsi="Arial Narrow"/>
        </w:rPr>
        <w:t>Úrade pre verejné obstarávanie a </w:t>
      </w:r>
      <w:r w:rsidR="00315CED">
        <w:rPr>
          <w:rFonts w:ascii="Arial Narrow" w:hAnsi="Arial Narrow"/>
        </w:rPr>
        <w:t>Ú</w:t>
      </w:r>
      <w:r>
        <w:rPr>
          <w:rFonts w:ascii="Arial Narrow" w:hAnsi="Arial Narrow"/>
        </w:rPr>
        <w:t>rade podpredsedu vlády pre investície a</w:t>
      </w:r>
      <w:r w:rsidR="00315CED">
        <w:rPr>
          <w:rFonts w:ascii="Arial Narrow" w:hAnsi="Arial Narrow"/>
        </w:rPr>
        <w:t> </w:t>
      </w:r>
      <w:r>
        <w:rPr>
          <w:rFonts w:ascii="Arial Narrow" w:hAnsi="Arial Narrow"/>
        </w:rPr>
        <w:t>informatizáciu</w:t>
      </w:r>
      <w:r w:rsidR="00315CED">
        <w:rPr>
          <w:rFonts w:ascii="Arial Narrow" w:hAnsi="Arial Narrow"/>
        </w:rPr>
        <w:t xml:space="preserve"> (ÚPVII)</w:t>
      </w:r>
      <w:r>
        <w:rPr>
          <w:rFonts w:ascii="Arial Narrow" w:hAnsi="Arial Narrow"/>
        </w:rPr>
        <w:t>.</w:t>
      </w:r>
    </w:p>
    <w:p w14:paraId="2DCFA385" w14:textId="77777777" w:rsidR="00C950C1" w:rsidRDefault="00C950C1" w:rsidP="00C61B85">
      <w:pPr>
        <w:spacing w:after="0" w:line="240" w:lineRule="auto"/>
        <w:jc w:val="both"/>
        <w:rPr>
          <w:rFonts w:ascii="Arial Narrow" w:hAnsi="Arial Narrow"/>
        </w:rPr>
      </w:pPr>
    </w:p>
    <w:p w14:paraId="11C0E7C8" w14:textId="58471D5D" w:rsidR="004E1E27" w:rsidRPr="004E1E27" w:rsidRDefault="00C950C1" w:rsidP="00C61B85">
      <w:pPr>
        <w:spacing w:after="0" w:line="240" w:lineRule="auto"/>
        <w:jc w:val="both"/>
        <w:rPr>
          <w:rFonts w:ascii="Arial Narrow" w:hAnsi="Arial Narrow"/>
        </w:rPr>
      </w:pPr>
      <w:r>
        <w:rPr>
          <w:rFonts w:ascii="Arial Narrow" w:hAnsi="Arial Narrow"/>
        </w:rPr>
        <w:t>V</w:t>
      </w:r>
      <w:r w:rsidR="004E1E27">
        <w:rPr>
          <w:rFonts w:ascii="Arial Narrow" w:hAnsi="Arial Narrow"/>
        </w:rPr>
        <w:t xml:space="preserve"> rámci </w:t>
      </w:r>
      <w:r w:rsidRPr="004E1E27">
        <w:rPr>
          <w:rFonts w:ascii="Arial Narrow" w:hAnsi="Arial Narrow"/>
          <w:b/>
        </w:rPr>
        <w:t xml:space="preserve">programu </w:t>
      </w:r>
      <w:r w:rsidRPr="004E1E27">
        <w:rPr>
          <w:rFonts w:ascii="Arial Narrow" w:hAnsi="Arial Narrow"/>
          <w:b/>
          <w:i/>
        </w:rPr>
        <w:t>Štipendium Martina Filka</w:t>
      </w:r>
      <w:r>
        <w:rPr>
          <w:rFonts w:ascii="Arial Narrow" w:hAnsi="Arial Narrow"/>
          <w:i/>
        </w:rPr>
        <w:t xml:space="preserve"> </w:t>
      </w:r>
      <w:r>
        <w:rPr>
          <w:rFonts w:ascii="Arial Narrow" w:hAnsi="Arial Narrow"/>
        </w:rPr>
        <w:t>bolo cez výzvu MŠVVŠ</w:t>
      </w:r>
      <w:r w:rsidR="00FF67B2">
        <w:rPr>
          <w:rFonts w:ascii="Arial Narrow" w:hAnsi="Arial Narrow"/>
        </w:rPr>
        <w:t xml:space="preserve"> SR </w:t>
      </w:r>
      <w:r w:rsidR="004E1E27">
        <w:rPr>
          <w:rFonts w:ascii="Arial Narrow" w:hAnsi="Arial Narrow"/>
        </w:rPr>
        <w:t xml:space="preserve">podporené štúdium na najlepších vysokých školách vo svete deviatim študentom. Záujem o získanie štipendistu, ktorý sa </w:t>
      </w:r>
      <w:r w:rsidR="00531A3F">
        <w:rPr>
          <w:rFonts w:ascii="Arial Narrow" w:hAnsi="Arial Narrow"/>
        </w:rPr>
        <w:t xml:space="preserve">po ukončení štúdia </w:t>
      </w:r>
      <w:r w:rsidR="004E1E27">
        <w:rPr>
          <w:rFonts w:ascii="Arial Narrow" w:hAnsi="Arial Narrow"/>
        </w:rPr>
        <w:t>zaväzuje</w:t>
      </w:r>
      <w:r w:rsidR="00531A3F">
        <w:rPr>
          <w:rFonts w:ascii="Arial Narrow" w:hAnsi="Arial Narrow"/>
        </w:rPr>
        <w:t xml:space="preserve"> odpracovať v štátnej správe 3 roky</w:t>
      </w:r>
      <w:r w:rsidR="004E1E27">
        <w:rPr>
          <w:rFonts w:ascii="Arial Narrow" w:hAnsi="Arial Narrow"/>
        </w:rPr>
        <w:t xml:space="preserve">, </w:t>
      </w:r>
      <w:r w:rsidR="004E1E27" w:rsidRPr="004E1E27">
        <w:rPr>
          <w:rFonts w:ascii="Arial Narrow" w:hAnsi="Arial Narrow"/>
        </w:rPr>
        <w:t>prejavilo šes</w:t>
      </w:r>
      <w:r w:rsidR="004E1E27">
        <w:rPr>
          <w:rFonts w:ascii="Arial Narrow" w:hAnsi="Arial Narrow"/>
        </w:rPr>
        <w:t>ť ministerstiev a Úrad vlády SR</w:t>
      </w:r>
      <w:r w:rsidR="004E1E27" w:rsidRPr="004E1E27">
        <w:rPr>
          <w:rFonts w:ascii="Arial Narrow" w:hAnsi="Arial Narrow"/>
        </w:rPr>
        <w:t>.</w:t>
      </w:r>
      <w:r w:rsidR="00531A3F">
        <w:rPr>
          <w:rFonts w:ascii="Arial Narrow" w:hAnsi="Arial Narrow"/>
        </w:rPr>
        <w:t xml:space="preserve"> Okrem toho </w:t>
      </w:r>
      <w:r w:rsidR="004E1E27" w:rsidRPr="004E1E27">
        <w:rPr>
          <w:rFonts w:ascii="Arial Narrow" w:hAnsi="Arial Narrow"/>
        </w:rPr>
        <w:t xml:space="preserve">bolo </w:t>
      </w:r>
      <w:r w:rsidR="00531A3F">
        <w:rPr>
          <w:rFonts w:ascii="Arial Narrow" w:hAnsi="Arial Narrow"/>
        </w:rPr>
        <w:t xml:space="preserve">v roku 2017 </w:t>
      </w:r>
      <w:r w:rsidR="004E1E27" w:rsidRPr="004E1E27">
        <w:rPr>
          <w:rFonts w:ascii="Arial Narrow" w:hAnsi="Arial Narrow"/>
        </w:rPr>
        <w:t>schválených celkovo 33 pozícií oprávnených inšt</w:t>
      </w:r>
      <w:r w:rsidR="004E1E27" w:rsidRPr="007D1107">
        <w:rPr>
          <w:rFonts w:ascii="Arial Narrow" w:hAnsi="Arial Narrow"/>
        </w:rPr>
        <w:t xml:space="preserve">itúcií v rámci </w:t>
      </w:r>
      <w:r w:rsidR="004E1E27" w:rsidRPr="007D1107">
        <w:rPr>
          <w:rFonts w:ascii="Arial Narrow" w:hAnsi="Arial Narrow"/>
          <w:b/>
          <w:bCs/>
          <w:i/>
        </w:rPr>
        <w:t>Podpornej schémy na návrat odborníkov zo zahraničia</w:t>
      </w:r>
      <w:r w:rsidR="004E1E27" w:rsidRPr="006256A8">
        <w:rPr>
          <w:rFonts w:ascii="Arial Narrow" w:hAnsi="Arial Narrow"/>
          <w:b/>
          <w:bCs/>
        </w:rPr>
        <w:t xml:space="preserve">. </w:t>
      </w:r>
      <w:r w:rsidR="004E1E27" w:rsidRPr="001726B9">
        <w:rPr>
          <w:rFonts w:ascii="Arial Narrow" w:hAnsi="Arial Narrow"/>
          <w:bCs/>
        </w:rPr>
        <w:t>Obsadilo sa päť</w:t>
      </w:r>
      <w:r w:rsidR="004E1E27" w:rsidRPr="004E1E27">
        <w:rPr>
          <w:rFonts w:ascii="Arial Narrow" w:hAnsi="Arial Narrow"/>
          <w:bCs/>
        </w:rPr>
        <w:t xml:space="preserve"> pozícií, </w:t>
      </w:r>
      <w:r w:rsidR="004E1E27" w:rsidRPr="004E1E27">
        <w:rPr>
          <w:rFonts w:ascii="Arial Narrow" w:hAnsi="Arial Narrow"/>
        </w:rPr>
        <w:t>čo predstavuje pokles oproti ôsmim obsadeným pozíciám v roku 2016.</w:t>
      </w:r>
    </w:p>
    <w:p w14:paraId="30889B8E" w14:textId="77777777" w:rsidR="00AE35E3" w:rsidRPr="009C19FF" w:rsidRDefault="00AE35E3" w:rsidP="00FB625E">
      <w:pPr>
        <w:spacing w:after="0" w:line="240" w:lineRule="auto"/>
        <w:jc w:val="both"/>
        <w:rPr>
          <w:rFonts w:ascii="Arial Narrow" w:hAnsi="Arial Narrow"/>
          <w:szCs w:val="24"/>
          <w:highlight w:val="yellow"/>
        </w:rPr>
      </w:pPr>
    </w:p>
    <w:p w14:paraId="03C45D66" w14:textId="77777777" w:rsidR="00267167" w:rsidRDefault="00682C07" w:rsidP="00E123D7">
      <w:pPr>
        <w:spacing w:after="0" w:line="240" w:lineRule="auto"/>
        <w:jc w:val="both"/>
        <w:rPr>
          <w:rFonts w:ascii="Arial Narrow" w:hAnsi="Arial Narrow"/>
          <w:b/>
          <w:i/>
          <w:szCs w:val="24"/>
        </w:rPr>
      </w:pPr>
      <w:r w:rsidRPr="00E123D7">
        <w:rPr>
          <w:rFonts w:ascii="Arial Narrow" w:hAnsi="Arial Narrow"/>
          <w:b/>
          <w:i/>
          <w:szCs w:val="24"/>
        </w:rPr>
        <w:t>Súdnictvo</w:t>
      </w:r>
    </w:p>
    <w:p w14:paraId="1F3FB81F" w14:textId="2C8610E2" w:rsidR="00A7154B" w:rsidRDefault="00A7154B" w:rsidP="00E123D7">
      <w:pPr>
        <w:spacing w:after="0" w:line="240" w:lineRule="auto"/>
        <w:jc w:val="both"/>
        <w:rPr>
          <w:rFonts w:ascii="Arial Narrow" w:hAnsi="Arial Narrow"/>
          <w:b/>
          <w:i/>
          <w:szCs w:val="24"/>
        </w:rPr>
      </w:pPr>
      <w:r w:rsidRPr="003B12E6">
        <w:rPr>
          <w:rFonts w:ascii="Arial Narrow" w:hAnsi="Arial Narrow"/>
          <w:bCs/>
          <w:szCs w:val="24"/>
        </w:rPr>
        <w:t xml:space="preserve">Novela </w:t>
      </w:r>
      <w:r w:rsidR="007575B8">
        <w:rPr>
          <w:rFonts w:ascii="Arial Narrow" w:hAnsi="Arial Narrow"/>
          <w:b/>
          <w:bCs/>
          <w:szCs w:val="24"/>
        </w:rPr>
        <w:t>zákona o sudcoch a prísediacich</w:t>
      </w:r>
      <w:r w:rsidR="00991F65">
        <w:rPr>
          <w:rFonts w:ascii="Arial Narrow" w:hAnsi="Arial Narrow"/>
          <w:b/>
          <w:bCs/>
          <w:szCs w:val="24"/>
        </w:rPr>
        <w:t xml:space="preserve"> </w:t>
      </w:r>
      <w:r w:rsidR="00991F65">
        <w:rPr>
          <w:rFonts w:ascii="Arial Narrow" w:hAnsi="Arial Narrow"/>
          <w:bCs/>
          <w:szCs w:val="24"/>
        </w:rPr>
        <w:t>je</w:t>
      </w:r>
      <w:r>
        <w:rPr>
          <w:rFonts w:ascii="Arial Narrow" w:hAnsi="Arial Narrow"/>
          <w:bCs/>
          <w:szCs w:val="24"/>
        </w:rPr>
        <w:t xml:space="preserve"> účinná od </w:t>
      </w:r>
      <w:r w:rsidRPr="003B12E6">
        <w:rPr>
          <w:rFonts w:ascii="Arial Narrow" w:hAnsi="Arial Narrow"/>
          <w:bCs/>
          <w:szCs w:val="24"/>
        </w:rPr>
        <w:t>júla 2017</w:t>
      </w:r>
      <w:r w:rsidR="00991F65">
        <w:rPr>
          <w:rFonts w:ascii="Arial Narrow" w:hAnsi="Arial Narrow"/>
          <w:bCs/>
          <w:szCs w:val="24"/>
        </w:rPr>
        <w:t>. Jej cieľom je rýchlejšie a transparentnejšie obsadzovanie sudcovských pozícií. Novela</w:t>
      </w:r>
      <w:r w:rsidRPr="003B12E6">
        <w:rPr>
          <w:rFonts w:ascii="Arial Narrow" w:hAnsi="Arial Narrow"/>
          <w:bCs/>
          <w:szCs w:val="24"/>
        </w:rPr>
        <w:t xml:space="preserve"> zavádza </w:t>
      </w:r>
      <w:r w:rsidRPr="003B12E6">
        <w:rPr>
          <w:rFonts w:ascii="Arial Narrow" w:hAnsi="Arial Narrow"/>
          <w:szCs w:val="24"/>
        </w:rPr>
        <w:t>hromadné výberové konania na neobsadené miesta sudcov. Zároveň sa vytvoria profesionálne hodnotiace komisie sudcov. Táto novela posilňuje transparentnosť pr</w:t>
      </w:r>
      <w:r>
        <w:rPr>
          <w:rFonts w:ascii="Arial Narrow" w:hAnsi="Arial Narrow"/>
          <w:szCs w:val="24"/>
        </w:rPr>
        <w:t>ocesu výberu sudcov naštartovaného</w:t>
      </w:r>
      <w:r w:rsidRPr="003B12E6">
        <w:rPr>
          <w:rFonts w:ascii="Arial Narrow" w:hAnsi="Arial Narrow"/>
          <w:szCs w:val="24"/>
        </w:rPr>
        <w:t xml:space="preserve"> v júni 2016, kedy sa pri pravidlách</w:t>
      </w:r>
      <w:r w:rsidRPr="003B12E6">
        <w:rPr>
          <w:rFonts w:ascii="Arial Narrow" w:hAnsi="Arial Narrow"/>
          <w:bCs/>
          <w:szCs w:val="24"/>
        </w:rPr>
        <w:t xml:space="preserve"> pri výberových konaniach na miesta sudcov</w:t>
      </w:r>
      <w:r w:rsidRPr="003B12E6">
        <w:rPr>
          <w:rFonts w:ascii="Arial Narrow" w:hAnsi="Arial Narrow"/>
          <w:szCs w:val="24"/>
        </w:rPr>
        <w:t xml:space="preserve"> zvýšila o</w:t>
      </w:r>
      <w:r>
        <w:rPr>
          <w:rFonts w:ascii="Arial Narrow" w:hAnsi="Arial Narrow"/>
          <w:szCs w:val="24"/>
        </w:rPr>
        <w:t>bjektivizácia kritérií hodnotenia. Zaviedli sa</w:t>
      </w:r>
      <w:r w:rsidRPr="003B12E6">
        <w:rPr>
          <w:rFonts w:ascii="Arial Narrow" w:hAnsi="Arial Narrow"/>
          <w:szCs w:val="24"/>
        </w:rPr>
        <w:t xml:space="preserve"> rovnaké hodnotiace hárky aj pri ústnej časti výberového konania a</w:t>
      </w:r>
      <w:r>
        <w:rPr>
          <w:rFonts w:ascii="Arial Narrow" w:hAnsi="Arial Narrow"/>
          <w:szCs w:val="24"/>
        </w:rPr>
        <w:t> začali sa</w:t>
      </w:r>
      <w:r w:rsidRPr="003B12E6">
        <w:rPr>
          <w:rFonts w:ascii="Arial Narrow" w:hAnsi="Arial Narrow"/>
          <w:szCs w:val="24"/>
        </w:rPr>
        <w:t xml:space="preserve"> zverejňova</w:t>
      </w:r>
      <w:r>
        <w:rPr>
          <w:rFonts w:ascii="Arial Narrow" w:hAnsi="Arial Narrow"/>
          <w:szCs w:val="24"/>
        </w:rPr>
        <w:t>ť</w:t>
      </w:r>
      <w:r w:rsidRPr="003B12E6">
        <w:rPr>
          <w:rFonts w:ascii="Arial Narrow" w:hAnsi="Arial Narrow"/>
          <w:szCs w:val="24"/>
        </w:rPr>
        <w:t xml:space="preserve"> na internete</w:t>
      </w:r>
      <w:r w:rsidR="004E23D1">
        <w:rPr>
          <w:rFonts w:ascii="Arial Narrow" w:hAnsi="Arial Narrow"/>
          <w:szCs w:val="24"/>
        </w:rPr>
        <w:t>.</w:t>
      </w:r>
    </w:p>
    <w:p w14:paraId="6A873B3A" w14:textId="77777777" w:rsidR="00A7154B" w:rsidRPr="00E5166C" w:rsidRDefault="00A7154B" w:rsidP="00E123D7">
      <w:pPr>
        <w:spacing w:after="0" w:line="240" w:lineRule="auto"/>
        <w:jc w:val="both"/>
        <w:rPr>
          <w:rFonts w:ascii="Arial Narrow" w:hAnsi="Arial Narrow"/>
          <w:b/>
          <w:i/>
          <w:szCs w:val="24"/>
        </w:rPr>
      </w:pPr>
    </w:p>
    <w:p w14:paraId="60F8023A" w14:textId="5CFB19AE" w:rsidR="00A7154B" w:rsidRDefault="00267167" w:rsidP="00E123D7">
      <w:pPr>
        <w:spacing w:after="0" w:line="240" w:lineRule="auto"/>
        <w:jc w:val="both"/>
        <w:rPr>
          <w:rFonts w:ascii="Arial Narrow" w:hAnsi="Arial Narrow"/>
        </w:rPr>
      </w:pPr>
      <w:r>
        <w:rPr>
          <w:rFonts w:ascii="Arial Narrow" w:hAnsi="Arial Narrow"/>
        </w:rPr>
        <w:t xml:space="preserve">Novela zákona o konkurze a reštrukturalizácii (tzv. bankrotový zákon) znižuje od </w:t>
      </w:r>
      <w:r w:rsidR="00466D1D">
        <w:rPr>
          <w:rFonts w:ascii="Arial Narrow" w:hAnsi="Arial Narrow"/>
        </w:rPr>
        <w:t>začiatku</w:t>
      </w:r>
      <w:r>
        <w:rPr>
          <w:rFonts w:ascii="Arial Narrow" w:hAnsi="Arial Narrow"/>
        </w:rPr>
        <w:t xml:space="preserve"> </w:t>
      </w:r>
      <w:r w:rsidR="009B3B3D">
        <w:rPr>
          <w:rFonts w:ascii="Arial Narrow" w:hAnsi="Arial Narrow"/>
        </w:rPr>
        <w:t xml:space="preserve">roka </w:t>
      </w:r>
      <w:r>
        <w:rPr>
          <w:rFonts w:ascii="Arial Narrow" w:hAnsi="Arial Narrow"/>
        </w:rPr>
        <w:t xml:space="preserve">2017 náklady spojené so začatím konania o </w:t>
      </w:r>
      <w:r>
        <w:rPr>
          <w:rFonts w:ascii="Arial Narrow" w:hAnsi="Arial Narrow"/>
          <w:b/>
        </w:rPr>
        <w:t>osobnom</w:t>
      </w:r>
      <w:r w:rsidRPr="00195F57">
        <w:rPr>
          <w:rFonts w:ascii="Arial Narrow" w:hAnsi="Arial Narrow"/>
          <w:b/>
        </w:rPr>
        <w:t xml:space="preserve"> bankrot</w:t>
      </w:r>
      <w:r>
        <w:rPr>
          <w:rFonts w:ascii="Arial Narrow" w:hAnsi="Arial Narrow"/>
          <w:b/>
        </w:rPr>
        <w:t>e</w:t>
      </w:r>
      <w:r>
        <w:rPr>
          <w:rFonts w:ascii="Arial Narrow" w:hAnsi="Arial Narrow"/>
        </w:rPr>
        <w:t xml:space="preserve">. </w:t>
      </w:r>
      <w:r w:rsidR="00262B5B">
        <w:rPr>
          <w:rFonts w:ascii="Arial Narrow" w:hAnsi="Arial Narrow"/>
        </w:rPr>
        <w:t>Cieľom n</w:t>
      </w:r>
      <w:r>
        <w:rPr>
          <w:rFonts w:ascii="Arial Narrow" w:hAnsi="Arial Narrow"/>
        </w:rPr>
        <w:t>ov</w:t>
      </w:r>
      <w:r w:rsidR="00262B5B">
        <w:rPr>
          <w:rFonts w:ascii="Arial Narrow" w:hAnsi="Arial Narrow"/>
        </w:rPr>
        <w:t>ej</w:t>
      </w:r>
      <w:r>
        <w:rPr>
          <w:rFonts w:ascii="Arial Narrow" w:hAnsi="Arial Narrow"/>
        </w:rPr>
        <w:t xml:space="preserve"> legislatív</w:t>
      </w:r>
      <w:r w:rsidR="00262B5B">
        <w:rPr>
          <w:rFonts w:ascii="Arial Narrow" w:hAnsi="Arial Narrow"/>
        </w:rPr>
        <w:t>y je</w:t>
      </w:r>
      <w:r>
        <w:rPr>
          <w:rFonts w:ascii="Arial Narrow" w:hAnsi="Arial Narrow"/>
        </w:rPr>
        <w:t xml:space="preserve"> zvyš</w:t>
      </w:r>
      <w:r w:rsidR="00262B5B">
        <w:rPr>
          <w:rFonts w:ascii="Arial Narrow" w:hAnsi="Arial Narrow"/>
        </w:rPr>
        <w:t>ovanie</w:t>
      </w:r>
      <w:r>
        <w:rPr>
          <w:rFonts w:ascii="Arial Narrow" w:hAnsi="Arial Narrow"/>
        </w:rPr>
        <w:t xml:space="preserve"> </w:t>
      </w:r>
      <w:r w:rsidR="00991F65">
        <w:rPr>
          <w:rFonts w:ascii="Arial Narrow" w:hAnsi="Arial Narrow"/>
        </w:rPr>
        <w:t>možnosti</w:t>
      </w:r>
      <w:r>
        <w:rPr>
          <w:rFonts w:ascii="Arial Narrow" w:hAnsi="Arial Narrow"/>
        </w:rPr>
        <w:t xml:space="preserve"> na vymanenie sa z dlhovej pasce pre fyzické osoby bez príjmu a majetku, vrátane ochrany </w:t>
      </w:r>
      <w:r w:rsidRPr="00737CD8">
        <w:rPr>
          <w:rFonts w:ascii="Arial Narrow" w:hAnsi="Arial Narrow"/>
        </w:rPr>
        <w:t>pred úplnou stratou bývania.</w:t>
      </w:r>
      <w:r>
        <w:rPr>
          <w:rFonts w:ascii="Arial Narrow" w:hAnsi="Arial Narrow"/>
        </w:rPr>
        <w:t xml:space="preserve"> </w:t>
      </w:r>
      <w:r w:rsidR="00991F65">
        <w:rPr>
          <w:rFonts w:ascii="Arial Narrow" w:hAnsi="Arial Narrow"/>
        </w:rPr>
        <w:t>Novela z</w:t>
      </w:r>
      <w:r>
        <w:rPr>
          <w:rFonts w:ascii="Arial Narrow" w:hAnsi="Arial Narrow"/>
        </w:rPr>
        <w:t xml:space="preserve">ároveň </w:t>
      </w:r>
      <w:r w:rsidRPr="00140026">
        <w:rPr>
          <w:rFonts w:ascii="Arial Narrow" w:hAnsi="Arial Narrow"/>
        </w:rPr>
        <w:t>nijako neznižuje uspokojenie opráv</w:t>
      </w:r>
      <w:r>
        <w:rPr>
          <w:rFonts w:ascii="Arial Narrow" w:hAnsi="Arial Narrow"/>
        </w:rPr>
        <w:t xml:space="preserve">nených nárokov veriteľov. </w:t>
      </w:r>
      <w:r w:rsidR="0005470E">
        <w:rPr>
          <w:rFonts w:ascii="Arial Narrow" w:hAnsi="Arial Narrow"/>
        </w:rPr>
        <w:t>P</w:t>
      </w:r>
      <w:r w:rsidR="00B30413">
        <w:rPr>
          <w:rFonts w:ascii="Arial Narrow" w:hAnsi="Arial Narrow"/>
        </w:rPr>
        <w:t>oč</w:t>
      </w:r>
      <w:r w:rsidR="0005470E">
        <w:rPr>
          <w:rFonts w:ascii="Arial Narrow" w:hAnsi="Arial Narrow"/>
        </w:rPr>
        <w:t>et</w:t>
      </w:r>
      <w:r w:rsidR="00B30413">
        <w:rPr>
          <w:rFonts w:ascii="Arial Narrow" w:hAnsi="Arial Narrow"/>
        </w:rPr>
        <w:t xml:space="preserve"> osobných bankrotov </w:t>
      </w:r>
      <w:r w:rsidR="0005470E">
        <w:rPr>
          <w:rFonts w:ascii="Arial Narrow" w:hAnsi="Arial Narrow"/>
        </w:rPr>
        <w:t>po rok</w:t>
      </w:r>
      <w:r w:rsidR="00235884">
        <w:rPr>
          <w:rFonts w:ascii="Arial Narrow" w:hAnsi="Arial Narrow"/>
        </w:rPr>
        <w:t>u fungovania novely dosiahol</w:t>
      </w:r>
      <w:r w:rsidR="0005470E">
        <w:rPr>
          <w:rFonts w:ascii="Arial Narrow" w:hAnsi="Arial Narrow"/>
        </w:rPr>
        <w:t xml:space="preserve"> 4,3 tisíc</w:t>
      </w:r>
      <w:r w:rsidR="00235884">
        <w:rPr>
          <w:rStyle w:val="Odkaznapoznmkupodiarou"/>
          <w:rFonts w:ascii="Arial Narrow" w:hAnsi="Arial Narrow"/>
        </w:rPr>
        <w:footnoteReference w:id="14"/>
      </w:r>
      <w:r w:rsidR="0005470E">
        <w:rPr>
          <w:rFonts w:ascii="Arial Narrow" w:hAnsi="Arial Narrow"/>
        </w:rPr>
        <w:t>.</w:t>
      </w:r>
    </w:p>
    <w:p w14:paraId="257A42F7" w14:textId="77777777" w:rsidR="00A7154B" w:rsidRDefault="00A7154B" w:rsidP="00E123D7">
      <w:pPr>
        <w:spacing w:after="0" w:line="240" w:lineRule="auto"/>
        <w:jc w:val="both"/>
        <w:rPr>
          <w:rFonts w:ascii="Arial Narrow" w:hAnsi="Arial Narrow"/>
        </w:rPr>
      </w:pPr>
    </w:p>
    <w:p w14:paraId="5E67B3AD" w14:textId="5522FE33" w:rsidR="00E123D7" w:rsidRDefault="00267167" w:rsidP="00E123D7">
      <w:pPr>
        <w:spacing w:after="0" w:line="240" w:lineRule="auto"/>
        <w:jc w:val="both"/>
        <w:rPr>
          <w:rFonts w:ascii="Arial Narrow" w:hAnsi="Arial Narrow"/>
          <w:szCs w:val="24"/>
        </w:rPr>
      </w:pPr>
      <w:r>
        <w:rPr>
          <w:rFonts w:ascii="Arial Narrow" w:hAnsi="Arial Narrow"/>
        </w:rPr>
        <w:t>Zmeny</w:t>
      </w:r>
      <w:r w:rsidR="00466D1D">
        <w:rPr>
          <w:rFonts w:ascii="Arial Narrow" w:hAnsi="Arial Narrow"/>
        </w:rPr>
        <w:t xml:space="preserve"> v zákone</w:t>
      </w:r>
      <w:r>
        <w:rPr>
          <w:rFonts w:ascii="Arial Narrow" w:hAnsi="Arial Narrow"/>
        </w:rPr>
        <w:t xml:space="preserve"> sa týkali aj </w:t>
      </w:r>
      <w:r w:rsidRPr="00466D1D">
        <w:rPr>
          <w:rFonts w:ascii="Arial Narrow" w:hAnsi="Arial Narrow"/>
          <w:b/>
        </w:rPr>
        <w:t>tzv. veľkej reštrukturalizácie</w:t>
      </w:r>
      <w:r>
        <w:rPr>
          <w:rFonts w:ascii="Arial Narrow" w:hAnsi="Arial Narrow"/>
        </w:rPr>
        <w:t>.</w:t>
      </w:r>
      <w:r w:rsidR="00262B5B">
        <w:rPr>
          <w:rFonts w:ascii="Arial Narrow" w:hAnsi="Arial Narrow"/>
        </w:rPr>
        <w:t xml:space="preserve"> Cieľom zm</w:t>
      </w:r>
      <w:r w:rsidR="009B3B3D">
        <w:rPr>
          <w:rFonts w:ascii="Arial Narrow" w:hAnsi="Arial Narrow"/>
        </w:rPr>
        <w:t xml:space="preserve">ien je zabránenie špekulatívnym reštrukturalizáciám a </w:t>
      </w:r>
      <w:r w:rsidR="00262B5B">
        <w:rPr>
          <w:rFonts w:ascii="Arial Narrow" w:hAnsi="Arial Narrow"/>
        </w:rPr>
        <w:t>posilnenie postavenia malých nezabezpečených veriteľov.</w:t>
      </w:r>
      <w:r>
        <w:rPr>
          <w:rFonts w:ascii="Arial Narrow" w:hAnsi="Arial Narrow"/>
        </w:rPr>
        <w:t xml:space="preserve"> Pri reštrukturalizácii podniku </w:t>
      </w:r>
      <w:r w:rsidR="009B3B3D">
        <w:rPr>
          <w:rFonts w:ascii="Arial Narrow" w:hAnsi="Arial Narrow"/>
        </w:rPr>
        <w:lastRenderedPageBreak/>
        <w:t>musia byť jeho</w:t>
      </w:r>
      <w:r>
        <w:rPr>
          <w:rFonts w:ascii="Arial Narrow" w:hAnsi="Arial Narrow"/>
        </w:rPr>
        <w:t xml:space="preserve"> veritelia uspokojení </w:t>
      </w:r>
      <w:r w:rsidR="009B3B3D">
        <w:rPr>
          <w:rFonts w:ascii="Arial Narrow" w:hAnsi="Arial Narrow"/>
        </w:rPr>
        <w:t xml:space="preserve">na </w:t>
      </w:r>
      <w:r w:rsidR="008B1360">
        <w:rPr>
          <w:rFonts w:ascii="Arial Narrow" w:hAnsi="Arial Narrow"/>
        </w:rPr>
        <w:t>minimálne</w:t>
      </w:r>
      <w:r>
        <w:rPr>
          <w:rFonts w:ascii="Arial Narrow" w:hAnsi="Arial Narrow"/>
        </w:rPr>
        <w:t xml:space="preserve"> 50 %</w:t>
      </w:r>
      <w:r w:rsidR="00A7154B">
        <w:rPr>
          <w:rFonts w:ascii="Arial Narrow" w:hAnsi="Arial Narrow"/>
        </w:rPr>
        <w:t xml:space="preserve"> z </w:t>
      </w:r>
      <w:r>
        <w:rPr>
          <w:rFonts w:ascii="Arial Narrow" w:hAnsi="Arial Narrow"/>
        </w:rPr>
        <w:t xml:space="preserve">každej pohľadávky. </w:t>
      </w:r>
      <w:r w:rsidRPr="00267167">
        <w:rPr>
          <w:rFonts w:ascii="Arial Narrow" w:hAnsi="Arial Narrow"/>
          <w:szCs w:val="24"/>
        </w:rPr>
        <w:t>A</w:t>
      </w:r>
      <w:r w:rsidR="00E123D7" w:rsidRPr="00267167">
        <w:rPr>
          <w:rFonts w:ascii="Arial Narrow" w:hAnsi="Arial Narrow"/>
          <w:szCs w:val="24"/>
        </w:rPr>
        <w:t>k dlžník nebude schopný v rámci reštrukturalizácie ponúknuť veriteľom aspoň 50</w:t>
      </w:r>
      <w:r w:rsidR="00A7154B">
        <w:rPr>
          <w:rFonts w:ascii="Arial Narrow" w:hAnsi="Arial Narrow"/>
          <w:szCs w:val="24"/>
        </w:rPr>
        <w:t xml:space="preserve"> </w:t>
      </w:r>
      <w:r w:rsidR="00E123D7" w:rsidRPr="00267167">
        <w:rPr>
          <w:rFonts w:ascii="Arial Narrow" w:hAnsi="Arial Narrow"/>
          <w:szCs w:val="24"/>
        </w:rPr>
        <w:t xml:space="preserve">% ich pohľadávok, </w:t>
      </w:r>
      <w:r w:rsidR="00A7154B">
        <w:rPr>
          <w:rFonts w:ascii="Arial Narrow" w:hAnsi="Arial Narrow"/>
          <w:szCs w:val="24"/>
        </w:rPr>
        <w:t xml:space="preserve">pôjde do konkurzu. </w:t>
      </w:r>
    </w:p>
    <w:p w14:paraId="4B64EBA8" w14:textId="77777777" w:rsidR="00A455A6" w:rsidRPr="00554B02" w:rsidRDefault="00A455A6" w:rsidP="00FB625E">
      <w:pPr>
        <w:spacing w:after="0" w:line="240" w:lineRule="auto"/>
        <w:jc w:val="both"/>
        <w:rPr>
          <w:rFonts w:ascii="Arial Narrow" w:hAnsi="Arial Narrow"/>
          <w:i/>
        </w:rPr>
      </w:pPr>
    </w:p>
    <w:p w14:paraId="79B176E0" w14:textId="77777777" w:rsidR="00682C07" w:rsidRDefault="00682C07" w:rsidP="00FB625E">
      <w:pPr>
        <w:spacing w:after="0" w:line="240" w:lineRule="auto"/>
        <w:jc w:val="both"/>
        <w:rPr>
          <w:rFonts w:ascii="Arial Narrow" w:hAnsi="Arial Narrow"/>
          <w:b/>
          <w:i/>
        </w:rPr>
      </w:pPr>
      <w:r w:rsidRPr="00554B02">
        <w:rPr>
          <w:rFonts w:ascii="Arial Narrow" w:hAnsi="Arial Narrow"/>
          <w:b/>
          <w:i/>
        </w:rPr>
        <w:t>Podnikateľské prostredie</w:t>
      </w:r>
    </w:p>
    <w:p w14:paraId="282A7054" w14:textId="4049384D" w:rsidR="00A7154B" w:rsidRPr="000F0E62" w:rsidRDefault="00A7154B" w:rsidP="00A7154B">
      <w:pPr>
        <w:spacing w:after="0" w:line="240" w:lineRule="auto"/>
        <w:jc w:val="both"/>
        <w:rPr>
          <w:rFonts w:ascii="Arial Narrow" w:hAnsi="Arial Narrow"/>
          <w:szCs w:val="24"/>
        </w:rPr>
      </w:pPr>
      <w:r w:rsidRPr="000F0E62">
        <w:rPr>
          <w:rFonts w:ascii="Arial Narrow" w:hAnsi="Arial Narrow"/>
          <w:szCs w:val="24"/>
        </w:rPr>
        <w:t xml:space="preserve">V roku 2017 bol </w:t>
      </w:r>
      <w:r>
        <w:rPr>
          <w:rFonts w:ascii="Arial Narrow" w:hAnsi="Arial Narrow"/>
          <w:szCs w:val="24"/>
        </w:rPr>
        <w:t>odsúhlasený</w:t>
      </w:r>
      <w:r w:rsidRPr="000F0E62">
        <w:rPr>
          <w:rFonts w:ascii="Arial Narrow" w:hAnsi="Arial Narrow"/>
          <w:szCs w:val="24"/>
        </w:rPr>
        <w:t xml:space="preserve"> balíček</w:t>
      </w:r>
      <w:r>
        <w:rPr>
          <w:rFonts w:ascii="Arial Narrow" w:hAnsi="Arial Narrow"/>
          <w:szCs w:val="24"/>
        </w:rPr>
        <w:t xml:space="preserve"> 35 opatrení</w:t>
      </w:r>
      <w:r w:rsidRPr="000F0E62">
        <w:rPr>
          <w:rFonts w:ascii="Arial Narrow" w:hAnsi="Arial Narrow"/>
          <w:szCs w:val="24"/>
        </w:rPr>
        <w:t>, ktorý reaguje na výzvu zlepšovania podnikateľského prostredia. Jedným z prvých opatrení z tohto balíka,</w:t>
      </w:r>
      <w:r w:rsidR="000612F8">
        <w:rPr>
          <w:rFonts w:ascii="Arial Narrow" w:hAnsi="Arial Narrow"/>
          <w:szCs w:val="24"/>
        </w:rPr>
        <w:t xml:space="preserve"> ktoré už bolo schválené vládou, </w:t>
      </w:r>
      <w:r w:rsidRPr="000F0E62">
        <w:rPr>
          <w:rFonts w:ascii="Arial Narrow" w:hAnsi="Arial Narrow"/>
          <w:szCs w:val="24"/>
        </w:rPr>
        <w:t xml:space="preserve">je </w:t>
      </w:r>
      <w:r w:rsidRPr="000F0E62">
        <w:rPr>
          <w:rFonts w:ascii="Arial Narrow" w:hAnsi="Arial Narrow"/>
          <w:b/>
          <w:szCs w:val="24"/>
        </w:rPr>
        <w:t>optimalizácia pracovnej zdravotnej služby</w:t>
      </w:r>
      <w:r w:rsidRPr="000F0E62">
        <w:rPr>
          <w:rFonts w:ascii="Arial Narrow" w:hAnsi="Arial Narrow"/>
          <w:szCs w:val="24"/>
        </w:rPr>
        <w:t>, ktorá predpokladá zníženie administratívnych nákladov pre podnikateľov.</w:t>
      </w:r>
      <w:r w:rsidRPr="000F0E62">
        <w:t xml:space="preserve"> </w:t>
      </w:r>
      <w:r>
        <w:rPr>
          <w:rFonts w:ascii="Arial Narrow" w:hAnsi="Arial Narrow"/>
          <w:szCs w:val="24"/>
        </w:rPr>
        <w:t>Zároveň došlo k zjednodušeniu povinností podnikateľov voči Sociálnej poisťovni (</w:t>
      </w:r>
      <w:r w:rsidRPr="000F0E62">
        <w:rPr>
          <w:rFonts w:ascii="Arial Narrow" w:hAnsi="Arial Narrow"/>
          <w:szCs w:val="24"/>
        </w:rPr>
        <w:t>predĺženie lehoty na odhlásenie zamestnanca).</w:t>
      </w:r>
    </w:p>
    <w:p w14:paraId="7F241137" w14:textId="77777777" w:rsidR="00A7154B" w:rsidRDefault="00A7154B" w:rsidP="00FB625E">
      <w:pPr>
        <w:spacing w:after="0" w:line="240" w:lineRule="auto"/>
        <w:jc w:val="both"/>
        <w:rPr>
          <w:rFonts w:ascii="Arial Narrow" w:hAnsi="Arial Narrow"/>
          <w:b/>
          <w:i/>
        </w:rPr>
      </w:pPr>
    </w:p>
    <w:p w14:paraId="25B56EDB" w14:textId="42C75766" w:rsidR="007D2366" w:rsidRPr="0063515D" w:rsidRDefault="00E5166C" w:rsidP="00FB625E">
      <w:pPr>
        <w:spacing w:after="0" w:line="240" w:lineRule="auto"/>
        <w:jc w:val="both"/>
        <w:rPr>
          <w:rFonts w:ascii="Arial Narrow" w:hAnsi="Arial Narrow"/>
          <w:b/>
          <w:i/>
        </w:rPr>
      </w:pPr>
      <w:r w:rsidRPr="00E057DC">
        <w:rPr>
          <w:rFonts w:ascii="Arial Narrow" w:hAnsi="Arial Narrow"/>
          <w:bCs/>
        </w:rPr>
        <w:t>Novela</w:t>
      </w:r>
      <w:r w:rsidRPr="00F31FE3">
        <w:rPr>
          <w:rFonts w:ascii="Arial Narrow" w:hAnsi="Arial Narrow"/>
          <w:b/>
          <w:bCs/>
        </w:rPr>
        <w:t xml:space="preserve"> exekučného poriadku</w:t>
      </w:r>
      <w:r w:rsidR="00E057DC" w:rsidRPr="00204701">
        <w:rPr>
          <w:rFonts w:ascii="Arial Narrow" w:hAnsi="Arial Narrow"/>
          <w:bCs/>
        </w:rPr>
        <w:t>,</w:t>
      </w:r>
      <w:r w:rsidR="00F31FE3" w:rsidRPr="00204701">
        <w:rPr>
          <w:rFonts w:ascii="Arial Narrow" w:hAnsi="Arial Narrow"/>
          <w:bCs/>
        </w:rPr>
        <w:t xml:space="preserve"> </w:t>
      </w:r>
      <w:r w:rsidR="000612F8">
        <w:rPr>
          <w:rFonts w:ascii="Arial Narrow" w:hAnsi="Arial Narrow"/>
        </w:rPr>
        <w:t xml:space="preserve">účinná od </w:t>
      </w:r>
      <w:r w:rsidR="00F31FE3" w:rsidRPr="00E057DC">
        <w:rPr>
          <w:rFonts w:ascii="Arial Narrow" w:hAnsi="Arial Narrow"/>
        </w:rPr>
        <w:t>apríla 2017</w:t>
      </w:r>
      <w:r w:rsidR="00E057DC" w:rsidRPr="00E057DC">
        <w:rPr>
          <w:rFonts w:ascii="Arial Narrow" w:hAnsi="Arial Narrow"/>
        </w:rPr>
        <w:t>,</w:t>
      </w:r>
      <w:r w:rsidR="00EC3FC6">
        <w:rPr>
          <w:rFonts w:ascii="Arial Narrow" w:hAnsi="Arial Narrow"/>
        </w:rPr>
        <w:t xml:space="preserve"> priniesla</w:t>
      </w:r>
      <w:r w:rsidR="006C6D38">
        <w:rPr>
          <w:rFonts w:ascii="Arial Narrow" w:hAnsi="Arial Narrow"/>
          <w:bCs/>
        </w:rPr>
        <w:t xml:space="preserve"> </w:t>
      </w:r>
      <w:r w:rsidR="006C6D38" w:rsidRPr="006C6D38">
        <w:rPr>
          <w:rFonts w:ascii="Arial Narrow" w:hAnsi="Arial Narrow"/>
          <w:bCs/>
        </w:rPr>
        <w:t>zmeny</w:t>
      </w:r>
      <w:r w:rsidR="006C6D38">
        <w:rPr>
          <w:rFonts w:ascii="Arial Narrow" w:hAnsi="Arial Narrow"/>
          <w:bCs/>
        </w:rPr>
        <w:t xml:space="preserve"> ako</w:t>
      </w:r>
      <w:r w:rsidR="006C6D38">
        <w:rPr>
          <w:rFonts w:ascii="Arial Narrow" w:hAnsi="Arial Narrow"/>
          <w:b/>
          <w:bCs/>
        </w:rPr>
        <w:t xml:space="preserve"> </w:t>
      </w:r>
      <w:r w:rsidR="006C6D38" w:rsidRPr="006C6D38">
        <w:rPr>
          <w:rFonts w:ascii="Arial Narrow" w:hAnsi="Arial Narrow"/>
          <w:bCs/>
        </w:rPr>
        <w:t>zave</w:t>
      </w:r>
      <w:r w:rsidR="006C6D38">
        <w:rPr>
          <w:rFonts w:ascii="Arial Narrow" w:hAnsi="Arial Narrow"/>
          <w:bCs/>
        </w:rPr>
        <w:t xml:space="preserve">denie jediného </w:t>
      </w:r>
      <w:r w:rsidR="000612F8">
        <w:rPr>
          <w:rFonts w:ascii="Arial Narrow" w:hAnsi="Arial Narrow"/>
          <w:bCs/>
        </w:rPr>
        <w:t>E</w:t>
      </w:r>
      <w:r w:rsidR="006C6D38">
        <w:rPr>
          <w:rFonts w:ascii="Arial Narrow" w:hAnsi="Arial Narrow"/>
          <w:bCs/>
        </w:rPr>
        <w:t>xekučného súdu</w:t>
      </w:r>
      <w:r w:rsidR="00A54BC8">
        <w:rPr>
          <w:rFonts w:ascii="Arial Narrow" w:hAnsi="Arial Narrow"/>
          <w:bCs/>
        </w:rPr>
        <w:t xml:space="preserve"> v Banskej Bystrici</w:t>
      </w:r>
      <w:r w:rsidR="006C6D38">
        <w:rPr>
          <w:rFonts w:ascii="Arial Narrow" w:hAnsi="Arial Narrow"/>
          <w:bCs/>
        </w:rPr>
        <w:t>,</w:t>
      </w:r>
      <w:r w:rsidR="006C6D38" w:rsidRPr="006C6D38">
        <w:rPr>
          <w:rFonts w:ascii="Arial Narrow" w:hAnsi="Arial Narrow"/>
        </w:rPr>
        <w:t xml:space="preserve"> </w:t>
      </w:r>
      <w:r w:rsidR="006C6D38" w:rsidRPr="006C6D38">
        <w:rPr>
          <w:rFonts w:ascii="Arial Narrow" w:hAnsi="Arial Narrow"/>
          <w:bCs/>
        </w:rPr>
        <w:t xml:space="preserve">náhodný výber </w:t>
      </w:r>
      <w:r w:rsidR="006C6D38" w:rsidRPr="006C6D38">
        <w:rPr>
          <w:rFonts w:ascii="Arial Narrow" w:hAnsi="Arial Narrow"/>
          <w:szCs w:val="24"/>
        </w:rPr>
        <w:t>exekútora,</w:t>
      </w:r>
      <w:r w:rsidR="006C6D38">
        <w:rPr>
          <w:rFonts w:ascii="Arial" w:hAnsi="Arial" w:cs="Arial"/>
          <w:color w:val="868D95"/>
          <w:sz w:val="23"/>
          <w:szCs w:val="23"/>
          <w:shd w:val="clear" w:color="auto" w:fill="FFFFFF"/>
        </w:rPr>
        <w:t xml:space="preserve"> </w:t>
      </w:r>
      <w:r w:rsidR="006C6D38" w:rsidRPr="006C6D38">
        <w:rPr>
          <w:rFonts w:ascii="Arial Narrow" w:hAnsi="Arial Narrow"/>
          <w:szCs w:val="24"/>
        </w:rPr>
        <w:t>či zavedenie</w:t>
      </w:r>
      <w:r w:rsidR="006C6D38" w:rsidRPr="006C6D38">
        <w:rPr>
          <w:rFonts w:ascii="Arial Narrow" w:hAnsi="Arial Narrow"/>
          <w:bCs/>
        </w:rPr>
        <w:t xml:space="preserve"> paušálnych trov</w:t>
      </w:r>
      <w:r w:rsidR="006C6D38">
        <w:rPr>
          <w:rFonts w:ascii="Arial Narrow" w:hAnsi="Arial Narrow"/>
          <w:bCs/>
        </w:rPr>
        <w:t xml:space="preserve">. </w:t>
      </w:r>
      <w:r w:rsidR="00EC3FC6">
        <w:rPr>
          <w:rFonts w:ascii="Arial Narrow" w:hAnsi="Arial Narrow"/>
          <w:bCs/>
        </w:rPr>
        <w:t xml:space="preserve">Výsledkom týchto zmien </w:t>
      </w:r>
      <w:r w:rsidR="000612F8">
        <w:rPr>
          <w:rFonts w:ascii="Arial Narrow" w:hAnsi="Arial Narrow"/>
          <w:bCs/>
        </w:rPr>
        <w:t xml:space="preserve">by mali byť </w:t>
      </w:r>
      <w:r w:rsidR="006C6D38" w:rsidRPr="006C6D38">
        <w:rPr>
          <w:rFonts w:ascii="Arial Narrow" w:hAnsi="Arial Narrow"/>
          <w:bCs/>
        </w:rPr>
        <w:t xml:space="preserve">transparentnejšie </w:t>
      </w:r>
      <w:r w:rsidR="006C6D38">
        <w:rPr>
          <w:rFonts w:ascii="Arial Narrow" w:hAnsi="Arial Narrow"/>
          <w:bCs/>
        </w:rPr>
        <w:t xml:space="preserve">a </w:t>
      </w:r>
      <w:r w:rsidRPr="006C6D38">
        <w:rPr>
          <w:rFonts w:ascii="Arial Narrow" w:hAnsi="Arial Narrow"/>
        </w:rPr>
        <w:t>f</w:t>
      </w:r>
      <w:r w:rsidRPr="00F31FE3">
        <w:rPr>
          <w:rFonts w:ascii="Arial Narrow" w:hAnsi="Arial Narrow"/>
        </w:rPr>
        <w:t>érovejšie exekučné konania, jasné spra</w:t>
      </w:r>
      <w:r w:rsidR="00EC3FC6">
        <w:rPr>
          <w:rFonts w:ascii="Arial Narrow" w:hAnsi="Arial Narrow"/>
        </w:rPr>
        <w:t>v</w:t>
      </w:r>
      <w:r w:rsidR="00204701">
        <w:rPr>
          <w:rFonts w:ascii="Arial Narrow" w:hAnsi="Arial Narrow"/>
        </w:rPr>
        <w:t xml:space="preserve">odlivé pravidlá voči </w:t>
      </w:r>
      <w:r w:rsidR="000C11DD">
        <w:rPr>
          <w:rFonts w:ascii="Arial Narrow" w:hAnsi="Arial Narrow"/>
        </w:rPr>
        <w:t>dlžníkom,</w:t>
      </w:r>
      <w:r w:rsidR="000C11DD" w:rsidRPr="00F31FE3">
        <w:rPr>
          <w:rFonts w:ascii="Arial Narrow" w:hAnsi="Arial Narrow"/>
        </w:rPr>
        <w:t xml:space="preserve"> zefektívnenie</w:t>
      </w:r>
      <w:r w:rsidR="00EC3FC6">
        <w:rPr>
          <w:rFonts w:ascii="Arial Narrow" w:hAnsi="Arial Narrow"/>
        </w:rPr>
        <w:t xml:space="preserve"> vymáhania nárokov veriteľov</w:t>
      </w:r>
      <w:r w:rsidR="00A54BC8">
        <w:rPr>
          <w:rFonts w:ascii="Arial Narrow" w:hAnsi="Arial Narrow"/>
        </w:rPr>
        <w:t xml:space="preserve"> a</w:t>
      </w:r>
      <w:r w:rsidR="00A54BC8" w:rsidRPr="00E23CEA">
        <w:rPr>
          <w:rFonts w:ascii="Verdana" w:hAnsi="Verdana"/>
          <w:color w:val="000000"/>
          <w:sz w:val="18"/>
          <w:szCs w:val="18"/>
        </w:rPr>
        <w:t xml:space="preserve"> </w:t>
      </w:r>
      <w:r w:rsidR="00A54BC8" w:rsidRPr="00A54BC8">
        <w:rPr>
          <w:rFonts w:ascii="Arial Narrow" w:hAnsi="Arial Narrow"/>
        </w:rPr>
        <w:t>odbreme</w:t>
      </w:r>
      <w:r w:rsidR="00A54BC8">
        <w:rPr>
          <w:rFonts w:ascii="Arial Narrow" w:hAnsi="Arial Narrow"/>
        </w:rPr>
        <w:t>nenie ostatných súdov</w:t>
      </w:r>
      <w:r w:rsidR="00A54BC8" w:rsidRPr="00A54BC8">
        <w:rPr>
          <w:rFonts w:ascii="Arial Narrow" w:hAnsi="Arial Narrow"/>
        </w:rPr>
        <w:t xml:space="preserve"> od exekučnej agendy</w:t>
      </w:r>
      <w:r w:rsidR="000C11DD">
        <w:rPr>
          <w:rFonts w:ascii="Arial Narrow" w:hAnsi="Arial Narrow"/>
        </w:rPr>
        <w:t xml:space="preserve">. </w:t>
      </w:r>
      <w:r w:rsidR="000C11DD" w:rsidRPr="000C11DD">
        <w:rPr>
          <w:rFonts w:ascii="Arial Narrow" w:hAnsi="Arial Narrow"/>
        </w:rPr>
        <w:t>Od nadobudnutia účinnosti</w:t>
      </w:r>
      <w:r w:rsidR="000C11DD" w:rsidRPr="000C11DD">
        <w:rPr>
          <w:rFonts w:ascii="Arial Narrow" w:hAnsi="Arial Narrow"/>
          <w:b/>
          <w:bCs/>
        </w:rPr>
        <w:t> </w:t>
      </w:r>
      <w:r w:rsidR="00752A3C" w:rsidRPr="00632906">
        <w:rPr>
          <w:rFonts w:ascii="Arial Narrow" w:hAnsi="Arial Narrow"/>
          <w:bCs/>
        </w:rPr>
        <w:t>zákona</w:t>
      </w:r>
      <w:r w:rsidR="00752A3C">
        <w:rPr>
          <w:rFonts w:ascii="Arial Narrow" w:hAnsi="Arial Narrow"/>
          <w:b/>
          <w:bCs/>
        </w:rPr>
        <w:t xml:space="preserve"> </w:t>
      </w:r>
      <w:r w:rsidR="000612F8">
        <w:rPr>
          <w:rFonts w:ascii="Arial Narrow" w:hAnsi="Arial Narrow"/>
          <w:bCs/>
        </w:rPr>
        <w:t xml:space="preserve">bolo do konca novembra 2017 </w:t>
      </w:r>
      <w:r w:rsidR="000C11DD" w:rsidRPr="00D56E79">
        <w:rPr>
          <w:rFonts w:ascii="Arial Narrow" w:hAnsi="Arial Narrow"/>
          <w:bCs/>
        </w:rPr>
        <w:t xml:space="preserve">podaných na okresný </w:t>
      </w:r>
      <w:r w:rsidR="000C11DD" w:rsidRPr="007E0B08">
        <w:rPr>
          <w:rFonts w:ascii="Arial Narrow" w:hAnsi="Arial Narrow"/>
          <w:bCs/>
        </w:rPr>
        <w:t xml:space="preserve">banskobystrický súd </w:t>
      </w:r>
      <w:r w:rsidR="000C11DD" w:rsidRPr="00D56E79">
        <w:rPr>
          <w:rFonts w:ascii="Arial Narrow" w:hAnsi="Arial Narrow"/>
          <w:bCs/>
        </w:rPr>
        <w:t>už vyše 18 tisíc exekučných podaní a súd už vydal 14 501 poverení na začatie exekúcie</w:t>
      </w:r>
      <w:r w:rsidR="000C11DD" w:rsidRPr="000C11DD">
        <w:rPr>
          <w:rFonts w:ascii="Arial Narrow" w:hAnsi="Arial Narrow"/>
        </w:rPr>
        <w:t>.</w:t>
      </w:r>
    </w:p>
    <w:p w14:paraId="3C6A9569" w14:textId="77777777" w:rsidR="00E5166C" w:rsidRPr="008971F2" w:rsidRDefault="00E5166C" w:rsidP="00FB625E">
      <w:pPr>
        <w:spacing w:after="0" w:line="240" w:lineRule="auto"/>
        <w:jc w:val="both"/>
        <w:rPr>
          <w:rFonts w:ascii="Arial Narrow" w:hAnsi="Arial Narrow"/>
          <w:b/>
        </w:rPr>
      </w:pPr>
    </w:p>
    <w:p w14:paraId="5FF2AC6B" w14:textId="2D500884" w:rsidR="00F40929" w:rsidRDefault="00F40929" w:rsidP="00F40929">
      <w:pPr>
        <w:spacing w:after="0" w:line="240" w:lineRule="auto"/>
        <w:jc w:val="both"/>
        <w:rPr>
          <w:rFonts w:ascii="Arial Narrow" w:hAnsi="Arial Narrow"/>
          <w:szCs w:val="24"/>
        </w:rPr>
      </w:pPr>
      <w:r w:rsidRPr="00F40929">
        <w:rPr>
          <w:rFonts w:ascii="Arial Narrow" w:hAnsi="Arial Narrow"/>
          <w:bCs/>
          <w:szCs w:val="24"/>
        </w:rPr>
        <w:t xml:space="preserve">Novela </w:t>
      </w:r>
      <w:r w:rsidRPr="00F40929">
        <w:rPr>
          <w:rFonts w:ascii="Arial Narrow" w:hAnsi="Arial Narrow"/>
          <w:b/>
          <w:bCs/>
          <w:szCs w:val="24"/>
        </w:rPr>
        <w:t>obchodného zákonníka</w:t>
      </w:r>
      <w:r w:rsidR="00E057DC" w:rsidRPr="00E057DC">
        <w:rPr>
          <w:rFonts w:ascii="Arial Narrow" w:hAnsi="Arial Narrow"/>
          <w:bCs/>
          <w:szCs w:val="24"/>
        </w:rPr>
        <w:t>,</w:t>
      </w:r>
      <w:r w:rsidR="00F31FE3" w:rsidRPr="00E057DC">
        <w:rPr>
          <w:rFonts w:ascii="Arial Narrow" w:hAnsi="Arial Narrow"/>
          <w:bCs/>
          <w:szCs w:val="24"/>
        </w:rPr>
        <w:t xml:space="preserve"> účinná od </w:t>
      </w:r>
      <w:r w:rsidRPr="00E057DC">
        <w:rPr>
          <w:rFonts w:ascii="Arial Narrow" w:hAnsi="Arial Narrow"/>
          <w:bCs/>
          <w:szCs w:val="24"/>
        </w:rPr>
        <w:t>januára 2018</w:t>
      </w:r>
      <w:r w:rsidR="00E057DC">
        <w:rPr>
          <w:rFonts w:ascii="Arial Narrow" w:hAnsi="Arial Narrow"/>
          <w:bCs/>
          <w:szCs w:val="24"/>
        </w:rPr>
        <w:t>,</w:t>
      </w:r>
      <w:r w:rsidRPr="00F40929">
        <w:rPr>
          <w:rFonts w:ascii="Arial Narrow" w:hAnsi="Arial Narrow"/>
          <w:bCs/>
          <w:szCs w:val="24"/>
        </w:rPr>
        <w:t xml:space="preserve"> </w:t>
      </w:r>
      <w:r w:rsidRPr="00F40929">
        <w:rPr>
          <w:rFonts w:ascii="Arial Narrow" w:hAnsi="Arial Narrow"/>
          <w:szCs w:val="24"/>
        </w:rPr>
        <w:t>rieši nečestné praktiky pri likvidáciách a fúziách obchodných spoločností. Nová právna úprava</w:t>
      </w:r>
      <w:r w:rsidR="008B19B9">
        <w:rPr>
          <w:rFonts w:ascii="Arial Narrow" w:hAnsi="Arial Narrow"/>
          <w:szCs w:val="24"/>
        </w:rPr>
        <w:t xml:space="preserve"> napríklad</w:t>
      </w:r>
      <w:r w:rsidRPr="00F40929">
        <w:rPr>
          <w:rFonts w:ascii="Arial Narrow" w:hAnsi="Arial Narrow"/>
          <w:szCs w:val="24"/>
        </w:rPr>
        <w:t xml:space="preserve"> zavádza účinné nástroje proti tzv. „bielym koňom“, povoľuje fúzie obchodných spoločností, iba ak sa výsledkom zlúčenia ned</w:t>
      </w:r>
      <w:r>
        <w:rPr>
          <w:rFonts w:ascii="Arial Narrow" w:hAnsi="Arial Narrow"/>
          <w:szCs w:val="24"/>
        </w:rPr>
        <w:t>ostanú do úpadku. Z</w:t>
      </w:r>
      <w:r w:rsidRPr="00F40929">
        <w:rPr>
          <w:rFonts w:ascii="Arial Narrow" w:hAnsi="Arial Narrow"/>
          <w:szCs w:val="24"/>
        </w:rPr>
        <w:t>abráni</w:t>
      </w:r>
      <w:r>
        <w:rPr>
          <w:rFonts w:ascii="Arial Narrow" w:hAnsi="Arial Narrow"/>
          <w:szCs w:val="24"/>
        </w:rPr>
        <w:t xml:space="preserve"> sa tým</w:t>
      </w:r>
      <w:r w:rsidRPr="00F40929">
        <w:rPr>
          <w:rFonts w:ascii="Arial Narrow" w:hAnsi="Arial Narrow"/>
          <w:szCs w:val="24"/>
        </w:rPr>
        <w:t xml:space="preserve"> nekalému oddlžovaniu spoločností a kladie vyššiu zodpovednosť na štatutárov a spoločníkov firiem. </w:t>
      </w:r>
    </w:p>
    <w:p w14:paraId="7BCD6573" w14:textId="77777777" w:rsidR="002E31F3" w:rsidRDefault="002E31F3" w:rsidP="00F40929">
      <w:pPr>
        <w:spacing w:after="0" w:line="240" w:lineRule="auto"/>
        <w:jc w:val="both"/>
        <w:rPr>
          <w:rFonts w:ascii="Arial Narrow" w:hAnsi="Arial Narrow"/>
          <w:szCs w:val="24"/>
        </w:rPr>
      </w:pPr>
    </w:p>
    <w:p w14:paraId="11B9F227" w14:textId="28BF298F" w:rsidR="002E31F3" w:rsidRPr="00F40929" w:rsidRDefault="002E31F3" w:rsidP="00F40929">
      <w:pPr>
        <w:spacing w:after="0" w:line="240" w:lineRule="auto"/>
        <w:jc w:val="both"/>
        <w:rPr>
          <w:rFonts w:ascii="Arial Narrow" w:hAnsi="Arial Narrow"/>
          <w:szCs w:val="24"/>
        </w:rPr>
      </w:pPr>
      <w:r w:rsidRPr="002E31F3">
        <w:rPr>
          <w:rFonts w:ascii="Arial Narrow" w:hAnsi="Arial Narrow"/>
          <w:b/>
          <w:szCs w:val="24"/>
        </w:rPr>
        <w:t>Zákon o</w:t>
      </w:r>
      <w:r w:rsidR="00D93728">
        <w:rPr>
          <w:rFonts w:ascii="Arial Narrow" w:hAnsi="Arial Narrow"/>
          <w:b/>
          <w:szCs w:val="24"/>
        </w:rPr>
        <w:t> </w:t>
      </w:r>
      <w:proofErr w:type="spellStart"/>
      <w:r w:rsidRPr="002E31F3">
        <w:rPr>
          <w:rFonts w:ascii="Arial Narrow" w:hAnsi="Arial Narrow"/>
          <w:b/>
          <w:szCs w:val="24"/>
        </w:rPr>
        <w:t>upomínacom</w:t>
      </w:r>
      <w:proofErr w:type="spellEnd"/>
      <w:r w:rsidR="00D93728">
        <w:rPr>
          <w:rFonts w:ascii="Arial Narrow" w:hAnsi="Arial Narrow"/>
          <w:b/>
          <w:szCs w:val="24"/>
        </w:rPr>
        <w:t xml:space="preserve"> konaní</w:t>
      </w:r>
      <w:r>
        <w:rPr>
          <w:rFonts w:ascii="Arial Narrow" w:hAnsi="Arial Narrow"/>
          <w:szCs w:val="24"/>
        </w:rPr>
        <w:t xml:space="preserve">, účinný od </w:t>
      </w:r>
      <w:r w:rsidR="00D93728">
        <w:rPr>
          <w:rFonts w:ascii="Arial Narrow" w:hAnsi="Arial Narrow"/>
          <w:szCs w:val="24"/>
        </w:rPr>
        <w:t>februára</w:t>
      </w:r>
      <w:r w:rsidRPr="002E31F3">
        <w:rPr>
          <w:rFonts w:ascii="Arial Narrow" w:hAnsi="Arial Narrow"/>
          <w:szCs w:val="24"/>
        </w:rPr>
        <w:t xml:space="preserve"> 2017</w:t>
      </w:r>
      <w:r w:rsidR="000612F8">
        <w:rPr>
          <w:rFonts w:ascii="Arial Narrow" w:hAnsi="Arial Narrow"/>
          <w:szCs w:val="24"/>
        </w:rPr>
        <w:t xml:space="preserve">, </w:t>
      </w:r>
      <w:r w:rsidRPr="002E31F3">
        <w:rPr>
          <w:rFonts w:ascii="Arial Narrow" w:hAnsi="Arial Narrow"/>
          <w:szCs w:val="24"/>
        </w:rPr>
        <w:t>zavádza do praxe plnohodnotnú elektronickú alternatívu k existujú</w:t>
      </w:r>
      <w:r>
        <w:rPr>
          <w:rFonts w:ascii="Arial Narrow" w:hAnsi="Arial Narrow"/>
          <w:szCs w:val="24"/>
        </w:rPr>
        <w:t xml:space="preserve">cemu režimu platobného rozkazu, ktorá zrýchľuje a zefektívňuje </w:t>
      </w:r>
      <w:r w:rsidR="000612F8">
        <w:rPr>
          <w:rFonts w:ascii="Arial Narrow" w:hAnsi="Arial Narrow"/>
          <w:szCs w:val="24"/>
        </w:rPr>
        <w:t>proces vymáhania</w:t>
      </w:r>
      <w:r w:rsidRPr="002E31F3">
        <w:rPr>
          <w:rFonts w:ascii="Arial Narrow" w:hAnsi="Arial Narrow"/>
          <w:szCs w:val="24"/>
        </w:rPr>
        <w:t xml:space="preserve"> pohľadávok</w:t>
      </w:r>
      <w:r>
        <w:rPr>
          <w:rFonts w:ascii="Arial Narrow" w:hAnsi="Arial Narrow"/>
          <w:szCs w:val="24"/>
        </w:rPr>
        <w:t xml:space="preserve">. </w:t>
      </w:r>
      <w:r w:rsidRPr="002E31F3">
        <w:rPr>
          <w:rFonts w:ascii="Arial Narrow" w:hAnsi="Arial Narrow"/>
          <w:szCs w:val="24"/>
        </w:rPr>
        <w:t>K zrýchleniu celého procesu má prispieť aj sústredenie agendy elektronických platobných rozkazov pod j</w:t>
      </w:r>
      <w:r w:rsidR="00A7154B">
        <w:rPr>
          <w:rFonts w:ascii="Arial Narrow" w:hAnsi="Arial Narrow"/>
          <w:szCs w:val="24"/>
        </w:rPr>
        <w:t>eden súd (</w:t>
      </w:r>
      <w:r w:rsidRPr="002E31F3">
        <w:rPr>
          <w:rFonts w:ascii="Arial Narrow" w:hAnsi="Arial Narrow"/>
          <w:szCs w:val="24"/>
        </w:rPr>
        <w:t>Okresný súd v Banskej Bystrici</w:t>
      </w:r>
      <w:r w:rsidR="00A7154B">
        <w:rPr>
          <w:rFonts w:ascii="Arial Narrow" w:hAnsi="Arial Narrow"/>
          <w:szCs w:val="24"/>
        </w:rPr>
        <w:t>)</w:t>
      </w:r>
      <w:r w:rsidRPr="002E31F3">
        <w:rPr>
          <w:rFonts w:ascii="Arial Narrow" w:hAnsi="Arial Narrow"/>
          <w:szCs w:val="24"/>
        </w:rPr>
        <w:t>.</w:t>
      </w:r>
      <w:r w:rsidRPr="002E31F3">
        <w:t xml:space="preserve"> </w:t>
      </w:r>
      <w:r w:rsidRPr="002E31F3">
        <w:rPr>
          <w:rFonts w:ascii="Arial Narrow" w:hAnsi="Arial Narrow"/>
          <w:szCs w:val="24"/>
        </w:rPr>
        <w:t>Zákon upravuje elektronizáciu celého procesu podávania návrhov na vyd</w:t>
      </w:r>
      <w:r>
        <w:rPr>
          <w:rFonts w:ascii="Arial Narrow" w:hAnsi="Arial Narrow"/>
          <w:szCs w:val="24"/>
        </w:rPr>
        <w:t>anie platobných rozkazov formou š</w:t>
      </w:r>
      <w:r w:rsidRPr="002E31F3">
        <w:rPr>
          <w:rFonts w:ascii="Arial Narrow" w:hAnsi="Arial Narrow"/>
          <w:szCs w:val="24"/>
        </w:rPr>
        <w:t>tandardizov</w:t>
      </w:r>
      <w:r>
        <w:rPr>
          <w:rFonts w:ascii="Arial Narrow" w:hAnsi="Arial Narrow"/>
          <w:szCs w:val="24"/>
        </w:rPr>
        <w:t>aných elektronických formulárov.</w:t>
      </w:r>
    </w:p>
    <w:p w14:paraId="258B81EF" w14:textId="77777777" w:rsidR="00F40929" w:rsidRDefault="00F40929" w:rsidP="00FB625E">
      <w:pPr>
        <w:spacing w:after="0" w:line="240" w:lineRule="auto"/>
        <w:jc w:val="both"/>
        <w:rPr>
          <w:rFonts w:ascii="Arial Narrow" w:hAnsi="Arial Narrow"/>
          <w:b/>
          <w:i/>
        </w:rPr>
      </w:pPr>
    </w:p>
    <w:p w14:paraId="74047767" w14:textId="4062E449" w:rsidR="007D2366" w:rsidRDefault="00E30D99" w:rsidP="00E30D99">
      <w:pPr>
        <w:spacing w:after="0" w:line="240" w:lineRule="auto"/>
        <w:jc w:val="both"/>
        <w:rPr>
          <w:rFonts w:ascii="Arial Narrow" w:hAnsi="Arial Narrow"/>
        </w:rPr>
      </w:pPr>
      <w:r w:rsidRPr="00E30D99">
        <w:rPr>
          <w:rFonts w:ascii="Arial Narrow" w:hAnsi="Arial Narrow"/>
        </w:rPr>
        <w:t>Novela daňového poriadku</w:t>
      </w:r>
      <w:r>
        <w:rPr>
          <w:rFonts w:ascii="Arial Narrow" w:hAnsi="Arial Narrow"/>
        </w:rPr>
        <w:t xml:space="preserve">, účinná od januára 2017, zjednodušila podmienky </w:t>
      </w:r>
      <w:r w:rsidRPr="00A7154B">
        <w:rPr>
          <w:rFonts w:ascii="Arial Narrow" w:hAnsi="Arial Narrow"/>
          <w:b/>
        </w:rPr>
        <w:t>povoľovania odkladov a splátok dane</w:t>
      </w:r>
      <w:r w:rsidRPr="00240B08">
        <w:rPr>
          <w:rFonts w:ascii="Arial Narrow" w:hAnsi="Arial Narrow"/>
        </w:rPr>
        <w:t xml:space="preserve"> </w:t>
      </w:r>
      <w:r>
        <w:rPr>
          <w:rFonts w:ascii="Arial Narrow" w:hAnsi="Arial Narrow"/>
        </w:rPr>
        <w:t xml:space="preserve">tak, aby sa pri sumách do 3 000 </w:t>
      </w:r>
      <w:r w:rsidRPr="00240B08">
        <w:rPr>
          <w:rFonts w:ascii="Arial Narrow" w:hAnsi="Arial Narrow"/>
        </w:rPr>
        <w:t>eur nevyžadovalo zabezpečenie dlžnej sumy záložným právom pre podnikateľský sektor.</w:t>
      </w:r>
      <w:r>
        <w:rPr>
          <w:rFonts w:ascii="Arial Narrow" w:hAnsi="Arial Narrow"/>
        </w:rPr>
        <w:t xml:space="preserve"> </w:t>
      </w:r>
      <w:r w:rsidR="00C32D86">
        <w:rPr>
          <w:rFonts w:ascii="Arial Narrow" w:hAnsi="Arial Narrow"/>
        </w:rPr>
        <w:t>V</w:t>
      </w:r>
      <w:r w:rsidR="00C32D86" w:rsidRPr="00C32D86">
        <w:rPr>
          <w:rFonts w:ascii="Arial Narrow" w:hAnsi="Arial Narrow"/>
        </w:rPr>
        <w:t xml:space="preserve">ybraní klienti finančnej správy </w:t>
      </w:r>
      <w:r w:rsidR="00C32D86">
        <w:rPr>
          <w:rFonts w:ascii="Arial Narrow" w:hAnsi="Arial Narrow"/>
        </w:rPr>
        <w:t>už začali dostávať</w:t>
      </w:r>
      <w:r w:rsidR="00C32D86" w:rsidRPr="00C32D86">
        <w:rPr>
          <w:rFonts w:ascii="Arial Narrow" w:hAnsi="Arial Narrow"/>
        </w:rPr>
        <w:t xml:space="preserve"> informatívne upozornenie známe ako </w:t>
      </w:r>
      <w:r w:rsidR="00C32D86" w:rsidRPr="008D3245">
        <w:rPr>
          <w:rFonts w:ascii="Arial Narrow" w:hAnsi="Arial Narrow"/>
          <w:b/>
          <w:i/>
        </w:rPr>
        <w:t>soft</w:t>
      </w:r>
      <w:r w:rsidR="008D3245" w:rsidRPr="008D3245">
        <w:rPr>
          <w:rFonts w:ascii="Arial Narrow" w:hAnsi="Arial Narrow"/>
          <w:b/>
          <w:i/>
        </w:rPr>
        <w:t xml:space="preserve"> </w:t>
      </w:r>
      <w:proofErr w:type="spellStart"/>
      <w:r w:rsidR="00C32D86" w:rsidRPr="008D3245">
        <w:rPr>
          <w:rFonts w:ascii="Arial Narrow" w:hAnsi="Arial Narrow"/>
          <w:b/>
          <w:i/>
        </w:rPr>
        <w:t>warning</w:t>
      </w:r>
      <w:proofErr w:type="spellEnd"/>
      <w:r w:rsidR="00C32D86">
        <w:rPr>
          <w:rFonts w:ascii="Arial Narrow" w:hAnsi="Arial Narrow"/>
          <w:b/>
        </w:rPr>
        <w:t>.</w:t>
      </w:r>
      <w:r w:rsidR="00C32D86" w:rsidRPr="00C32D86">
        <w:t xml:space="preserve"> </w:t>
      </w:r>
      <w:r w:rsidR="000612F8">
        <w:rPr>
          <w:rFonts w:ascii="Arial Narrow" w:hAnsi="Arial Narrow"/>
        </w:rPr>
        <w:t xml:space="preserve">Ide o </w:t>
      </w:r>
      <w:proofErr w:type="spellStart"/>
      <w:r w:rsidR="008B1360">
        <w:rPr>
          <w:rFonts w:ascii="Arial Narrow" w:hAnsi="Arial Narrow"/>
        </w:rPr>
        <w:t>proklientské</w:t>
      </w:r>
      <w:proofErr w:type="spellEnd"/>
      <w:r w:rsidR="00C32D86" w:rsidRPr="00C32D86">
        <w:rPr>
          <w:rFonts w:ascii="Arial Narrow" w:hAnsi="Arial Narrow"/>
        </w:rPr>
        <w:t xml:space="preserve"> opatrenie, ktoré je jedným z prvkov modernizácie finančnej správy a slúži na podporu dobrovoľného plnenia daňových povinností</w:t>
      </w:r>
      <w:r w:rsidR="00C32D86">
        <w:rPr>
          <w:rFonts w:ascii="Arial Narrow" w:hAnsi="Arial Narrow"/>
        </w:rPr>
        <w:t xml:space="preserve">. </w:t>
      </w:r>
    </w:p>
    <w:p w14:paraId="6A65927E" w14:textId="77777777" w:rsidR="00A455A6" w:rsidRDefault="00A455A6" w:rsidP="00FB625E">
      <w:pPr>
        <w:spacing w:after="0" w:line="240" w:lineRule="auto"/>
        <w:jc w:val="both"/>
        <w:rPr>
          <w:rFonts w:ascii="Arial Narrow" w:hAnsi="Arial Narrow"/>
          <w:b/>
          <w:sz w:val="24"/>
          <w:szCs w:val="24"/>
        </w:rPr>
      </w:pPr>
    </w:p>
    <w:p w14:paraId="55B1D127" w14:textId="77777777" w:rsidR="00682C07" w:rsidRPr="00A94E2C" w:rsidRDefault="00D56E79" w:rsidP="00A877C3">
      <w:pPr>
        <w:pStyle w:val="Odsekzoznamu"/>
        <w:numPr>
          <w:ilvl w:val="0"/>
          <w:numId w:val="3"/>
        </w:numPr>
        <w:spacing w:after="0" w:line="240" w:lineRule="auto"/>
        <w:ind w:left="357" w:hanging="357"/>
        <w:jc w:val="both"/>
        <w:rPr>
          <w:rFonts w:ascii="Arial Narrow" w:hAnsi="Arial Narrow"/>
          <w:b/>
          <w:sz w:val="24"/>
          <w:szCs w:val="24"/>
        </w:rPr>
      </w:pPr>
      <w:r>
        <w:rPr>
          <w:rFonts w:ascii="Arial Narrow" w:hAnsi="Arial Narrow"/>
          <w:b/>
          <w:sz w:val="24"/>
          <w:szCs w:val="24"/>
        </w:rPr>
        <w:t>Najvýznamnejšie zmeny v ostatných oblastiach</w:t>
      </w:r>
    </w:p>
    <w:p w14:paraId="21B195CB" w14:textId="77777777" w:rsidR="00393DAB" w:rsidRDefault="00393DAB" w:rsidP="00FB625E">
      <w:pPr>
        <w:spacing w:after="0" w:line="240" w:lineRule="auto"/>
        <w:jc w:val="both"/>
        <w:rPr>
          <w:rFonts w:ascii="Arial Narrow" w:hAnsi="Arial Narrow"/>
          <w:b/>
          <w:sz w:val="24"/>
          <w:szCs w:val="24"/>
        </w:rPr>
      </w:pPr>
    </w:p>
    <w:p w14:paraId="34CC514E" w14:textId="77777777" w:rsidR="00E95C1F" w:rsidRDefault="00E95C1F" w:rsidP="00BC4698">
      <w:pPr>
        <w:spacing w:after="0" w:line="240" w:lineRule="auto"/>
        <w:jc w:val="both"/>
        <w:rPr>
          <w:rFonts w:ascii="Arial Narrow" w:hAnsi="Arial Narrow"/>
          <w:b/>
          <w:i/>
        </w:rPr>
      </w:pPr>
      <w:r>
        <w:rPr>
          <w:rFonts w:ascii="Arial Narrow" w:hAnsi="Arial Narrow"/>
          <w:b/>
          <w:i/>
        </w:rPr>
        <w:t>Výber daní</w:t>
      </w:r>
      <w:r w:rsidR="00EB3812">
        <w:rPr>
          <w:rFonts w:ascii="Arial Narrow" w:hAnsi="Arial Narrow"/>
          <w:b/>
          <w:i/>
        </w:rPr>
        <w:t xml:space="preserve"> a cla</w:t>
      </w:r>
    </w:p>
    <w:p w14:paraId="1D57FEE5" w14:textId="58808CEA" w:rsidR="00E95C1F" w:rsidRDefault="00E95C1F" w:rsidP="00E95C1F">
      <w:pPr>
        <w:spacing w:after="0" w:line="240" w:lineRule="auto"/>
        <w:jc w:val="both"/>
        <w:rPr>
          <w:rFonts w:ascii="Arial Narrow" w:hAnsi="Arial Narrow"/>
        </w:rPr>
      </w:pPr>
      <w:r>
        <w:rPr>
          <w:rFonts w:ascii="Arial Narrow" w:hAnsi="Arial Narrow"/>
        </w:rPr>
        <w:t>V roku 2017 pokračovalo Finančné riaditeľstvo</w:t>
      </w:r>
      <w:r w:rsidRPr="002B3E08">
        <w:rPr>
          <w:rFonts w:ascii="Arial Narrow" w:hAnsi="Arial Narrow"/>
        </w:rPr>
        <w:t xml:space="preserve"> SR v aktivitách súvisiacich s </w:t>
      </w:r>
      <w:r w:rsidRPr="00D31752">
        <w:rPr>
          <w:rFonts w:ascii="Arial Narrow" w:hAnsi="Arial Narrow"/>
          <w:b/>
        </w:rPr>
        <w:t>vytvorením centrálnej analytickej jednotky</w:t>
      </w:r>
      <w:r>
        <w:rPr>
          <w:rFonts w:ascii="Arial Narrow" w:hAnsi="Arial Narrow"/>
        </w:rPr>
        <w:t xml:space="preserve"> a </w:t>
      </w:r>
      <w:r w:rsidRPr="00D31752">
        <w:rPr>
          <w:rFonts w:ascii="Arial Narrow" w:hAnsi="Arial Narrow"/>
          <w:b/>
        </w:rPr>
        <w:t>dobudovaním analytických kapacít</w:t>
      </w:r>
      <w:r>
        <w:rPr>
          <w:rFonts w:ascii="Arial Narrow" w:hAnsi="Arial Narrow"/>
          <w:b/>
        </w:rPr>
        <w:t xml:space="preserve">. </w:t>
      </w:r>
      <w:r w:rsidRPr="00EB00A6">
        <w:rPr>
          <w:rFonts w:ascii="Arial Narrow" w:hAnsi="Arial Narrow"/>
        </w:rPr>
        <w:t xml:space="preserve">V rámci sekcie boja proti podvodom a analýzy rizík bol vytvorený nový odbor analýz a prognóz. Spájaním jednotlivých informačných systémov sa  pokračovalo v budovaní jednotnej colnej </w:t>
      </w:r>
      <w:proofErr w:type="spellStart"/>
      <w:r w:rsidRPr="00EB00A6">
        <w:rPr>
          <w:rFonts w:ascii="Arial Narrow" w:hAnsi="Arial Narrow"/>
        </w:rPr>
        <w:t>analytiky</w:t>
      </w:r>
      <w:proofErr w:type="spellEnd"/>
      <w:r w:rsidRPr="00EB00A6">
        <w:rPr>
          <w:rFonts w:ascii="Arial Narrow" w:hAnsi="Arial Narrow"/>
        </w:rPr>
        <w:t xml:space="preserve"> za účelom jej prepojenia s daňovou </w:t>
      </w:r>
      <w:proofErr w:type="spellStart"/>
      <w:r w:rsidRPr="00EB00A6">
        <w:rPr>
          <w:rFonts w:ascii="Arial Narrow" w:hAnsi="Arial Narrow"/>
        </w:rPr>
        <w:t>analytikou</w:t>
      </w:r>
      <w:proofErr w:type="spellEnd"/>
      <w:r w:rsidRPr="00EB00A6">
        <w:rPr>
          <w:rFonts w:ascii="Arial Narrow" w:hAnsi="Arial Narrow"/>
        </w:rPr>
        <w:t>. Zabezpečilo sa rozšírenie funkcionalít syst</w:t>
      </w:r>
      <w:r w:rsidR="000612F8">
        <w:rPr>
          <w:rFonts w:ascii="Arial Narrow" w:hAnsi="Arial Narrow"/>
        </w:rPr>
        <w:t xml:space="preserve">ému analýzy kontrolných výkazov DPH </w:t>
      </w:r>
      <w:r w:rsidRPr="00EB00A6">
        <w:rPr>
          <w:rFonts w:ascii="Arial Narrow" w:hAnsi="Arial Narrow"/>
        </w:rPr>
        <w:t xml:space="preserve">ako základného analytického systému, ktorý odbor boja proti podvodom prevádzkuje. </w:t>
      </w:r>
      <w:r>
        <w:rPr>
          <w:rFonts w:ascii="Arial Narrow" w:hAnsi="Arial Narrow"/>
        </w:rPr>
        <w:t>V</w:t>
      </w:r>
      <w:r w:rsidR="000612F8">
        <w:rPr>
          <w:rFonts w:ascii="Arial Narrow" w:hAnsi="Arial Narrow"/>
        </w:rPr>
        <w:t xml:space="preserve"> prvej </w:t>
      </w:r>
      <w:r>
        <w:rPr>
          <w:rFonts w:ascii="Arial Narrow" w:hAnsi="Arial Narrow"/>
        </w:rPr>
        <w:t>etape projektu</w:t>
      </w:r>
      <w:r w:rsidRPr="00EB00A6">
        <w:rPr>
          <w:rFonts w:ascii="Arial Narrow" w:hAnsi="Arial Narrow"/>
        </w:rPr>
        <w:t xml:space="preserve"> RAN (spoľahlivosť subjektov a ich segmentácia</w:t>
      </w:r>
      <w:r w:rsidR="000612F8">
        <w:rPr>
          <w:rFonts w:ascii="Arial Narrow" w:hAnsi="Arial Narrow"/>
        </w:rPr>
        <w:t xml:space="preserve">) sa  pokračovalo v práci na </w:t>
      </w:r>
      <w:r>
        <w:rPr>
          <w:rFonts w:ascii="Arial Narrow" w:hAnsi="Arial Narrow"/>
        </w:rPr>
        <w:t>legislatívnych zmenách</w:t>
      </w:r>
      <w:r w:rsidRPr="00EB00A6">
        <w:rPr>
          <w:rFonts w:ascii="Arial Narrow" w:hAnsi="Arial Narrow"/>
        </w:rPr>
        <w:t xml:space="preserve"> (uzákonenie inštitútu indexu daňovej spoľahlivo</w:t>
      </w:r>
      <w:r>
        <w:rPr>
          <w:rFonts w:ascii="Arial Narrow" w:hAnsi="Arial Narrow"/>
        </w:rPr>
        <w:t>sti subjektov)</w:t>
      </w:r>
      <w:r w:rsidR="00225F9C">
        <w:rPr>
          <w:rFonts w:ascii="Arial Narrow" w:hAnsi="Arial Narrow"/>
        </w:rPr>
        <w:t xml:space="preserve">, </w:t>
      </w:r>
      <w:r>
        <w:rPr>
          <w:rFonts w:ascii="Arial Narrow" w:hAnsi="Arial Narrow"/>
        </w:rPr>
        <w:t>ako aj vytvorení</w:t>
      </w:r>
      <w:r w:rsidRPr="00EB00A6">
        <w:rPr>
          <w:rFonts w:ascii="Arial Narrow" w:hAnsi="Arial Narrow"/>
        </w:rPr>
        <w:t xml:space="preserve"> režimového pracoviska, metodických, IT a dátových</w:t>
      </w:r>
      <w:r>
        <w:rPr>
          <w:rFonts w:ascii="Arial Narrow" w:hAnsi="Arial Narrow"/>
        </w:rPr>
        <w:t xml:space="preserve"> konzultácií vrátane testovania.</w:t>
      </w:r>
    </w:p>
    <w:p w14:paraId="7E045B95" w14:textId="77777777" w:rsidR="00B40965" w:rsidRDefault="00B40965" w:rsidP="00E95C1F">
      <w:pPr>
        <w:spacing w:after="0" w:line="240" w:lineRule="auto"/>
        <w:jc w:val="both"/>
        <w:rPr>
          <w:rFonts w:ascii="Arial Narrow" w:hAnsi="Arial Narrow"/>
        </w:rPr>
      </w:pPr>
    </w:p>
    <w:p w14:paraId="4038A5B3" w14:textId="2E4278F5" w:rsidR="00B40965" w:rsidRDefault="00B40965" w:rsidP="00B40965">
      <w:pPr>
        <w:spacing w:after="0" w:line="240" w:lineRule="auto"/>
        <w:jc w:val="both"/>
        <w:rPr>
          <w:rFonts w:ascii="Arial Narrow" w:hAnsi="Arial Narrow"/>
          <w:i/>
          <w:color w:val="000000"/>
          <w:szCs w:val="20"/>
        </w:rPr>
      </w:pPr>
      <w:r>
        <w:rPr>
          <w:rFonts w:ascii="Arial Narrow" w:hAnsi="Arial Narrow"/>
        </w:rPr>
        <w:t xml:space="preserve">S účinnosťou od januára 2018 sa zaviedol </w:t>
      </w:r>
      <w:r>
        <w:rPr>
          <w:rFonts w:ascii="Arial Narrow" w:hAnsi="Arial Narrow"/>
          <w:b/>
        </w:rPr>
        <w:t xml:space="preserve">súhrnný protokol z </w:t>
      </w:r>
      <w:r w:rsidRPr="004A1B2B">
        <w:rPr>
          <w:rFonts w:ascii="Arial Narrow" w:hAnsi="Arial Narrow"/>
          <w:b/>
        </w:rPr>
        <w:t>viacerých daňových kontro</w:t>
      </w:r>
      <w:r w:rsidRPr="004A1B2B">
        <w:rPr>
          <w:rFonts w:ascii="Arial Narrow" w:hAnsi="Arial Narrow"/>
        </w:rPr>
        <w:t>l vykonávaných súčasne vo viacerých daňových subjektoch, ktorý by mal priniesť komplexný výsledok platný voči všetkým týmto daňovým subjektom, bez porušenia daňového tajomstva.</w:t>
      </w:r>
      <w:r w:rsidRPr="00A67974">
        <w:t xml:space="preserve"> </w:t>
      </w:r>
      <w:r w:rsidRPr="008D0BCC">
        <w:rPr>
          <w:rFonts w:ascii="Arial Narrow" w:hAnsi="Arial Narrow"/>
        </w:rPr>
        <w:t>Opatrením sa tak posilní</w:t>
      </w:r>
      <w:r>
        <w:rPr>
          <w:rFonts w:ascii="Arial Narrow" w:hAnsi="Arial Narrow"/>
        </w:rPr>
        <w:t xml:space="preserve"> celková</w:t>
      </w:r>
      <w:r w:rsidRPr="00A67974">
        <w:rPr>
          <w:rFonts w:ascii="Arial Narrow" w:hAnsi="Arial Narrow"/>
        </w:rPr>
        <w:t xml:space="preserve"> kvalit</w:t>
      </w:r>
      <w:r w:rsidR="00576DE2">
        <w:rPr>
          <w:rFonts w:ascii="Arial Narrow" w:hAnsi="Arial Narrow"/>
        </w:rPr>
        <w:t>a</w:t>
      </w:r>
      <w:r w:rsidRPr="00A67974">
        <w:rPr>
          <w:rFonts w:ascii="Arial Narrow" w:hAnsi="Arial Narrow"/>
        </w:rPr>
        <w:t xml:space="preserve"> auditov.</w:t>
      </w:r>
      <w:r w:rsidRPr="008D0BCC">
        <w:rPr>
          <w:rFonts w:ascii="Arial Narrow" w:hAnsi="Arial Narrow"/>
        </w:rPr>
        <w:t xml:space="preserve"> </w:t>
      </w:r>
    </w:p>
    <w:p w14:paraId="083A50C1" w14:textId="77777777" w:rsidR="00B40965" w:rsidRDefault="00B40965" w:rsidP="00E95C1F">
      <w:pPr>
        <w:spacing w:after="0" w:line="240" w:lineRule="auto"/>
        <w:jc w:val="both"/>
        <w:rPr>
          <w:rFonts w:ascii="Arial Narrow" w:hAnsi="Arial Narrow"/>
        </w:rPr>
      </w:pPr>
    </w:p>
    <w:p w14:paraId="53DA5DB3" w14:textId="77777777" w:rsidR="00225F9C" w:rsidRDefault="00225F9C" w:rsidP="00E95C1F">
      <w:pPr>
        <w:spacing w:after="0" w:line="240" w:lineRule="auto"/>
        <w:jc w:val="both"/>
        <w:rPr>
          <w:rFonts w:ascii="Arial Narrow" w:hAnsi="Arial Narrow"/>
        </w:rPr>
      </w:pPr>
    </w:p>
    <w:p w14:paraId="7B4972F1" w14:textId="22C7BB0D" w:rsidR="00EB3812" w:rsidRDefault="00225F9C" w:rsidP="00EB3812">
      <w:pPr>
        <w:spacing w:after="0" w:line="240" w:lineRule="auto"/>
        <w:jc w:val="both"/>
        <w:rPr>
          <w:rFonts w:ascii="Arial Narrow" w:hAnsi="Arial Narrow"/>
        </w:rPr>
      </w:pPr>
      <w:r w:rsidRPr="00225F9C">
        <w:rPr>
          <w:rFonts w:ascii="Arial Narrow" w:hAnsi="Arial Narrow"/>
        </w:rPr>
        <w:lastRenderedPageBreak/>
        <w:t xml:space="preserve">Integrovaný </w:t>
      </w:r>
      <w:r w:rsidRPr="00225F9C">
        <w:rPr>
          <w:rFonts w:ascii="Arial Narrow" w:hAnsi="Arial Narrow"/>
          <w:b/>
        </w:rPr>
        <w:t>informačný systém finančnej správy</w:t>
      </w:r>
      <w:r w:rsidR="000612F8">
        <w:rPr>
          <w:rFonts w:ascii="Arial Narrow" w:hAnsi="Arial Narrow"/>
          <w:b/>
        </w:rPr>
        <w:t xml:space="preserve"> </w:t>
      </w:r>
      <w:r w:rsidR="00A73465">
        <w:rPr>
          <w:rFonts w:ascii="Arial Narrow" w:hAnsi="Arial Narrow"/>
        </w:rPr>
        <w:t xml:space="preserve">v súčasnosti </w:t>
      </w:r>
      <w:r w:rsidRPr="00225F9C">
        <w:rPr>
          <w:rFonts w:ascii="Arial Narrow" w:hAnsi="Arial Narrow"/>
        </w:rPr>
        <w:t>pokrýva procesy daňových úradov, napríklad registráciu daňových subjektov, spracovanie všetkých typov daňových priznaní, účtovanie štátnych príjmov, prepojenie na Štátnu pokladnicu, vymáhanie pohľadávok, daňové kontroly a rôzne obslužné procesy ako správa poplatkov či generovanie korešpondencie. V súčasnosti je až 9</w:t>
      </w:r>
      <w:r w:rsidR="00A73465">
        <w:rPr>
          <w:rFonts w:ascii="Arial Narrow" w:hAnsi="Arial Narrow"/>
        </w:rPr>
        <w:t>9,7</w:t>
      </w:r>
      <w:r w:rsidRPr="00225F9C">
        <w:rPr>
          <w:rFonts w:ascii="Arial Narrow" w:hAnsi="Arial Narrow"/>
        </w:rPr>
        <w:t xml:space="preserve"> % colných vyhlásení realizovaných elektronicky.</w:t>
      </w:r>
      <w:r w:rsidR="00EB3812">
        <w:rPr>
          <w:rFonts w:ascii="Arial Narrow" w:hAnsi="Arial Narrow"/>
        </w:rPr>
        <w:t xml:space="preserve"> </w:t>
      </w:r>
      <w:r w:rsidR="00EB3812" w:rsidRPr="00225F9C">
        <w:rPr>
          <w:rFonts w:ascii="Arial Narrow" w:hAnsi="Arial Narrow"/>
        </w:rPr>
        <w:t xml:space="preserve">V priebehu roka 2017 pokračovali práce na obojsmernej elektronickej komunikácii (Portál finančnej správy) v oblasti </w:t>
      </w:r>
      <w:r w:rsidR="00A73465">
        <w:rPr>
          <w:rFonts w:ascii="Arial Narrow" w:hAnsi="Arial Narrow"/>
        </w:rPr>
        <w:t>spotrebných daní</w:t>
      </w:r>
      <w:r w:rsidR="00EB3812" w:rsidRPr="00225F9C">
        <w:rPr>
          <w:rFonts w:ascii="Arial Narrow" w:hAnsi="Arial Narrow"/>
        </w:rPr>
        <w:t xml:space="preserve">. V tomto období taktiež pokračovali práce na </w:t>
      </w:r>
      <w:proofErr w:type="spellStart"/>
      <w:r w:rsidR="00EB3812" w:rsidRPr="00225F9C">
        <w:rPr>
          <w:rFonts w:ascii="Arial Narrow" w:hAnsi="Arial Narrow"/>
          <w:i/>
        </w:rPr>
        <w:t>eDovoze</w:t>
      </w:r>
      <w:proofErr w:type="spellEnd"/>
      <w:r w:rsidR="000612F8">
        <w:rPr>
          <w:rFonts w:ascii="Arial Narrow" w:hAnsi="Arial Narrow"/>
        </w:rPr>
        <w:t xml:space="preserve"> (druhá </w:t>
      </w:r>
      <w:r w:rsidR="00EB3812" w:rsidRPr="00225F9C">
        <w:rPr>
          <w:rFonts w:ascii="Arial Narrow" w:hAnsi="Arial Narrow"/>
        </w:rPr>
        <w:t>fáza).</w:t>
      </w:r>
    </w:p>
    <w:p w14:paraId="586EDC84" w14:textId="77777777" w:rsidR="00225F9C" w:rsidRDefault="00225F9C" w:rsidP="00E95C1F">
      <w:pPr>
        <w:spacing w:after="0" w:line="240" w:lineRule="auto"/>
        <w:jc w:val="both"/>
        <w:rPr>
          <w:rFonts w:ascii="Arial Narrow" w:hAnsi="Arial Narrow"/>
        </w:rPr>
      </w:pPr>
    </w:p>
    <w:p w14:paraId="300EA0E6" w14:textId="2D690FFC" w:rsidR="00E95C1F" w:rsidRDefault="00E95C1F" w:rsidP="00E95C1F">
      <w:pPr>
        <w:spacing w:after="0" w:line="240" w:lineRule="auto"/>
        <w:jc w:val="both"/>
        <w:rPr>
          <w:rFonts w:ascii="Arial Narrow" w:hAnsi="Arial Narrow"/>
        </w:rPr>
      </w:pPr>
      <w:r w:rsidRPr="00257018">
        <w:rPr>
          <w:rFonts w:ascii="Arial Narrow" w:hAnsi="Arial Narrow"/>
        </w:rPr>
        <w:t xml:space="preserve">Od roku 2018 </w:t>
      </w:r>
      <w:r>
        <w:rPr>
          <w:rFonts w:ascii="Arial Narrow" w:hAnsi="Arial Narrow"/>
        </w:rPr>
        <w:t>rezort financií</w:t>
      </w:r>
      <w:r w:rsidRPr="00257018">
        <w:rPr>
          <w:rFonts w:ascii="Arial Narrow" w:hAnsi="Arial Narrow"/>
        </w:rPr>
        <w:t xml:space="preserve"> </w:t>
      </w:r>
      <w:r>
        <w:rPr>
          <w:rFonts w:ascii="Arial Narrow" w:hAnsi="Arial Narrow"/>
        </w:rPr>
        <w:t xml:space="preserve">zaviedol </w:t>
      </w:r>
      <w:r w:rsidRPr="00644958">
        <w:rPr>
          <w:rFonts w:ascii="Arial Narrow" w:hAnsi="Arial Narrow"/>
          <w:b/>
        </w:rPr>
        <w:t>odpočítateľnú položku od daňovej povinnosti pre mladých pri hypotekárnych úveroch</w:t>
      </w:r>
      <w:r w:rsidRPr="00257018">
        <w:rPr>
          <w:rFonts w:ascii="Arial Narrow" w:hAnsi="Arial Narrow"/>
        </w:rPr>
        <w:t>.</w:t>
      </w:r>
      <w:r>
        <w:rPr>
          <w:rFonts w:ascii="Arial Narrow" w:hAnsi="Arial Narrow"/>
        </w:rPr>
        <w:t xml:space="preserve"> T</w:t>
      </w:r>
      <w:r w:rsidRPr="00257018">
        <w:rPr>
          <w:rFonts w:ascii="Arial Narrow" w:hAnsi="Arial Narrow"/>
        </w:rPr>
        <w:t>á</w:t>
      </w:r>
      <w:r>
        <w:rPr>
          <w:rFonts w:ascii="Arial Narrow" w:hAnsi="Arial Narrow"/>
        </w:rPr>
        <w:t>to forma daňového bonusu nahradila</w:t>
      </w:r>
      <w:r w:rsidRPr="00257018">
        <w:rPr>
          <w:rFonts w:ascii="Arial Narrow" w:hAnsi="Arial Narrow"/>
        </w:rPr>
        <w:t xml:space="preserve"> súčasnú priamu bonifikáciu úrokovej sadzby formou štátneho príspevku pre mladých. Z daňovej úľavy budú môcť </w:t>
      </w:r>
      <w:proofErr w:type="spellStart"/>
      <w:r w:rsidRPr="00257018">
        <w:rPr>
          <w:rFonts w:ascii="Arial Narrow" w:hAnsi="Arial Narrow"/>
        </w:rPr>
        <w:t>benefitovať</w:t>
      </w:r>
      <w:proofErr w:type="spellEnd"/>
      <w:r w:rsidR="009967E5">
        <w:rPr>
          <w:rFonts w:ascii="Arial Narrow" w:hAnsi="Arial Narrow"/>
        </w:rPr>
        <w:t xml:space="preserve"> podporení </w:t>
      </w:r>
      <w:r w:rsidRPr="009967E5">
        <w:rPr>
          <w:rFonts w:ascii="Arial Narrow" w:hAnsi="Arial Narrow"/>
        </w:rPr>
        <w:t>bankoví klienti</w:t>
      </w:r>
      <w:r>
        <w:rPr>
          <w:rFonts w:ascii="Arial Narrow" w:hAnsi="Arial Narrow"/>
        </w:rPr>
        <w:t xml:space="preserve"> pri rovnakých podmienkach a úrokových sadzbách ako ostatní klienti bánk. Opatrenie zvýšilo adresnosť a hodnotu podpory bývania pri rovnakých nákladoch štátu.</w:t>
      </w:r>
    </w:p>
    <w:p w14:paraId="3C3F7571" w14:textId="77777777" w:rsidR="00E95C1F" w:rsidRDefault="00E95C1F" w:rsidP="00BC4698">
      <w:pPr>
        <w:spacing w:after="0" w:line="240" w:lineRule="auto"/>
        <w:jc w:val="both"/>
        <w:rPr>
          <w:rFonts w:ascii="Arial Narrow" w:hAnsi="Arial Narrow"/>
          <w:b/>
          <w:i/>
        </w:rPr>
      </w:pPr>
    </w:p>
    <w:p w14:paraId="69893A61" w14:textId="77777777" w:rsidR="00BC4698" w:rsidRDefault="00BC4698" w:rsidP="00BC4698">
      <w:pPr>
        <w:spacing w:after="0" w:line="240" w:lineRule="auto"/>
        <w:jc w:val="both"/>
        <w:rPr>
          <w:rFonts w:ascii="Arial Narrow" w:hAnsi="Arial Narrow"/>
          <w:b/>
          <w:i/>
        </w:rPr>
      </w:pPr>
      <w:r>
        <w:rPr>
          <w:rFonts w:ascii="Arial Narrow" w:hAnsi="Arial Narrow"/>
          <w:b/>
          <w:i/>
        </w:rPr>
        <w:t>Podpora výskumu, vývoja a inovácií</w:t>
      </w:r>
    </w:p>
    <w:p w14:paraId="6C446F8F" w14:textId="7B3F3401" w:rsidR="006247CC" w:rsidRDefault="00BC4A96" w:rsidP="00E23CEA">
      <w:pPr>
        <w:spacing w:after="0" w:line="240" w:lineRule="auto"/>
        <w:jc w:val="both"/>
        <w:rPr>
          <w:rFonts w:ascii="Arial Narrow" w:hAnsi="Arial Narrow"/>
        </w:rPr>
      </w:pPr>
      <w:r w:rsidRPr="00BC4A96">
        <w:rPr>
          <w:rFonts w:ascii="Arial Narrow" w:hAnsi="Arial Narrow"/>
        </w:rPr>
        <w:t xml:space="preserve">Od januára 2018 sa zvyšuje tzv. </w:t>
      </w:r>
      <w:proofErr w:type="spellStart"/>
      <w:r w:rsidRPr="00BC4A96">
        <w:rPr>
          <w:rFonts w:ascii="Arial Narrow" w:hAnsi="Arial Narrow"/>
          <w:b/>
        </w:rPr>
        <w:t>superodpočet</w:t>
      </w:r>
      <w:proofErr w:type="spellEnd"/>
      <w:r w:rsidRPr="00BC4A96">
        <w:rPr>
          <w:rFonts w:ascii="Arial Narrow" w:hAnsi="Arial Narrow"/>
          <w:b/>
        </w:rPr>
        <w:t xml:space="preserve"> výdavkov</w:t>
      </w:r>
      <w:r w:rsidRPr="00BC4A96">
        <w:rPr>
          <w:rFonts w:ascii="Arial Narrow" w:hAnsi="Arial Narrow"/>
        </w:rPr>
        <w:t xml:space="preserve"> </w:t>
      </w:r>
      <w:r w:rsidRPr="00BC4A96">
        <w:rPr>
          <w:rFonts w:ascii="Arial Narrow" w:hAnsi="Arial Narrow"/>
          <w:b/>
        </w:rPr>
        <w:t>na výskum a vývoj</w:t>
      </w:r>
      <w:r w:rsidRPr="00BC4A96">
        <w:rPr>
          <w:rFonts w:ascii="Arial Narrow" w:hAnsi="Arial Narrow"/>
        </w:rPr>
        <w:t xml:space="preserve"> na úroveň 100 % a súčasne aj odpočet z medziročného príras</w:t>
      </w:r>
      <w:r w:rsidR="008F4A03">
        <w:rPr>
          <w:rFonts w:ascii="Arial Narrow" w:hAnsi="Arial Narrow"/>
        </w:rPr>
        <w:t xml:space="preserve">tku výdavkov na výskum a vývoj </w:t>
      </w:r>
      <w:r w:rsidRPr="00BC4A96">
        <w:rPr>
          <w:rFonts w:ascii="Arial Narrow" w:hAnsi="Arial Narrow"/>
        </w:rPr>
        <w:t>na úroveň 100 %. Cieľom opatrenia je zvyšovanie motivácií súkromného sektora vyna</w:t>
      </w:r>
      <w:r w:rsidR="000612F8">
        <w:rPr>
          <w:rFonts w:ascii="Arial Narrow" w:hAnsi="Arial Narrow"/>
        </w:rPr>
        <w:t xml:space="preserve">kladať väčšie objemy vlastných </w:t>
      </w:r>
      <w:r w:rsidRPr="00BC4A96">
        <w:rPr>
          <w:rFonts w:ascii="Arial Narrow" w:hAnsi="Arial Narrow"/>
        </w:rPr>
        <w:t xml:space="preserve">prostriedkov na oblasť výskumu a vývoja, a tým znížiť zaostávanie za priemerom EÚ (výdavky firiem na R&amp;D ako % HDP v roku 2016: SK 0,3; EÚ 1,1). Zároveň sa zaviedol tzv. </w:t>
      </w:r>
      <w:r w:rsidRPr="00BC4A96">
        <w:rPr>
          <w:rFonts w:ascii="Arial Narrow" w:hAnsi="Arial Narrow"/>
          <w:b/>
          <w:i/>
        </w:rPr>
        <w:t>patent box</w:t>
      </w:r>
      <w:r w:rsidRPr="00BC4A96">
        <w:rPr>
          <w:rFonts w:ascii="Arial Narrow" w:hAnsi="Arial Narrow"/>
        </w:rPr>
        <w:t>, ktorý predstavuje osobitý režim zdaňovania príjmov v súvislosti s komerčným využívaním nehmotných aktív, vrátane softvéru, ktoré sú výsledkom vlastného vývoja vykonávaného daňovníkom. Oslobodená bude časť licenčných poplatkov z registrovaných patentov, úžitkových vzorov a softvéru a príjmov z predaja výrobkov, na ktorých výrobu sa využíva registrovaný patent alebo úžitkový vzor.</w:t>
      </w:r>
    </w:p>
    <w:p w14:paraId="78594585" w14:textId="77777777" w:rsidR="00BC4698" w:rsidRDefault="00BC4698" w:rsidP="00E23CEA">
      <w:pPr>
        <w:spacing w:after="0" w:line="240" w:lineRule="auto"/>
        <w:jc w:val="both"/>
        <w:rPr>
          <w:rFonts w:ascii="Arial Narrow" w:hAnsi="Arial Narrow"/>
        </w:rPr>
      </w:pPr>
    </w:p>
    <w:p w14:paraId="13CCF315" w14:textId="77777777" w:rsidR="00BC4698" w:rsidRDefault="00BC4698" w:rsidP="00E23CEA">
      <w:pPr>
        <w:spacing w:after="0" w:line="240" w:lineRule="auto"/>
        <w:jc w:val="both"/>
        <w:rPr>
          <w:rFonts w:ascii="Arial Narrow" w:hAnsi="Arial Narrow"/>
        </w:rPr>
      </w:pPr>
      <w:r>
        <w:rPr>
          <w:rFonts w:ascii="Arial Narrow" w:hAnsi="Arial Narrow"/>
        </w:rPr>
        <w:t xml:space="preserve">V januári 2018 nadobudol účinnosť zákon o výskumnej verejnej inštitúcii, na základe ktorého sa </w:t>
      </w:r>
      <w:r w:rsidRPr="00B973EE">
        <w:rPr>
          <w:rFonts w:ascii="Arial Narrow" w:hAnsi="Arial Narrow"/>
          <w:b/>
        </w:rPr>
        <w:t>transformujú organizácie Slovenskej akadémie vied</w:t>
      </w:r>
      <w:r w:rsidRPr="000A32C4">
        <w:rPr>
          <w:rFonts w:ascii="Arial Narrow" w:hAnsi="Arial Narrow"/>
        </w:rPr>
        <w:t xml:space="preserve"> na verejné výskumné inštitúcie</w:t>
      </w:r>
      <w:r>
        <w:rPr>
          <w:rFonts w:ascii="Arial Narrow" w:hAnsi="Arial Narrow"/>
        </w:rPr>
        <w:t>, čo im umožní</w:t>
      </w:r>
      <w:r w:rsidRPr="000A32C4">
        <w:rPr>
          <w:rFonts w:ascii="Arial Narrow" w:hAnsi="Arial Narrow"/>
        </w:rPr>
        <w:t xml:space="preserve"> užšie spolupracovať s hospodárskou a priemyselnou sférou a efektívnejšie využívať finančné prostriedky</w:t>
      </w:r>
      <w:r w:rsidR="00E23CEA">
        <w:rPr>
          <w:rFonts w:ascii="Arial Narrow" w:hAnsi="Arial Narrow"/>
        </w:rPr>
        <w:t>.</w:t>
      </w:r>
    </w:p>
    <w:p w14:paraId="3A7DD55B" w14:textId="77777777" w:rsidR="009106E8" w:rsidRDefault="009106E8" w:rsidP="00E23CEA">
      <w:pPr>
        <w:spacing w:after="0" w:line="240" w:lineRule="auto"/>
        <w:jc w:val="both"/>
        <w:rPr>
          <w:rFonts w:ascii="Arial Narrow" w:hAnsi="Arial Narrow"/>
        </w:rPr>
      </w:pPr>
    </w:p>
    <w:p w14:paraId="086ED669" w14:textId="6642E9D3" w:rsidR="009106E8" w:rsidRPr="002F6048" w:rsidRDefault="009106E8" w:rsidP="00E23CEA">
      <w:pPr>
        <w:spacing w:after="0" w:line="240" w:lineRule="auto"/>
        <w:jc w:val="both"/>
        <w:rPr>
          <w:rFonts w:ascii="Arial Narrow" w:hAnsi="Arial Narrow"/>
        </w:rPr>
      </w:pPr>
      <w:r w:rsidRPr="009106E8">
        <w:rPr>
          <w:rFonts w:ascii="Arial Narrow" w:hAnsi="Arial Narrow"/>
        </w:rPr>
        <w:t xml:space="preserve">V júli 2017 Európska komisia akceptovala </w:t>
      </w:r>
      <w:r w:rsidRPr="009106E8">
        <w:rPr>
          <w:rFonts w:ascii="Arial Narrow" w:hAnsi="Arial Narrow"/>
          <w:i/>
        </w:rPr>
        <w:t>Implementačný plán Stratégie výskumu a inovácií pre inteligentnú špecializáciu SR</w:t>
      </w:r>
      <w:r w:rsidRPr="009106E8">
        <w:rPr>
          <w:rFonts w:ascii="Arial Narrow" w:hAnsi="Arial Narrow"/>
        </w:rPr>
        <w:t xml:space="preserve">. Tým bol vytvorený základný predpoklad možného čerpania EÚ zdrojov v rámci operačného programu </w:t>
      </w:r>
      <w:r w:rsidRPr="009106E8">
        <w:rPr>
          <w:rFonts w:ascii="Arial Narrow" w:hAnsi="Arial Narrow"/>
          <w:i/>
        </w:rPr>
        <w:t>Výskum a inovácie</w:t>
      </w:r>
      <w:r w:rsidRPr="009106E8">
        <w:rPr>
          <w:rFonts w:ascii="Arial Narrow" w:hAnsi="Arial Narrow"/>
        </w:rPr>
        <w:t>, ako významného zdroja financovania výskumu, vývoja a inovácií.</w:t>
      </w:r>
    </w:p>
    <w:p w14:paraId="38963888" w14:textId="77777777" w:rsidR="00BC4698" w:rsidRDefault="00BC4698" w:rsidP="00E23CEA">
      <w:pPr>
        <w:spacing w:after="0" w:line="240" w:lineRule="auto"/>
        <w:jc w:val="both"/>
        <w:rPr>
          <w:rFonts w:ascii="Arial Narrow" w:hAnsi="Arial Narrow"/>
          <w:b/>
          <w:i/>
        </w:rPr>
      </w:pPr>
    </w:p>
    <w:p w14:paraId="76039351" w14:textId="77777777" w:rsidR="000E4403" w:rsidRPr="007D7576" w:rsidRDefault="000E4403" w:rsidP="00E23CEA">
      <w:pPr>
        <w:spacing w:after="0" w:line="240" w:lineRule="auto"/>
        <w:jc w:val="both"/>
        <w:rPr>
          <w:rFonts w:ascii="Arial Narrow" w:hAnsi="Arial Narrow"/>
          <w:b/>
          <w:i/>
        </w:rPr>
      </w:pPr>
      <w:r w:rsidRPr="007D7576">
        <w:rPr>
          <w:rFonts w:ascii="Arial Narrow" w:hAnsi="Arial Narrow"/>
          <w:b/>
          <w:i/>
        </w:rPr>
        <w:t>Z</w:t>
      </w:r>
      <w:r>
        <w:rPr>
          <w:rFonts w:ascii="Arial Narrow" w:hAnsi="Arial Narrow"/>
          <w:b/>
          <w:i/>
        </w:rPr>
        <w:t>ákonník práce</w:t>
      </w:r>
    </w:p>
    <w:p w14:paraId="2026903E" w14:textId="1D8DEECE" w:rsidR="006247CC" w:rsidRDefault="000E4403" w:rsidP="00E23CEA">
      <w:pPr>
        <w:spacing w:after="0" w:line="240" w:lineRule="auto"/>
        <w:jc w:val="both"/>
        <w:rPr>
          <w:rFonts w:ascii="Arial Narrow" w:hAnsi="Arial Narrow"/>
        </w:rPr>
      </w:pPr>
      <w:r>
        <w:rPr>
          <w:rFonts w:ascii="Arial Narrow" w:hAnsi="Arial Narrow"/>
        </w:rPr>
        <w:t xml:space="preserve">V oblasti odmeňovania zamestnancov vláda s účinnosťou od mája 2018 schválila </w:t>
      </w:r>
      <w:r w:rsidRPr="00C509BC">
        <w:rPr>
          <w:rFonts w:ascii="Arial Narrow" w:hAnsi="Arial Narrow"/>
          <w:b/>
        </w:rPr>
        <w:t xml:space="preserve">zvýšenie </w:t>
      </w:r>
      <w:r w:rsidRPr="00C509BC">
        <w:rPr>
          <w:rFonts w:ascii="Arial Narrow" w:hAnsi="Arial Narrow"/>
          <w:b/>
          <w:color w:val="000000"/>
        </w:rPr>
        <w:t>minimálnej výšky mzdového zvýhodnenia</w:t>
      </w:r>
      <w:r>
        <w:rPr>
          <w:rFonts w:ascii="Arial Narrow" w:hAnsi="Arial Narrow"/>
          <w:color w:val="000000"/>
        </w:rPr>
        <w:t xml:space="preserve"> </w:t>
      </w:r>
      <w:r w:rsidRPr="00C509BC">
        <w:rPr>
          <w:rFonts w:ascii="Arial Narrow" w:hAnsi="Arial Narrow"/>
        </w:rPr>
        <w:t>za nočnú prác</w:t>
      </w:r>
      <w:r>
        <w:rPr>
          <w:rFonts w:ascii="Arial Narrow" w:hAnsi="Arial Narrow"/>
        </w:rPr>
        <w:t xml:space="preserve">u a prácu cez </w:t>
      </w:r>
      <w:r w:rsidRPr="00C509BC">
        <w:rPr>
          <w:rFonts w:ascii="Arial Narrow" w:hAnsi="Arial Narrow"/>
        </w:rPr>
        <w:t>víkendy a sviatky.</w:t>
      </w:r>
      <w:r>
        <w:rPr>
          <w:rFonts w:ascii="Arial Narrow" w:hAnsi="Arial Narrow"/>
        </w:rPr>
        <w:t xml:space="preserve"> </w:t>
      </w:r>
    </w:p>
    <w:p w14:paraId="27A0164E" w14:textId="77777777" w:rsidR="000E4403" w:rsidRDefault="000E4403" w:rsidP="00E23CEA">
      <w:pPr>
        <w:spacing w:after="0" w:line="240" w:lineRule="auto"/>
        <w:jc w:val="both"/>
        <w:rPr>
          <w:rFonts w:ascii="Arial Narrow" w:hAnsi="Arial Narrow"/>
        </w:rPr>
      </w:pPr>
      <w:r>
        <w:rPr>
          <w:rFonts w:ascii="Arial Narrow" w:hAnsi="Arial Narrow"/>
        </w:rPr>
        <w:t xml:space="preserve">S cieľom zvýšenia transparentnosti v mzdovom vyjednávaní pri prijímaní zamestnancov sa zavádza povinnosť pre zamestnávateľov </w:t>
      </w:r>
      <w:r w:rsidRPr="00E2769A">
        <w:rPr>
          <w:rFonts w:ascii="Arial Narrow" w:hAnsi="Arial Narrow"/>
          <w:b/>
        </w:rPr>
        <w:t>uvádzať v pracovnej ponuke sumu základnej zložky mzdy</w:t>
      </w:r>
      <w:r>
        <w:rPr>
          <w:rFonts w:ascii="Arial Narrow" w:hAnsi="Arial Narrow"/>
        </w:rPr>
        <w:t>. Pri uzatváraní pracovnej zmluvy nemôže byť táto suma nižšia ako v pracovnej ponuke.</w:t>
      </w:r>
    </w:p>
    <w:p w14:paraId="438483E8" w14:textId="77777777" w:rsidR="000E4403" w:rsidRDefault="000E4403" w:rsidP="000E4403">
      <w:pPr>
        <w:spacing w:after="0" w:line="240" w:lineRule="auto"/>
        <w:rPr>
          <w:rFonts w:ascii="Arial Narrow" w:hAnsi="Arial Narrow"/>
          <w:b/>
          <w:i/>
        </w:rPr>
      </w:pPr>
    </w:p>
    <w:p w14:paraId="4DC53665" w14:textId="609C9DB1" w:rsidR="000E4403" w:rsidRPr="00E23CEA" w:rsidRDefault="000E4403" w:rsidP="000E4403">
      <w:pPr>
        <w:spacing w:after="0" w:line="240" w:lineRule="auto"/>
        <w:rPr>
          <w:rFonts w:ascii="Arial Narrow" w:hAnsi="Arial Narrow"/>
          <w:b/>
          <w:i/>
        </w:rPr>
      </w:pPr>
      <w:r w:rsidRPr="00387D6C">
        <w:rPr>
          <w:rFonts w:ascii="Arial Narrow" w:hAnsi="Arial Narrow"/>
          <w:b/>
          <w:i/>
        </w:rPr>
        <w:t xml:space="preserve">Peňažné dávky </w:t>
      </w:r>
      <w:r w:rsidR="009967E5">
        <w:rPr>
          <w:rFonts w:ascii="Arial Narrow" w:hAnsi="Arial Narrow"/>
          <w:b/>
          <w:i/>
        </w:rPr>
        <w:t>pri rodičovskej starostlivosti</w:t>
      </w:r>
    </w:p>
    <w:p w14:paraId="21C495BD" w14:textId="0214C759" w:rsidR="000E4403" w:rsidRDefault="000E4403" w:rsidP="000E4403">
      <w:pPr>
        <w:spacing w:after="0" w:line="240" w:lineRule="auto"/>
        <w:jc w:val="both"/>
        <w:rPr>
          <w:rFonts w:ascii="Arial Narrow" w:hAnsi="Arial Narrow"/>
        </w:rPr>
      </w:pPr>
      <w:r w:rsidRPr="00387D6C">
        <w:rPr>
          <w:rFonts w:ascii="Arial Narrow" w:hAnsi="Arial Narrow"/>
        </w:rPr>
        <w:t xml:space="preserve">Po náraste v roku 2016 sa od mája 2017 opäť zvýšila </w:t>
      </w:r>
      <w:r w:rsidRPr="00387D6C">
        <w:rPr>
          <w:rFonts w:ascii="Arial Narrow" w:hAnsi="Arial Narrow"/>
          <w:b/>
        </w:rPr>
        <w:t xml:space="preserve">materská </w:t>
      </w:r>
      <w:r w:rsidRPr="00387D6C">
        <w:rPr>
          <w:rFonts w:ascii="Arial Narrow" w:hAnsi="Arial Narrow"/>
        </w:rPr>
        <w:t>zo 70 % denného vymeriavacieho základu na 75 %. Osoba zarábajúca priemernú mzdu s nárokom na materské tak dosiahne takmer úplnú náhradu predošlého čistého príjmu. Od mája sa zv</w:t>
      </w:r>
      <w:r w:rsidR="00315CED">
        <w:rPr>
          <w:rFonts w:ascii="Arial Narrow" w:hAnsi="Arial Narrow"/>
        </w:rPr>
        <w:t>ýšil</w:t>
      </w:r>
      <w:r w:rsidRPr="00387D6C">
        <w:rPr>
          <w:rFonts w:ascii="Arial Narrow" w:hAnsi="Arial Narrow"/>
        </w:rPr>
        <w:t xml:space="preserve"> aj </w:t>
      </w:r>
      <w:r w:rsidRPr="00387D6C">
        <w:rPr>
          <w:rFonts w:ascii="Arial Narrow" w:hAnsi="Arial Narrow"/>
          <w:b/>
        </w:rPr>
        <w:t>rodičovský príspevok</w:t>
      </w:r>
      <w:r w:rsidRPr="00387D6C">
        <w:rPr>
          <w:rFonts w:ascii="Arial Narrow" w:hAnsi="Arial Narrow"/>
        </w:rPr>
        <w:t xml:space="preserve"> z</w:t>
      </w:r>
      <w:r w:rsidR="00315CED">
        <w:rPr>
          <w:rFonts w:ascii="Arial Narrow" w:hAnsi="Arial Narrow"/>
        </w:rPr>
        <w:t xml:space="preserve"> pôvodných </w:t>
      </w:r>
      <w:r w:rsidRPr="00387D6C">
        <w:rPr>
          <w:rFonts w:ascii="Arial Narrow" w:hAnsi="Arial Narrow"/>
        </w:rPr>
        <w:t>203,20 eur na 213,20 eur</w:t>
      </w:r>
      <w:r w:rsidR="00315CED">
        <w:rPr>
          <w:rStyle w:val="Odkaznapoznmkupodiarou"/>
          <w:rFonts w:ascii="Arial Narrow" w:hAnsi="Arial Narrow"/>
        </w:rPr>
        <w:footnoteReference w:id="15"/>
      </w:r>
      <w:r w:rsidRPr="00387D6C">
        <w:rPr>
          <w:rFonts w:ascii="Arial Narrow" w:hAnsi="Arial Narrow"/>
        </w:rPr>
        <w:t>. Vplyv zvýšenia rodičovského príspevku a materského bude ročne predstavovať 29,9 mil. eur.</w:t>
      </w:r>
    </w:p>
    <w:p w14:paraId="0DB12D5C" w14:textId="77777777" w:rsidR="00552526" w:rsidRDefault="00552526" w:rsidP="000E4403">
      <w:pPr>
        <w:spacing w:after="0" w:line="240" w:lineRule="auto"/>
        <w:jc w:val="both"/>
        <w:rPr>
          <w:rFonts w:ascii="Arial Narrow" w:hAnsi="Arial Narrow"/>
        </w:rPr>
      </w:pPr>
    </w:p>
    <w:p w14:paraId="6125D0A7" w14:textId="77777777" w:rsidR="00552526" w:rsidRDefault="00552526" w:rsidP="00552526">
      <w:pPr>
        <w:spacing w:after="0" w:line="240" w:lineRule="auto"/>
        <w:jc w:val="both"/>
        <w:rPr>
          <w:rFonts w:ascii="Arial Narrow" w:hAnsi="Arial Narrow"/>
        </w:rPr>
      </w:pPr>
      <w:r>
        <w:rPr>
          <w:rFonts w:ascii="Arial Narrow" w:hAnsi="Arial Narrow"/>
        </w:rPr>
        <w:t xml:space="preserve">S účinnosťou od januára </w:t>
      </w:r>
      <w:r w:rsidRPr="000F12AF">
        <w:rPr>
          <w:rFonts w:ascii="Arial Narrow" w:hAnsi="Arial Narrow"/>
        </w:rPr>
        <w:t xml:space="preserve">2017 sa zvýšil aj maximálny </w:t>
      </w:r>
      <w:r w:rsidR="002B504E" w:rsidRPr="000F12AF">
        <w:rPr>
          <w:rFonts w:ascii="Arial Narrow" w:hAnsi="Arial Narrow"/>
        </w:rPr>
        <w:t>vymeriav</w:t>
      </w:r>
      <w:r w:rsidR="002B504E">
        <w:rPr>
          <w:rFonts w:ascii="Arial Narrow" w:hAnsi="Arial Narrow"/>
        </w:rPr>
        <w:t>ací</w:t>
      </w:r>
      <w:r>
        <w:rPr>
          <w:rFonts w:ascii="Arial Narrow" w:hAnsi="Arial Narrow"/>
        </w:rPr>
        <w:t xml:space="preserve"> základ</w:t>
      </w:r>
      <w:r w:rsidRPr="000F12AF">
        <w:rPr>
          <w:rFonts w:ascii="Arial Narrow" w:hAnsi="Arial Narrow"/>
        </w:rPr>
        <w:t xml:space="preserve"> na dávky nemocenského poistenia (teda aj materské)</w:t>
      </w:r>
      <w:r>
        <w:rPr>
          <w:rFonts w:ascii="Arial Narrow" w:hAnsi="Arial Narrow"/>
        </w:rPr>
        <w:t xml:space="preserve"> z 1,5 na 2-násobok priemer</w:t>
      </w:r>
      <w:r w:rsidR="002B504E">
        <w:rPr>
          <w:rFonts w:ascii="Arial Narrow" w:hAnsi="Arial Narrow"/>
        </w:rPr>
        <w:t>nej mzdy</w:t>
      </w:r>
      <w:r>
        <w:rPr>
          <w:rFonts w:ascii="Arial Narrow" w:hAnsi="Arial Narrow"/>
        </w:rPr>
        <w:t xml:space="preserve"> s</w:t>
      </w:r>
      <w:r w:rsidRPr="000F12AF">
        <w:rPr>
          <w:rFonts w:ascii="Arial Narrow" w:hAnsi="Arial Narrow"/>
        </w:rPr>
        <w:t>pred dvoch rokov</w:t>
      </w:r>
      <w:r>
        <w:rPr>
          <w:rFonts w:ascii="Arial Narrow" w:hAnsi="Arial Narrow"/>
        </w:rPr>
        <w:t>.</w:t>
      </w:r>
    </w:p>
    <w:p w14:paraId="02C27349" w14:textId="77777777" w:rsidR="00552526" w:rsidRDefault="00552526" w:rsidP="000E4403">
      <w:pPr>
        <w:spacing w:after="0" w:line="240" w:lineRule="auto"/>
        <w:jc w:val="both"/>
        <w:rPr>
          <w:rFonts w:ascii="Arial Narrow" w:hAnsi="Arial Narrow"/>
        </w:rPr>
      </w:pPr>
    </w:p>
    <w:p w14:paraId="78CD581C" w14:textId="77777777" w:rsidR="00552526" w:rsidRDefault="00552526" w:rsidP="00552526">
      <w:pPr>
        <w:pStyle w:val="Odsekzoznamu"/>
        <w:spacing w:after="0" w:line="240" w:lineRule="auto"/>
        <w:ind w:left="0"/>
        <w:contextualSpacing w:val="0"/>
        <w:jc w:val="both"/>
        <w:rPr>
          <w:rFonts w:ascii="Arial Narrow" w:hAnsi="Arial Narrow" w:cs="Arial Narrow"/>
          <w:b/>
          <w:i/>
          <w:color w:val="000000"/>
        </w:rPr>
      </w:pPr>
      <w:r w:rsidRPr="00387D6C">
        <w:rPr>
          <w:rFonts w:ascii="Arial Narrow" w:hAnsi="Arial Narrow" w:cs="Arial Narrow"/>
          <w:b/>
          <w:i/>
          <w:color w:val="000000"/>
        </w:rPr>
        <w:t>Sociálna inklúzia</w:t>
      </w:r>
    </w:p>
    <w:p w14:paraId="1AB62E74" w14:textId="72DDAE84" w:rsidR="00315CED" w:rsidRPr="00315CED" w:rsidRDefault="00315CED" w:rsidP="00315CED">
      <w:pPr>
        <w:spacing w:after="0" w:line="240" w:lineRule="auto"/>
        <w:jc w:val="both"/>
        <w:rPr>
          <w:rFonts w:ascii="Arial Narrow" w:hAnsi="Arial Narrow" w:cs="Arial Narrow"/>
          <w:color w:val="000000"/>
        </w:rPr>
      </w:pPr>
      <w:r>
        <w:rPr>
          <w:rFonts w:ascii="Arial Narrow" w:hAnsi="Arial Narrow" w:cs="Arial Narrow"/>
          <w:color w:val="000000"/>
        </w:rPr>
        <w:t>Od mája 2017 sa zvýšili</w:t>
      </w:r>
      <w:r w:rsidRPr="00315CED">
        <w:rPr>
          <w:rFonts w:ascii="Arial Narrow" w:hAnsi="Arial Narrow" w:cs="Arial Narrow"/>
          <w:color w:val="000000"/>
        </w:rPr>
        <w:t xml:space="preserve"> </w:t>
      </w:r>
      <w:r w:rsidRPr="00315CED">
        <w:rPr>
          <w:rFonts w:ascii="Arial Narrow" w:hAnsi="Arial Narrow" w:cs="Arial Narrow"/>
          <w:b/>
          <w:color w:val="000000"/>
        </w:rPr>
        <w:t>motivácie najmä dlhodobo nezamestnaných</w:t>
      </w:r>
      <w:r w:rsidRPr="00315CED">
        <w:rPr>
          <w:rFonts w:ascii="Arial Narrow" w:hAnsi="Arial Narrow" w:cs="Arial Narrow"/>
          <w:color w:val="000000"/>
        </w:rPr>
        <w:t xml:space="preserve"> posilnením podpory súbehu dávky v hmotnej núdzi pri prechode poberateľa alebo </w:t>
      </w:r>
      <w:proofErr w:type="spellStart"/>
      <w:r w:rsidRPr="00315CED">
        <w:rPr>
          <w:rFonts w:ascii="Arial Narrow" w:hAnsi="Arial Narrow" w:cs="Arial Narrow"/>
          <w:color w:val="000000"/>
        </w:rPr>
        <w:t>spoluposudzovaného</w:t>
      </w:r>
      <w:proofErr w:type="spellEnd"/>
      <w:r w:rsidRPr="00315CED">
        <w:rPr>
          <w:rFonts w:ascii="Arial Narrow" w:hAnsi="Arial Narrow" w:cs="Arial Narrow"/>
          <w:color w:val="000000"/>
        </w:rPr>
        <w:t xml:space="preserve"> člena domácnosti do zamestnania. </w:t>
      </w:r>
      <w:r w:rsidRPr="00315CED">
        <w:rPr>
          <w:rFonts w:ascii="Arial Narrow" w:hAnsi="Arial Narrow" w:cs="Arial Narrow"/>
          <w:color w:val="000000"/>
        </w:rPr>
        <w:lastRenderedPageBreak/>
        <w:t>Vďaka započítavaniu menšej časti posudzovaného pracovného príjmu na výpočet tejto dávky sa disponibilný príjem domácnosti rodičov s dvomi deťmi zvýši</w:t>
      </w:r>
      <w:r>
        <w:rPr>
          <w:rFonts w:ascii="Arial Narrow" w:hAnsi="Arial Narrow" w:cs="Arial Narrow"/>
          <w:color w:val="000000"/>
        </w:rPr>
        <w:t>l</w:t>
      </w:r>
      <w:r w:rsidRPr="00315CED">
        <w:rPr>
          <w:rFonts w:ascii="Arial Narrow" w:hAnsi="Arial Narrow" w:cs="Arial Narrow"/>
          <w:color w:val="000000"/>
        </w:rPr>
        <w:t xml:space="preserve"> zhruba o 2</w:t>
      </w:r>
      <w:r>
        <w:rPr>
          <w:rFonts w:ascii="Arial Narrow" w:hAnsi="Arial Narrow" w:cs="Arial Narrow"/>
          <w:color w:val="000000"/>
        </w:rPr>
        <w:t xml:space="preserve">0 %, ak si jeden z rodičov našiel </w:t>
      </w:r>
      <w:r w:rsidRPr="00315CED">
        <w:rPr>
          <w:rFonts w:ascii="Arial Narrow" w:hAnsi="Arial Narrow" w:cs="Arial Narrow"/>
          <w:color w:val="000000"/>
        </w:rPr>
        <w:t>prácu s príjmom vo výške minimálnej mzdy.</w:t>
      </w:r>
    </w:p>
    <w:p w14:paraId="4E84E6DE" w14:textId="77777777" w:rsidR="00315CED" w:rsidRDefault="00315CED" w:rsidP="00315CED">
      <w:pPr>
        <w:spacing w:after="0" w:line="240" w:lineRule="auto"/>
        <w:jc w:val="both"/>
        <w:rPr>
          <w:rFonts w:ascii="Arial Narrow" w:hAnsi="Arial Narrow" w:cs="Arial Narrow"/>
          <w:b/>
          <w:i/>
          <w:color w:val="000000"/>
        </w:rPr>
      </w:pPr>
    </w:p>
    <w:p w14:paraId="78BA2AE6" w14:textId="77777777" w:rsidR="00552526" w:rsidRDefault="00552526" w:rsidP="00552526">
      <w:pPr>
        <w:pStyle w:val="Odsekzoznamu"/>
        <w:spacing w:after="0" w:line="240" w:lineRule="auto"/>
        <w:ind w:left="0"/>
        <w:contextualSpacing w:val="0"/>
        <w:jc w:val="both"/>
        <w:rPr>
          <w:rFonts w:ascii="Arial Narrow" w:hAnsi="Arial Narrow"/>
          <w:szCs w:val="36"/>
          <w:lang w:eastAsia="en-US"/>
        </w:rPr>
      </w:pPr>
      <w:r w:rsidRPr="00C6455D">
        <w:rPr>
          <w:rFonts w:ascii="Arial Narrow" w:hAnsi="Arial Narrow"/>
          <w:szCs w:val="36"/>
          <w:lang w:eastAsia="en-US"/>
        </w:rPr>
        <w:t xml:space="preserve">V rámci </w:t>
      </w:r>
      <w:r w:rsidRPr="00387D6C">
        <w:rPr>
          <w:rFonts w:ascii="Arial Narrow" w:hAnsi="Arial Narrow"/>
          <w:b/>
          <w:szCs w:val="36"/>
          <w:lang w:eastAsia="en-US"/>
        </w:rPr>
        <w:t>sociálnej pomoci zdravotne ťažko postihnutým</w:t>
      </w:r>
      <w:r w:rsidRPr="00C6455D">
        <w:rPr>
          <w:rFonts w:ascii="Arial Narrow" w:hAnsi="Arial Narrow"/>
          <w:szCs w:val="36"/>
          <w:lang w:eastAsia="en-US"/>
        </w:rPr>
        <w:t xml:space="preserve"> sa od roku 2017 poskytuje zvýšený peňažný príspevok na opatrovanie. Rozpočet predpokladá na tento účel dodatočné výda</w:t>
      </w:r>
      <w:r>
        <w:rPr>
          <w:rFonts w:ascii="Arial Narrow" w:hAnsi="Arial Narrow"/>
          <w:szCs w:val="36"/>
          <w:lang w:eastAsia="en-US"/>
        </w:rPr>
        <w:t>vky vo výške 29,5 mil. eur ročne</w:t>
      </w:r>
      <w:r w:rsidRPr="00C6455D">
        <w:rPr>
          <w:rFonts w:ascii="Arial Narrow" w:hAnsi="Arial Narrow"/>
          <w:szCs w:val="36"/>
          <w:lang w:eastAsia="en-US"/>
        </w:rPr>
        <w:t xml:space="preserve">. </w:t>
      </w:r>
    </w:p>
    <w:p w14:paraId="190CACB9" w14:textId="77777777" w:rsidR="00552526" w:rsidRDefault="00552526" w:rsidP="00552526">
      <w:pPr>
        <w:pStyle w:val="Odsekzoznamu"/>
        <w:spacing w:after="0" w:line="240" w:lineRule="auto"/>
        <w:ind w:left="0"/>
        <w:contextualSpacing w:val="0"/>
        <w:jc w:val="both"/>
        <w:rPr>
          <w:rFonts w:ascii="Arial Narrow" w:hAnsi="Arial Narrow"/>
          <w:szCs w:val="36"/>
          <w:lang w:eastAsia="en-US"/>
        </w:rPr>
      </w:pPr>
    </w:p>
    <w:p w14:paraId="164AEFBB" w14:textId="61F93BFC" w:rsidR="00552526" w:rsidRDefault="00552526" w:rsidP="00552526">
      <w:pPr>
        <w:pStyle w:val="Odsekzoznamu"/>
        <w:spacing w:after="0" w:line="240" w:lineRule="auto"/>
        <w:ind w:left="0"/>
        <w:contextualSpacing w:val="0"/>
        <w:jc w:val="both"/>
        <w:rPr>
          <w:rFonts w:ascii="Arial Narrow" w:hAnsi="Arial Narrow"/>
          <w:szCs w:val="36"/>
          <w:lang w:eastAsia="en-US"/>
        </w:rPr>
      </w:pPr>
      <w:r w:rsidRPr="00C6455D">
        <w:rPr>
          <w:rFonts w:ascii="Arial Narrow" w:hAnsi="Arial Narrow"/>
          <w:szCs w:val="36"/>
          <w:lang w:eastAsia="en-US"/>
        </w:rPr>
        <w:t xml:space="preserve">V </w:t>
      </w:r>
      <w:r w:rsidR="000646EB">
        <w:rPr>
          <w:rFonts w:ascii="Arial Narrow" w:hAnsi="Arial Narrow"/>
          <w:szCs w:val="36"/>
          <w:lang w:eastAsia="en-US"/>
        </w:rPr>
        <w:t xml:space="preserve">novembri 2017 schválil parlament </w:t>
      </w:r>
      <w:r w:rsidRPr="00C6455D">
        <w:rPr>
          <w:rFonts w:ascii="Arial Narrow" w:hAnsi="Arial Narrow"/>
          <w:b/>
          <w:szCs w:val="36"/>
          <w:lang w:eastAsia="en-US"/>
        </w:rPr>
        <w:t>novelu zákona o sociálnych službách</w:t>
      </w:r>
      <w:r w:rsidRPr="00C6455D">
        <w:rPr>
          <w:rFonts w:ascii="Arial Narrow" w:hAnsi="Arial Narrow"/>
          <w:szCs w:val="36"/>
          <w:lang w:eastAsia="en-US"/>
        </w:rPr>
        <w:t>, ktorá mení najmä spôsob určenia výšky finančného príspevku pre poskytovateľov sociálnej služby v zariadeniach podmienených odkázanosťou</w:t>
      </w:r>
      <w:r w:rsidR="00527783">
        <w:rPr>
          <w:rStyle w:val="Odkaznapoznmkupodiarou"/>
          <w:rFonts w:ascii="Arial Narrow" w:hAnsi="Arial Narrow"/>
          <w:szCs w:val="36"/>
          <w:lang w:eastAsia="en-US"/>
        </w:rPr>
        <w:footnoteReference w:id="16"/>
      </w:r>
      <w:r w:rsidRPr="00C6455D">
        <w:rPr>
          <w:rFonts w:ascii="Arial Narrow" w:hAnsi="Arial Narrow"/>
          <w:szCs w:val="36"/>
          <w:lang w:eastAsia="en-US"/>
        </w:rPr>
        <w:t xml:space="preserve">. Dôjde tiež k rozšíreniu subjektov s nárokom na finančný príspevok na poskytovanie sociálnej služby (okrem obcí a neverejných poskytovateľov aj neverejní poskytovatelia v pôsobnosti VÚC). </w:t>
      </w:r>
    </w:p>
    <w:p w14:paraId="53DB8717" w14:textId="77777777" w:rsidR="000E4403" w:rsidRDefault="000E4403" w:rsidP="00FB625E">
      <w:pPr>
        <w:spacing w:after="0" w:line="240" w:lineRule="auto"/>
        <w:jc w:val="both"/>
        <w:rPr>
          <w:rFonts w:ascii="Arial Narrow" w:hAnsi="Arial Narrow"/>
          <w:b/>
          <w:sz w:val="24"/>
          <w:szCs w:val="24"/>
        </w:rPr>
      </w:pPr>
    </w:p>
    <w:p w14:paraId="27DA5300" w14:textId="77777777" w:rsidR="0063515D" w:rsidRDefault="00682C07" w:rsidP="00FB625E">
      <w:pPr>
        <w:spacing w:after="0" w:line="240" w:lineRule="auto"/>
        <w:jc w:val="both"/>
        <w:rPr>
          <w:rFonts w:ascii="Arial Narrow" w:hAnsi="Arial Narrow"/>
          <w:b/>
          <w:i/>
        </w:rPr>
      </w:pPr>
      <w:r w:rsidRPr="00554B02">
        <w:rPr>
          <w:rFonts w:ascii="Arial Narrow" w:hAnsi="Arial Narrow"/>
          <w:b/>
          <w:i/>
        </w:rPr>
        <w:t>Sociálne poisteni</w:t>
      </w:r>
      <w:r w:rsidR="00A94E2C" w:rsidRPr="00554B02">
        <w:rPr>
          <w:rFonts w:ascii="Arial Narrow" w:hAnsi="Arial Narrow"/>
          <w:b/>
          <w:i/>
        </w:rPr>
        <w:t>e a starobné dôchodkové sporenie</w:t>
      </w:r>
    </w:p>
    <w:p w14:paraId="7DAEF213" w14:textId="5F5EAC34" w:rsidR="00BF2FD5" w:rsidRDefault="00A7154B" w:rsidP="00BF2FD5">
      <w:pPr>
        <w:spacing w:after="0" w:line="240" w:lineRule="auto"/>
        <w:jc w:val="both"/>
        <w:rPr>
          <w:rFonts w:ascii="Arial Narrow" w:hAnsi="Arial Narrow"/>
          <w:szCs w:val="24"/>
        </w:rPr>
      </w:pPr>
      <w:r>
        <w:rPr>
          <w:rFonts w:ascii="Arial Narrow" w:hAnsi="Arial Narrow"/>
          <w:b/>
          <w:szCs w:val="24"/>
        </w:rPr>
        <w:t xml:space="preserve">Na roky 2018 až </w:t>
      </w:r>
      <w:r w:rsidR="00BF2FD5" w:rsidRPr="0063515D">
        <w:rPr>
          <w:rFonts w:ascii="Arial Narrow" w:hAnsi="Arial Narrow"/>
          <w:b/>
          <w:szCs w:val="24"/>
        </w:rPr>
        <w:t>2021 sa zaviedla minimálna miera valorizácie dôchodkových dávok</w:t>
      </w:r>
      <w:r w:rsidR="00BF2FD5">
        <w:rPr>
          <w:rStyle w:val="Odkaznapoznmkupodiarou"/>
          <w:rFonts w:ascii="Arial Narrow" w:hAnsi="Arial Narrow"/>
          <w:b/>
          <w:szCs w:val="24"/>
        </w:rPr>
        <w:footnoteReference w:id="17"/>
      </w:r>
      <w:r w:rsidR="00BF2FD5">
        <w:rPr>
          <w:rFonts w:ascii="Arial Narrow" w:hAnsi="Arial Narrow"/>
          <w:szCs w:val="24"/>
        </w:rPr>
        <w:t>.</w:t>
      </w:r>
      <w:r w:rsidR="00BF2FD5" w:rsidRPr="0063515D">
        <w:rPr>
          <w:rFonts w:ascii="Arial Narrow" w:hAnsi="Arial Narrow"/>
          <w:szCs w:val="24"/>
        </w:rPr>
        <w:t xml:space="preserve"> Dôchodcom sa budú zvyš</w:t>
      </w:r>
      <w:r w:rsidR="00C068B2">
        <w:rPr>
          <w:rFonts w:ascii="Arial Narrow" w:hAnsi="Arial Narrow"/>
          <w:szCs w:val="24"/>
        </w:rPr>
        <w:t>ovať dôchodkové dávky o %</w:t>
      </w:r>
      <w:r w:rsidR="00BF2FD5" w:rsidRPr="0063515D">
        <w:rPr>
          <w:rFonts w:ascii="Arial Narrow" w:hAnsi="Arial Narrow"/>
          <w:szCs w:val="24"/>
        </w:rPr>
        <w:t xml:space="preserve"> medziročného</w:t>
      </w:r>
      <w:r w:rsidR="00E31B51">
        <w:rPr>
          <w:rFonts w:ascii="Arial Narrow" w:hAnsi="Arial Narrow"/>
          <w:szCs w:val="24"/>
        </w:rPr>
        <w:t xml:space="preserve"> rastu spotrebiteľských cien domácností</w:t>
      </w:r>
      <w:r w:rsidR="00BF2FD5" w:rsidRPr="0063515D">
        <w:rPr>
          <w:rFonts w:ascii="Arial Narrow" w:hAnsi="Arial Narrow"/>
          <w:szCs w:val="24"/>
        </w:rPr>
        <w:t xml:space="preserve"> dôchodcov, najmenej však o pevnú sumu určenú ako 2 % z priemernej sumy príslušného druhu dôchodku. </w:t>
      </w:r>
      <w:r w:rsidR="00413959">
        <w:rPr>
          <w:rFonts w:ascii="Arial Narrow" w:hAnsi="Arial Narrow"/>
          <w:szCs w:val="24"/>
        </w:rPr>
        <w:t xml:space="preserve">Vďaka tomuto opatreniu budú podpriemerné penzie rásť rýchlejšie. Systém tak bude solidárnejší a pre dôchodcov s nižšími dôchodkami poskytne </w:t>
      </w:r>
      <w:r w:rsidR="00D331FC">
        <w:rPr>
          <w:rFonts w:ascii="Arial Narrow" w:hAnsi="Arial Narrow"/>
          <w:szCs w:val="24"/>
        </w:rPr>
        <w:t>vyššiu</w:t>
      </w:r>
      <w:r w:rsidR="00FD1766">
        <w:rPr>
          <w:rFonts w:ascii="Arial Narrow" w:hAnsi="Arial Narrow"/>
          <w:szCs w:val="24"/>
        </w:rPr>
        <w:t xml:space="preserve"> náhrad</w:t>
      </w:r>
      <w:r w:rsidR="008F0A54">
        <w:rPr>
          <w:rFonts w:ascii="Arial Narrow" w:hAnsi="Arial Narrow"/>
          <w:szCs w:val="24"/>
        </w:rPr>
        <w:t>u</w:t>
      </w:r>
      <w:r w:rsidR="00413959">
        <w:rPr>
          <w:rFonts w:ascii="Arial Narrow" w:hAnsi="Arial Narrow"/>
          <w:szCs w:val="24"/>
        </w:rPr>
        <w:t xml:space="preserve"> príjmu. </w:t>
      </w:r>
      <w:r w:rsidR="00BF2FD5">
        <w:rPr>
          <w:rFonts w:ascii="Arial Narrow" w:hAnsi="Arial Narrow"/>
          <w:szCs w:val="24"/>
        </w:rPr>
        <w:t xml:space="preserve">Výdavky na toto opatrenie sa odhadujú </w:t>
      </w:r>
      <w:r w:rsidR="00B872B0">
        <w:rPr>
          <w:rFonts w:ascii="Arial Narrow" w:hAnsi="Arial Narrow"/>
          <w:szCs w:val="24"/>
        </w:rPr>
        <w:t xml:space="preserve">v roku 2018 </w:t>
      </w:r>
      <w:r w:rsidR="00BF0AB1">
        <w:rPr>
          <w:rFonts w:ascii="Arial Narrow" w:hAnsi="Arial Narrow"/>
          <w:szCs w:val="24"/>
        </w:rPr>
        <w:t>na viac ako 80 mil. eur</w:t>
      </w:r>
      <w:r w:rsidR="00BF2FD5">
        <w:rPr>
          <w:rFonts w:ascii="Arial Narrow" w:hAnsi="Arial Narrow"/>
          <w:szCs w:val="24"/>
        </w:rPr>
        <w:t>.</w:t>
      </w:r>
    </w:p>
    <w:p w14:paraId="3B89C341" w14:textId="77777777" w:rsidR="00BF2FD5" w:rsidRPr="0063515D" w:rsidRDefault="00BF2FD5" w:rsidP="00BF2FD5">
      <w:pPr>
        <w:spacing w:after="0" w:line="240" w:lineRule="auto"/>
        <w:jc w:val="both"/>
        <w:rPr>
          <w:rFonts w:ascii="Arial Narrow" w:hAnsi="Arial Narrow"/>
          <w:szCs w:val="24"/>
        </w:rPr>
      </w:pPr>
    </w:p>
    <w:p w14:paraId="2F14744C" w14:textId="772DFE91" w:rsidR="0063515D" w:rsidRDefault="0063515D" w:rsidP="0063515D">
      <w:pPr>
        <w:spacing w:after="0" w:line="240" w:lineRule="auto"/>
        <w:jc w:val="both"/>
        <w:rPr>
          <w:rFonts w:ascii="Arial Narrow" w:hAnsi="Arial Narrow"/>
          <w:szCs w:val="24"/>
        </w:rPr>
      </w:pPr>
      <w:r w:rsidRPr="0063515D">
        <w:rPr>
          <w:rFonts w:ascii="Arial Narrow" w:hAnsi="Arial Narrow"/>
          <w:b/>
          <w:szCs w:val="24"/>
        </w:rPr>
        <w:t>Od roku 2018 sa uvoľňujú a zjednocujú podmienky nároku na dávku v</w:t>
      </w:r>
      <w:r>
        <w:rPr>
          <w:rFonts w:ascii="Arial Narrow" w:hAnsi="Arial Narrow"/>
          <w:b/>
          <w:szCs w:val="24"/>
        </w:rPr>
        <w:t> </w:t>
      </w:r>
      <w:r w:rsidRPr="0063515D">
        <w:rPr>
          <w:rFonts w:ascii="Arial Narrow" w:hAnsi="Arial Narrow"/>
          <w:b/>
          <w:szCs w:val="24"/>
        </w:rPr>
        <w:t>nezamestnanosti</w:t>
      </w:r>
      <w:r>
        <w:rPr>
          <w:rFonts w:ascii="Arial Narrow" w:hAnsi="Arial Narrow"/>
          <w:b/>
          <w:szCs w:val="24"/>
        </w:rPr>
        <w:t>.</w:t>
      </w:r>
      <w:r w:rsidRPr="0063515D">
        <w:rPr>
          <w:rFonts w:ascii="Arial Narrow" w:hAnsi="Arial Narrow"/>
          <w:szCs w:val="24"/>
        </w:rPr>
        <w:t xml:space="preserve"> V súlade s uvedeným musí byť poistenec na nárok na dávku v nezamestnanosti poistený najmenej dva roky v posledných štyroch rokoch pred zaradením do evidencie uchádzačov o zamestnanie. </w:t>
      </w:r>
      <w:r>
        <w:rPr>
          <w:rFonts w:ascii="Arial Narrow" w:hAnsi="Arial Narrow"/>
          <w:szCs w:val="24"/>
        </w:rPr>
        <w:t>Výdavky na uvedené opatrenie s</w:t>
      </w:r>
      <w:r w:rsidR="00BF0AB1">
        <w:rPr>
          <w:rFonts w:ascii="Arial Narrow" w:hAnsi="Arial Narrow"/>
          <w:szCs w:val="24"/>
        </w:rPr>
        <w:t xml:space="preserve">a odhadujú na takmer 10 mil. </w:t>
      </w:r>
      <w:r>
        <w:rPr>
          <w:rFonts w:ascii="Arial Narrow" w:hAnsi="Arial Narrow"/>
          <w:szCs w:val="24"/>
        </w:rPr>
        <w:t>eur ročne od roku 2018.</w:t>
      </w:r>
    </w:p>
    <w:p w14:paraId="3EBE5FBA" w14:textId="77777777" w:rsidR="0063515D" w:rsidRPr="0063515D" w:rsidRDefault="0063515D" w:rsidP="0063515D">
      <w:pPr>
        <w:spacing w:after="0" w:line="240" w:lineRule="auto"/>
        <w:jc w:val="both"/>
        <w:rPr>
          <w:rFonts w:ascii="Arial Narrow" w:hAnsi="Arial Narrow"/>
          <w:szCs w:val="24"/>
        </w:rPr>
      </w:pPr>
    </w:p>
    <w:p w14:paraId="286B2D6D" w14:textId="77777777" w:rsidR="007D2366" w:rsidRDefault="007D2366" w:rsidP="007D2366">
      <w:pPr>
        <w:spacing w:after="0" w:line="240" w:lineRule="auto"/>
        <w:jc w:val="both"/>
        <w:rPr>
          <w:rFonts w:ascii="Arial Narrow" w:hAnsi="Arial Narrow"/>
          <w:b/>
          <w:i/>
          <w:szCs w:val="24"/>
        </w:rPr>
      </w:pPr>
      <w:r w:rsidRPr="00FE5EF0">
        <w:rPr>
          <w:rFonts w:ascii="Arial Narrow" w:hAnsi="Arial Narrow"/>
          <w:b/>
          <w:i/>
          <w:szCs w:val="24"/>
        </w:rPr>
        <w:t>Verejná správa – Reforma ESO</w:t>
      </w:r>
    </w:p>
    <w:p w14:paraId="32BA73AF" w14:textId="68A839AE" w:rsidR="00FE5EF0" w:rsidRDefault="00FE5EF0" w:rsidP="00FE5EF0">
      <w:pPr>
        <w:spacing w:after="0" w:line="240" w:lineRule="auto"/>
        <w:jc w:val="both"/>
        <w:rPr>
          <w:rFonts w:ascii="Arial Narrow" w:hAnsi="Arial Narrow"/>
          <w:szCs w:val="24"/>
        </w:rPr>
      </w:pPr>
      <w:r>
        <w:rPr>
          <w:rFonts w:ascii="Arial Narrow" w:hAnsi="Arial Narrow"/>
          <w:szCs w:val="24"/>
        </w:rPr>
        <w:t>V rámci reformy ESO bolo k januáru 201</w:t>
      </w:r>
      <w:r w:rsidR="00344D22">
        <w:rPr>
          <w:rFonts w:ascii="Arial Narrow" w:hAnsi="Arial Narrow"/>
          <w:szCs w:val="24"/>
        </w:rPr>
        <w:t>8</w:t>
      </w:r>
      <w:r>
        <w:rPr>
          <w:rFonts w:ascii="Arial Narrow" w:hAnsi="Arial Narrow"/>
          <w:szCs w:val="24"/>
        </w:rPr>
        <w:t xml:space="preserve"> zriadených celkovo 5</w:t>
      </w:r>
      <w:r w:rsidR="00344D22">
        <w:rPr>
          <w:rFonts w:ascii="Arial Narrow" w:hAnsi="Arial Narrow"/>
          <w:szCs w:val="24"/>
        </w:rPr>
        <w:t>5</w:t>
      </w:r>
      <w:r>
        <w:rPr>
          <w:rFonts w:ascii="Arial Narrow" w:hAnsi="Arial Narrow"/>
          <w:szCs w:val="24"/>
        </w:rPr>
        <w:t xml:space="preserve"> </w:t>
      </w:r>
      <w:r w:rsidR="004807F8">
        <w:rPr>
          <w:rFonts w:ascii="Arial Narrow" w:hAnsi="Arial Narrow"/>
          <w:b/>
          <w:szCs w:val="24"/>
        </w:rPr>
        <w:t>klientsky</w:t>
      </w:r>
      <w:r w:rsidR="004807F8" w:rsidRPr="00AE35E3">
        <w:rPr>
          <w:rFonts w:ascii="Arial Narrow" w:hAnsi="Arial Narrow"/>
          <w:b/>
          <w:szCs w:val="24"/>
        </w:rPr>
        <w:t>ch</w:t>
      </w:r>
      <w:r w:rsidRPr="00AE35E3">
        <w:rPr>
          <w:rFonts w:ascii="Arial Narrow" w:hAnsi="Arial Narrow"/>
          <w:b/>
          <w:szCs w:val="24"/>
        </w:rPr>
        <w:t xml:space="preserve"> centier</w:t>
      </w:r>
      <w:r w:rsidR="00BF0AB1">
        <w:rPr>
          <w:rFonts w:ascii="Arial Narrow" w:hAnsi="Arial Narrow"/>
          <w:b/>
          <w:szCs w:val="24"/>
        </w:rPr>
        <w:t xml:space="preserve"> </w:t>
      </w:r>
      <w:r>
        <w:rPr>
          <w:rFonts w:ascii="Arial Narrow" w:hAnsi="Arial Narrow"/>
          <w:szCs w:val="24"/>
        </w:rPr>
        <w:t>a v ich zriaďovaní sa plánuje ďalej pokračovať. Otváranie klientskych centier bolo zahájené v roku 2013.</w:t>
      </w:r>
      <w:r w:rsidR="00262B5B">
        <w:rPr>
          <w:rFonts w:ascii="Arial Narrow" w:hAnsi="Arial Narrow"/>
          <w:szCs w:val="24"/>
        </w:rPr>
        <w:t xml:space="preserve"> </w:t>
      </w:r>
      <w:r w:rsidR="00262B5B" w:rsidRPr="00262B5B">
        <w:rPr>
          <w:rFonts w:ascii="Arial Narrow" w:hAnsi="Arial Narrow"/>
          <w:szCs w:val="24"/>
        </w:rPr>
        <w:t>Podstatou reformy verejnej správy ESO je zefektívniť, zlacniť a zmodernizovať v</w:t>
      </w:r>
      <w:r w:rsidR="00BF0AB1">
        <w:rPr>
          <w:rFonts w:ascii="Arial Narrow" w:hAnsi="Arial Narrow"/>
          <w:szCs w:val="24"/>
        </w:rPr>
        <w:t xml:space="preserve">ýkon štátnej správy pre občana. </w:t>
      </w:r>
      <w:r w:rsidR="00262B5B">
        <w:rPr>
          <w:rFonts w:ascii="Arial Narrow" w:hAnsi="Arial Narrow"/>
          <w:szCs w:val="24"/>
        </w:rPr>
        <w:t xml:space="preserve">Cieľom druhej etapy je </w:t>
      </w:r>
      <w:r w:rsidR="00262B5B" w:rsidRPr="00262B5B">
        <w:rPr>
          <w:rFonts w:ascii="Arial Narrow" w:hAnsi="Arial Narrow"/>
          <w:szCs w:val="24"/>
        </w:rPr>
        <w:t>vytvorenie jednotnej a prehľadnej štruktúry miestnych orgánov štátne</w:t>
      </w:r>
      <w:r w:rsidR="00262B5B">
        <w:rPr>
          <w:rFonts w:ascii="Arial Narrow" w:hAnsi="Arial Narrow"/>
          <w:szCs w:val="24"/>
        </w:rPr>
        <w:t>j správy sústredením ich pôsobností.</w:t>
      </w:r>
      <w:r w:rsidR="00262B5B" w:rsidRPr="00262B5B">
        <w:rPr>
          <w:rFonts w:ascii="Arial Narrow" w:hAnsi="Arial Narrow"/>
          <w:szCs w:val="24"/>
        </w:rPr>
        <w:t xml:space="preserve"> </w:t>
      </w:r>
      <w:r>
        <w:rPr>
          <w:rFonts w:ascii="Arial Narrow" w:hAnsi="Arial Narrow"/>
          <w:szCs w:val="24"/>
        </w:rPr>
        <w:t>V</w:t>
      </w:r>
      <w:r w:rsidR="00BF0AB1">
        <w:rPr>
          <w:rFonts w:ascii="Arial Narrow" w:hAnsi="Arial Narrow"/>
          <w:szCs w:val="24"/>
        </w:rPr>
        <w:t> </w:t>
      </w:r>
      <w:r>
        <w:rPr>
          <w:rFonts w:ascii="Arial Narrow" w:hAnsi="Arial Narrow"/>
          <w:szCs w:val="24"/>
        </w:rPr>
        <w:t>legislatívno</w:t>
      </w:r>
      <w:r w:rsidR="00BF0551">
        <w:rPr>
          <w:rFonts w:ascii="Arial Narrow" w:hAnsi="Arial Narrow"/>
          <w:szCs w:val="24"/>
        </w:rPr>
        <w:t>m</w:t>
      </w:r>
      <w:r w:rsidR="00BF0AB1">
        <w:rPr>
          <w:rFonts w:ascii="Arial Narrow" w:hAnsi="Arial Narrow"/>
          <w:szCs w:val="24"/>
        </w:rPr>
        <w:t xml:space="preserve"> </w:t>
      </w:r>
      <w:r>
        <w:rPr>
          <w:rFonts w:ascii="Arial Narrow" w:hAnsi="Arial Narrow"/>
          <w:szCs w:val="24"/>
        </w:rPr>
        <w:t xml:space="preserve">procese dochádza z titulu reformy ESO k aktualizácii doložiek vybraných vplyvov o doložku </w:t>
      </w:r>
      <w:r>
        <w:rPr>
          <w:rFonts w:ascii="Arial Narrow" w:hAnsi="Arial Narrow"/>
          <w:i/>
          <w:szCs w:val="24"/>
        </w:rPr>
        <w:t xml:space="preserve">Vplyvy </w:t>
      </w:r>
      <w:r w:rsidRPr="00000A4B">
        <w:rPr>
          <w:rFonts w:ascii="Arial Narrow" w:hAnsi="Arial Narrow"/>
          <w:i/>
          <w:szCs w:val="24"/>
        </w:rPr>
        <w:t>s</w:t>
      </w:r>
      <w:r>
        <w:rPr>
          <w:rFonts w:ascii="Arial Narrow" w:hAnsi="Arial Narrow"/>
          <w:i/>
          <w:szCs w:val="24"/>
        </w:rPr>
        <w:t xml:space="preserve">lužieb verejnej správy na občana </w:t>
      </w:r>
      <w:r>
        <w:rPr>
          <w:rFonts w:ascii="Arial Narrow" w:hAnsi="Arial Narrow"/>
          <w:szCs w:val="24"/>
        </w:rPr>
        <w:t>a </w:t>
      </w:r>
      <w:r>
        <w:rPr>
          <w:rFonts w:ascii="Arial Narrow" w:hAnsi="Arial Narrow"/>
          <w:i/>
          <w:szCs w:val="24"/>
        </w:rPr>
        <w:t xml:space="preserve">Vplyvy </w:t>
      </w:r>
      <w:r w:rsidRPr="00000A4B">
        <w:rPr>
          <w:rFonts w:ascii="Arial Narrow" w:hAnsi="Arial Narrow"/>
          <w:i/>
          <w:szCs w:val="24"/>
        </w:rPr>
        <w:t>na pro</w:t>
      </w:r>
      <w:r>
        <w:rPr>
          <w:rFonts w:ascii="Arial Narrow" w:hAnsi="Arial Narrow"/>
          <w:i/>
          <w:szCs w:val="24"/>
        </w:rPr>
        <w:t>cesy služieb vo verejnej správe</w:t>
      </w:r>
      <w:r>
        <w:rPr>
          <w:rFonts w:ascii="Arial Narrow" w:hAnsi="Arial Narrow"/>
          <w:szCs w:val="24"/>
        </w:rPr>
        <w:t xml:space="preserve">. </w:t>
      </w:r>
    </w:p>
    <w:p w14:paraId="35F4C62F" w14:textId="77777777" w:rsidR="007D2366" w:rsidRDefault="007D2366" w:rsidP="007D2366">
      <w:pPr>
        <w:spacing w:after="0" w:line="240" w:lineRule="auto"/>
        <w:jc w:val="both"/>
        <w:rPr>
          <w:rFonts w:ascii="Arial Narrow" w:hAnsi="Arial Narrow"/>
          <w:b/>
          <w:i/>
        </w:rPr>
      </w:pPr>
    </w:p>
    <w:p w14:paraId="0A63C91A" w14:textId="77777777" w:rsidR="00C27F31" w:rsidRPr="00E95C1F" w:rsidRDefault="00A7154B" w:rsidP="007D2366">
      <w:pPr>
        <w:spacing w:after="0" w:line="240" w:lineRule="auto"/>
        <w:jc w:val="both"/>
        <w:rPr>
          <w:rFonts w:ascii="Arial Narrow" w:hAnsi="Arial Narrow"/>
          <w:b/>
          <w:i/>
          <w:szCs w:val="24"/>
        </w:rPr>
      </w:pPr>
      <w:r w:rsidRPr="00E95C1F">
        <w:rPr>
          <w:rFonts w:ascii="Arial Narrow" w:hAnsi="Arial Narrow"/>
          <w:b/>
          <w:i/>
          <w:szCs w:val="24"/>
        </w:rPr>
        <w:t>Informatizácia verejnej správy</w:t>
      </w:r>
    </w:p>
    <w:p w14:paraId="31269D9F" w14:textId="77777777" w:rsidR="00E95C1F" w:rsidRPr="00E95C1F" w:rsidRDefault="00E95C1F" w:rsidP="00E95C1F">
      <w:pPr>
        <w:spacing w:after="0" w:line="240" w:lineRule="auto"/>
        <w:jc w:val="both"/>
        <w:rPr>
          <w:rFonts w:ascii="Arial Narrow" w:hAnsi="Arial Narrow"/>
          <w:szCs w:val="24"/>
        </w:rPr>
      </w:pPr>
      <w:r w:rsidRPr="002D3B28">
        <w:rPr>
          <w:rFonts w:ascii="Arial Narrow" w:hAnsi="Arial Narrow"/>
          <w:b/>
          <w:i/>
          <w:szCs w:val="24"/>
        </w:rPr>
        <w:t>Národná koncepcia informatizácie verejnej správy</w:t>
      </w:r>
      <w:r w:rsidRPr="00880D44">
        <w:rPr>
          <w:rFonts w:ascii="Arial Narrow" w:hAnsi="Arial Narrow"/>
          <w:szCs w:val="24"/>
        </w:rPr>
        <w:t xml:space="preserve"> </w:t>
      </w:r>
      <w:r w:rsidRPr="00E95C1F">
        <w:rPr>
          <w:rFonts w:ascii="Arial Narrow" w:hAnsi="Arial Narrow"/>
          <w:szCs w:val="24"/>
        </w:rPr>
        <w:t xml:space="preserve">ustanovila 10 strategických priorít, z ktorých do konca roka 2017 bolo spracovaných a publikovaných 9 </w:t>
      </w:r>
      <w:r w:rsidR="00AB5ECF">
        <w:rPr>
          <w:rFonts w:ascii="Arial Narrow" w:hAnsi="Arial Narrow"/>
          <w:szCs w:val="24"/>
        </w:rPr>
        <w:t>(</w:t>
      </w:r>
      <w:r w:rsidRPr="00E95C1F">
        <w:rPr>
          <w:rFonts w:ascii="Arial Narrow" w:hAnsi="Arial Narrow"/>
          <w:szCs w:val="24"/>
        </w:rPr>
        <w:t>okrem Kybernetickej a informačnej bezpečnosti, ktorá sa dopracuje v roku 2018</w:t>
      </w:r>
      <w:r w:rsidR="00AB5ECF">
        <w:rPr>
          <w:rFonts w:ascii="Arial Narrow" w:hAnsi="Arial Narrow"/>
          <w:szCs w:val="24"/>
        </w:rPr>
        <w:t>)</w:t>
      </w:r>
      <w:r w:rsidRPr="00E95C1F">
        <w:rPr>
          <w:rFonts w:ascii="Arial Narrow" w:hAnsi="Arial Narrow"/>
          <w:szCs w:val="24"/>
        </w:rPr>
        <w:t xml:space="preserve">. </w:t>
      </w:r>
    </w:p>
    <w:p w14:paraId="3179B8ED" w14:textId="77777777" w:rsidR="000C6514" w:rsidRDefault="000C6514" w:rsidP="00C27F31">
      <w:pPr>
        <w:spacing w:after="0" w:line="240" w:lineRule="auto"/>
        <w:jc w:val="both"/>
        <w:rPr>
          <w:rStyle w:val="Zstupntext"/>
          <w:rFonts w:ascii="Arial Narrow" w:hAnsi="Arial Narrow"/>
        </w:rPr>
      </w:pPr>
    </w:p>
    <w:p w14:paraId="25B81F9C" w14:textId="22228025" w:rsidR="00E95C1F" w:rsidRDefault="00E95C1F" w:rsidP="00E95C1F">
      <w:pPr>
        <w:spacing w:after="0" w:line="240" w:lineRule="auto"/>
        <w:jc w:val="both"/>
        <w:rPr>
          <w:rStyle w:val="Zstupntext"/>
          <w:rFonts w:ascii="Arial Narrow" w:hAnsi="Arial Narrow"/>
        </w:rPr>
      </w:pPr>
      <w:r w:rsidRPr="002D3B28">
        <w:rPr>
          <w:rStyle w:val="Zstupntext"/>
          <w:rFonts w:ascii="Arial Narrow" w:hAnsi="Arial Narrow"/>
          <w:b/>
        </w:rPr>
        <w:t>Akčný plán informatizácie verejnej sp</w:t>
      </w:r>
      <w:r w:rsidR="002D3B28" w:rsidRPr="002D3B28">
        <w:rPr>
          <w:rStyle w:val="Zstupntext"/>
          <w:rFonts w:ascii="Arial Narrow" w:hAnsi="Arial Narrow"/>
          <w:b/>
        </w:rPr>
        <w:t xml:space="preserve">rávy na obdobie 2017 až </w:t>
      </w:r>
      <w:r w:rsidRPr="002D3B28">
        <w:rPr>
          <w:rStyle w:val="Zstupntext"/>
          <w:rFonts w:ascii="Arial Narrow" w:hAnsi="Arial Narrow"/>
          <w:b/>
        </w:rPr>
        <w:t xml:space="preserve">2020 </w:t>
      </w:r>
      <w:r>
        <w:rPr>
          <w:rStyle w:val="Zstupntext"/>
          <w:rFonts w:ascii="Arial Narrow" w:hAnsi="Arial Narrow"/>
        </w:rPr>
        <w:t>bol schválený v novembri 2017 Radou</w:t>
      </w:r>
      <w:r w:rsidRPr="00695D60">
        <w:rPr>
          <w:rStyle w:val="Zstupntext"/>
          <w:rFonts w:ascii="Arial Narrow" w:hAnsi="Arial Narrow"/>
        </w:rPr>
        <w:t xml:space="preserve"> vlády SR pre digitalizáciu verejnej správy a jednotný digitálny trh</w:t>
      </w:r>
      <w:r>
        <w:rPr>
          <w:rStyle w:val="Zstupntext"/>
          <w:rFonts w:ascii="Arial Narrow" w:hAnsi="Arial Narrow"/>
        </w:rPr>
        <w:t xml:space="preserve">. Výsledkom materiálu </w:t>
      </w:r>
      <w:r w:rsidRPr="00695D60">
        <w:rPr>
          <w:rStyle w:val="Zstupntext"/>
          <w:rFonts w:ascii="Arial Narrow" w:hAnsi="Arial Narrow"/>
        </w:rPr>
        <w:t>bude implementácia kľú</w:t>
      </w:r>
      <w:r>
        <w:rPr>
          <w:rStyle w:val="Zstupntext"/>
          <w:rFonts w:ascii="Arial Narrow" w:hAnsi="Arial Narrow"/>
        </w:rPr>
        <w:t xml:space="preserve">čových projektov informatizácie, ako aj </w:t>
      </w:r>
      <w:r w:rsidRPr="00695D60">
        <w:rPr>
          <w:rStyle w:val="Zstupntext"/>
          <w:rFonts w:ascii="Arial Narrow" w:hAnsi="Arial Narrow"/>
        </w:rPr>
        <w:t>r</w:t>
      </w:r>
      <w:r w:rsidR="00BF0AB1">
        <w:rPr>
          <w:rStyle w:val="Zstupntext"/>
          <w:rFonts w:ascii="Arial Narrow" w:hAnsi="Arial Narrow"/>
        </w:rPr>
        <w:t xml:space="preserve">iešenia 25 životných situácií, </w:t>
      </w:r>
      <w:r w:rsidRPr="00695D60">
        <w:rPr>
          <w:rStyle w:val="Zstupntext"/>
          <w:rFonts w:ascii="Arial Narrow" w:hAnsi="Arial Narrow"/>
        </w:rPr>
        <w:t xml:space="preserve">ktoré budú úrady schopné riešiť podľa princípu </w:t>
      </w:r>
      <w:r w:rsidRPr="00880D44">
        <w:rPr>
          <w:rStyle w:val="Zstupntext"/>
          <w:rFonts w:ascii="Arial Narrow" w:hAnsi="Arial Narrow"/>
        </w:rPr>
        <w:t>jedenkrát a dosť</w:t>
      </w:r>
      <w:r>
        <w:rPr>
          <w:rStyle w:val="Zstupntext"/>
          <w:rFonts w:ascii="Arial Narrow" w:hAnsi="Arial Narrow"/>
        </w:rPr>
        <w:t xml:space="preserve">. Tieto služby by mali byť spustené postupne, </w:t>
      </w:r>
      <w:r w:rsidRPr="00695D60">
        <w:rPr>
          <w:rStyle w:val="Zstupntext"/>
          <w:rFonts w:ascii="Arial Narrow" w:hAnsi="Arial Narrow"/>
        </w:rPr>
        <w:t>rovn</w:t>
      </w:r>
      <w:r>
        <w:rPr>
          <w:rStyle w:val="Zstupntext"/>
          <w:rFonts w:ascii="Arial Narrow" w:hAnsi="Arial Narrow"/>
        </w:rPr>
        <w:t>ako ako online platby štátu cez platobnú kartu</w:t>
      </w:r>
      <w:r w:rsidR="005E4719">
        <w:rPr>
          <w:rStyle w:val="Odkaznapoznmkupodiarou"/>
          <w:rFonts w:ascii="Arial Narrow" w:hAnsi="Arial Narrow"/>
          <w:color w:val="000000"/>
        </w:rPr>
        <w:footnoteReference w:id="18"/>
      </w:r>
      <w:r w:rsidR="00BF0AB1">
        <w:rPr>
          <w:rStyle w:val="Zstupntext"/>
          <w:rFonts w:ascii="Arial Narrow" w:hAnsi="Arial Narrow"/>
        </w:rPr>
        <w:t xml:space="preserve"> a prihlasovanie s podpisovaním </w:t>
      </w:r>
      <w:r>
        <w:rPr>
          <w:rStyle w:val="Zstupntext"/>
          <w:rFonts w:ascii="Arial Narrow" w:hAnsi="Arial Narrow"/>
        </w:rPr>
        <w:t xml:space="preserve">pomocou </w:t>
      </w:r>
      <w:proofErr w:type="spellStart"/>
      <w:r w:rsidRPr="00695D60">
        <w:rPr>
          <w:rStyle w:val="Zstupntext"/>
          <w:rFonts w:ascii="Arial Narrow" w:hAnsi="Arial Narrow"/>
        </w:rPr>
        <w:t>smartfónu</w:t>
      </w:r>
      <w:proofErr w:type="spellEnd"/>
      <w:r w:rsidRPr="00695D60">
        <w:rPr>
          <w:rStyle w:val="Zstupntext"/>
          <w:rFonts w:ascii="Arial Narrow" w:hAnsi="Arial Narrow"/>
        </w:rPr>
        <w:t xml:space="preserve">. </w:t>
      </w:r>
      <w:r>
        <w:rPr>
          <w:rStyle w:val="Zstupntext"/>
          <w:rFonts w:ascii="Arial Narrow" w:hAnsi="Arial Narrow"/>
        </w:rPr>
        <w:t xml:space="preserve">Aktivity sú zoskupené do 4 vedných oblastí – </w:t>
      </w:r>
      <w:r w:rsidRPr="00BF0AB1">
        <w:rPr>
          <w:rStyle w:val="Zstupntext"/>
          <w:rFonts w:ascii="Arial Narrow" w:hAnsi="Arial Narrow"/>
          <w:i/>
        </w:rPr>
        <w:t>„Lepšie dáta“</w:t>
      </w:r>
      <w:r>
        <w:rPr>
          <w:rStyle w:val="Zstupntext"/>
          <w:rFonts w:ascii="Arial Narrow" w:hAnsi="Arial Narrow"/>
        </w:rPr>
        <w:t xml:space="preserve"> a </w:t>
      </w:r>
      <w:r w:rsidRPr="00BF0AB1">
        <w:rPr>
          <w:rStyle w:val="Zstupntext"/>
          <w:rFonts w:ascii="Arial Narrow" w:hAnsi="Arial Narrow"/>
          <w:i/>
        </w:rPr>
        <w:t>„Lepšie služby“</w:t>
      </w:r>
      <w:r>
        <w:rPr>
          <w:rStyle w:val="Zstupntext"/>
          <w:rFonts w:ascii="Arial Narrow" w:hAnsi="Arial Narrow"/>
        </w:rPr>
        <w:t xml:space="preserve"> sú zamerané na zlepšenie poskytovaných služieb pre občanov a podnikateľov. </w:t>
      </w:r>
      <w:r w:rsidRPr="00BF0AB1">
        <w:rPr>
          <w:rStyle w:val="Zstupntext"/>
          <w:rFonts w:ascii="Arial Narrow" w:hAnsi="Arial Narrow"/>
          <w:i/>
        </w:rPr>
        <w:t xml:space="preserve">„Zdieľané služby (hybridného) vládneho </w:t>
      </w:r>
      <w:proofErr w:type="spellStart"/>
      <w:r w:rsidRPr="00BF0AB1">
        <w:rPr>
          <w:rStyle w:val="Zstupntext"/>
          <w:rFonts w:ascii="Arial Narrow" w:hAnsi="Arial Narrow"/>
          <w:i/>
        </w:rPr>
        <w:t>cloudu</w:t>
      </w:r>
      <w:proofErr w:type="spellEnd"/>
      <w:r w:rsidRPr="00BF0AB1">
        <w:rPr>
          <w:rStyle w:val="Zstupntext"/>
          <w:rFonts w:ascii="Arial Narrow" w:hAnsi="Arial Narrow"/>
          <w:i/>
        </w:rPr>
        <w:t>“</w:t>
      </w:r>
      <w:r>
        <w:rPr>
          <w:rStyle w:val="Zstupntext"/>
          <w:rFonts w:ascii="Arial Narrow" w:hAnsi="Arial Narrow"/>
        </w:rPr>
        <w:t xml:space="preserve"> sú zamerané na zvyšovanie efektívnosti verejnej správy a </w:t>
      </w:r>
      <w:r w:rsidRPr="00BF0AB1">
        <w:rPr>
          <w:rStyle w:val="Zstupntext"/>
          <w:rFonts w:ascii="Arial Narrow" w:hAnsi="Arial Narrow"/>
          <w:i/>
        </w:rPr>
        <w:t>„Prierezové aktivity“</w:t>
      </w:r>
      <w:r>
        <w:rPr>
          <w:rStyle w:val="Zstupntext"/>
          <w:rFonts w:ascii="Arial Narrow" w:hAnsi="Arial Narrow"/>
        </w:rPr>
        <w:t xml:space="preserve"> na posilnenie informatizácie z pohľadu legislatívy, ochrany osobných údajov a pod. </w:t>
      </w:r>
    </w:p>
    <w:p w14:paraId="23A17067" w14:textId="77777777" w:rsidR="00E95C1F" w:rsidRDefault="00E95C1F" w:rsidP="00E95C1F">
      <w:pPr>
        <w:spacing w:after="0" w:line="240" w:lineRule="auto"/>
        <w:jc w:val="both"/>
        <w:rPr>
          <w:rStyle w:val="Zstupntext"/>
          <w:rFonts w:ascii="Arial Narrow" w:hAnsi="Arial Narrow"/>
        </w:rPr>
      </w:pPr>
    </w:p>
    <w:p w14:paraId="0361D2E6" w14:textId="0811CF09" w:rsidR="00E95C1F" w:rsidRDefault="00E95C1F" w:rsidP="00E95C1F">
      <w:pPr>
        <w:spacing w:after="0" w:line="240" w:lineRule="auto"/>
        <w:jc w:val="both"/>
        <w:rPr>
          <w:rStyle w:val="Zstupntext"/>
          <w:rFonts w:ascii="Arial Narrow" w:hAnsi="Arial Narrow"/>
        </w:rPr>
      </w:pPr>
      <w:r w:rsidRPr="00527783">
        <w:rPr>
          <w:rStyle w:val="Zstupntext"/>
          <w:rFonts w:ascii="Arial Narrow" w:hAnsi="Arial Narrow"/>
        </w:rPr>
        <w:lastRenderedPageBreak/>
        <w:t>V</w:t>
      </w:r>
      <w:r>
        <w:rPr>
          <w:rStyle w:val="Zstupntext"/>
          <w:rFonts w:ascii="Arial Narrow" w:hAnsi="Arial Narrow"/>
        </w:rPr>
        <w:t xml:space="preserve"> septembri </w:t>
      </w:r>
      <w:r w:rsidRPr="00527783">
        <w:rPr>
          <w:rStyle w:val="Zstupntext"/>
          <w:rFonts w:ascii="Arial Narrow" w:hAnsi="Arial Narrow"/>
        </w:rPr>
        <w:t xml:space="preserve">2017 bola prijatá </w:t>
      </w:r>
      <w:r w:rsidRPr="00527783">
        <w:rPr>
          <w:rStyle w:val="Zstupntext"/>
          <w:rFonts w:ascii="Arial Narrow" w:hAnsi="Arial Narrow"/>
          <w:b/>
        </w:rPr>
        <w:t>novela zákona o e-</w:t>
      </w:r>
      <w:proofErr w:type="spellStart"/>
      <w:r w:rsidRPr="00527783">
        <w:rPr>
          <w:rStyle w:val="Zstupntext"/>
          <w:rFonts w:ascii="Arial Narrow" w:hAnsi="Arial Narrow"/>
          <w:b/>
        </w:rPr>
        <w:t>Governmente</w:t>
      </w:r>
      <w:proofErr w:type="spellEnd"/>
      <w:r w:rsidRPr="00527783">
        <w:rPr>
          <w:rStyle w:val="Zstupntext"/>
          <w:rFonts w:ascii="Arial Narrow" w:hAnsi="Arial Narrow"/>
        </w:rPr>
        <w:t xml:space="preserve">. Cieľom novely bolo najmä zjednotiť používané nástroje, zjednodušiť využívanie elektronických služieb a zaviesť mechanizmus kontroly dodržiavania povinností. Medzi oblasti úpravy patrí napríklad zavedenie povinnosti používania centrálnej elektronickej podateľne, zjednodušenie „podpisovania“ elektronických podaní, </w:t>
      </w:r>
      <w:proofErr w:type="spellStart"/>
      <w:r w:rsidRPr="00527783">
        <w:rPr>
          <w:rStyle w:val="Zstupntext"/>
          <w:rFonts w:ascii="Arial Narrow" w:hAnsi="Arial Narrow"/>
        </w:rPr>
        <w:t>inštitucionalizácia</w:t>
      </w:r>
      <w:proofErr w:type="spellEnd"/>
      <w:r w:rsidRPr="00527783">
        <w:rPr>
          <w:rStyle w:val="Zstupntext"/>
          <w:rFonts w:ascii="Arial Narrow" w:hAnsi="Arial Narrow"/>
        </w:rPr>
        <w:t xml:space="preserve"> vládneho </w:t>
      </w:r>
      <w:proofErr w:type="spellStart"/>
      <w:r w:rsidRPr="00527783">
        <w:rPr>
          <w:rStyle w:val="Zstupntext"/>
          <w:rFonts w:ascii="Arial Narrow" w:hAnsi="Arial Narrow"/>
        </w:rPr>
        <w:t>cloudu</w:t>
      </w:r>
      <w:proofErr w:type="spellEnd"/>
      <w:r w:rsidRPr="00527783">
        <w:rPr>
          <w:rStyle w:val="Zstupntext"/>
          <w:rFonts w:ascii="Arial Narrow" w:hAnsi="Arial Narrow"/>
        </w:rPr>
        <w:t xml:space="preserve"> a zavedenie sankcií za porušenie zákona</w:t>
      </w:r>
      <w:r>
        <w:rPr>
          <w:rStyle w:val="Zstupntext"/>
          <w:rFonts w:ascii="Arial Narrow" w:hAnsi="Arial Narrow"/>
        </w:rPr>
        <w:t xml:space="preserve">. Najzásadnejší dopad predstavuje zavedenie centrálneho úradného doručovania, ktorého cieľom je znížiť administratívnu záťaž a zaviesť kontrolné mechanizmy. Centrálne úradné doručovanie bude povinné pre všetky štátne rozpočtové organizácie, a to najneskôr od </w:t>
      </w:r>
      <w:r w:rsidR="005E4719">
        <w:rPr>
          <w:rStyle w:val="Zstupntext"/>
          <w:rFonts w:ascii="Arial Narrow" w:hAnsi="Arial Narrow"/>
        </w:rPr>
        <w:t xml:space="preserve">novembra </w:t>
      </w:r>
      <w:r>
        <w:rPr>
          <w:rStyle w:val="Zstupntext"/>
          <w:rFonts w:ascii="Arial Narrow" w:hAnsi="Arial Narrow"/>
        </w:rPr>
        <w:t>2018. Ďalším kľúčovým opatrením je sprístupnenie o</w:t>
      </w:r>
      <w:r w:rsidR="002026F6">
        <w:rPr>
          <w:rStyle w:val="Zstupntext"/>
          <w:rFonts w:ascii="Arial Narrow" w:hAnsi="Arial Narrow"/>
        </w:rPr>
        <w:t>nline platby kartou, ktoré umožň</w:t>
      </w:r>
      <w:r w:rsidR="008F0A54">
        <w:rPr>
          <w:rStyle w:val="Zstupntext"/>
          <w:rFonts w:ascii="Arial Narrow" w:hAnsi="Arial Narrow"/>
        </w:rPr>
        <w:t>uje</w:t>
      </w:r>
      <w:r w:rsidR="002026F6">
        <w:rPr>
          <w:rStyle w:val="Zstupntext"/>
          <w:rFonts w:ascii="Arial Narrow" w:hAnsi="Arial Narrow"/>
        </w:rPr>
        <w:t xml:space="preserve"> </w:t>
      </w:r>
      <w:r>
        <w:rPr>
          <w:rStyle w:val="Zstupntext"/>
          <w:rFonts w:ascii="Arial Narrow" w:hAnsi="Arial Narrow"/>
        </w:rPr>
        <w:t>používateľom elektronických služieb platiť za správne, súdne a iné poplatky.</w:t>
      </w:r>
    </w:p>
    <w:p w14:paraId="5AE46CDD" w14:textId="77777777" w:rsidR="00E95C1F" w:rsidRPr="000C6514" w:rsidRDefault="00E95C1F" w:rsidP="00E95C1F">
      <w:pPr>
        <w:spacing w:after="0" w:line="240" w:lineRule="auto"/>
        <w:jc w:val="both"/>
        <w:rPr>
          <w:rStyle w:val="Zstupntext"/>
          <w:rFonts w:ascii="Arial Narrow" w:hAnsi="Arial Narrow"/>
        </w:rPr>
      </w:pPr>
    </w:p>
    <w:p w14:paraId="083133AE" w14:textId="77777777" w:rsidR="00E95C1F" w:rsidRDefault="00E95C1F" w:rsidP="00E95C1F">
      <w:pPr>
        <w:spacing w:after="0" w:line="240" w:lineRule="auto"/>
        <w:jc w:val="both"/>
        <w:rPr>
          <w:rFonts w:ascii="Arial Narrow" w:hAnsi="Arial Narrow"/>
          <w:lang w:eastAsia="en-US"/>
        </w:rPr>
      </w:pPr>
      <w:r w:rsidRPr="000C6514">
        <w:rPr>
          <w:rStyle w:val="Zstupntext"/>
          <w:rFonts w:ascii="Arial Narrow" w:hAnsi="Arial Narrow"/>
          <w:b/>
        </w:rPr>
        <w:t>Návrh zákona o výkone správy v oblasti informačných technológií verejnej správy</w:t>
      </w:r>
      <w:r>
        <w:rPr>
          <w:rStyle w:val="Zstupntext"/>
          <w:rFonts w:ascii="Arial Narrow" w:hAnsi="Arial Narrow"/>
          <w:b/>
        </w:rPr>
        <w:t xml:space="preserve"> (ITVS)</w:t>
      </w:r>
      <w:r w:rsidRPr="000C6514">
        <w:rPr>
          <w:rStyle w:val="Zstupntext"/>
          <w:rFonts w:ascii="Arial Narrow" w:hAnsi="Arial Narrow"/>
          <w:b/>
        </w:rPr>
        <w:t xml:space="preserve"> </w:t>
      </w:r>
      <w:r w:rsidRPr="000C6514">
        <w:rPr>
          <w:rStyle w:val="Zstupntext"/>
          <w:rFonts w:ascii="Arial Narrow" w:hAnsi="Arial Narrow"/>
        </w:rPr>
        <w:t xml:space="preserve">je v legislatívnom procese. Nová legislatíva jednotným spôsobom upravuje </w:t>
      </w:r>
      <w:r w:rsidRPr="000C6514">
        <w:rPr>
          <w:rFonts w:ascii="Arial Narrow" w:hAnsi="Arial Narrow"/>
          <w:lang w:eastAsia="en-US"/>
        </w:rPr>
        <w:t xml:space="preserve">pravidlá v oblasti </w:t>
      </w:r>
      <w:r>
        <w:rPr>
          <w:rFonts w:ascii="Arial Narrow" w:hAnsi="Arial Narrow"/>
          <w:lang w:eastAsia="en-US"/>
        </w:rPr>
        <w:t xml:space="preserve">správy </w:t>
      </w:r>
      <w:r w:rsidRPr="000C6514">
        <w:rPr>
          <w:rFonts w:ascii="Arial Narrow" w:hAnsi="Arial Narrow"/>
          <w:lang w:eastAsia="en-US"/>
        </w:rPr>
        <w:t>IT</w:t>
      </w:r>
      <w:r>
        <w:rPr>
          <w:rFonts w:ascii="Arial Narrow" w:hAnsi="Arial Narrow"/>
          <w:lang w:eastAsia="en-US"/>
        </w:rPr>
        <w:t xml:space="preserve">VS, </w:t>
      </w:r>
      <w:r w:rsidRPr="000C6514">
        <w:rPr>
          <w:rFonts w:ascii="Arial Narrow" w:hAnsi="Arial Narrow"/>
          <w:lang w:eastAsia="en-US"/>
        </w:rPr>
        <w:t>od fázy plánovania a organizácie až po monitoring a hodnotenie.</w:t>
      </w:r>
    </w:p>
    <w:p w14:paraId="62984212" w14:textId="77777777" w:rsidR="00E95C1F" w:rsidRDefault="00E95C1F" w:rsidP="00E95C1F">
      <w:pPr>
        <w:spacing w:after="0" w:line="240" w:lineRule="auto"/>
        <w:jc w:val="both"/>
        <w:rPr>
          <w:rFonts w:ascii="Arial Narrow" w:hAnsi="Arial Narrow"/>
          <w:lang w:eastAsia="en-US"/>
        </w:rPr>
      </w:pPr>
    </w:p>
    <w:p w14:paraId="262690B6" w14:textId="44602D4B" w:rsidR="00400DA9" w:rsidRDefault="00E95C1F" w:rsidP="00632906">
      <w:pPr>
        <w:spacing w:after="0" w:line="240" w:lineRule="auto"/>
        <w:jc w:val="both"/>
        <w:rPr>
          <w:rStyle w:val="Zstupntext"/>
          <w:rFonts w:ascii="Arial Narrow" w:hAnsi="Arial Narrow"/>
        </w:rPr>
      </w:pPr>
      <w:r>
        <w:rPr>
          <w:rFonts w:ascii="Arial Narrow" w:hAnsi="Arial Narrow"/>
          <w:lang w:eastAsia="en-US"/>
        </w:rPr>
        <w:t xml:space="preserve">Zároveň sa v informatizácii pristúpilo k príprave metodických usmernení pre projekty financované zo štátneho rozpočtu a EÚ fondov. Okrem toho v súlade s Metodickým rámcom pre posudzovanie verejných investícií boli všetky </w:t>
      </w:r>
      <w:r w:rsidRPr="001C0473">
        <w:rPr>
          <w:rFonts w:ascii="Arial Narrow" w:hAnsi="Arial Narrow"/>
          <w:b/>
        </w:rPr>
        <w:t>nové IT projekty</w:t>
      </w:r>
      <w:r w:rsidRPr="001C0473">
        <w:rPr>
          <w:rFonts w:ascii="Arial Narrow" w:hAnsi="Arial Narrow"/>
        </w:rPr>
        <w:t xml:space="preserve"> nad 10 mil. eur bez ohľadu na zdroj financovania </w:t>
      </w:r>
      <w:r>
        <w:rPr>
          <w:rFonts w:ascii="Arial Narrow" w:hAnsi="Arial Narrow"/>
        </w:rPr>
        <w:t>v roku</w:t>
      </w:r>
      <w:r w:rsidRPr="001C0473">
        <w:rPr>
          <w:rFonts w:ascii="Arial Narrow" w:hAnsi="Arial Narrow"/>
        </w:rPr>
        <w:t xml:space="preserve"> 201</w:t>
      </w:r>
      <w:r>
        <w:rPr>
          <w:rFonts w:ascii="Arial Narrow" w:hAnsi="Arial Narrow"/>
        </w:rPr>
        <w:t>7</w:t>
      </w:r>
      <w:r w:rsidRPr="001C0473">
        <w:rPr>
          <w:rFonts w:ascii="Arial Narrow" w:hAnsi="Arial Narrow"/>
        </w:rPr>
        <w:t xml:space="preserve"> posudzované MF SR z pohľadu hodnoty za peniaze</w:t>
      </w:r>
      <w:r>
        <w:rPr>
          <w:rFonts w:ascii="Arial Narrow" w:hAnsi="Arial Narrow"/>
        </w:rPr>
        <w:t xml:space="preserve">. </w:t>
      </w:r>
    </w:p>
    <w:p w14:paraId="24385D53" w14:textId="38B67BED" w:rsidR="003E31A0" w:rsidRDefault="003E31A0" w:rsidP="00632906">
      <w:pPr>
        <w:spacing w:after="0" w:line="240" w:lineRule="auto"/>
        <w:jc w:val="both"/>
        <w:rPr>
          <w:rFonts w:ascii="Arial Narrow" w:hAnsi="Arial Narrow"/>
          <w:b/>
          <w:i/>
        </w:rPr>
      </w:pPr>
    </w:p>
    <w:p w14:paraId="08B3B09D" w14:textId="01BBFF28" w:rsidR="003163BB" w:rsidRDefault="003163BB" w:rsidP="003163BB">
      <w:pPr>
        <w:spacing w:after="0" w:line="240" w:lineRule="auto"/>
        <w:jc w:val="both"/>
        <w:rPr>
          <w:rFonts w:ascii="Arial Narrow" w:hAnsi="Arial Narrow"/>
          <w:b/>
          <w:i/>
        </w:rPr>
      </w:pPr>
      <w:r w:rsidRPr="00554B02">
        <w:rPr>
          <w:rFonts w:ascii="Arial Narrow" w:hAnsi="Arial Narrow"/>
          <w:b/>
          <w:i/>
        </w:rPr>
        <w:t>Doprava</w:t>
      </w:r>
    </w:p>
    <w:p w14:paraId="708B2530" w14:textId="662C1F36" w:rsidR="009F2177" w:rsidRDefault="009F2177" w:rsidP="009F2177">
      <w:pPr>
        <w:spacing w:after="0" w:line="240" w:lineRule="auto"/>
        <w:jc w:val="both"/>
        <w:rPr>
          <w:rFonts w:ascii="Arial Narrow" w:hAnsi="Arial Narrow" w:cs="Tahoma"/>
          <w:color w:val="000000"/>
          <w:szCs w:val="20"/>
          <w:shd w:val="clear" w:color="auto" w:fill="FFFFFF"/>
        </w:rPr>
      </w:pPr>
      <w:r w:rsidRPr="009957A9">
        <w:rPr>
          <w:rFonts w:ascii="Arial Narrow" w:hAnsi="Arial Narrow" w:cs="Tahoma"/>
          <w:color w:val="000000"/>
          <w:szCs w:val="20"/>
          <w:shd w:val="clear" w:color="auto" w:fill="FFFFFF"/>
        </w:rPr>
        <w:t>V</w:t>
      </w:r>
      <w:r>
        <w:rPr>
          <w:rFonts w:ascii="Arial Narrow" w:hAnsi="Arial Narrow" w:cs="Tahoma"/>
          <w:color w:val="000000"/>
          <w:sz w:val="20"/>
          <w:szCs w:val="20"/>
          <w:shd w:val="clear" w:color="auto" w:fill="FFFFFF"/>
        </w:rPr>
        <w:t xml:space="preserve"> </w:t>
      </w:r>
      <w:r w:rsidRPr="009957A9">
        <w:rPr>
          <w:rFonts w:ascii="Arial Narrow" w:hAnsi="Arial Narrow" w:cs="Tahoma"/>
          <w:color w:val="000000"/>
          <w:szCs w:val="20"/>
          <w:shd w:val="clear" w:color="auto" w:fill="FFFFFF"/>
        </w:rPr>
        <w:t>rámci plnenia úloh</w:t>
      </w:r>
      <w:r>
        <w:rPr>
          <w:rFonts w:ascii="Arial Narrow" w:hAnsi="Arial Narrow" w:cs="Tahoma"/>
          <w:color w:val="000000"/>
          <w:szCs w:val="20"/>
          <w:shd w:val="clear" w:color="auto" w:fill="FFFFFF"/>
        </w:rPr>
        <w:t xml:space="preserve"> z </w:t>
      </w:r>
      <w:r w:rsidRPr="009957A9">
        <w:rPr>
          <w:rFonts w:ascii="Arial Narrow" w:hAnsi="Arial Narrow" w:cs="Tahoma"/>
          <w:b/>
          <w:color w:val="000000"/>
          <w:szCs w:val="20"/>
          <w:shd w:val="clear" w:color="auto" w:fill="FFFFFF"/>
        </w:rPr>
        <w:t>revízie výdavkov na dopravu</w:t>
      </w:r>
      <w:r>
        <w:rPr>
          <w:rFonts w:ascii="Arial Narrow" w:hAnsi="Arial Narrow" w:cs="Tahoma"/>
          <w:color w:val="000000"/>
          <w:szCs w:val="20"/>
          <w:shd w:val="clear" w:color="auto" w:fill="FFFFFF"/>
        </w:rPr>
        <w:t xml:space="preserve"> z roku 2016 </w:t>
      </w:r>
      <w:r w:rsidRPr="00591BF3">
        <w:rPr>
          <w:rFonts w:ascii="Arial Narrow" w:hAnsi="Arial Narrow"/>
        </w:rPr>
        <w:t xml:space="preserve">v rámci projektu </w:t>
      </w:r>
      <w:r w:rsidRPr="00591BF3">
        <w:rPr>
          <w:rFonts w:ascii="Arial Narrow" w:hAnsi="Arial Narrow"/>
          <w:i/>
        </w:rPr>
        <w:t>Hodnota za peniaze</w:t>
      </w:r>
      <w:r w:rsidRPr="00BF747D">
        <w:t xml:space="preserve"> </w:t>
      </w:r>
      <w:r w:rsidR="002026F6">
        <w:t xml:space="preserve">            </w:t>
      </w:r>
      <w:r w:rsidR="002026F6">
        <w:rPr>
          <w:rFonts w:ascii="Arial Narrow" w:hAnsi="Arial Narrow" w:cs="Tahoma"/>
          <w:color w:val="000000"/>
          <w:szCs w:val="20"/>
          <w:shd w:val="clear" w:color="auto" w:fill="FFFFFF"/>
        </w:rPr>
        <w:t xml:space="preserve">MF </w:t>
      </w:r>
      <w:r w:rsidRPr="00854D9B">
        <w:rPr>
          <w:rFonts w:ascii="Arial Narrow" w:hAnsi="Arial Narrow" w:cs="Tahoma"/>
          <w:color w:val="000000"/>
          <w:szCs w:val="20"/>
          <w:shd w:val="clear" w:color="auto" w:fill="FFFFFF"/>
        </w:rPr>
        <w:t xml:space="preserve">SR </w:t>
      </w:r>
      <w:r>
        <w:rPr>
          <w:rFonts w:ascii="Arial Narrow" w:hAnsi="Arial Narrow" w:cs="Tahoma"/>
          <w:color w:val="000000"/>
          <w:szCs w:val="20"/>
          <w:shd w:val="clear" w:color="auto" w:fill="FFFFFF"/>
        </w:rPr>
        <w:t xml:space="preserve">postupne hodnotí všetky investičné projekty nad 40 mil. eur. </w:t>
      </w:r>
      <w:r w:rsidRPr="007479BE">
        <w:rPr>
          <w:rFonts w:ascii="Arial Narrow" w:hAnsi="Arial Narrow" w:cs="Tahoma"/>
          <w:color w:val="000000"/>
          <w:szCs w:val="20"/>
          <w:shd w:val="clear" w:color="auto" w:fill="FFFFFF"/>
        </w:rPr>
        <w:t>MF</w:t>
      </w:r>
      <w:r>
        <w:rPr>
          <w:rFonts w:ascii="Arial Narrow" w:hAnsi="Arial Narrow" w:cs="Tahoma"/>
          <w:color w:val="000000"/>
          <w:szCs w:val="20"/>
          <w:shd w:val="clear" w:color="auto" w:fill="FFFFFF"/>
        </w:rPr>
        <w:t xml:space="preserve"> SR</w:t>
      </w:r>
      <w:r w:rsidRPr="007479BE">
        <w:rPr>
          <w:rFonts w:ascii="Arial Narrow" w:hAnsi="Arial Narrow" w:cs="Tahoma"/>
          <w:color w:val="000000"/>
          <w:szCs w:val="20"/>
          <w:shd w:val="clear" w:color="auto" w:fill="FFFFFF"/>
        </w:rPr>
        <w:t xml:space="preserve"> zverejnilo hodnotenie </w:t>
      </w:r>
      <w:r>
        <w:rPr>
          <w:rFonts w:ascii="Arial Narrow" w:hAnsi="Arial Narrow" w:cs="Tahoma"/>
          <w:color w:val="000000"/>
          <w:szCs w:val="20"/>
          <w:shd w:val="clear" w:color="auto" w:fill="FFFFFF"/>
        </w:rPr>
        <w:t>3</w:t>
      </w:r>
      <w:r w:rsidRPr="007479BE">
        <w:rPr>
          <w:rFonts w:ascii="Arial Narrow" w:hAnsi="Arial Narrow" w:cs="Tahoma"/>
          <w:color w:val="000000"/>
          <w:szCs w:val="20"/>
          <w:shd w:val="clear" w:color="auto" w:fill="FFFFFF"/>
        </w:rPr>
        <w:t xml:space="preserve"> úsekov rýchlostných ciest</w:t>
      </w:r>
      <w:r>
        <w:rPr>
          <w:rStyle w:val="Odkaznapoznmkupodiarou"/>
          <w:rFonts w:ascii="Arial Narrow" w:hAnsi="Arial Narrow" w:cs="Tahoma"/>
          <w:color w:val="000000"/>
          <w:szCs w:val="20"/>
          <w:shd w:val="clear" w:color="auto" w:fill="FFFFFF"/>
        </w:rPr>
        <w:footnoteReference w:id="19"/>
      </w:r>
      <w:r w:rsidRPr="007479BE">
        <w:rPr>
          <w:rFonts w:ascii="Arial Narrow" w:hAnsi="Arial Narrow" w:cs="Tahoma"/>
          <w:color w:val="000000"/>
          <w:szCs w:val="20"/>
          <w:shd w:val="clear" w:color="auto" w:fill="FFFFFF"/>
        </w:rPr>
        <w:t xml:space="preserve"> </w:t>
      </w:r>
      <w:r>
        <w:rPr>
          <w:rFonts w:ascii="Arial Narrow" w:hAnsi="Arial Narrow" w:cs="Tahoma"/>
          <w:color w:val="000000"/>
          <w:szCs w:val="20"/>
          <w:shd w:val="clear" w:color="auto" w:fill="FFFFFF"/>
        </w:rPr>
        <w:t>spolu za 713,8 mil. eur. Predpokladaná hodnota zákaziek sa oproti predchádzajúcim podkladom znížila o 228 mil. eur na jednotkových cenách. V spolupráci s MF SR b</w:t>
      </w:r>
      <w:r w:rsidRPr="00890CB7">
        <w:rPr>
          <w:rFonts w:ascii="Arial Narrow" w:hAnsi="Arial Narrow" w:cs="Tahoma"/>
          <w:color w:val="000000"/>
          <w:szCs w:val="20"/>
          <w:shd w:val="clear" w:color="auto" w:fill="FFFFFF"/>
        </w:rPr>
        <w:t xml:space="preserve">ola </w:t>
      </w:r>
      <w:r w:rsidRPr="00890CB7">
        <w:rPr>
          <w:rFonts w:ascii="Arial Narrow" w:hAnsi="Arial Narrow" w:cs="Tahoma"/>
          <w:b/>
          <w:color w:val="000000"/>
          <w:szCs w:val="20"/>
          <w:shd w:val="clear" w:color="auto" w:fill="FFFFFF"/>
        </w:rPr>
        <w:t xml:space="preserve">aktualizovaná metodika hodnotenia </w:t>
      </w:r>
      <w:r>
        <w:rPr>
          <w:rFonts w:ascii="Arial Narrow" w:hAnsi="Arial Narrow" w:cs="Tahoma"/>
          <w:b/>
          <w:color w:val="000000"/>
          <w:szCs w:val="20"/>
          <w:shd w:val="clear" w:color="auto" w:fill="FFFFFF"/>
        </w:rPr>
        <w:t xml:space="preserve">dopravných </w:t>
      </w:r>
      <w:r w:rsidRPr="00890CB7">
        <w:rPr>
          <w:rFonts w:ascii="Arial Narrow" w:hAnsi="Arial Narrow" w:cs="Tahoma"/>
          <w:b/>
          <w:color w:val="000000"/>
          <w:szCs w:val="20"/>
          <w:shd w:val="clear" w:color="auto" w:fill="FFFFFF"/>
        </w:rPr>
        <w:t>projektov</w:t>
      </w:r>
      <w:r w:rsidRPr="00890CB7">
        <w:rPr>
          <w:rFonts w:ascii="Arial Narrow" w:hAnsi="Arial Narrow" w:cs="Tahoma"/>
          <w:color w:val="000000"/>
          <w:szCs w:val="20"/>
          <w:shd w:val="clear" w:color="auto" w:fill="FFFFFF"/>
        </w:rPr>
        <w:t xml:space="preserve"> (CBA)</w:t>
      </w:r>
      <w:r>
        <w:rPr>
          <w:rFonts w:ascii="Arial Narrow" w:hAnsi="Arial Narrow" w:cs="Tahoma"/>
          <w:color w:val="000000"/>
          <w:szCs w:val="20"/>
          <w:shd w:val="clear" w:color="auto" w:fill="FFFFFF"/>
        </w:rPr>
        <w:t>.</w:t>
      </w:r>
      <w:r w:rsidRPr="00BF747D">
        <w:rPr>
          <w:rFonts w:ascii="Arial Narrow" w:hAnsi="Arial Narrow" w:cs="Tahoma"/>
          <w:color w:val="000000"/>
          <w:szCs w:val="20"/>
          <w:shd w:val="clear" w:color="auto" w:fill="FFFFFF"/>
        </w:rPr>
        <w:t xml:space="preserve"> </w:t>
      </w:r>
    </w:p>
    <w:p w14:paraId="251E9E72" w14:textId="77777777" w:rsidR="003163BB" w:rsidRDefault="003163BB" w:rsidP="003163BB">
      <w:pPr>
        <w:spacing w:after="0" w:line="240" w:lineRule="auto"/>
        <w:jc w:val="both"/>
        <w:rPr>
          <w:rFonts w:ascii="Arial Narrow" w:hAnsi="Arial Narrow" w:cs="Tahoma"/>
          <w:color w:val="000000"/>
          <w:szCs w:val="20"/>
          <w:shd w:val="clear" w:color="auto" w:fill="FFFFFF"/>
        </w:rPr>
      </w:pPr>
    </w:p>
    <w:p w14:paraId="22B14692" w14:textId="6C8A1C11" w:rsidR="003163BB" w:rsidRDefault="003163BB" w:rsidP="003163BB">
      <w:pPr>
        <w:spacing w:after="0" w:line="240" w:lineRule="auto"/>
        <w:jc w:val="both"/>
        <w:rPr>
          <w:rFonts w:ascii="Arial Narrow" w:hAnsi="Arial Narrow" w:cs="Tahoma"/>
          <w:color w:val="000000"/>
          <w:szCs w:val="20"/>
          <w:shd w:val="clear" w:color="auto" w:fill="FFFFFF"/>
        </w:rPr>
      </w:pPr>
      <w:r w:rsidRPr="00591BF3">
        <w:rPr>
          <w:rFonts w:ascii="Arial Narrow" w:hAnsi="Arial Narrow" w:cs="Tahoma"/>
          <w:color w:val="000000"/>
          <w:szCs w:val="20"/>
          <w:shd w:val="clear" w:color="auto" w:fill="FFFFFF"/>
        </w:rPr>
        <w:t>V roku 2017 sa spolufinancovaním z O</w:t>
      </w:r>
      <w:r>
        <w:rPr>
          <w:rFonts w:ascii="Arial Narrow" w:hAnsi="Arial Narrow" w:cs="Tahoma"/>
          <w:color w:val="000000"/>
          <w:szCs w:val="20"/>
          <w:shd w:val="clear" w:color="auto" w:fill="FFFFFF"/>
        </w:rPr>
        <w:t xml:space="preserve">P </w:t>
      </w:r>
      <w:r w:rsidRPr="00591BF3">
        <w:rPr>
          <w:rFonts w:ascii="Arial Narrow" w:hAnsi="Arial Narrow" w:cs="Tahoma"/>
          <w:color w:val="000000"/>
          <w:szCs w:val="20"/>
          <w:shd w:val="clear" w:color="auto" w:fill="FFFFFF"/>
        </w:rPr>
        <w:t xml:space="preserve">Integrovaná infraštruktúra </w:t>
      </w:r>
      <w:r>
        <w:rPr>
          <w:rFonts w:ascii="Arial Narrow" w:hAnsi="Arial Narrow" w:cs="Tahoma"/>
          <w:color w:val="000000"/>
          <w:szCs w:val="20"/>
          <w:shd w:val="clear" w:color="auto" w:fill="FFFFFF"/>
        </w:rPr>
        <w:t xml:space="preserve">(OPII) </w:t>
      </w:r>
      <w:r w:rsidRPr="00591BF3">
        <w:rPr>
          <w:rFonts w:ascii="Arial Narrow" w:hAnsi="Arial Narrow" w:cs="Tahoma"/>
          <w:color w:val="000000"/>
          <w:szCs w:val="20"/>
          <w:shd w:val="clear" w:color="auto" w:fill="FFFFFF"/>
        </w:rPr>
        <w:t xml:space="preserve">vystavalo 24,4 km úsekov </w:t>
      </w:r>
      <w:r w:rsidRPr="00A7154B">
        <w:rPr>
          <w:rFonts w:ascii="Arial Narrow" w:hAnsi="Arial Narrow" w:cs="Tahoma"/>
          <w:b/>
          <w:color w:val="000000"/>
          <w:szCs w:val="20"/>
          <w:shd w:val="clear" w:color="auto" w:fill="FFFFFF"/>
        </w:rPr>
        <w:t>diaľnic a rýchlostných ciest</w:t>
      </w:r>
      <w:r w:rsidRPr="00591BF3">
        <w:rPr>
          <w:rFonts w:ascii="Arial Narrow" w:hAnsi="Arial Narrow" w:cs="Tahoma"/>
          <w:color w:val="000000"/>
          <w:szCs w:val="20"/>
          <w:shd w:val="clear" w:color="auto" w:fill="FFFFFF"/>
        </w:rPr>
        <w:t xml:space="preserve">, 7,7 km nových </w:t>
      </w:r>
      <w:r w:rsidRPr="00A7154B">
        <w:rPr>
          <w:rFonts w:ascii="Arial Narrow" w:hAnsi="Arial Narrow" w:cs="Tahoma"/>
          <w:b/>
          <w:color w:val="000000"/>
          <w:szCs w:val="20"/>
          <w:shd w:val="clear" w:color="auto" w:fill="FFFFFF"/>
        </w:rPr>
        <w:t>ciest I. triedy</w:t>
      </w:r>
      <w:r w:rsidRPr="00591BF3">
        <w:rPr>
          <w:rFonts w:ascii="Arial Narrow" w:hAnsi="Arial Narrow" w:cs="Tahoma"/>
          <w:color w:val="000000"/>
          <w:szCs w:val="20"/>
          <w:shd w:val="clear" w:color="auto" w:fill="FFFFFF"/>
        </w:rPr>
        <w:t xml:space="preserve"> a zmodernizovalo sa </w:t>
      </w:r>
      <w:r>
        <w:rPr>
          <w:rFonts w:ascii="Arial Narrow" w:hAnsi="Arial Narrow" w:cs="Tahoma"/>
          <w:color w:val="000000"/>
          <w:szCs w:val="20"/>
          <w:shd w:val="clear" w:color="auto" w:fill="FFFFFF"/>
        </w:rPr>
        <w:t>75,3</w:t>
      </w:r>
      <w:r w:rsidRPr="00591BF3">
        <w:rPr>
          <w:rFonts w:ascii="Arial Narrow" w:hAnsi="Arial Narrow" w:cs="Tahoma"/>
          <w:color w:val="000000"/>
          <w:szCs w:val="20"/>
          <w:shd w:val="clear" w:color="auto" w:fill="FFFFFF"/>
        </w:rPr>
        <w:t xml:space="preserve"> km ciest I. triedy.</w:t>
      </w:r>
      <w:r>
        <w:rPr>
          <w:rFonts w:ascii="Arial Narrow" w:hAnsi="Arial Narrow" w:cs="Tahoma"/>
          <w:color w:val="000000"/>
          <w:szCs w:val="20"/>
          <w:shd w:val="clear" w:color="auto" w:fill="FFFFFF"/>
        </w:rPr>
        <w:t xml:space="preserve"> </w:t>
      </w:r>
      <w:r w:rsidRPr="00591BF3">
        <w:rPr>
          <w:rFonts w:ascii="Arial Narrow" w:hAnsi="Arial Narrow" w:cs="Tahoma"/>
          <w:color w:val="000000"/>
          <w:szCs w:val="20"/>
          <w:shd w:val="clear" w:color="auto" w:fill="FFFFFF"/>
        </w:rPr>
        <w:t>V </w:t>
      </w:r>
      <w:r w:rsidRPr="00A7154B">
        <w:rPr>
          <w:rFonts w:ascii="Arial Narrow" w:hAnsi="Arial Narrow" w:cs="Tahoma"/>
          <w:b/>
          <w:color w:val="000000"/>
          <w:szCs w:val="20"/>
          <w:shd w:val="clear" w:color="auto" w:fill="FFFFFF"/>
        </w:rPr>
        <w:t>oblasti železničnej dopravy</w:t>
      </w:r>
      <w:r w:rsidRPr="00591BF3">
        <w:rPr>
          <w:rFonts w:ascii="Arial Narrow" w:hAnsi="Arial Narrow" w:cs="Tahoma"/>
          <w:color w:val="000000"/>
          <w:szCs w:val="20"/>
          <w:shd w:val="clear" w:color="auto" w:fill="FFFFFF"/>
        </w:rPr>
        <w:t xml:space="preserve"> pokračovala modernizácia trate na koridore Bratislava – Žilina</w:t>
      </w:r>
      <w:r w:rsidR="00292821">
        <w:rPr>
          <w:rFonts w:ascii="Arial Narrow" w:hAnsi="Arial Narrow" w:cs="Tahoma"/>
          <w:color w:val="000000"/>
          <w:szCs w:val="20"/>
          <w:shd w:val="clear" w:color="auto" w:fill="FFFFFF"/>
        </w:rPr>
        <w:t>.</w:t>
      </w:r>
      <w:r>
        <w:rPr>
          <w:rFonts w:ascii="Arial Narrow" w:hAnsi="Arial Narrow" w:cs="Tahoma"/>
          <w:color w:val="000000"/>
          <w:szCs w:val="20"/>
          <w:shd w:val="clear" w:color="auto" w:fill="FFFFFF"/>
        </w:rPr>
        <w:t xml:space="preserve"> V</w:t>
      </w:r>
      <w:r w:rsidRPr="00591BF3">
        <w:rPr>
          <w:rFonts w:ascii="Arial Narrow" w:hAnsi="Arial Narrow" w:cs="Tahoma"/>
          <w:color w:val="000000"/>
          <w:szCs w:val="20"/>
          <w:shd w:val="clear" w:color="auto" w:fill="FFFFFF"/>
        </w:rPr>
        <w:t xml:space="preserve"> rok</w:t>
      </w:r>
      <w:r>
        <w:rPr>
          <w:rFonts w:ascii="Arial Narrow" w:hAnsi="Arial Narrow" w:cs="Tahoma"/>
          <w:color w:val="000000"/>
          <w:szCs w:val="20"/>
          <w:shd w:val="clear" w:color="auto" w:fill="FFFFFF"/>
        </w:rPr>
        <w:t>u</w:t>
      </w:r>
      <w:r w:rsidRPr="00591BF3">
        <w:rPr>
          <w:rFonts w:ascii="Arial Narrow" w:hAnsi="Arial Narrow" w:cs="Tahoma"/>
          <w:color w:val="000000"/>
          <w:szCs w:val="20"/>
          <w:shd w:val="clear" w:color="auto" w:fill="FFFFFF"/>
        </w:rPr>
        <w:t xml:space="preserve"> 2017 bolo </w:t>
      </w:r>
      <w:proofErr w:type="spellStart"/>
      <w:r w:rsidRPr="00591BF3">
        <w:rPr>
          <w:rFonts w:ascii="Arial Narrow" w:hAnsi="Arial Narrow" w:cs="Tahoma"/>
          <w:color w:val="000000"/>
          <w:szCs w:val="20"/>
          <w:shd w:val="clear" w:color="auto" w:fill="FFFFFF"/>
        </w:rPr>
        <w:t>zazmluvnených</w:t>
      </w:r>
      <w:proofErr w:type="spellEnd"/>
      <w:r w:rsidRPr="00591BF3">
        <w:rPr>
          <w:rFonts w:ascii="Arial Narrow" w:hAnsi="Arial Narrow" w:cs="Tahoma"/>
          <w:color w:val="000000"/>
          <w:szCs w:val="20"/>
          <w:shd w:val="clear" w:color="auto" w:fill="FFFFFF"/>
        </w:rPr>
        <w:t xml:space="preserve"> </w:t>
      </w:r>
      <w:r>
        <w:rPr>
          <w:rFonts w:ascii="Arial Narrow" w:hAnsi="Arial Narrow" w:cs="Tahoma"/>
          <w:color w:val="000000"/>
          <w:szCs w:val="20"/>
          <w:shd w:val="clear" w:color="auto" w:fill="FFFFFF"/>
        </w:rPr>
        <w:t>v</w:t>
      </w:r>
      <w:r w:rsidRPr="00591BF3">
        <w:rPr>
          <w:rFonts w:ascii="Arial Narrow" w:hAnsi="Arial Narrow" w:cs="Tahoma"/>
          <w:color w:val="000000"/>
          <w:szCs w:val="20"/>
          <w:shd w:val="clear" w:color="auto" w:fill="FFFFFF"/>
        </w:rPr>
        <w:t> </w:t>
      </w:r>
      <w:r>
        <w:rPr>
          <w:rFonts w:ascii="Arial Narrow" w:hAnsi="Arial Narrow" w:cs="Tahoma"/>
          <w:color w:val="000000"/>
          <w:szCs w:val="20"/>
          <w:shd w:val="clear" w:color="auto" w:fill="FFFFFF"/>
        </w:rPr>
        <w:t>OPII</w:t>
      </w:r>
      <w:r w:rsidRPr="00591BF3">
        <w:rPr>
          <w:rFonts w:ascii="Arial Narrow" w:hAnsi="Arial Narrow" w:cs="Tahoma"/>
          <w:color w:val="000000"/>
          <w:szCs w:val="20"/>
          <w:shd w:val="clear" w:color="auto" w:fill="FFFFFF"/>
        </w:rPr>
        <w:t xml:space="preserve"> 1</w:t>
      </w:r>
      <w:r w:rsidR="00292821">
        <w:rPr>
          <w:rFonts w:ascii="Arial Narrow" w:hAnsi="Arial Narrow" w:cs="Tahoma"/>
          <w:color w:val="000000"/>
          <w:szCs w:val="20"/>
          <w:shd w:val="clear" w:color="auto" w:fill="FFFFFF"/>
        </w:rPr>
        <w:t>7</w:t>
      </w:r>
      <w:r w:rsidRPr="00591BF3">
        <w:rPr>
          <w:rFonts w:ascii="Arial Narrow" w:hAnsi="Arial Narrow" w:cs="Tahoma"/>
          <w:color w:val="000000"/>
          <w:szCs w:val="20"/>
          <w:shd w:val="clear" w:color="auto" w:fill="FFFFFF"/>
        </w:rPr>
        <w:t xml:space="preserve"> projektov vo výške 28</w:t>
      </w:r>
      <w:r>
        <w:rPr>
          <w:rFonts w:ascii="Arial Narrow" w:hAnsi="Arial Narrow" w:cs="Tahoma"/>
          <w:color w:val="000000"/>
          <w:szCs w:val="20"/>
          <w:shd w:val="clear" w:color="auto" w:fill="FFFFFF"/>
        </w:rPr>
        <w:t>8</w:t>
      </w:r>
      <w:r w:rsidRPr="00591BF3">
        <w:rPr>
          <w:rFonts w:ascii="Arial Narrow" w:hAnsi="Arial Narrow" w:cs="Tahoma"/>
          <w:color w:val="000000"/>
          <w:szCs w:val="20"/>
          <w:shd w:val="clear" w:color="auto" w:fill="FFFFFF"/>
        </w:rPr>
        <w:t xml:space="preserve"> </w:t>
      </w:r>
      <w:r>
        <w:rPr>
          <w:rFonts w:ascii="Arial Narrow" w:hAnsi="Arial Narrow" w:cs="Tahoma"/>
          <w:color w:val="000000"/>
          <w:szCs w:val="20"/>
          <w:shd w:val="clear" w:color="auto" w:fill="FFFFFF"/>
        </w:rPr>
        <w:t xml:space="preserve">mil. </w:t>
      </w:r>
      <w:r w:rsidRPr="00591BF3">
        <w:rPr>
          <w:rFonts w:ascii="Arial Narrow" w:hAnsi="Arial Narrow" w:cs="Tahoma"/>
          <w:color w:val="000000"/>
          <w:szCs w:val="20"/>
          <w:shd w:val="clear" w:color="auto" w:fill="FFFFFF"/>
        </w:rPr>
        <w:t>eur a vyčerpaných 3</w:t>
      </w:r>
      <w:r>
        <w:rPr>
          <w:rFonts w:ascii="Arial Narrow" w:hAnsi="Arial Narrow" w:cs="Tahoma"/>
          <w:color w:val="000000"/>
          <w:szCs w:val="20"/>
          <w:shd w:val="clear" w:color="auto" w:fill="FFFFFF"/>
        </w:rPr>
        <w:t>50</w:t>
      </w:r>
      <w:r w:rsidRPr="00591BF3">
        <w:rPr>
          <w:rFonts w:ascii="Arial Narrow" w:hAnsi="Arial Narrow" w:cs="Tahoma"/>
          <w:color w:val="000000"/>
          <w:szCs w:val="20"/>
          <w:shd w:val="clear" w:color="auto" w:fill="FFFFFF"/>
        </w:rPr>
        <w:t xml:space="preserve"> mil. eur. </w:t>
      </w:r>
      <w:r w:rsidR="00292821">
        <w:rPr>
          <w:rFonts w:ascii="Arial Narrow" w:hAnsi="Arial Narrow" w:cs="Tahoma"/>
          <w:color w:val="000000"/>
          <w:szCs w:val="20"/>
          <w:shd w:val="clear" w:color="auto" w:fill="FFFFFF"/>
        </w:rPr>
        <w:t>B</w:t>
      </w:r>
      <w:r w:rsidR="00292821" w:rsidRPr="00591BF3">
        <w:rPr>
          <w:rFonts w:ascii="Arial Narrow" w:hAnsi="Arial Narrow" w:cs="Tahoma"/>
          <w:color w:val="000000"/>
          <w:szCs w:val="20"/>
          <w:shd w:val="clear" w:color="auto" w:fill="FFFFFF"/>
        </w:rPr>
        <w:t>ola vyhlásená súťaž na zhotoviteľa modernizácie železničnej trate Devínska Nov</w:t>
      </w:r>
      <w:r w:rsidR="00292821">
        <w:rPr>
          <w:rFonts w:ascii="Arial Narrow" w:hAnsi="Arial Narrow" w:cs="Tahoma"/>
          <w:color w:val="000000"/>
          <w:szCs w:val="20"/>
          <w:shd w:val="clear" w:color="auto" w:fill="FFFFFF"/>
        </w:rPr>
        <w:t>á Ves – štátna hranica SR/ČR. Tento projekt bude financovaný z Nástroja na prepájanie Európy (CEF).</w:t>
      </w:r>
    </w:p>
    <w:p w14:paraId="58644620" w14:textId="77777777" w:rsidR="003163BB" w:rsidRPr="00082E99" w:rsidRDefault="003163BB" w:rsidP="003163BB">
      <w:pPr>
        <w:spacing w:after="0" w:line="240" w:lineRule="auto"/>
        <w:jc w:val="both"/>
        <w:rPr>
          <w:rFonts w:ascii="Arial Narrow" w:hAnsi="Arial Narrow" w:cs="Tahoma"/>
          <w:color w:val="000000"/>
          <w:szCs w:val="20"/>
          <w:highlight w:val="yellow"/>
          <w:shd w:val="clear" w:color="auto" w:fill="FFFFFF"/>
        </w:rPr>
      </w:pPr>
    </w:p>
    <w:p w14:paraId="19E32B72" w14:textId="77777777" w:rsidR="003163BB" w:rsidRPr="003163BB" w:rsidRDefault="003163BB" w:rsidP="00C27F31">
      <w:pPr>
        <w:spacing w:after="0" w:line="240" w:lineRule="auto"/>
        <w:jc w:val="both"/>
        <w:rPr>
          <w:rStyle w:val="Zstupntext"/>
          <w:rFonts w:ascii="Arial Narrow" w:hAnsi="Arial Narrow" w:cs="Tahoma"/>
          <w:szCs w:val="20"/>
          <w:shd w:val="clear" w:color="auto" w:fill="FFFFFF"/>
        </w:rPr>
      </w:pPr>
      <w:r>
        <w:rPr>
          <w:rFonts w:ascii="Arial Narrow" w:hAnsi="Arial Narrow" w:cs="Tahoma"/>
          <w:color w:val="000000"/>
          <w:szCs w:val="20"/>
          <w:shd w:val="clear" w:color="auto" w:fill="FFFFFF"/>
        </w:rPr>
        <w:t xml:space="preserve">MDV SR začalo </w:t>
      </w:r>
      <w:r w:rsidRPr="00A7154B">
        <w:rPr>
          <w:rFonts w:ascii="Arial Narrow" w:hAnsi="Arial Narrow" w:cs="Tahoma"/>
          <w:b/>
          <w:color w:val="000000"/>
          <w:szCs w:val="20"/>
          <w:shd w:val="clear" w:color="auto" w:fill="FFFFFF"/>
        </w:rPr>
        <w:t xml:space="preserve">zverejňovať náklady </w:t>
      </w:r>
      <w:r>
        <w:rPr>
          <w:rFonts w:ascii="Arial Narrow" w:hAnsi="Arial Narrow" w:cs="Tahoma"/>
          <w:color w:val="000000"/>
          <w:szCs w:val="20"/>
          <w:shd w:val="clear" w:color="auto" w:fill="FFFFFF"/>
        </w:rPr>
        <w:t>na</w:t>
      </w:r>
      <w:r w:rsidRPr="00A52F44">
        <w:rPr>
          <w:rFonts w:ascii="Arial Narrow" w:hAnsi="Arial Narrow" w:cs="Tahoma"/>
          <w:color w:val="000000"/>
          <w:szCs w:val="20"/>
          <w:shd w:val="clear" w:color="auto" w:fill="FFFFFF"/>
        </w:rPr>
        <w:t xml:space="preserve"> vybran</w:t>
      </w:r>
      <w:r>
        <w:rPr>
          <w:rFonts w:ascii="Arial Narrow" w:hAnsi="Arial Narrow" w:cs="Tahoma"/>
          <w:color w:val="000000"/>
          <w:szCs w:val="20"/>
          <w:shd w:val="clear" w:color="auto" w:fill="FFFFFF"/>
        </w:rPr>
        <w:t>é</w:t>
      </w:r>
      <w:r w:rsidRPr="00A52F44">
        <w:rPr>
          <w:rFonts w:ascii="Arial Narrow" w:hAnsi="Arial Narrow" w:cs="Tahoma"/>
          <w:color w:val="000000"/>
          <w:szCs w:val="20"/>
          <w:shd w:val="clear" w:color="auto" w:fill="FFFFFF"/>
        </w:rPr>
        <w:t xml:space="preserve"> kľúčov</w:t>
      </w:r>
      <w:r>
        <w:rPr>
          <w:rFonts w:ascii="Arial Narrow" w:hAnsi="Arial Narrow" w:cs="Tahoma"/>
          <w:color w:val="000000"/>
          <w:szCs w:val="20"/>
          <w:shd w:val="clear" w:color="auto" w:fill="FFFFFF"/>
        </w:rPr>
        <w:t>é</w:t>
      </w:r>
      <w:r w:rsidRPr="00A52F44">
        <w:rPr>
          <w:rFonts w:ascii="Arial Narrow" w:hAnsi="Arial Narrow" w:cs="Tahoma"/>
          <w:color w:val="000000"/>
          <w:szCs w:val="20"/>
          <w:shd w:val="clear" w:color="auto" w:fill="FFFFFF"/>
        </w:rPr>
        <w:t xml:space="preserve"> výkon</w:t>
      </w:r>
      <w:r>
        <w:rPr>
          <w:rFonts w:ascii="Arial Narrow" w:hAnsi="Arial Narrow" w:cs="Tahoma"/>
          <w:color w:val="000000"/>
          <w:szCs w:val="20"/>
          <w:shd w:val="clear" w:color="auto" w:fill="FFFFFF"/>
        </w:rPr>
        <w:t>y</w:t>
      </w:r>
      <w:r w:rsidRPr="00A52F44">
        <w:rPr>
          <w:rFonts w:ascii="Arial Narrow" w:hAnsi="Arial Narrow" w:cs="Tahoma"/>
          <w:color w:val="000000"/>
          <w:szCs w:val="20"/>
          <w:shd w:val="clear" w:color="auto" w:fill="FFFFFF"/>
        </w:rPr>
        <w:t xml:space="preserve"> činností opráv a údržby ciest I. triedy, diaľnic a rýchlostných ciest na stránkach SSC a NDS.</w:t>
      </w:r>
    </w:p>
    <w:p w14:paraId="3B066485" w14:textId="77777777" w:rsidR="007D2366" w:rsidRPr="00427CBC" w:rsidRDefault="007D2366" w:rsidP="007D2366">
      <w:pPr>
        <w:spacing w:after="0" w:line="240" w:lineRule="auto"/>
        <w:jc w:val="both"/>
        <w:rPr>
          <w:rFonts w:ascii="Arial Narrow" w:hAnsi="Arial Narrow"/>
          <w:iCs/>
          <w:szCs w:val="20"/>
        </w:rPr>
      </w:pPr>
    </w:p>
    <w:p w14:paraId="7F4B0D51" w14:textId="77777777" w:rsidR="007D2366" w:rsidRPr="00A7154B" w:rsidRDefault="00173711" w:rsidP="007D2366">
      <w:pPr>
        <w:spacing w:after="0" w:line="240" w:lineRule="auto"/>
        <w:jc w:val="both"/>
        <w:rPr>
          <w:rFonts w:ascii="Arial Narrow" w:hAnsi="Arial Narrow" w:cs="Arial Narrow"/>
          <w:b/>
          <w:i/>
          <w:sz w:val="20"/>
        </w:rPr>
      </w:pPr>
      <w:bookmarkStart w:id="10" w:name="_Toc386005378"/>
      <w:r w:rsidRPr="00A7154B">
        <w:rPr>
          <w:rFonts w:ascii="Arial Narrow" w:hAnsi="Arial Narrow"/>
          <w:b/>
          <w:i/>
        </w:rPr>
        <w:t>Environmentálna udržateľnosť a energetika</w:t>
      </w:r>
      <w:bookmarkEnd w:id="10"/>
    </w:p>
    <w:p w14:paraId="7D4AD5CE" w14:textId="77777777" w:rsidR="009F2177" w:rsidRDefault="00A7154B" w:rsidP="00C27F31">
      <w:pPr>
        <w:spacing w:after="160" w:line="240" w:lineRule="auto"/>
        <w:jc w:val="both"/>
        <w:rPr>
          <w:rFonts w:ascii="Arial Narrow" w:hAnsi="Arial Narrow"/>
          <w:lang w:eastAsia="cs-CZ"/>
        </w:rPr>
      </w:pPr>
      <w:r>
        <w:rPr>
          <w:rFonts w:ascii="Arial Narrow" w:hAnsi="Arial Narrow"/>
          <w:lang w:eastAsia="cs-CZ"/>
        </w:rPr>
        <w:t>V</w:t>
      </w:r>
      <w:r w:rsidR="001B2ABF" w:rsidRPr="001B2ABF">
        <w:rPr>
          <w:rFonts w:ascii="Arial Narrow" w:hAnsi="Arial Narrow"/>
          <w:lang w:eastAsia="cs-CZ"/>
        </w:rPr>
        <w:t xml:space="preserve"> novembri 2017 </w:t>
      </w:r>
      <w:r w:rsidR="001B2ABF">
        <w:rPr>
          <w:rFonts w:ascii="Arial Narrow" w:hAnsi="Arial Narrow"/>
          <w:lang w:eastAsia="cs-CZ"/>
        </w:rPr>
        <w:t>bo</w:t>
      </w:r>
      <w:r w:rsidR="001B2ABF" w:rsidRPr="001B2ABF">
        <w:rPr>
          <w:rFonts w:ascii="Arial Narrow" w:hAnsi="Arial Narrow"/>
          <w:lang w:eastAsia="cs-CZ"/>
        </w:rPr>
        <w:t>la spustená</w:t>
      </w:r>
      <w:r w:rsidR="001B2ABF">
        <w:rPr>
          <w:rFonts w:ascii="Arial Narrow" w:hAnsi="Arial Narrow"/>
          <w:lang w:eastAsia="cs-CZ"/>
        </w:rPr>
        <w:t xml:space="preserve"> </w:t>
      </w:r>
      <w:r w:rsidR="001B2ABF" w:rsidRPr="001B2ABF">
        <w:rPr>
          <w:rFonts w:ascii="Arial Narrow" w:hAnsi="Arial Narrow"/>
          <w:b/>
          <w:lang w:eastAsia="cs-CZ"/>
        </w:rPr>
        <w:t>Informačná platforma Zelené hospodárstvo</w:t>
      </w:r>
      <w:r w:rsidR="001B2ABF" w:rsidRPr="001B2ABF">
        <w:rPr>
          <w:rFonts w:ascii="Arial Narrow" w:hAnsi="Arial Narrow"/>
          <w:lang w:eastAsia="cs-CZ"/>
        </w:rPr>
        <w:t>, ktorej pilotná fáza sa zamerala na podnikateľskú sféru. Cieľom tejto iniciatívy je</w:t>
      </w:r>
      <w:r w:rsidR="001B2ABF" w:rsidRPr="001B2ABF">
        <w:rPr>
          <w:rFonts w:ascii="Arial Narrow" w:hAnsi="Arial Narrow"/>
        </w:rPr>
        <w:t xml:space="preserve"> </w:t>
      </w:r>
      <w:r w:rsidR="001B2ABF" w:rsidRPr="001B2ABF">
        <w:rPr>
          <w:rFonts w:ascii="Arial Narrow" w:hAnsi="Arial Narrow"/>
          <w:lang w:eastAsia="cs-CZ"/>
        </w:rPr>
        <w:t>zvýšiť environmentálne povedomie,</w:t>
      </w:r>
      <w:r w:rsidR="001B2ABF">
        <w:rPr>
          <w:rFonts w:ascii="Arial Narrow" w:hAnsi="Arial Narrow"/>
          <w:lang w:eastAsia="cs-CZ"/>
        </w:rPr>
        <w:t xml:space="preserve"> poukázať</w:t>
      </w:r>
      <w:r w:rsidR="001B2ABF" w:rsidRPr="001B2ABF">
        <w:rPr>
          <w:rFonts w:ascii="Arial Narrow" w:hAnsi="Arial Narrow"/>
          <w:lang w:eastAsia="cs-CZ"/>
        </w:rPr>
        <w:t xml:space="preserve"> na výhody podnikania podľa konceptu zeleného hospodárstva a napomôcť pochopiť význam a využitie environmentálnych alternatív.</w:t>
      </w:r>
    </w:p>
    <w:p w14:paraId="6FB6BAED" w14:textId="7E45CD49" w:rsidR="00BE4558" w:rsidRPr="00BE4558" w:rsidRDefault="00BE4558" w:rsidP="00BE4558">
      <w:pPr>
        <w:spacing w:after="160" w:line="240" w:lineRule="auto"/>
        <w:jc w:val="both"/>
        <w:rPr>
          <w:rFonts w:ascii="Arial Narrow" w:hAnsi="Arial Narrow"/>
          <w:bCs/>
          <w:lang w:eastAsia="cs-CZ"/>
        </w:rPr>
      </w:pPr>
      <w:r>
        <w:rPr>
          <w:rFonts w:ascii="Arial Narrow" w:hAnsi="Arial Narrow"/>
          <w:bCs/>
          <w:lang w:eastAsia="cs-CZ"/>
        </w:rPr>
        <w:t xml:space="preserve">V marci 2018 bol </w:t>
      </w:r>
      <w:r w:rsidRPr="00BE4558">
        <w:rPr>
          <w:rFonts w:ascii="Arial Narrow" w:hAnsi="Arial Narrow"/>
          <w:bCs/>
          <w:lang w:eastAsia="cs-CZ"/>
        </w:rPr>
        <w:t xml:space="preserve">schválený </w:t>
      </w:r>
      <w:r w:rsidRPr="00BE4558">
        <w:rPr>
          <w:rFonts w:ascii="Arial Narrow" w:hAnsi="Arial Narrow"/>
          <w:b/>
          <w:bCs/>
          <w:lang w:eastAsia="cs-CZ"/>
        </w:rPr>
        <w:t>Akčný plán na riešenie dôsledkov sucha a nedostatku vody - H2ODNOTA JE VODA</w:t>
      </w:r>
      <w:r w:rsidRPr="00BE4558">
        <w:rPr>
          <w:rFonts w:ascii="Arial Narrow" w:hAnsi="Arial Narrow"/>
          <w:bCs/>
          <w:lang w:eastAsia="cs-CZ"/>
        </w:rPr>
        <w:t>. Základným prvkom Akčného plán</w:t>
      </w:r>
      <w:r w:rsidR="002026F6">
        <w:rPr>
          <w:rFonts w:ascii="Arial Narrow" w:hAnsi="Arial Narrow"/>
          <w:bCs/>
          <w:lang w:eastAsia="cs-CZ"/>
        </w:rPr>
        <w:t xml:space="preserve">u je program opatrení, ktorých </w:t>
      </w:r>
      <w:r w:rsidRPr="00BE4558">
        <w:rPr>
          <w:rFonts w:ascii="Arial Narrow" w:hAnsi="Arial Narrow"/>
          <w:bCs/>
          <w:lang w:eastAsia="cs-CZ"/>
        </w:rPr>
        <w:t xml:space="preserve">cieľom je znížiť nepriaznivé dôsledky sucha a nedostatku vody na ľudské zdravie, životné prostredie, kultúrne dedičstvo a hospodársku činnosť. Ide o patrenia vo viacerých oblastiach a sektoroch od životného prostredia cez </w:t>
      </w:r>
      <w:proofErr w:type="spellStart"/>
      <w:r w:rsidRPr="00BE4558">
        <w:rPr>
          <w:rFonts w:ascii="Arial Narrow" w:hAnsi="Arial Narrow"/>
          <w:bCs/>
          <w:lang w:eastAsia="cs-CZ"/>
        </w:rPr>
        <w:t>lesohospodárstvo</w:t>
      </w:r>
      <w:proofErr w:type="spellEnd"/>
      <w:r w:rsidRPr="00BE4558">
        <w:rPr>
          <w:rFonts w:ascii="Arial Narrow" w:hAnsi="Arial Narrow"/>
          <w:bCs/>
          <w:lang w:eastAsia="cs-CZ"/>
        </w:rPr>
        <w:t>, poľnohospodárstvo až po kroky v mestách a obciach.</w:t>
      </w:r>
    </w:p>
    <w:p w14:paraId="502DFE66" w14:textId="77777777" w:rsidR="00BE4558" w:rsidRPr="00BE4558" w:rsidRDefault="00BE4558" w:rsidP="00BE4558">
      <w:pPr>
        <w:spacing w:after="160" w:line="240" w:lineRule="auto"/>
        <w:jc w:val="both"/>
        <w:rPr>
          <w:rFonts w:ascii="Arial Narrow" w:hAnsi="Arial Narrow"/>
          <w:lang w:eastAsia="cs-CZ"/>
        </w:rPr>
      </w:pPr>
      <w:r w:rsidRPr="00BE4558">
        <w:rPr>
          <w:rFonts w:ascii="Arial Narrow" w:hAnsi="Arial Narrow"/>
          <w:lang w:eastAsia="cs-CZ"/>
        </w:rPr>
        <w:br w:type="page"/>
      </w:r>
    </w:p>
    <w:p w14:paraId="08960050" w14:textId="77777777" w:rsidR="007D2366" w:rsidRDefault="007D2366" w:rsidP="007D2366">
      <w:pPr>
        <w:pStyle w:val="Nadpis1"/>
        <w:numPr>
          <w:ilvl w:val="0"/>
          <w:numId w:val="1"/>
        </w:numPr>
        <w:spacing w:line="240" w:lineRule="auto"/>
        <w:rPr>
          <w:rFonts w:ascii="Arial Narrow" w:hAnsi="Arial Narrow"/>
          <w:color w:val="auto"/>
          <w:sz w:val="32"/>
          <w:szCs w:val="32"/>
        </w:rPr>
      </w:pPr>
      <w:bookmarkStart w:id="11" w:name="_Toc386005361"/>
      <w:bookmarkStart w:id="12" w:name="_Toc480749802"/>
      <w:bookmarkStart w:id="13" w:name="_Toc508039574"/>
      <w:r w:rsidRPr="007B7EDC">
        <w:rPr>
          <w:rFonts w:ascii="Arial Narrow" w:hAnsi="Arial Narrow"/>
          <w:color w:val="auto"/>
          <w:sz w:val="32"/>
          <w:szCs w:val="32"/>
        </w:rPr>
        <w:lastRenderedPageBreak/>
        <w:t>Makroekonomický rámec a strednodobá prognóza</w:t>
      </w:r>
      <w:bookmarkEnd w:id="11"/>
      <w:bookmarkEnd w:id="12"/>
      <w:bookmarkEnd w:id="13"/>
    </w:p>
    <w:p w14:paraId="7D96B029" w14:textId="77777777" w:rsidR="007D2366" w:rsidRPr="000A0811" w:rsidRDefault="007D2366" w:rsidP="007D2366">
      <w:pPr>
        <w:spacing w:after="0" w:line="240" w:lineRule="auto"/>
      </w:pPr>
    </w:p>
    <w:p w14:paraId="18F11074" w14:textId="77777777" w:rsidR="007D2366" w:rsidRPr="006E43E2" w:rsidRDefault="007D2366" w:rsidP="007D2366">
      <w:pPr>
        <w:spacing w:after="0" w:line="240" w:lineRule="auto"/>
        <w:jc w:val="both"/>
        <w:rPr>
          <w:rFonts w:ascii="Arial Narrow" w:hAnsi="Arial Narrow"/>
          <w:color w:val="000000"/>
        </w:rPr>
      </w:pPr>
      <w:r w:rsidRPr="006E43E2">
        <w:rPr>
          <w:rFonts w:ascii="Arial Narrow" w:hAnsi="Arial Narrow"/>
          <w:color w:val="000000"/>
        </w:rPr>
        <w:t xml:space="preserve">Makroekonomickú a fiškálnu stabilitu považuje vláda SR za základný predpoklad zdravého vývoja ekonomiky a rastu kvality života. Nasledujúca kapitola obsahuje základný makroekonomický </w:t>
      </w:r>
      <w:r>
        <w:rPr>
          <w:rFonts w:ascii="Arial Narrow" w:hAnsi="Arial Narrow"/>
          <w:color w:val="000000"/>
        </w:rPr>
        <w:t>výhľad.</w:t>
      </w:r>
      <w:r w:rsidRPr="006E43E2">
        <w:rPr>
          <w:rFonts w:ascii="Arial Narrow" w:hAnsi="Arial Narrow"/>
          <w:color w:val="000000"/>
        </w:rPr>
        <w:t xml:space="preserve"> </w:t>
      </w:r>
    </w:p>
    <w:p w14:paraId="7310F9D8" w14:textId="77777777" w:rsidR="007D2366" w:rsidRPr="006E43E2" w:rsidRDefault="007D2366" w:rsidP="007D2366">
      <w:pPr>
        <w:spacing w:after="0" w:line="240" w:lineRule="auto"/>
        <w:jc w:val="both"/>
        <w:rPr>
          <w:rFonts w:ascii="Arial Narrow" w:hAnsi="Arial Narrow"/>
          <w:color w:val="000000"/>
        </w:rPr>
      </w:pPr>
    </w:p>
    <w:p w14:paraId="6D4DCD26" w14:textId="77777777" w:rsidR="007D2366" w:rsidRPr="00152128" w:rsidRDefault="007D2366" w:rsidP="007D2366">
      <w:pPr>
        <w:spacing w:after="0" w:line="240" w:lineRule="auto"/>
        <w:jc w:val="both"/>
        <w:rPr>
          <w:rFonts w:ascii="Arial Narrow" w:hAnsi="Arial Narrow"/>
          <w:b/>
          <w:i/>
          <w:color w:val="000000"/>
        </w:rPr>
      </w:pPr>
      <w:r>
        <w:rPr>
          <w:rFonts w:ascii="Arial Narrow" w:hAnsi="Arial Narrow"/>
          <w:b/>
          <w:i/>
          <w:color w:val="000000"/>
        </w:rPr>
        <w:t>Rast ťahala spotreba domácností a čistý export</w:t>
      </w:r>
    </w:p>
    <w:p w14:paraId="5CC42A68" w14:textId="1DCAECEE" w:rsidR="007D2366" w:rsidRPr="006E43E2" w:rsidRDefault="007D2366" w:rsidP="007D2366">
      <w:pPr>
        <w:spacing w:after="0" w:line="240" w:lineRule="auto"/>
        <w:jc w:val="both"/>
        <w:rPr>
          <w:rFonts w:ascii="Arial Narrow" w:hAnsi="Arial Narrow"/>
          <w:color w:val="000000"/>
        </w:rPr>
      </w:pPr>
      <w:r w:rsidRPr="00152128">
        <w:rPr>
          <w:rFonts w:ascii="Arial Narrow" w:hAnsi="Arial Narrow"/>
          <w:color w:val="000000"/>
        </w:rPr>
        <w:t>Slovensk</w:t>
      </w:r>
      <w:r w:rsidR="00481753">
        <w:rPr>
          <w:rFonts w:ascii="Arial Narrow" w:hAnsi="Arial Narrow"/>
          <w:color w:val="000000"/>
        </w:rPr>
        <w:t>á ekonomika vlani vzrástla o 3,4</w:t>
      </w:r>
      <w:r w:rsidRPr="00152128">
        <w:rPr>
          <w:rFonts w:ascii="Arial Narrow" w:hAnsi="Arial Narrow"/>
          <w:color w:val="000000"/>
        </w:rPr>
        <w:t xml:space="preserve"> %. </w:t>
      </w:r>
      <w:r w:rsidR="00481753" w:rsidRPr="00481753">
        <w:rPr>
          <w:rFonts w:ascii="Arial Narrow" w:hAnsi="Arial Narrow"/>
          <w:color w:val="000000"/>
        </w:rPr>
        <w:t xml:space="preserve">Hlavným zdrojom rastu bola spotreba domácností, ktorá reagovala na pozitívny vývoj na trhu práce. Export rástol pomalšie oproti fundamentom v zahraničnom dopyte, čo je dôsledkom viacerých dočasných faktorov, napr. končiaci sa životný cyklus niektorých modelov áut vyrábaných na Slovensku. </w:t>
      </w:r>
      <w:r w:rsidR="00481753">
        <w:rPr>
          <w:rFonts w:ascii="Arial Narrow" w:hAnsi="Arial Narrow"/>
          <w:color w:val="000000"/>
        </w:rPr>
        <w:t xml:space="preserve">Investície </w:t>
      </w:r>
      <w:r w:rsidR="00E23CEA">
        <w:rPr>
          <w:rFonts w:ascii="Arial Narrow" w:hAnsi="Arial Narrow"/>
          <w:color w:val="000000"/>
        </w:rPr>
        <w:t>rástli pozvoľne pod vplyvom silného bázického efektu</w:t>
      </w:r>
      <w:r w:rsidR="00481753">
        <w:rPr>
          <w:rFonts w:ascii="Arial Narrow" w:hAnsi="Arial Narrow"/>
          <w:color w:val="000000"/>
        </w:rPr>
        <w:t>, najmä v prvej polovici roka. Ten súvisí s</w:t>
      </w:r>
      <w:r w:rsidR="00AD6FF1">
        <w:rPr>
          <w:rFonts w:ascii="Arial Narrow" w:hAnsi="Arial Narrow"/>
          <w:color w:val="000000"/>
        </w:rPr>
        <w:t> </w:t>
      </w:r>
      <w:r w:rsidR="00481753">
        <w:rPr>
          <w:rFonts w:ascii="Arial Narrow" w:hAnsi="Arial Narrow"/>
          <w:color w:val="000000"/>
        </w:rPr>
        <w:t>dočerpáv</w:t>
      </w:r>
      <w:r w:rsidR="00AD6FF1">
        <w:rPr>
          <w:rFonts w:ascii="Arial Narrow" w:hAnsi="Arial Narrow"/>
          <w:color w:val="000000"/>
        </w:rPr>
        <w:t xml:space="preserve">aním EÚ </w:t>
      </w:r>
      <w:proofErr w:type="spellStart"/>
      <w:r w:rsidR="00481753">
        <w:rPr>
          <w:rFonts w:ascii="Arial Narrow" w:hAnsi="Arial Narrow"/>
          <w:color w:val="000000"/>
        </w:rPr>
        <w:t>rofondov</w:t>
      </w:r>
      <w:proofErr w:type="spellEnd"/>
      <w:r w:rsidR="00481753">
        <w:rPr>
          <w:rFonts w:ascii="Arial Narrow" w:hAnsi="Arial Narrow"/>
          <w:color w:val="000000"/>
        </w:rPr>
        <w:t xml:space="preserve"> v rovnakom období predchádzajúceho roka. </w:t>
      </w:r>
      <w:r w:rsidR="00B46E52" w:rsidRPr="00481753">
        <w:rPr>
          <w:rFonts w:ascii="Arial Narrow" w:hAnsi="Arial Narrow"/>
          <w:color w:val="000000"/>
        </w:rPr>
        <w:t>V druhej polovici roka</w:t>
      </w:r>
      <w:r w:rsidR="00B46E52">
        <w:rPr>
          <w:rFonts w:ascii="Arial Narrow" w:hAnsi="Arial Narrow"/>
          <w:color w:val="000000"/>
        </w:rPr>
        <w:t xml:space="preserve"> začali investície postupne zrýchľovať a pridal sa k nim aj export. V</w:t>
      </w:r>
      <w:r w:rsidR="00B46E52" w:rsidRPr="00481753">
        <w:rPr>
          <w:rFonts w:ascii="Arial Narrow" w:hAnsi="Arial Narrow"/>
          <w:color w:val="000000"/>
        </w:rPr>
        <w:t>ládna spotreba ekonomiku tlmila</w:t>
      </w:r>
      <w:r w:rsidR="00B46E52">
        <w:rPr>
          <w:rFonts w:ascii="Arial Narrow" w:hAnsi="Arial Narrow"/>
          <w:color w:val="000000"/>
        </w:rPr>
        <w:t xml:space="preserve"> a</w:t>
      </w:r>
      <w:r w:rsidR="00B46E52" w:rsidRPr="00481753">
        <w:rPr>
          <w:rFonts w:ascii="Arial Narrow" w:hAnsi="Arial Narrow"/>
          <w:color w:val="000000"/>
        </w:rPr>
        <w:t xml:space="preserve"> v reálnom vyjadrení </w:t>
      </w:r>
      <w:r w:rsidR="00B46E52">
        <w:rPr>
          <w:rFonts w:ascii="Arial Narrow" w:hAnsi="Arial Narrow"/>
          <w:color w:val="000000"/>
        </w:rPr>
        <w:t>stagnovala</w:t>
      </w:r>
      <w:r w:rsidR="00B46E52" w:rsidRPr="00481753">
        <w:rPr>
          <w:rFonts w:ascii="Arial Narrow" w:hAnsi="Arial Narrow"/>
          <w:color w:val="000000"/>
        </w:rPr>
        <w:t>.</w:t>
      </w:r>
    </w:p>
    <w:p w14:paraId="6C9BBE81" w14:textId="77777777" w:rsidR="007D2366" w:rsidRPr="006E43E2" w:rsidRDefault="007D2366" w:rsidP="007D2366">
      <w:pPr>
        <w:spacing w:after="0" w:line="240" w:lineRule="auto"/>
        <w:jc w:val="both"/>
        <w:rPr>
          <w:rFonts w:ascii="Arial Narrow" w:hAnsi="Arial Narrow"/>
          <w:color w:val="000000"/>
        </w:rPr>
      </w:pPr>
    </w:p>
    <w:p w14:paraId="2DE85C31" w14:textId="77777777" w:rsidR="007D2366" w:rsidRPr="006E43E2" w:rsidRDefault="00481753" w:rsidP="007D2366">
      <w:pPr>
        <w:spacing w:after="0" w:line="240" w:lineRule="auto"/>
        <w:jc w:val="both"/>
        <w:rPr>
          <w:rFonts w:ascii="Arial Narrow" w:hAnsi="Arial Narrow"/>
          <w:color w:val="000000"/>
        </w:rPr>
      </w:pPr>
      <w:r>
        <w:rPr>
          <w:rFonts w:ascii="Arial Narrow" w:hAnsi="Arial Narrow"/>
          <w:color w:val="000000"/>
        </w:rPr>
        <w:t>Trh práce v roku 2017</w:t>
      </w:r>
      <w:r w:rsidR="007D2366" w:rsidRPr="006E43E2">
        <w:rPr>
          <w:rFonts w:ascii="Arial Narrow" w:hAnsi="Arial Narrow"/>
          <w:color w:val="000000"/>
        </w:rPr>
        <w:t xml:space="preserve"> </w:t>
      </w:r>
      <w:r>
        <w:rPr>
          <w:rFonts w:ascii="Arial Narrow" w:hAnsi="Arial Narrow"/>
          <w:color w:val="000000"/>
        </w:rPr>
        <w:t xml:space="preserve">opäť </w:t>
      </w:r>
      <w:r w:rsidR="007D2366" w:rsidRPr="006E43E2">
        <w:rPr>
          <w:rFonts w:ascii="Arial Narrow" w:hAnsi="Arial Narrow"/>
          <w:color w:val="000000"/>
        </w:rPr>
        <w:t>zaznamenal jeden z najlepších rokov. Zvýšenie počt</w:t>
      </w:r>
      <w:r w:rsidR="00B73CFC">
        <w:rPr>
          <w:rFonts w:ascii="Arial Narrow" w:hAnsi="Arial Narrow"/>
          <w:color w:val="000000"/>
        </w:rPr>
        <w:t>u pracujúcich o 51</w:t>
      </w:r>
      <w:r w:rsidR="007D2366">
        <w:rPr>
          <w:rFonts w:ascii="Arial Narrow" w:hAnsi="Arial Narrow"/>
          <w:color w:val="000000"/>
        </w:rPr>
        <w:t xml:space="preserve"> tisíc</w:t>
      </w:r>
      <w:r w:rsidR="007D2366">
        <w:rPr>
          <w:rStyle w:val="Odkaznapoznmkupodiarou"/>
          <w:rFonts w:ascii="Arial Narrow" w:hAnsi="Arial Narrow"/>
          <w:color w:val="000000"/>
        </w:rPr>
        <w:footnoteReference w:id="20"/>
      </w:r>
      <w:r w:rsidR="007D2366">
        <w:rPr>
          <w:rFonts w:ascii="Arial Narrow" w:hAnsi="Arial Narrow"/>
          <w:color w:val="000000"/>
        </w:rPr>
        <w:t xml:space="preserve"> </w:t>
      </w:r>
      <w:r w:rsidR="007D2366" w:rsidRPr="006E43E2">
        <w:rPr>
          <w:rFonts w:ascii="Arial Narrow" w:hAnsi="Arial Narrow"/>
          <w:color w:val="000000"/>
        </w:rPr>
        <w:t>viedlo k</w:t>
      </w:r>
      <w:r w:rsidR="007D2366">
        <w:rPr>
          <w:rFonts w:ascii="Arial Narrow" w:hAnsi="Arial Narrow"/>
          <w:color w:val="000000"/>
        </w:rPr>
        <w:t xml:space="preserve"> poklesu miery nezamestnanosti </w:t>
      </w:r>
      <w:r w:rsidR="007D2366" w:rsidRPr="006E43E2">
        <w:rPr>
          <w:rFonts w:ascii="Arial Narrow" w:hAnsi="Arial Narrow"/>
          <w:color w:val="000000"/>
        </w:rPr>
        <w:t>(podľa metodiky VZPS)</w:t>
      </w:r>
      <w:r w:rsidR="00D56E79">
        <w:rPr>
          <w:rStyle w:val="Odkaznapoznmkupodiarou"/>
          <w:rFonts w:ascii="Arial Narrow" w:hAnsi="Arial Narrow"/>
          <w:color w:val="000000"/>
        </w:rPr>
        <w:footnoteReference w:id="21"/>
      </w:r>
      <w:r w:rsidR="007D2366" w:rsidRPr="006E43E2">
        <w:rPr>
          <w:rFonts w:ascii="Arial Narrow" w:hAnsi="Arial Narrow"/>
          <w:color w:val="000000"/>
        </w:rPr>
        <w:t xml:space="preserve"> na úroveň </w:t>
      </w:r>
      <w:r>
        <w:rPr>
          <w:rFonts w:ascii="Arial Narrow" w:hAnsi="Arial Narrow"/>
          <w:color w:val="000000"/>
        </w:rPr>
        <w:t>8,1</w:t>
      </w:r>
      <w:r w:rsidR="007D2366" w:rsidRPr="006E43E2">
        <w:rPr>
          <w:rFonts w:ascii="Arial Narrow" w:hAnsi="Arial Narrow"/>
          <w:color w:val="000000"/>
        </w:rPr>
        <w:t xml:space="preserve"> %</w:t>
      </w:r>
      <w:r w:rsidR="0010300D">
        <w:rPr>
          <w:rStyle w:val="Odkaznapoznmkupodiarou"/>
          <w:rFonts w:ascii="Arial Narrow" w:hAnsi="Arial Narrow"/>
          <w:color w:val="000000"/>
        </w:rPr>
        <w:footnoteReference w:id="22"/>
      </w:r>
      <w:r w:rsidR="007D2366" w:rsidRPr="006E43E2">
        <w:rPr>
          <w:rFonts w:ascii="Arial Narrow" w:hAnsi="Arial Narrow"/>
          <w:color w:val="000000"/>
        </w:rPr>
        <w:t>.Pracovné miesta sa tvorili vo všetkých sektoroch domácej ekonomiky</w:t>
      </w:r>
      <w:r w:rsidR="00B73CFC">
        <w:rPr>
          <w:rFonts w:ascii="Arial Narrow" w:hAnsi="Arial Narrow"/>
          <w:color w:val="000000"/>
        </w:rPr>
        <w:t>, najvýraznejšie však v priemysle</w:t>
      </w:r>
      <w:r w:rsidR="007D2366" w:rsidRPr="006E43E2">
        <w:rPr>
          <w:rFonts w:ascii="Arial Narrow" w:hAnsi="Arial Narrow"/>
          <w:color w:val="000000"/>
        </w:rPr>
        <w:t xml:space="preserve">. Rekordne rástol počet cudzincov pracujúcich na Slovensku (nárast o </w:t>
      </w:r>
      <w:r w:rsidR="00B73CFC">
        <w:rPr>
          <w:rFonts w:ascii="Arial Narrow" w:hAnsi="Arial Narrow"/>
          <w:color w:val="000000"/>
        </w:rPr>
        <w:t>12</w:t>
      </w:r>
      <w:r w:rsidR="007D2366" w:rsidRPr="006E43E2">
        <w:rPr>
          <w:rFonts w:ascii="Arial Narrow" w:hAnsi="Arial Narrow"/>
          <w:color w:val="000000"/>
        </w:rPr>
        <w:t xml:space="preserve"> tisíc), ktorí obsadili </w:t>
      </w:r>
      <w:r w:rsidR="00B73CFC">
        <w:rPr>
          <w:rFonts w:ascii="Arial Narrow" w:hAnsi="Arial Narrow"/>
          <w:color w:val="000000"/>
        </w:rPr>
        <w:t>každé štvrté novovytvorené pracovné miesto</w:t>
      </w:r>
      <w:r w:rsidR="007D2366" w:rsidRPr="006E43E2">
        <w:rPr>
          <w:rFonts w:ascii="Arial Narrow" w:hAnsi="Arial Narrow"/>
          <w:color w:val="000000"/>
        </w:rPr>
        <w:t>. Nominálne mzdy sa zvýšili o</w:t>
      </w:r>
      <w:r w:rsidR="00B73CFC">
        <w:rPr>
          <w:rFonts w:ascii="Arial Narrow" w:hAnsi="Arial Narrow"/>
          <w:color w:val="000000"/>
        </w:rPr>
        <w:t> 4,6</w:t>
      </w:r>
      <w:r w:rsidR="007D2366" w:rsidRPr="006E43E2">
        <w:rPr>
          <w:rFonts w:ascii="Arial Narrow" w:hAnsi="Arial Narrow"/>
          <w:color w:val="000000"/>
        </w:rPr>
        <w:t xml:space="preserve"> %. Reálne mzdy </w:t>
      </w:r>
      <w:r w:rsidR="00B73CFC">
        <w:rPr>
          <w:rFonts w:ascii="Arial Narrow" w:hAnsi="Arial Narrow"/>
          <w:color w:val="000000"/>
        </w:rPr>
        <w:t xml:space="preserve">opäť rástli tempom viac ako 3 %, a to už štvrtý rok v rade. </w:t>
      </w:r>
      <w:r w:rsidR="007D2366" w:rsidRPr="006E43E2">
        <w:rPr>
          <w:rFonts w:ascii="Arial Narrow" w:hAnsi="Arial Narrow"/>
          <w:color w:val="000000"/>
        </w:rPr>
        <w:t xml:space="preserve"> </w:t>
      </w:r>
    </w:p>
    <w:p w14:paraId="46258B0F" w14:textId="77777777" w:rsidR="007D2366" w:rsidRPr="006E43E2" w:rsidRDefault="007D2366" w:rsidP="007D2366">
      <w:pPr>
        <w:spacing w:after="0" w:line="240" w:lineRule="auto"/>
        <w:jc w:val="both"/>
        <w:rPr>
          <w:rFonts w:ascii="Arial Narrow" w:hAnsi="Arial Narrow"/>
          <w:color w:val="000000"/>
        </w:rPr>
      </w:pPr>
    </w:p>
    <w:p w14:paraId="29548E53" w14:textId="7152820B" w:rsidR="007D2366" w:rsidRDefault="007D2366" w:rsidP="007D2366">
      <w:pPr>
        <w:spacing w:after="0" w:line="240" w:lineRule="auto"/>
        <w:jc w:val="both"/>
        <w:rPr>
          <w:rFonts w:ascii="Arial Narrow" w:hAnsi="Arial Narrow"/>
          <w:color w:val="000000"/>
        </w:rPr>
      </w:pPr>
      <w:r w:rsidRPr="006E43E2">
        <w:rPr>
          <w:rFonts w:ascii="Arial Narrow" w:hAnsi="Arial Narrow"/>
          <w:color w:val="000000"/>
        </w:rPr>
        <w:t xml:space="preserve">Inflácia </w:t>
      </w:r>
      <w:r w:rsidR="002E1BD8">
        <w:rPr>
          <w:rFonts w:ascii="Arial Narrow" w:hAnsi="Arial Narrow"/>
          <w:color w:val="000000"/>
        </w:rPr>
        <w:t>sa v uplynulom roku dostala do kladných čísel, po tri roky trvajúcom deflačnom období</w:t>
      </w:r>
      <w:r w:rsidRPr="006E43E2">
        <w:rPr>
          <w:rFonts w:ascii="Arial Narrow" w:hAnsi="Arial Narrow"/>
          <w:color w:val="000000"/>
        </w:rPr>
        <w:t xml:space="preserve">. Celoročne </w:t>
      </w:r>
      <w:r w:rsidR="002E1BD8">
        <w:rPr>
          <w:rFonts w:ascii="Arial Narrow" w:hAnsi="Arial Narrow"/>
          <w:color w:val="000000"/>
        </w:rPr>
        <w:t>inflácia dosiahla 1,3</w:t>
      </w:r>
      <w:r w:rsidRPr="006E43E2">
        <w:rPr>
          <w:rFonts w:ascii="Arial Narrow" w:hAnsi="Arial Narrow"/>
          <w:color w:val="000000"/>
        </w:rPr>
        <w:t xml:space="preserve"> %</w:t>
      </w:r>
      <w:r w:rsidR="002E1BD8">
        <w:rPr>
          <w:rFonts w:ascii="Arial Narrow" w:hAnsi="Arial Narrow"/>
          <w:color w:val="000000"/>
        </w:rPr>
        <w:t xml:space="preserve"> (HICP</w:t>
      </w:r>
      <w:r w:rsidR="00684237">
        <w:rPr>
          <w:rStyle w:val="Odkaznapoznmkupodiarou"/>
          <w:rFonts w:ascii="Arial Narrow" w:hAnsi="Arial Narrow"/>
          <w:color w:val="000000"/>
        </w:rPr>
        <w:footnoteReference w:id="23"/>
      </w:r>
      <w:r w:rsidR="002E1BD8">
        <w:rPr>
          <w:rFonts w:ascii="Arial Narrow" w:hAnsi="Arial Narrow"/>
          <w:color w:val="000000"/>
        </w:rPr>
        <w:t xml:space="preserve"> 1,4 %)</w:t>
      </w:r>
      <w:r w:rsidRPr="006E43E2">
        <w:rPr>
          <w:rFonts w:ascii="Arial Narrow" w:hAnsi="Arial Narrow"/>
          <w:color w:val="000000"/>
        </w:rPr>
        <w:t xml:space="preserve">. </w:t>
      </w:r>
      <w:r w:rsidR="002E1BD8">
        <w:rPr>
          <w:rFonts w:ascii="Arial Narrow" w:hAnsi="Arial Narrow"/>
          <w:color w:val="000000"/>
        </w:rPr>
        <w:t>K vyššej inflácii tlačil predovšetkým prudký rast cien potravín, ale aj vyššie ceny pohonných hmôt a služieb. Ceny obchodovateľných tovarov sa vyvíjali iba mierne, k čomu prispelo aj posilňovanie kurzu eura. Efekt vyšších cien potravín, ktoré zrýchlili najmä</w:t>
      </w:r>
      <w:r w:rsidR="00A7154B">
        <w:rPr>
          <w:rFonts w:ascii="Arial Narrow" w:hAnsi="Arial Narrow"/>
          <w:color w:val="000000"/>
        </w:rPr>
        <w:t xml:space="preserve"> </w:t>
      </w:r>
      <w:r w:rsidR="00AD6FF1">
        <w:rPr>
          <w:rFonts w:ascii="Arial Narrow" w:hAnsi="Arial Narrow"/>
          <w:color w:val="000000"/>
        </w:rPr>
        <w:t xml:space="preserve">v </w:t>
      </w:r>
      <w:r w:rsidR="00A7154B">
        <w:rPr>
          <w:rFonts w:ascii="Arial Narrow" w:hAnsi="Arial Narrow"/>
          <w:color w:val="000000"/>
        </w:rPr>
        <w:t>z</w:t>
      </w:r>
      <w:r w:rsidR="00AD6FF1">
        <w:rPr>
          <w:rFonts w:ascii="Arial Narrow" w:hAnsi="Arial Narrow"/>
          <w:color w:val="000000"/>
        </w:rPr>
        <w:t>ávere</w:t>
      </w:r>
      <w:r w:rsidR="002E1BD8">
        <w:rPr>
          <w:rFonts w:ascii="Arial Narrow" w:hAnsi="Arial Narrow"/>
          <w:color w:val="000000"/>
        </w:rPr>
        <w:t xml:space="preserve"> roka, sa čiastočne prenesie aj do ďalšieho obdobia. Postupne však hlavnú rolu preberie inflácia služieb, ktorá reaguje na prudký rast miezd.</w:t>
      </w:r>
    </w:p>
    <w:p w14:paraId="2BE4D1C2" w14:textId="77777777" w:rsidR="007D2366" w:rsidRDefault="007D2366" w:rsidP="00A7154B">
      <w:pPr>
        <w:spacing w:after="0" w:line="240" w:lineRule="auto"/>
        <w:jc w:val="both"/>
        <w:rPr>
          <w:rFonts w:ascii="Arial Narrow" w:hAnsi="Arial Narrow"/>
          <w:color w:val="000000"/>
        </w:rPr>
      </w:pPr>
    </w:p>
    <w:tbl>
      <w:tblPr>
        <w:tblpPr w:leftFromText="141" w:rightFromText="141" w:vertAnchor="text" w:horzAnchor="margin" w:tblpXSpec="center" w:tblpY="109"/>
        <w:tblOverlap w:val="neve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114"/>
        <w:gridCol w:w="222"/>
        <w:gridCol w:w="4228"/>
      </w:tblGrid>
      <w:tr w:rsidR="00AB1A73" w:rsidRPr="00256D89" w14:paraId="6FAE86F5" w14:textId="77777777" w:rsidTr="00AB1A73">
        <w:trPr>
          <w:trHeight w:val="126"/>
        </w:trPr>
        <w:tc>
          <w:tcPr>
            <w:tcW w:w="4183" w:type="dxa"/>
            <w:tcBorders>
              <w:top w:val="nil"/>
              <w:left w:val="nil"/>
              <w:bottom w:val="single" w:sz="4" w:space="0" w:color="auto"/>
              <w:right w:val="nil"/>
            </w:tcBorders>
            <w:vAlign w:val="bottom"/>
          </w:tcPr>
          <w:p w14:paraId="044FBD85" w14:textId="77777777" w:rsidR="007D2366" w:rsidRPr="006E43E2" w:rsidRDefault="007D2366" w:rsidP="001F5AE8">
            <w:pPr>
              <w:pStyle w:val="Popis"/>
              <w:rPr>
                <w:rFonts w:cs="Arial"/>
                <w:szCs w:val="20"/>
              </w:rPr>
            </w:pPr>
            <w:bookmarkStart w:id="14" w:name="_Toc480760494"/>
            <w:bookmarkStart w:id="15" w:name="_Toc509513315"/>
            <w:r w:rsidRPr="00256D89">
              <w:t xml:space="preserve">Graf </w:t>
            </w:r>
            <w:fldSimple w:instr=" SEQ Graf \* ARABIC ">
              <w:r w:rsidR="00EE7207">
                <w:rPr>
                  <w:noProof/>
                </w:rPr>
                <w:t>3</w:t>
              </w:r>
            </w:fldSimple>
            <w:r w:rsidRPr="00256D89">
              <w:t xml:space="preserve">: </w:t>
            </w:r>
            <w:r w:rsidRPr="006E43E2">
              <w:rPr>
                <w:rFonts w:cs="Arial"/>
                <w:szCs w:val="20"/>
              </w:rPr>
              <w:t>Príspevky k</w:t>
            </w:r>
            <w:r>
              <w:rPr>
                <w:rFonts w:cs="Arial"/>
                <w:szCs w:val="20"/>
              </w:rPr>
              <w:t xml:space="preserve"> rastu HDP na Slovensku, 201</w:t>
            </w:r>
            <w:r w:rsidR="001F5AE8">
              <w:rPr>
                <w:rFonts w:cs="Arial"/>
                <w:szCs w:val="20"/>
              </w:rPr>
              <w:t>1</w:t>
            </w:r>
            <w:r>
              <w:rPr>
                <w:rFonts w:cs="Arial"/>
                <w:szCs w:val="20"/>
              </w:rPr>
              <w:t xml:space="preserve"> – </w:t>
            </w:r>
            <w:r w:rsidRPr="006E43E2">
              <w:rPr>
                <w:rFonts w:cs="Arial"/>
                <w:szCs w:val="20"/>
              </w:rPr>
              <w:t>202</w:t>
            </w:r>
            <w:r w:rsidR="001F5AE8">
              <w:rPr>
                <w:rFonts w:cs="Arial"/>
                <w:szCs w:val="20"/>
              </w:rPr>
              <w:t>1</w:t>
            </w:r>
            <w:r>
              <w:rPr>
                <w:rFonts w:cs="Arial"/>
                <w:szCs w:val="20"/>
              </w:rPr>
              <w:t xml:space="preserve"> (v p. b.)</w:t>
            </w:r>
            <w:bookmarkEnd w:id="14"/>
            <w:bookmarkEnd w:id="15"/>
          </w:p>
        </w:tc>
        <w:tc>
          <w:tcPr>
            <w:tcW w:w="222" w:type="dxa"/>
            <w:tcBorders>
              <w:top w:val="nil"/>
              <w:left w:val="nil"/>
              <w:bottom w:val="nil"/>
              <w:right w:val="nil"/>
            </w:tcBorders>
            <w:vAlign w:val="bottom"/>
          </w:tcPr>
          <w:p w14:paraId="02265A15" w14:textId="77777777" w:rsidR="007D2366" w:rsidRPr="00256D89" w:rsidRDefault="007D2366" w:rsidP="00342E82">
            <w:pPr>
              <w:spacing w:before="40" w:after="40" w:line="240" w:lineRule="auto"/>
              <w:rPr>
                <w:rFonts w:ascii="Arial Narrow" w:hAnsi="Arial Narrow" w:cs="Arial"/>
                <w:b/>
                <w:sz w:val="20"/>
                <w:szCs w:val="20"/>
              </w:rPr>
            </w:pPr>
          </w:p>
        </w:tc>
        <w:tc>
          <w:tcPr>
            <w:tcW w:w="4159" w:type="dxa"/>
            <w:tcBorders>
              <w:top w:val="nil"/>
              <w:left w:val="nil"/>
              <w:bottom w:val="single" w:sz="4" w:space="0" w:color="auto"/>
              <w:right w:val="nil"/>
            </w:tcBorders>
            <w:vAlign w:val="bottom"/>
          </w:tcPr>
          <w:p w14:paraId="145A850A" w14:textId="77777777" w:rsidR="007D2366" w:rsidRDefault="007D2366" w:rsidP="00342E82">
            <w:pPr>
              <w:pStyle w:val="Popis"/>
            </w:pPr>
            <w:bookmarkStart w:id="16" w:name="_Toc480760495"/>
            <w:bookmarkStart w:id="17" w:name="_Toc509513316"/>
            <w:r w:rsidRPr="00256D89">
              <w:t xml:space="preserve">Graf </w:t>
            </w:r>
            <w:fldSimple w:instr=" SEQ Graf \* ARABIC ">
              <w:r w:rsidR="00EE7207">
                <w:rPr>
                  <w:noProof/>
                </w:rPr>
                <w:t>4</w:t>
              </w:r>
            </w:fldSimple>
            <w:r w:rsidRPr="00256D89">
              <w:t xml:space="preserve">: </w:t>
            </w:r>
            <w:r w:rsidRPr="006E43E2">
              <w:rPr>
                <w:rFonts w:cs="Arial"/>
                <w:szCs w:val="20"/>
              </w:rPr>
              <w:t>Štruktúra spotrebiteľskej inflácie – medziročné príspevky zložiek CPI (v p. b.)</w:t>
            </w:r>
            <w:bookmarkEnd w:id="16"/>
            <w:bookmarkEnd w:id="17"/>
          </w:p>
        </w:tc>
      </w:tr>
      <w:tr w:rsidR="00AB1A73" w:rsidRPr="00256D89" w14:paraId="151FFDB9" w14:textId="77777777" w:rsidTr="00AB1A73">
        <w:tblPrEx>
          <w:tblCellMar>
            <w:left w:w="108" w:type="dxa"/>
            <w:right w:w="108" w:type="dxa"/>
          </w:tblCellMar>
        </w:tblPrEx>
        <w:trPr>
          <w:trHeight w:val="944"/>
        </w:trPr>
        <w:tc>
          <w:tcPr>
            <w:tcW w:w="4183" w:type="dxa"/>
            <w:tcBorders>
              <w:top w:val="single" w:sz="4" w:space="0" w:color="auto"/>
              <w:left w:val="nil"/>
              <w:bottom w:val="single" w:sz="4" w:space="0" w:color="auto"/>
              <w:right w:val="nil"/>
            </w:tcBorders>
            <w:vAlign w:val="center"/>
          </w:tcPr>
          <w:p w14:paraId="157C49EF" w14:textId="6DAC0FE0" w:rsidR="007D2366" w:rsidRPr="00256D89" w:rsidRDefault="00AB1A73" w:rsidP="00342E82">
            <w:pPr>
              <w:spacing w:before="40" w:after="40" w:line="240" w:lineRule="auto"/>
              <w:jc w:val="center"/>
              <w:rPr>
                <w:rFonts w:ascii="Arial Narrow" w:hAnsi="Arial Narrow" w:cs="Arial"/>
                <w:b/>
                <w:sz w:val="20"/>
                <w:szCs w:val="20"/>
              </w:rPr>
            </w:pPr>
            <w:r>
              <w:rPr>
                <w:noProof/>
                <w:lang w:val="en-US" w:eastAsia="en-US"/>
              </w:rPr>
              <w:drawing>
                <wp:inline distT="0" distB="0" distL="0" distR="0" wp14:anchorId="7CE9E57B" wp14:editId="698A44EC">
                  <wp:extent cx="2519045" cy="2139720"/>
                  <wp:effectExtent l="0" t="0" r="0" b="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22" w:type="dxa"/>
            <w:tcBorders>
              <w:top w:val="nil"/>
              <w:left w:val="nil"/>
              <w:bottom w:val="nil"/>
              <w:right w:val="nil"/>
            </w:tcBorders>
            <w:vAlign w:val="center"/>
          </w:tcPr>
          <w:p w14:paraId="5C2D2313" w14:textId="77777777" w:rsidR="007D2366" w:rsidRPr="00256D89" w:rsidRDefault="007D2366" w:rsidP="00342E82">
            <w:pPr>
              <w:spacing w:before="40" w:after="40" w:line="240" w:lineRule="auto"/>
              <w:jc w:val="center"/>
              <w:rPr>
                <w:rFonts w:ascii="Arial Narrow" w:hAnsi="Arial Narrow" w:cs="Arial"/>
                <w:b/>
                <w:sz w:val="20"/>
                <w:szCs w:val="20"/>
              </w:rPr>
            </w:pPr>
          </w:p>
        </w:tc>
        <w:tc>
          <w:tcPr>
            <w:tcW w:w="4159" w:type="dxa"/>
            <w:tcBorders>
              <w:top w:val="single" w:sz="4" w:space="0" w:color="auto"/>
              <w:left w:val="nil"/>
              <w:bottom w:val="single" w:sz="4" w:space="0" w:color="auto"/>
              <w:right w:val="nil"/>
            </w:tcBorders>
            <w:vAlign w:val="center"/>
          </w:tcPr>
          <w:p w14:paraId="4AA77428" w14:textId="3F00C4EB" w:rsidR="007D2366" w:rsidRPr="00256D89" w:rsidRDefault="00AB1A73" w:rsidP="00342E82">
            <w:pPr>
              <w:spacing w:before="40" w:after="40" w:line="240" w:lineRule="auto"/>
              <w:jc w:val="center"/>
              <w:rPr>
                <w:rFonts w:ascii="Arial Narrow" w:hAnsi="Arial Narrow" w:cs="Arial"/>
                <w:b/>
                <w:sz w:val="20"/>
                <w:szCs w:val="20"/>
              </w:rPr>
            </w:pPr>
            <w:r>
              <w:rPr>
                <w:noProof/>
                <w:lang w:val="en-US" w:eastAsia="en-US"/>
              </w:rPr>
              <w:drawing>
                <wp:inline distT="0" distB="0" distL="0" distR="0" wp14:anchorId="1B8F3D0C" wp14:editId="59994F76">
                  <wp:extent cx="2592624" cy="2052536"/>
                  <wp:effectExtent l="0" t="0" r="0" b="5080"/>
                  <wp:docPr id="227" name="Graf 2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AB1A73" w:rsidRPr="00C83F39" w14:paraId="58AAB60C" w14:textId="77777777" w:rsidTr="00AB1A73">
        <w:trPr>
          <w:trHeight w:val="120"/>
        </w:trPr>
        <w:tc>
          <w:tcPr>
            <w:tcW w:w="4183" w:type="dxa"/>
            <w:tcBorders>
              <w:top w:val="single" w:sz="4" w:space="0" w:color="auto"/>
              <w:left w:val="nil"/>
              <w:bottom w:val="nil"/>
              <w:right w:val="nil"/>
            </w:tcBorders>
            <w:vAlign w:val="center"/>
          </w:tcPr>
          <w:p w14:paraId="075557DC" w14:textId="77777777" w:rsidR="007D2366" w:rsidRPr="00C83F39" w:rsidRDefault="007D2366" w:rsidP="00A7154B">
            <w:pPr>
              <w:spacing w:after="0" w:line="240" w:lineRule="auto"/>
              <w:jc w:val="right"/>
              <w:rPr>
                <w:rFonts w:ascii="Arial Narrow" w:hAnsi="Arial Narrow" w:cs="Arial"/>
                <w:sz w:val="16"/>
                <w:szCs w:val="14"/>
              </w:rPr>
            </w:pPr>
            <w:r w:rsidRPr="00C83F39">
              <w:rPr>
                <w:rFonts w:ascii="Arial Narrow" w:hAnsi="Arial Narrow" w:cs="Arial Narrow"/>
                <w:i/>
                <w:iCs/>
                <w:color w:val="000000"/>
                <w:sz w:val="16"/>
                <w:szCs w:val="16"/>
              </w:rPr>
              <w:t xml:space="preserve">Zdroj: </w:t>
            </w:r>
            <w:r>
              <w:rPr>
                <w:rFonts w:ascii="Arial Narrow" w:hAnsi="Arial Narrow" w:cs="Arial Narrow"/>
                <w:i/>
                <w:iCs/>
                <w:color w:val="000000"/>
                <w:sz w:val="16"/>
                <w:szCs w:val="16"/>
              </w:rPr>
              <w:t>ŠÚ SR, MF SR</w:t>
            </w:r>
            <w:r w:rsidRPr="00C83F39">
              <w:rPr>
                <w:rFonts w:ascii="Arial Narrow" w:hAnsi="Arial Narrow" w:cs="Arial Narrow"/>
                <w:i/>
                <w:iCs/>
                <w:color w:val="000000"/>
                <w:sz w:val="16"/>
                <w:szCs w:val="16"/>
              </w:rPr>
              <w:t xml:space="preserve"> </w:t>
            </w:r>
          </w:p>
        </w:tc>
        <w:tc>
          <w:tcPr>
            <w:tcW w:w="222" w:type="dxa"/>
            <w:tcBorders>
              <w:top w:val="nil"/>
              <w:left w:val="nil"/>
              <w:bottom w:val="nil"/>
              <w:right w:val="nil"/>
            </w:tcBorders>
            <w:vAlign w:val="center"/>
          </w:tcPr>
          <w:p w14:paraId="7018487E" w14:textId="77777777" w:rsidR="007D2366" w:rsidRPr="00C83F39" w:rsidRDefault="007D2366" w:rsidP="00A7154B">
            <w:pPr>
              <w:spacing w:after="0" w:line="240" w:lineRule="auto"/>
              <w:jc w:val="center"/>
              <w:rPr>
                <w:rFonts w:ascii="Arial Narrow" w:hAnsi="Arial Narrow" w:cs="Arial"/>
                <w:sz w:val="16"/>
                <w:szCs w:val="14"/>
              </w:rPr>
            </w:pPr>
          </w:p>
        </w:tc>
        <w:tc>
          <w:tcPr>
            <w:tcW w:w="4159" w:type="dxa"/>
            <w:tcBorders>
              <w:top w:val="single" w:sz="4" w:space="0" w:color="auto"/>
              <w:left w:val="nil"/>
              <w:bottom w:val="nil"/>
              <w:right w:val="nil"/>
            </w:tcBorders>
            <w:vAlign w:val="center"/>
          </w:tcPr>
          <w:p w14:paraId="6EA2051A" w14:textId="77777777" w:rsidR="007D2366" w:rsidRPr="00C83F39" w:rsidRDefault="007D2366" w:rsidP="00A7154B">
            <w:pPr>
              <w:spacing w:after="0" w:line="240" w:lineRule="auto"/>
              <w:jc w:val="right"/>
              <w:rPr>
                <w:rFonts w:ascii="Arial Narrow" w:hAnsi="Arial Narrow" w:cs="Arial"/>
                <w:sz w:val="16"/>
                <w:szCs w:val="14"/>
              </w:rPr>
            </w:pPr>
            <w:r w:rsidRPr="00C83F39">
              <w:rPr>
                <w:rFonts w:ascii="Arial Narrow" w:hAnsi="Arial Narrow" w:cs="Arial Narrow"/>
                <w:i/>
                <w:iCs/>
                <w:color w:val="000000"/>
                <w:sz w:val="16"/>
                <w:szCs w:val="16"/>
              </w:rPr>
              <w:t xml:space="preserve">Zdroj: </w:t>
            </w:r>
            <w:r>
              <w:rPr>
                <w:rFonts w:ascii="Arial Narrow" w:hAnsi="Arial Narrow" w:cs="Arial Narrow"/>
                <w:i/>
                <w:iCs/>
                <w:color w:val="000000"/>
                <w:sz w:val="16"/>
                <w:szCs w:val="16"/>
              </w:rPr>
              <w:t>ŠÚ SR</w:t>
            </w:r>
            <w:r w:rsidRPr="00C83F39">
              <w:rPr>
                <w:rFonts w:ascii="Arial Narrow" w:hAnsi="Arial Narrow" w:cs="Arial Narrow"/>
                <w:i/>
                <w:iCs/>
                <w:color w:val="000000"/>
                <w:sz w:val="16"/>
                <w:szCs w:val="16"/>
              </w:rPr>
              <w:t xml:space="preserve"> </w:t>
            </w:r>
          </w:p>
        </w:tc>
      </w:tr>
    </w:tbl>
    <w:p w14:paraId="2816D116" w14:textId="77777777" w:rsidR="00A7154B" w:rsidRDefault="00A7154B" w:rsidP="007D2366">
      <w:pPr>
        <w:spacing w:after="0" w:line="240" w:lineRule="auto"/>
        <w:jc w:val="both"/>
        <w:rPr>
          <w:rFonts w:ascii="Arial Narrow" w:hAnsi="Arial Narrow"/>
          <w:b/>
          <w:i/>
          <w:color w:val="000000"/>
        </w:rPr>
      </w:pPr>
    </w:p>
    <w:p w14:paraId="0E6013F5" w14:textId="77777777" w:rsidR="007D2366" w:rsidRPr="0079221B" w:rsidRDefault="00D75613" w:rsidP="007D2366">
      <w:pPr>
        <w:spacing w:after="0" w:line="240" w:lineRule="auto"/>
        <w:jc w:val="both"/>
        <w:rPr>
          <w:rFonts w:ascii="Arial Narrow" w:hAnsi="Arial Narrow"/>
          <w:b/>
          <w:i/>
          <w:color w:val="000000"/>
        </w:rPr>
      </w:pPr>
      <w:r>
        <w:rPr>
          <w:rFonts w:ascii="Arial Narrow" w:hAnsi="Arial Narrow"/>
          <w:b/>
          <w:i/>
          <w:color w:val="000000"/>
        </w:rPr>
        <w:t xml:space="preserve">Kulminácia </w:t>
      </w:r>
      <w:r w:rsidR="007D2366" w:rsidRPr="0079221B">
        <w:rPr>
          <w:rFonts w:ascii="Arial Narrow" w:hAnsi="Arial Narrow"/>
          <w:b/>
          <w:i/>
          <w:color w:val="000000"/>
        </w:rPr>
        <w:t>rastu slovenskej ekonomiky v</w:t>
      </w:r>
      <w:r>
        <w:rPr>
          <w:rFonts w:ascii="Arial Narrow" w:hAnsi="Arial Narrow"/>
          <w:b/>
          <w:i/>
          <w:color w:val="000000"/>
        </w:rPr>
        <w:t> budúcom roku s postupným návratom k potenciálu</w:t>
      </w:r>
    </w:p>
    <w:p w14:paraId="16EA651D" w14:textId="410B2F34" w:rsidR="00D75613" w:rsidRDefault="00D75613" w:rsidP="0010300D">
      <w:pPr>
        <w:widowControl w:val="0"/>
        <w:spacing w:after="0" w:line="240" w:lineRule="auto"/>
        <w:jc w:val="both"/>
        <w:rPr>
          <w:rFonts w:ascii="Arial Narrow" w:eastAsia="NeueHaasGroteskText W02" w:hAnsi="Arial Narrow" w:cs="NeueHaasGroteskText W02"/>
          <w:bCs/>
          <w:szCs w:val="20"/>
        </w:rPr>
      </w:pPr>
      <w:r w:rsidRPr="00D75613">
        <w:rPr>
          <w:rFonts w:ascii="Arial Narrow" w:eastAsia="NeueHaasGroteskText W02" w:hAnsi="Arial Narrow" w:cs="NeueHaasGroteskText W02"/>
          <w:szCs w:val="20"/>
        </w:rPr>
        <w:t>V roku 2018 ekonomika zrýchli na 4,2 %.</w:t>
      </w:r>
      <w:r w:rsidRPr="00D75613">
        <w:rPr>
          <w:rFonts w:ascii="Arial Narrow" w:eastAsia="NeueHaasGroteskText W02" w:hAnsi="Arial Narrow" w:cs="NeueHaasGroteskText W02"/>
          <w:bCs/>
          <w:szCs w:val="20"/>
        </w:rPr>
        <w:t xml:space="preserve"> Rast bude postavený na dvoch pilieroch. K pokračujúcemu robustnému vývoju spotreby domácností pribudne export ťažiaci z pozitívnych vyhliadok rastu v Euró</w:t>
      </w:r>
      <w:r w:rsidR="00CD57DB">
        <w:rPr>
          <w:rFonts w:ascii="Arial Narrow" w:eastAsia="NeueHaasGroteskText W02" w:hAnsi="Arial Narrow" w:cs="NeueHaasGroteskText W02"/>
          <w:bCs/>
          <w:szCs w:val="20"/>
        </w:rPr>
        <w:t>pe a z nábehu novej výroby vo Volkswagen Slovakia</w:t>
      </w:r>
      <w:r w:rsidRPr="00D75613">
        <w:rPr>
          <w:rFonts w:ascii="Arial Narrow" w:eastAsia="NeueHaasGroteskText W02" w:hAnsi="Arial Narrow" w:cs="NeueHaasGroteskText W02"/>
          <w:bCs/>
          <w:szCs w:val="20"/>
        </w:rPr>
        <w:t xml:space="preserve">. Investície oproti predchádzajúcemu roku zrýchlia, k čomu </w:t>
      </w:r>
      <w:r w:rsidRPr="00D75613">
        <w:rPr>
          <w:rFonts w:ascii="Arial Narrow" w:eastAsia="NeueHaasGroteskText W02" w:hAnsi="Arial Narrow" w:cs="NeueHaasGroteskText W02"/>
          <w:bCs/>
          <w:szCs w:val="20"/>
        </w:rPr>
        <w:lastRenderedPageBreak/>
        <w:t>dopomôže aj investícia automobilky </w:t>
      </w:r>
      <w:proofErr w:type="spellStart"/>
      <w:r w:rsidRPr="00D75613">
        <w:rPr>
          <w:rFonts w:ascii="Arial Narrow" w:eastAsia="NeueHaasGroteskText W02" w:hAnsi="Arial Narrow" w:cs="NeueHaasGroteskText W02"/>
          <w:bCs/>
          <w:szCs w:val="20"/>
        </w:rPr>
        <w:t>Jaguar</w:t>
      </w:r>
      <w:proofErr w:type="spellEnd"/>
      <w:r w:rsidRPr="00D75613">
        <w:rPr>
          <w:rFonts w:ascii="Arial Narrow" w:eastAsia="NeueHaasGroteskText W02" w:hAnsi="Arial Narrow" w:cs="NeueHaasGroteskText W02"/>
          <w:bCs/>
          <w:szCs w:val="20"/>
        </w:rPr>
        <w:t xml:space="preserve"> </w:t>
      </w:r>
      <w:proofErr w:type="spellStart"/>
      <w:r w:rsidRPr="00D75613">
        <w:rPr>
          <w:rFonts w:ascii="Arial Narrow" w:eastAsia="NeueHaasGroteskText W02" w:hAnsi="Arial Narrow" w:cs="NeueHaasGroteskText W02"/>
          <w:bCs/>
          <w:szCs w:val="20"/>
        </w:rPr>
        <w:t>Land</w:t>
      </w:r>
      <w:proofErr w:type="spellEnd"/>
      <w:r w:rsidRPr="00D75613">
        <w:rPr>
          <w:rFonts w:ascii="Arial Narrow" w:eastAsia="NeueHaasGroteskText W02" w:hAnsi="Arial Narrow" w:cs="NeueHaasGroteskText W02"/>
          <w:bCs/>
          <w:szCs w:val="20"/>
        </w:rPr>
        <w:t xml:space="preserve"> </w:t>
      </w:r>
      <w:proofErr w:type="spellStart"/>
      <w:r w:rsidRPr="00D75613">
        <w:rPr>
          <w:rFonts w:ascii="Arial Narrow" w:eastAsia="NeueHaasGroteskText W02" w:hAnsi="Arial Narrow" w:cs="NeueHaasGroteskText W02"/>
          <w:bCs/>
          <w:szCs w:val="20"/>
        </w:rPr>
        <w:t>Rover</w:t>
      </w:r>
      <w:proofErr w:type="spellEnd"/>
      <w:r w:rsidRPr="00D75613">
        <w:rPr>
          <w:rFonts w:ascii="Arial Narrow" w:eastAsia="NeueHaasGroteskText W02" w:hAnsi="Arial Narrow" w:cs="NeueHaasGroteskText W02"/>
          <w:bCs/>
          <w:szCs w:val="20"/>
        </w:rPr>
        <w:t xml:space="preserve"> (JLR) a rozbeh výstavby bratislavského obchvatu. Verejné výdavky budú </w:t>
      </w:r>
      <w:r w:rsidR="00D34011">
        <w:rPr>
          <w:rFonts w:ascii="Arial Narrow" w:eastAsia="NeueHaasGroteskText W02" w:hAnsi="Arial Narrow" w:cs="NeueHaasGroteskText W02"/>
          <w:bCs/>
          <w:szCs w:val="20"/>
        </w:rPr>
        <w:t>rásť</w:t>
      </w:r>
      <w:r w:rsidRPr="00D75613">
        <w:rPr>
          <w:rFonts w:ascii="Arial Narrow" w:eastAsia="NeueHaasGroteskText W02" w:hAnsi="Arial Narrow" w:cs="NeueHaasGroteskText W02"/>
          <w:bCs/>
          <w:szCs w:val="20"/>
        </w:rPr>
        <w:t xml:space="preserve"> iba pozvoľne, čo bude tlmiť postupné prehrievanie ekonomiky. </w:t>
      </w:r>
    </w:p>
    <w:p w14:paraId="3935CB79" w14:textId="77777777" w:rsidR="0010300D" w:rsidRPr="00D75613" w:rsidRDefault="0010300D" w:rsidP="0010300D">
      <w:pPr>
        <w:widowControl w:val="0"/>
        <w:spacing w:after="0" w:line="240" w:lineRule="auto"/>
        <w:jc w:val="both"/>
        <w:rPr>
          <w:rFonts w:ascii="Arial Narrow" w:eastAsia="NeueHaasGroteskText W02" w:hAnsi="Arial Narrow" w:cs="NeueHaasGroteskText W02"/>
          <w:bCs/>
          <w:szCs w:val="20"/>
          <w:highlight w:val="yellow"/>
        </w:rPr>
      </w:pPr>
    </w:p>
    <w:p w14:paraId="5FCBB4CD" w14:textId="77777777" w:rsidR="00D75613" w:rsidRDefault="00D75613" w:rsidP="00A7154B">
      <w:pPr>
        <w:widowControl w:val="0"/>
        <w:spacing w:after="0" w:line="240" w:lineRule="auto"/>
        <w:jc w:val="both"/>
        <w:rPr>
          <w:rFonts w:ascii="Arial Narrow" w:eastAsia="NeueHaasGroteskText W02" w:hAnsi="Arial Narrow" w:cs="NeueHaasGroteskText W02"/>
          <w:bCs/>
          <w:szCs w:val="20"/>
        </w:rPr>
      </w:pPr>
      <w:r w:rsidRPr="00D75613">
        <w:rPr>
          <w:rFonts w:ascii="Arial Narrow" w:eastAsia="NeueHaasGroteskText W02" w:hAnsi="Arial Narrow" w:cs="NeueHaasGroteskText W02"/>
          <w:szCs w:val="20"/>
        </w:rPr>
        <w:t>Budúci rok dosiahne výkon ekonomiky 4,5 %.</w:t>
      </w:r>
      <w:r w:rsidRPr="00D75613">
        <w:rPr>
          <w:rFonts w:ascii="Arial Narrow" w:eastAsia="NeueHaasGroteskText W02" w:hAnsi="Arial Narrow" w:cs="NeueHaasGroteskText W02"/>
          <w:bCs/>
          <w:szCs w:val="20"/>
        </w:rPr>
        <w:t xml:space="preserve"> K akcelerácii príde vďaka dynamickejšiemu exportu ťažiacemu z pozitívneho vývoja v zahraničí, ako aj z nábehu výroby v automobilovom závode JLR. Domáca spotreba si udrží stabilné tempo nad 3 percentami. Investície mierne spomalia z dôvodu dokončenia väčších automobilových investícií. Pozitívna produkčná medzera by mala v roku 2019 kulminovať, a to mierne nad hranicou 1 % HDP.</w:t>
      </w:r>
      <w:r>
        <w:rPr>
          <w:rFonts w:ascii="Arial Narrow" w:eastAsia="NeueHaasGroteskText W02" w:hAnsi="Arial Narrow" w:cs="NeueHaasGroteskText W02"/>
          <w:bCs/>
          <w:szCs w:val="20"/>
        </w:rPr>
        <w:t xml:space="preserve"> </w:t>
      </w:r>
      <w:r w:rsidRPr="00D75613">
        <w:rPr>
          <w:rFonts w:ascii="Arial Narrow" w:eastAsia="NeueHaasGroteskText W02" w:hAnsi="Arial Narrow" w:cs="NeueHaasGroteskText W02"/>
          <w:szCs w:val="20"/>
        </w:rPr>
        <w:t>V rokoch 2020 a 2021 ekonomický rast zvoľní na 3,9 %, resp. 3,4 %.</w:t>
      </w:r>
      <w:r w:rsidRPr="00D75613">
        <w:rPr>
          <w:rFonts w:ascii="Arial Narrow" w:eastAsia="NeueHaasGroteskText W02" w:hAnsi="Arial Narrow" w:cs="NeueHaasGroteskText W02"/>
          <w:bCs/>
          <w:szCs w:val="20"/>
        </w:rPr>
        <w:t xml:space="preserve"> Efekt nabiehania novej automobilovej výroby postupne opadne a spomalí sa aj zahraničný dopyt v dôsledku reštriktívnejšej menovej politiky a uzavretia ekonomického cyklu. V súlade s dlhodobým potenciálom ekonomiky spomalí aj spotreba domácností a investície. Predpokladáme</w:t>
      </w:r>
      <w:r w:rsidR="00D34011">
        <w:rPr>
          <w:rFonts w:ascii="Arial Narrow" w:eastAsia="NeueHaasGroteskText W02" w:hAnsi="Arial Narrow" w:cs="NeueHaasGroteskText W02"/>
          <w:bCs/>
          <w:szCs w:val="20"/>
        </w:rPr>
        <w:t>,</w:t>
      </w:r>
      <w:r w:rsidR="00B46E52">
        <w:rPr>
          <w:rFonts w:ascii="Arial Narrow" w:eastAsia="NeueHaasGroteskText W02" w:hAnsi="Arial Narrow" w:cs="NeueHaasGroteskText W02"/>
          <w:bCs/>
          <w:szCs w:val="20"/>
        </w:rPr>
        <w:t xml:space="preserve"> </w:t>
      </w:r>
      <w:r w:rsidRPr="00D75613">
        <w:rPr>
          <w:rFonts w:ascii="Arial Narrow" w:eastAsia="NeueHaasGroteskText W02" w:hAnsi="Arial Narrow" w:cs="NeueHaasGroteskText W02"/>
          <w:bCs/>
          <w:szCs w:val="20"/>
        </w:rPr>
        <w:t xml:space="preserve">že na konci horizontu prognózy </w:t>
      </w:r>
      <w:r w:rsidR="00B46E52">
        <w:rPr>
          <w:rFonts w:ascii="Arial Narrow" w:eastAsia="NeueHaasGroteskText W02" w:hAnsi="Arial Narrow" w:cs="NeueHaasGroteskText W02"/>
          <w:bCs/>
          <w:szCs w:val="20"/>
        </w:rPr>
        <w:t>sa začne prehrievanie ekonomiky postupne zmierňovať.</w:t>
      </w:r>
    </w:p>
    <w:p w14:paraId="24E40021" w14:textId="77777777" w:rsidR="00A7154B" w:rsidRPr="00D75613" w:rsidRDefault="00A7154B" w:rsidP="00A7154B">
      <w:pPr>
        <w:widowControl w:val="0"/>
        <w:spacing w:after="0" w:line="240" w:lineRule="auto"/>
        <w:jc w:val="both"/>
        <w:rPr>
          <w:rFonts w:ascii="Arial Narrow" w:eastAsia="NeueHaasGroteskText W02" w:hAnsi="Arial Narrow" w:cs="NeueHaasGroteskText W02"/>
          <w:bCs/>
          <w:szCs w:val="20"/>
        </w:rPr>
      </w:pPr>
    </w:p>
    <w:p w14:paraId="59E5BBCB" w14:textId="1DEB87F6" w:rsidR="00D75613" w:rsidRDefault="00D75613" w:rsidP="00A7154B">
      <w:pPr>
        <w:widowControl w:val="0"/>
        <w:spacing w:after="0" w:line="240" w:lineRule="auto"/>
        <w:jc w:val="both"/>
        <w:rPr>
          <w:rFonts w:ascii="Arial Narrow" w:eastAsia="NeueHaasGroteskText W02" w:hAnsi="Arial Narrow" w:cs="NeueHaasGroteskText W02"/>
          <w:szCs w:val="20"/>
        </w:rPr>
      </w:pPr>
      <w:r w:rsidRPr="00D75613">
        <w:rPr>
          <w:rFonts w:ascii="Arial Narrow" w:eastAsia="NeueHaasGroteskText W02" w:hAnsi="Arial Narrow" w:cs="NeueHaasGroteskText W02"/>
          <w:szCs w:val="20"/>
        </w:rPr>
        <w:t>Trh práce bude v</w:t>
      </w:r>
      <w:r>
        <w:rPr>
          <w:rFonts w:ascii="Arial Narrow" w:eastAsia="NeueHaasGroteskText W02" w:hAnsi="Arial Narrow" w:cs="NeueHaasGroteskText W02"/>
          <w:szCs w:val="20"/>
        </w:rPr>
        <w:t> </w:t>
      </w:r>
      <w:r w:rsidRPr="00D75613">
        <w:rPr>
          <w:rFonts w:ascii="Arial Narrow" w:eastAsia="NeueHaasGroteskText W02" w:hAnsi="Arial Narrow" w:cs="NeueHaasGroteskText W02"/>
          <w:szCs w:val="20"/>
        </w:rPr>
        <w:t>roku</w:t>
      </w:r>
      <w:r>
        <w:rPr>
          <w:rFonts w:ascii="Arial Narrow" w:eastAsia="NeueHaasGroteskText W02" w:hAnsi="Arial Narrow" w:cs="NeueHaasGroteskText W02"/>
          <w:szCs w:val="20"/>
        </w:rPr>
        <w:t xml:space="preserve"> 2018</w:t>
      </w:r>
      <w:r w:rsidRPr="00D75613">
        <w:rPr>
          <w:rFonts w:ascii="Arial Narrow" w:eastAsia="NeueHaasGroteskText W02" w:hAnsi="Arial Narrow" w:cs="NeueHaasGroteskText W02"/>
          <w:szCs w:val="20"/>
        </w:rPr>
        <w:t xml:space="preserve"> pokračovať vo výraznom raste, keď sa zamestnanosť zvýši o 1,7 %. V ekonomike tak pribudne takmer 40 tisíc nových pracovných miest, z čoho viac ako polovica v sektore trhových služieb. Počet Slovákov pracujúcich v zahraničí bude klesať a zároveň na slovenskom </w:t>
      </w:r>
      <w:r w:rsidR="00B86273">
        <w:rPr>
          <w:rFonts w:ascii="Arial Narrow" w:eastAsia="NeueHaasGroteskText W02" w:hAnsi="Arial Narrow" w:cs="NeueHaasGroteskText W02"/>
          <w:szCs w:val="20"/>
        </w:rPr>
        <w:t xml:space="preserve">trhu práce pribudnú zahraniční </w:t>
      </w:r>
      <w:r w:rsidRPr="00D75613">
        <w:rPr>
          <w:rFonts w:ascii="Arial Narrow" w:eastAsia="NeueHaasGroteskText W02" w:hAnsi="Arial Narrow" w:cs="NeueHaasGroteskText W02"/>
          <w:szCs w:val="20"/>
        </w:rPr>
        <w:t xml:space="preserve">pracovníci. V ďalších rokoch predpokladáme postupné spomalenie rastu zamestnanosti a na konci horizontu prognózy sa priblíži rastu potenciálnej zamestnanosti. Miera nezamestnanosti </w:t>
      </w:r>
      <w:r w:rsidR="00D56E79">
        <w:rPr>
          <w:rFonts w:ascii="Arial Narrow" w:eastAsia="NeueHaasGroteskText W02" w:hAnsi="Arial Narrow" w:cs="NeueHaasGroteskText W02"/>
          <w:szCs w:val="20"/>
        </w:rPr>
        <w:t xml:space="preserve">podľa metodiky VZPS tak </w:t>
      </w:r>
      <w:r w:rsidRPr="00D75613">
        <w:rPr>
          <w:rFonts w:ascii="Arial Narrow" w:eastAsia="NeueHaasGroteskText W02" w:hAnsi="Arial Narrow" w:cs="NeueHaasGroteskText W02"/>
          <w:szCs w:val="20"/>
        </w:rPr>
        <w:t>v tomto roku poklesne na úroveň 7,3 % a ku koncu prognózovaného horizontu sa zníži tesne pod 6 %.</w:t>
      </w:r>
    </w:p>
    <w:p w14:paraId="5D62315D" w14:textId="77777777" w:rsidR="00A7154B" w:rsidRPr="00D75613" w:rsidRDefault="00A7154B" w:rsidP="00A7154B">
      <w:pPr>
        <w:widowControl w:val="0"/>
        <w:spacing w:after="0" w:line="240" w:lineRule="auto"/>
        <w:jc w:val="both"/>
        <w:rPr>
          <w:rFonts w:ascii="Arial Narrow" w:eastAsia="NeueHaasGroteskText W02" w:hAnsi="Arial Narrow" w:cs="NeueHaasGroteskText W02"/>
          <w:szCs w:val="20"/>
        </w:rPr>
      </w:pPr>
    </w:p>
    <w:p w14:paraId="1B0C95BA" w14:textId="74DDF455" w:rsidR="00D75613" w:rsidRPr="00D75613" w:rsidRDefault="00D75613" w:rsidP="00D75613">
      <w:pPr>
        <w:widowControl w:val="0"/>
        <w:spacing w:after="120" w:line="240" w:lineRule="auto"/>
        <w:jc w:val="both"/>
        <w:rPr>
          <w:rFonts w:ascii="Arial Narrow" w:eastAsia="NeueHaasGroteskText W02" w:hAnsi="Arial Narrow" w:cs="NeueHaasGroteskText W02"/>
          <w:szCs w:val="20"/>
        </w:rPr>
      </w:pPr>
      <w:r w:rsidRPr="00D75613">
        <w:rPr>
          <w:rFonts w:ascii="Arial Narrow" w:eastAsia="NeueHaasGroteskText W02" w:hAnsi="Arial Narrow" w:cs="NeueHaasGroteskText W02"/>
          <w:szCs w:val="20"/>
        </w:rPr>
        <w:t>Rast cien v</w:t>
      </w:r>
      <w:r>
        <w:rPr>
          <w:rFonts w:ascii="Arial Narrow" w:eastAsia="NeueHaasGroteskText W02" w:hAnsi="Arial Narrow" w:cs="NeueHaasGroteskText W02"/>
          <w:szCs w:val="20"/>
        </w:rPr>
        <w:t> </w:t>
      </w:r>
      <w:r w:rsidRPr="00D75613">
        <w:rPr>
          <w:rFonts w:ascii="Arial Narrow" w:eastAsia="NeueHaasGroteskText W02" w:hAnsi="Arial Narrow" w:cs="NeueHaasGroteskText W02"/>
          <w:szCs w:val="20"/>
        </w:rPr>
        <w:t>roku</w:t>
      </w:r>
      <w:r>
        <w:rPr>
          <w:rFonts w:ascii="Arial Narrow" w:eastAsia="NeueHaasGroteskText W02" w:hAnsi="Arial Narrow" w:cs="NeueHaasGroteskText W02"/>
          <w:szCs w:val="20"/>
        </w:rPr>
        <w:t xml:space="preserve"> 2018</w:t>
      </w:r>
      <w:r w:rsidRPr="00D75613">
        <w:rPr>
          <w:rFonts w:ascii="Arial Narrow" w:eastAsia="NeueHaasGroteskText W02" w:hAnsi="Arial Narrow" w:cs="NeueHaasGroteskText W02"/>
          <w:szCs w:val="20"/>
        </w:rPr>
        <w:t xml:space="preserve"> zrýchli na 2,0 %. Hlavným dôvodom je zrýchlenie dopytovej inflácie podporenej rastom miezd. K nemu sa pridá aj pretrvávanie vplyvu vyšších cien potravín ešte z konca minulého roka. Ten by však mal postupne v priebehu roka odznieť. Regulované ceny budú rásť len mierne s ohľadom na vývoj cien energetických komodít a následného rozhodnutia regulačného úradu. Vyššie ceny ropy povedú k zrýchleniu cien pohonných hmôt. Silnejší kurz eura bude tlmiť rast ci</w:t>
      </w:r>
      <w:r w:rsidR="00B86273">
        <w:rPr>
          <w:rFonts w:ascii="Arial Narrow" w:eastAsia="NeueHaasGroteskText W02" w:hAnsi="Arial Narrow" w:cs="NeueHaasGroteskText W02"/>
          <w:szCs w:val="20"/>
        </w:rPr>
        <w:t xml:space="preserve">en obchodovateľných tovarov. V </w:t>
      </w:r>
      <w:r w:rsidRPr="00D75613">
        <w:rPr>
          <w:rFonts w:ascii="Arial Narrow" w:eastAsia="NeueHaasGroteskText W02" w:hAnsi="Arial Narrow" w:cs="NeueHaasGroteskText W02"/>
          <w:szCs w:val="20"/>
        </w:rPr>
        <w:t xml:space="preserve">nasledujúcich rokoch rast cien mierne zrýchli. Vyššie mzdy potiahnu nahor predovšetkým ceny služieb. Na základe vývoja cien energetických komodít na svetových trhoch a vývoja </w:t>
      </w:r>
      <w:proofErr w:type="spellStart"/>
      <w:r w:rsidRPr="00D75613">
        <w:rPr>
          <w:rFonts w:ascii="Arial Narrow" w:eastAsia="NeueHaasGroteskText W02" w:hAnsi="Arial Narrow" w:cs="NeueHaasGroteskText W02"/>
          <w:szCs w:val="20"/>
        </w:rPr>
        <w:t>future</w:t>
      </w:r>
      <w:proofErr w:type="spellEnd"/>
      <w:r w:rsidRPr="00D75613">
        <w:rPr>
          <w:rFonts w:ascii="Arial Narrow" w:eastAsia="NeueHaasGroteskText W02" w:hAnsi="Arial Narrow" w:cs="NeueHaasGroteskText W02"/>
          <w:szCs w:val="20"/>
        </w:rPr>
        <w:t xml:space="preserve"> kontraktov očakávame tiež mierne zvýšenie regulovaných cien energií v budúcom roku. V dôsledku konvergencie slovenskej ekonomiky ku krajinám eurozóny prekročí inflácia v strednodobom horizonte hranicu 2,3 %.</w:t>
      </w:r>
    </w:p>
    <w:p w14:paraId="4CD8CB59" w14:textId="77777777" w:rsidR="007D2366" w:rsidRDefault="007D2366" w:rsidP="007D2366">
      <w:pPr>
        <w:spacing w:after="0" w:line="240" w:lineRule="auto"/>
        <w:jc w:val="both"/>
        <w:rPr>
          <w:rFonts w:ascii="NeueHaasGroteskDisp W02" w:eastAsia="NeueHaasGroteskText W02" w:hAnsi="NeueHaasGroteskDisp W02" w:cs="NeueHaasGroteskText W02"/>
          <w:sz w:val="20"/>
          <w:szCs w:val="20"/>
        </w:rPr>
      </w:pPr>
    </w:p>
    <w:p w14:paraId="33FDF9D0" w14:textId="77777777" w:rsidR="007D2366" w:rsidRPr="001F0607" w:rsidRDefault="007D2366" w:rsidP="007D2366">
      <w:pPr>
        <w:spacing w:after="0" w:line="240" w:lineRule="auto"/>
        <w:jc w:val="both"/>
        <w:rPr>
          <w:rFonts w:ascii="Arial Narrow" w:hAnsi="Arial Narrow"/>
          <w:color w:val="000000"/>
        </w:rPr>
      </w:pPr>
      <w:r w:rsidRPr="001F0607">
        <w:rPr>
          <w:rFonts w:ascii="Arial Narrow" w:hAnsi="Arial Narrow"/>
          <w:color w:val="000000"/>
        </w:rPr>
        <w:br w:type="page"/>
      </w:r>
    </w:p>
    <w:p w14:paraId="31656A4B" w14:textId="77777777" w:rsidR="007D2366" w:rsidRPr="00256D89" w:rsidRDefault="007D2366" w:rsidP="007D2366">
      <w:pPr>
        <w:pStyle w:val="Nadpis1"/>
        <w:numPr>
          <w:ilvl w:val="0"/>
          <w:numId w:val="1"/>
        </w:numPr>
        <w:spacing w:line="240" w:lineRule="auto"/>
        <w:rPr>
          <w:rFonts w:ascii="Arial Narrow" w:hAnsi="Arial Narrow"/>
          <w:color w:val="auto"/>
          <w:sz w:val="32"/>
          <w:szCs w:val="32"/>
        </w:rPr>
      </w:pPr>
      <w:bookmarkStart w:id="18" w:name="_Toc480749803"/>
      <w:bookmarkStart w:id="19" w:name="_Toc508039575"/>
      <w:r w:rsidRPr="00256D89">
        <w:rPr>
          <w:rFonts w:ascii="Arial Narrow" w:hAnsi="Arial Narrow"/>
          <w:color w:val="auto"/>
          <w:sz w:val="32"/>
          <w:szCs w:val="32"/>
        </w:rPr>
        <w:lastRenderedPageBreak/>
        <w:t>Plánované opatrenia v štrukturálnych témach</w:t>
      </w:r>
      <w:bookmarkEnd w:id="18"/>
      <w:bookmarkEnd w:id="19"/>
    </w:p>
    <w:p w14:paraId="1AAB8EE6" w14:textId="77777777" w:rsidR="007D2366" w:rsidRPr="00256D89" w:rsidRDefault="007D2366" w:rsidP="007D2366">
      <w:pPr>
        <w:spacing w:after="0" w:line="240" w:lineRule="auto"/>
        <w:jc w:val="both"/>
        <w:rPr>
          <w:rFonts w:ascii="Arial Narrow" w:hAnsi="Arial Narrow"/>
        </w:rPr>
      </w:pPr>
    </w:p>
    <w:p w14:paraId="4295C441" w14:textId="77777777" w:rsidR="007D2366" w:rsidRPr="00256D89" w:rsidRDefault="007D2366" w:rsidP="007D2366">
      <w:pPr>
        <w:spacing w:after="0" w:line="240" w:lineRule="auto"/>
        <w:jc w:val="both"/>
        <w:rPr>
          <w:rFonts w:ascii="Arial Narrow" w:hAnsi="Arial Narrow"/>
        </w:rPr>
      </w:pPr>
      <w:r w:rsidRPr="00256D89">
        <w:rPr>
          <w:rFonts w:ascii="Arial Narrow" w:hAnsi="Arial Narrow"/>
        </w:rPr>
        <w:t>Táto kapitola popisuje opatrenia, ktoré sa vláda SR zaväzuje plniť v nasledujúcom období. Opatrenia sa týkajú oblastí ekonomiky</w:t>
      </w:r>
      <w:r>
        <w:rPr>
          <w:rFonts w:ascii="Arial Narrow" w:hAnsi="Arial Narrow"/>
        </w:rPr>
        <w:t>,</w:t>
      </w:r>
      <w:r w:rsidRPr="00256D89">
        <w:rPr>
          <w:rFonts w:ascii="Arial Narrow" w:hAnsi="Arial Narrow"/>
        </w:rPr>
        <w:t xml:space="preserve"> sociálnej agendy a verejnej správy. Nasledujúca tabuľka zhŕňa najdôležitejšie z plánovaných opatrení, ktoré reagujú na jednotlivé špecifické odporúčania Rady (CSR). </w:t>
      </w:r>
    </w:p>
    <w:p w14:paraId="0696BC05" w14:textId="77777777" w:rsidR="007D2366" w:rsidRPr="00256D89" w:rsidRDefault="007D2366" w:rsidP="007D2366">
      <w:pPr>
        <w:spacing w:after="0" w:line="240" w:lineRule="auto"/>
        <w:jc w:val="both"/>
        <w:rPr>
          <w:rFonts w:ascii="Arial Narrow" w:hAnsi="Arial Narrow"/>
        </w:rPr>
      </w:pPr>
    </w:p>
    <w:p w14:paraId="5FB7CD74" w14:textId="77777777" w:rsidR="007D2366" w:rsidRPr="00256D89" w:rsidRDefault="007D2366" w:rsidP="007D2366">
      <w:pPr>
        <w:spacing w:after="0" w:line="240" w:lineRule="auto"/>
        <w:rPr>
          <w:rFonts w:ascii="Arial Narrow" w:hAnsi="Arial Narrow"/>
          <w:b/>
          <w:bCs/>
          <w:color w:val="2C9ADC"/>
          <w:sz w:val="20"/>
          <w:szCs w:val="20"/>
        </w:rPr>
      </w:pPr>
      <w:r w:rsidRPr="00256D89">
        <w:rPr>
          <w:rFonts w:ascii="Arial Narrow" w:hAnsi="Arial Narrow"/>
          <w:b/>
          <w:bCs/>
          <w:color w:val="2C9ADC"/>
          <w:sz w:val="20"/>
          <w:szCs w:val="20"/>
        </w:rPr>
        <w:t>Najdôležitejšie plánované opatrenia NPR v štruktúre podľa CSR</w:t>
      </w:r>
    </w:p>
    <w:tbl>
      <w:tblPr>
        <w:tblW w:w="8562" w:type="dxa"/>
        <w:jc w:val="center"/>
        <w:tblCellMar>
          <w:left w:w="70" w:type="dxa"/>
          <w:right w:w="70" w:type="dxa"/>
        </w:tblCellMar>
        <w:tblLook w:val="04A0" w:firstRow="1" w:lastRow="0" w:firstColumn="1" w:lastColumn="0" w:noHBand="0" w:noVBand="1"/>
      </w:tblPr>
      <w:tblGrid>
        <w:gridCol w:w="593"/>
        <w:gridCol w:w="4726"/>
        <w:gridCol w:w="1657"/>
        <w:gridCol w:w="8"/>
        <w:gridCol w:w="1570"/>
        <w:gridCol w:w="8"/>
      </w:tblGrid>
      <w:tr w:rsidR="007D2366" w:rsidRPr="00DA1C9E" w14:paraId="6E6C86C1" w14:textId="77777777" w:rsidTr="00342E82">
        <w:trPr>
          <w:gridAfter w:val="1"/>
          <w:wAfter w:w="8" w:type="dxa"/>
          <w:trHeight w:val="765"/>
          <w:jc w:val="center"/>
        </w:trPr>
        <w:tc>
          <w:tcPr>
            <w:tcW w:w="593" w:type="dxa"/>
            <w:tcBorders>
              <w:top w:val="single" w:sz="4" w:space="0" w:color="auto"/>
              <w:left w:val="nil"/>
              <w:bottom w:val="single" w:sz="4" w:space="0" w:color="auto"/>
              <w:right w:val="nil"/>
            </w:tcBorders>
            <w:shd w:val="clear" w:color="auto" w:fill="auto"/>
            <w:vAlign w:val="center"/>
            <w:hideMark/>
          </w:tcPr>
          <w:p w14:paraId="2951B97A" w14:textId="77777777" w:rsidR="007D2366" w:rsidRPr="00DA1C9E" w:rsidRDefault="007D2366" w:rsidP="00342E82">
            <w:pPr>
              <w:spacing w:after="0" w:line="240" w:lineRule="auto"/>
              <w:jc w:val="center"/>
              <w:rPr>
                <w:rFonts w:ascii="Arial Narrow" w:hAnsi="Arial Narrow"/>
                <w:b/>
                <w:bCs/>
                <w:sz w:val="20"/>
                <w:szCs w:val="20"/>
              </w:rPr>
            </w:pPr>
            <w:r w:rsidRPr="00DA1C9E">
              <w:rPr>
                <w:rFonts w:ascii="Arial Narrow" w:hAnsi="Arial Narrow"/>
                <w:b/>
                <w:bCs/>
                <w:sz w:val="20"/>
                <w:szCs w:val="20"/>
              </w:rPr>
              <w:t>CSR</w:t>
            </w:r>
          </w:p>
        </w:tc>
        <w:tc>
          <w:tcPr>
            <w:tcW w:w="4726" w:type="dxa"/>
            <w:tcBorders>
              <w:top w:val="single" w:sz="4" w:space="0" w:color="auto"/>
              <w:left w:val="nil"/>
              <w:bottom w:val="single" w:sz="4" w:space="0" w:color="auto"/>
              <w:right w:val="nil"/>
            </w:tcBorders>
            <w:shd w:val="clear" w:color="auto" w:fill="auto"/>
            <w:vAlign w:val="center"/>
            <w:hideMark/>
          </w:tcPr>
          <w:p w14:paraId="3F454B19" w14:textId="77777777" w:rsidR="007D2366" w:rsidRPr="00DA1C9E" w:rsidRDefault="007D2366" w:rsidP="00342E82">
            <w:pPr>
              <w:spacing w:after="0" w:line="240" w:lineRule="auto"/>
              <w:rPr>
                <w:rFonts w:ascii="Arial Narrow" w:hAnsi="Arial Narrow"/>
                <w:b/>
                <w:bCs/>
                <w:sz w:val="20"/>
                <w:szCs w:val="20"/>
              </w:rPr>
            </w:pPr>
            <w:r w:rsidRPr="00DA1C9E">
              <w:rPr>
                <w:rFonts w:ascii="Arial Narrow" w:hAnsi="Arial Narrow"/>
                <w:b/>
                <w:bCs/>
                <w:sz w:val="20"/>
                <w:szCs w:val="20"/>
              </w:rPr>
              <w:t>Názov úlohy</w:t>
            </w:r>
          </w:p>
        </w:tc>
        <w:tc>
          <w:tcPr>
            <w:tcW w:w="1657" w:type="dxa"/>
            <w:tcBorders>
              <w:top w:val="single" w:sz="4" w:space="0" w:color="auto"/>
              <w:left w:val="nil"/>
              <w:bottom w:val="single" w:sz="4" w:space="0" w:color="auto"/>
              <w:right w:val="nil"/>
            </w:tcBorders>
            <w:shd w:val="clear" w:color="auto" w:fill="auto"/>
            <w:vAlign w:val="center"/>
            <w:hideMark/>
          </w:tcPr>
          <w:p w14:paraId="605EC663" w14:textId="77777777" w:rsidR="007D2366" w:rsidRPr="00DA1C9E" w:rsidRDefault="007D2366" w:rsidP="00342E82">
            <w:pPr>
              <w:spacing w:after="0" w:line="240" w:lineRule="auto"/>
              <w:jc w:val="center"/>
              <w:rPr>
                <w:rFonts w:ascii="Arial Narrow" w:hAnsi="Arial Narrow"/>
                <w:b/>
                <w:bCs/>
                <w:sz w:val="20"/>
                <w:szCs w:val="20"/>
              </w:rPr>
            </w:pPr>
            <w:r w:rsidRPr="00DA1C9E">
              <w:rPr>
                <w:rFonts w:ascii="Arial Narrow" w:hAnsi="Arial Narrow"/>
                <w:b/>
                <w:bCs/>
                <w:sz w:val="20"/>
                <w:szCs w:val="20"/>
              </w:rPr>
              <w:t>Termín</w:t>
            </w:r>
          </w:p>
        </w:tc>
        <w:tc>
          <w:tcPr>
            <w:tcW w:w="1578" w:type="dxa"/>
            <w:gridSpan w:val="2"/>
            <w:tcBorders>
              <w:top w:val="single" w:sz="4" w:space="0" w:color="auto"/>
              <w:left w:val="nil"/>
              <w:bottom w:val="single" w:sz="4" w:space="0" w:color="auto"/>
              <w:right w:val="nil"/>
            </w:tcBorders>
            <w:shd w:val="clear" w:color="auto" w:fill="auto"/>
            <w:vAlign w:val="center"/>
            <w:hideMark/>
          </w:tcPr>
          <w:p w14:paraId="2EEDA8AB" w14:textId="77777777" w:rsidR="007D2366" w:rsidRPr="00DA1C9E" w:rsidRDefault="007D2366" w:rsidP="00342E82">
            <w:pPr>
              <w:spacing w:after="0" w:line="240" w:lineRule="auto"/>
              <w:jc w:val="center"/>
              <w:rPr>
                <w:rFonts w:ascii="Arial Narrow" w:hAnsi="Arial Narrow"/>
                <w:b/>
                <w:bCs/>
                <w:sz w:val="20"/>
                <w:szCs w:val="20"/>
              </w:rPr>
            </w:pPr>
            <w:r w:rsidRPr="00DA1C9E">
              <w:rPr>
                <w:rFonts w:ascii="Arial Narrow" w:hAnsi="Arial Narrow"/>
                <w:b/>
                <w:bCs/>
                <w:sz w:val="20"/>
                <w:szCs w:val="20"/>
              </w:rPr>
              <w:t>Gestor</w:t>
            </w:r>
          </w:p>
        </w:tc>
      </w:tr>
      <w:tr w:rsidR="007D2366" w:rsidRPr="00DA1C9E" w14:paraId="1E4AA709" w14:textId="77777777" w:rsidTr="00342E82">
        <w:trPr>
          <w:gridAfter w:val="1"/>
          <w:wAfter w:w="8" w:type="dxa"/>
          <w:trHeight w:val="442"/>
          <w:jc w:val="center"/>
        </w:trPr>
        <w:tc>
          <w:tcPr>
            <w:tcW w:w="593" w:type="dxa"/>
            <w:tcBorders>
              <w:top w:val="dotted" w:sz="4" w:space="0" w:color="auto"/>
              <w:left w:val="nil"/>
              <w:bottom w:val="dotted" w:sz="4" w:space="0" w:color="auto"/>
              <w:right w:val="nil"/>
            </w:tcBorders>
            <w:shd w:val="clear" w:color="auto" w:fill="auto"/>
            <w:noWrap/>
            <w:vAlign w:val="center"/>
          </w:tcPr>
          <w:p w14:paraId="59D025AC" w14:textId="77777777" w:rsidR="007D2366" w:rsidRPr="00DA1C9E" w:rsidRDefault="007D2366"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1</w:t>
            </w:r>
          </w:p>
        </w:tc>
        <w:tc>
          <w:tcPr>
            <w:tcW w:w="4726" w:type="dxa"/>
            <w:tcBorders>
              <w:top w:val="dotted" w:sz="4" w:space="0" w:color="auto"/>
              <w:left w:val="nil"/>
              <w:bottom w:val="dotted" w:sz="4" w:space="0" w:color="auto"/>
              <w:right w:val="nil"/>
            </w:tcBorders>
            <w:shd w:val="clear" w:color="auto" w:fill="auto"/>
            <w:vAlign w:val="center"/>
          </w:tcPr>
          <w:p w14:paraId="214221E2" w14:textId="77777777" w:rsidR="007D2366" w:rsidRPr="00DA1C9E" w:rsidRDefault="007D2366" w:rsidP="00342E82">
            <w:pPr>
              <w:spacing w:after="0" w:line="240" w:lineRule="auto"/>
              <w:rPr>
                <w:rFonts w:ascii="Arial Narrow" w:hAnsi="Arial Narrow"/>
                <w:color w:val="000000"/>
                <w:sz w:val="18"/>
                <w:szCs w:val="18"/>
              </w:rPr>
            </w:pPr>
            <w:r w:rsidRPr="00DA1C9E">
              <w:rPr>
                <w:rFonts w:ascii="Arial Narrow" w:hAnsi="Arial Narrow"/>
                <w:color w:val="000000"/>
                <w:sz w:val="18"/>
                <w:szCs w:val="18"/>
              </w:rPr>
              <w:t xml:space="preserve">Ročné zúčtovanie sociálnych odvodov </w:t>
            </w:r>
          </w:p>
        </w:tc>
        <w:tc>
          <w:tcPr>
            <w:tcW w:w="1657" w:type="dxa"/>
            <w:tcBorders>
              <w:top w:val="dotted" w:sz="4" w:space="0" w:color="auto"/>
              <w:left w:val="nil"/>
              <w:bottom w:val="dotted" w:sz="4" w:space="0" w:color="auto"/>
              <w:right w:val="nil"/>
            </w:tcBorders>
            <w:shd w:val="clear" w:color="auto" w:fill="auto"/>
            <w:vAlign w:val="center"/>
          </w:tcPr>
          <w:p w14:paraId="011AB23F" w14:textId="77777777" w:rsidR="007D2366" w:rsidRPr="00DA1C9E" w:rsidRDefault="007D2366"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31.12.2018</w:t>
            </w:r>
          </w:p>
        </w:tc>
        <w:tc>
          <w:tcPr>
            <w:tcW w:w="1578" w:type="dxa"/>
            <w:gridSpan w:val="2"/>
            <w:tcBorders>
              <w:top w:val="dotted" w:sz="4" w:space="0" w:color="auto"/>
              <w:left w:val="nil"/>
              <w:bottom w:val="dotted" w:sz="4" w:space="0" w:color="auto"/>
              <w:right w:val="nil"/>
            </w:tcBorders>
            <w:shd w:val="clear" w:color="auto" w:fill="auto"/>
            <w:vAlign w:val="center"/>
          </w:tcPr>
          <w:p w14:paraId="7834D7E0" w14:textId="77777777" w:rsidR="007D2366" w:rsidRPr="00DA1C9E" w:rsidRDefault="007D2366"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MPSVR SR</w:t>
            </w:r>
          </w:p>
        </w:tc>
      </w:tr>
      <w:tr w:rsidR="007D2366" w:rsidRPr="00DA1C9E" w14:paraId="35A57924" w14:textId="77777777" w:rsidTr="00692C19">
        <w:trPr>
          <w:trHeight w:val="489"/>
          <w:jc w:val="center"/>
        </w:trPr>
        <w:tc>
          <w:tcPr>
            <w:tcW w:w="593" w:type="dxa"/>
            <w:tcBorders>
              <w:top w:val="dotted" w:sz="4" w:space="0" w:color="auto"/>
              <w:left w:val="nil"/>
              <w:bottom w:val="single" w:sz="4" w:space="0" w:color="auto"/>
              <w:right w:val="nil"/>
            </w:tcBorders>
            <w:shd w:val="clear" w:color="auto" w:fill="auto"/>
            <w:noWrap/>
            <w:vAlign w:val="center"/>
          </w:tcPr>
          <w:p w14:paraId="30F6D09F" w14:textId="77777777" w:rsidR="007D2366" w:rsidRPr="00DA1C9E" w:rsidRDefault="007D2366"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1</w:t>
            </w:r>
          </w:p>
        </w:tc>
        <w:tc>
          <w:tcPr>
            <w:tcW w:w="4726" w:type="dxa"/>
            <w:tcBorders>
              <w:top w:val="dotted" w:sz="4" w:space="0" w:color="auto"/>
              <w:left w:val="nil"/>
              <w:bottom w:val="single" w:sz="4" w:space="0" w:color="auto"/>
              <w:right w:val="nil"/>
            </w:tcBorders>
            <w:shd w:val="clear" w:color="auto" w:fill="auto"/>
            <w:vAlign w:val="center"/>
          </w:tcPr>
          <w:p w14:paraId="07AE4120" w14:textId="77777777" w:rsidR="007D2366" w:rsidRPr="00DA1C9E" w:rsidRDefault="007D2366" w:rsidP="00342E82">
            <w:pPr>
              <w:spacing w:after="0" w:line="240" w:lineRule="auto"/>
              <w:rPr>
                <w:rFonts w:ascii="Arial Narrow" w:hAnsi="Arial Narrow"/>
                <w:color w:val="000000"/>
                <w:sz w:val="18"/>
                <w:szCs w:val="18"/>
              </w:rPr>
            </w:pPr>
            <w:r w:rsidRPr="00DA1C9E">
              <w:rPr>
                <w:rFonts w:ascii="Arial Narrow" w:hAnsi="Arial Narrow"/>
                <w:color w:val="000000"/>
                <w:sz w:val="18"/>
                <w:szCs w:val="18"/>
              </w:rPr>
              <w:t>Implementácia výsledkov revízie výdavkov na zdravotníctvo</w:t>
            </w:r>
          </w:p>
        </w:tc>
        <w:tc>
          <w:tcPr>
            <w:tcW w:w="1665" w:type="dxa"/>
            <w:gridSpan w:val="2"/>
            <w:tcBorders>
              <w:top w:val="dotted" w:sz="4" w:space="0" w:color="auto"/>
              <w:left w:val="nil"/>
              <w:bottom w:val="single" w:sz="4" w:space="0" w:color="auto"/>
              <w:right w:val="nil"/>
            </w:tcBorders>
            <w:shd w:val="clear" w:color="auto" w:fill="auto"/>
            <w:vAlign w:val="center"/>
          </w:tcPr>
          <w:p w14:paraId="4305288A" w14:textId="77777777" w:rsidR="007D2366" w:rsidRPr="00DA1C9E" w:rsidRDefault="007D2366"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31.12.201</w:t>
            </w:r>
            <w:r w:rsidR="007A35D4" w:rsidRPr="00DA1C9E">
              <w:rPr>
                <w:rFonts w:ascii="Arial Narrow" w:hAnsi="Arial Narrow"/>
                <w:color w:val="000000"/>
                <w:sz w:val="18"/>
                <w:szCs w:val="18"/>
              </w:rPr>
              <w:t>8</w:t>
            </w:r>
          </w:p>
        </w:tc>
        <w:tc>
          <w:tcPr>
            <w:tcW w:w="1578" w:type="dxa"/>
            <w:gridSpan w:val="2"/>
            <w:tcBorders>
              <w:top w:val="dotted" w:sz="4" w:space="0" w:color="auto"/>
              <w:left w:val="nil"/>
              <w:bottom w:val="single" w:sz="4" w:space="0" w:color="auto"/>
              <w:right w:val="nil"/>
            </w:tcBorders>
            <w:shd w:val="clear" w:color="auto" w:fill="auto"/>
            <w:vAlign w:val="center"/>
          </w:tcPr>
          <w:p w14:paraId="37F10DA6" w14:textId="77777777" w:rsidR="007D2366" w:rsidRPr="00DA1C9E" w:rsidRDefault="007D2366"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MZ SR</w:t>
            </w:r>
          </w:p>
        </w:tc>
      </w:tr>
      <w:tr w:rsidR="007D2366" w:rsidRPr="00DA1C9E" w14:paraId="5031A2C6" w14:textId="77777777" w:rsidTr="00342E82">
        <w:trPr>
          <w:gridAfter w:val="1"/>
          <w:wAfter w:w="8" w:type="dxa"/>
          <w:trHeight w:val="427"/>
          <w:jc w:val="center"/>
        </w:trPr>
        <w:tc>
          <w:tcPr>
            <w:tcW w:w="593" w:type="dxa"/>
            <w:tcBorders>
              <w:top w:val="dotted" w:sz="4" w:space="0" w:color="auto"/>
              <w:left w:val="nil"/>
              <w:bottom w:val="dotted" w:sz="4" w:space="0" w:color="auto"/>
              <w:right w:val="nil"/>
            </w:tcBorders>
            <w:shd w:val="clear" w:color="auto" w:fill="auto"/>
            <w:noWrap/>
            <w:vAlign w:val="center"/>
            <w:hideMark/>
          </w:tcPr>
          <w:p w14:paraId="282519C5" w14:textId="77777777" w:rsidR="007D2366" w:rsidRPr="00DA1C9E" w:rsidRDefault="007D2366"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2</w:t>
            </w:r>
          </w:p>
        </w:tc>
        <w:tc>
          <w:tcPr>
            <w:tcW w:w="4726" w:type="dxa"/>
            <w:tcBorders>
              <w:top w:val="dotted" w:sz="4" w:space="0" w:color="auto"/>
              <w:left w:val="nil"/>
              <w:bottom w:val="dotted" w:sz="4" w:space="0" w:color="auto"/>
              <w:right w:val="nil"/>
            </w:tcBorders>
            <w:shd w:val="clear" w:color="auto" w:fill="auto"/>
            <w:vAlign w:val="center"/>
            <w:hideMark/>
          </w:tcPr>
          <w:p w14:paraId="325A5D2E" w14:textId="77777777" w:rsidR="007D2366" w:rsidRPr="00DA1C9E" w:rsidRDefault="00A8444C" w:rsidP="000B68F1">
            <w:pPr>
              <w:spacing w:after="0" w:line="240" w:lineRule="auto"/>
              <w:rPr>
                <w:rFonts w:ascii="Arial Narrow" w:hAnsi="Arial Narrow"/>
                <w:color w:val="000000"/>
                <w:sz w:val="18"/>
                <w:szCs w:val="18"/>
              </w:rPr>
            </w:pPr>
            <w:r>
              <w:rPr>
                <w:rFonts w:ascii="Arial Narrow" w:hAnsi="Arial Narrow"/>
                <w:color w:val="000000"/>
                <w:sz w:val="18"/>
                <w:szCs w:val="18"/>
              </w:rPr>
              <w:t>S</w:t>
            </w:r>
            <w:r w:rsidR="007D2366" w:rsidRPr="00DA1C9E">
              <w:rPr>
                <w:rFonts w:ascii="Arial Narrow" w:hAnsi="Arial Narrow"/>
                <w:color w:val="000000"/>
                <w:sz w:val="18"/>
                <w:szCs w:val="18"/>
              </w:rPr>
              <w:t>lužb</w:t>
            </w:r>
            <w:r>
              <w:rPr>
                <w:rFonts w:ascii="Arial Narrow" w:hAnsi="Arial Narrow"/>
                <w:color w:val="000000"/>
                <w:sz w:val="18"/>
                <w:szCs w:val="18"/>
              </w:rPr>
              <w:t>y</w:t>
            </w:r>
            <w:r w:rsidR="007D2366" w:rsidRPr="00DA1C9E">
              <w:rPr>
                <w:rFonts w:ascii="Arial Narrow" w:hAnsi="Arial Narrow"/>
                <w:color w:val="000000"/>
                <w:sz w:val="18"/>
                <w:szCs w:val="18"/>
              </w:rPr>
              <w:t xml:space="preserve"> zamestnanosti a APTP</w:t>
            </w:r>
            <w:r>
              <w:rPr>
                <w:rFonts w:ascii="Arial Narrow" w:hAnsi="Arial Narrow"/>
                <w:color w:val="000000"/>
                <w:sz w:val="18"/>
                <w:szCs w:val="18"/>
              </w:rPr>
              <w:t xml:space="preserve"> so zameraním na znevýhodnené skupiny</w:t>
            </w:r>
          </w:p>
        </w:tc>
        <w:tc>
          <w:tcPr>
            <w:tcW w:w="1657" w:type="dxa"/>
            <w:tcBorders>
              <w:top w:val="single" w:sz="4" w:space="0" w:color="auto"/>
              <w:left w:val="nil"/>
              <w:bottom w:val="dotted" w:sz="4" w:space="0" w:color="auto"/>
              <w:right w:val="nil"/>
            </w:tcBorders>
            <w:shd w:val="clear" w:color="auto" w:fill="auto"/>
            <w:noWrap/>
            <w:vAlign w:val="center"/>
            <w:hideMark/>
          </w:tcPr>
          <w:p w14:paraId="4FB5738B" w14:textId="77777777" w:rsidR="007D2366" w:rsidRPr="00DA1C9E" w:rsidRDefault="007D2366"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31.12.201</w:t>
            </w:r>
            <w:r w:rsidR="007A35D4" w:rsidRPr="00DA1C9E">
              <w:rPr>
                <w:rFonts w:ascii="Arial Narrow" w:hAnsi="Arial Narrow"/>
                <w:color w:val="000000"/>
                <w:sz w:val="18"/>
                <w:szCs w:val="18"/>
              </w:rPr>
              <w:t>8</w:t>
            </w:r>
          </w:p>
        </w:tc>
        <w:tc>
          <w:tcPr>
            <w:tcW w:w="1578" w:type="dxa"/>
            <w:gridSpan w:val="2"/>
            <w:tcBorders>
              <w:top w:val="single" w:sz="4" w:space="0" w:color="auto"/>
              <w:left w:val="nil"/>
              <w:bottom w:val="dotted" w:sz="4" w:space="0" w:color="auto"/>
              <w:right w:val="nil"/>
            </w:tcBorders>
            <w:shd w:val="clear" w:color="auto" w:fill="auto"/>
            <w:vAlign w:val="center"/>
            <w:hideMark/>
          </w:tcPr>
          <w:p w14:paraId="7F1E806C" w14:textId="77777777" w:rsidR="007D2366" w:rsidRPr="00DA1C9E" w:rsidRDefault="007D2366"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MPSVR SR</w:t>
            </w:r>
          </w:p>
        </w:tc>
      </w:tr>
      <w:tr w:rsidR="007D2366" w:rsidRPr="00DA1C9E" w14:paraId="0811233F" w14:textId="77777777" w:rsidTr="00342E82">
        <w:trPr>
          <w:gridAfter w:val="1"/>
          <w:wAfter w:w="8" w:type="dxa"/>
          <w:trHeight w:val="498"/>
          <w:jc w:val="center"/>
        </w:trPr>
        <w:tc>
          <w:tcPr>
            <w:tcW w:w="593" w:type="dxa"/>
            <w:tcBorders>
              <w:top w:val="nil"/>
              <w:left w:val="nil"/>
              <w:bottom w:val="dotted" w:sz="4" w:space="0" w:color="auto"/>
              <w:right w:val="nil"/>
            </w:tcBorders>
            <w:shd w:val="clear" w:color="auto" w:fill="auto"/>
            <w:noWrap/>
            <w:vAlign w:val="center"/>
            <w:hideMark/>
          </w:tcPr>
          <w:p w14:paraId="1B3E635E" w14:textId="77777777" w:rsidR="007D2366" w:rsidRPr="00DA1C9E" w:rsidRDefault="007D2366"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2</w:t>
            </w:r>
          </w:p>
        </w:tc>
        <w:tc>
          <w:tcPr>
            <w:tcW w:w="4726" w:type="dxa"/>
            <w:tcBorders>
              <w:top w:val="nil"/>
              <w:left w:val="nil"/>
              <w:bottom w:val="dotted" w:sz="4" w:space="0" w:color="auto"/>
              <w:right w:val="nil"/>
            </w:tcBorders>
            <w:shd w:val="clear" w:color="auto" w:fill="auto"/>
            <w:vAlign w:val="center"/>
            <w:hideMark/>
          </w:tcPr>
          <w:p w14:paraId="4376D408" w14:textId="462EAB91" w:rsidR="007D2366" w:rsidRPr="00DA1C9E" w:rsidRDefault="00CB65D1" w:rsidP="00342E82">
            <w:pPr>
              <w:spacing w:after="0" w:line="240" w:lineRule="auto"/>
              <w:rPr>
                <w:rFonts w:ascii="Arial Narrow" w:hAnsi="Arial Narrow"/>
                <w:color w:val="000000"/>
                <w:sz w:val="18"/>
                <w:szCs w:val="18"/>
              </w:rPr>
            </w:pPr>
            <w:r>
              <w:rPr>
                <w:rFonts w:ascii="Arial Narrow" w:hAnsi="Arial Narrow"/>
                <w:color w:val="000000"/>
                <w:sz w:val="18"/>
                <w:szCs w:val="18"/>
              </w:rPr>
              <w:t>Rozšírenie kapacít materských škôl a r</w:t>
            </w:r>
            <w:r w:rsidR="007D2366" w:rsidRPr="00DA1C9E">
              <w:rPr>
                <w:rFonts w:ascii="Arial Narrow" w:hAnsi="Arial Narrow"/>
                <w:color w:val="000000"/>
                <w:sz w:val="18"/>
                <w:szCs w:val="18"/>
              </w:rPr>
              <w:t>ozvoj služieb starostlivosti o deti do troch rokov</w:t>
            </w:r>
          </w:p>
        </w:tc>
        <w:tc>
          <w:tcPr>
            <w:tcW w:w="1657" w:type="dxa"/>
            <w:tcBorders>
              <w:top w:val="nil"/>
              <w:left w:val="nil"/>
              <w:bottom w:val="dotted" w:sz="4" w:space="0" w:color="auto"/>
              <w:right w:val="nil"/>
            </w:tcBorders>
            <w:shd w:val="clear" w:color="auto" w:fill="auto"/>
            <w:noWrap/>
            <w:vAlign w:val="center"/>
            <w:hideMark/>
          </w:tcPr>
          <w:p w14:paraId="40B10A4D" w14:textId="77777777" w:rsidR="007D2366" w:rsidRPr="00DA1C9E" w:rsidRDefault="007D2366"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31.12.201</w:t>
            </w:r>
            <w:r w:rsidR="007A35D4" w:rsidRPr="00DA1C9E">
              <w:rPr>
                <w:rFonts w:ascii="Arial Narrow" w:hAnsi="Arial Narrow"/>
                <w:color w:val="000000"/>
                <w:sz w:val="18"/>
                <w:szCs w:val="18"/>
              </w:rPr>
              <w:t>8</w:t>
            </w:r>
          </w:p>
        </w:tc>
        <w:tc>
          <w:tcPr>
            <w:tcW w:w="1578" w:type="dxa"/>
            <w:gridSpan w:val="2"/>
            <w:tcBorders>
              <w:top w:val="nil"/>
              <w:left w:val="nil"/>
              <w:bottom w:val="dotted" w:sz="4" w:space="0" w:color="auto"/>
              <w:right w:val="nil"/>
            </w:tcBorders>
            <w:shd w:val="clear" w:color="auto" w:fill="auto"/>
            <w:vAlign w:val="center"/>
            <w:hideMark/>
          </w:tcPr>
          <w:p w14:paraId="62E50C2E" w14:textId="77777777" w:rsidR="007D2366" w:rsidRPr="00DA1C9E" w:rsidRDefault="007D2366"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MPSVR SR, MŠVVŠ SR, MPRV SR</w:t>
            </w:r>
          </w:p>
        </w:tc>
      </w:tr>
      <w:tr w:rsidR="007D2366" w:rsidRPr="00DA1C9E" w14:paraId="0BDD66B1" w14:textId="77777777" w:rsidTr="00342E82">
        <w:trPr>
          <w:gridAfter w:val="1"/>
          <w:wAfter w:w="8" w:type="dxa"/>
          <w:trHeight w:val="647"/>
          <w:jc w:val="center"/>
        </w:trPr>
        <w:tc>
          <w:tcPr>
            <w:tcW w:w="593" w:type="dxa"/>
            <w:tcBorders>
              <w:top w:val="nil"/>
              <w:left w:val="nil"/>
              <w:bottom w:val="dotted" w:sz="4" w:space="0" w:color="auto"/>
              <w:right w:val="nil"/>
            </w:tcBorders>
            <w:shd w:val="clear" w:color="auto" w:fill="auto"/>
            <w:noWrap/>
            <w:vAlign w:val="center"/>
          </w:tcPr>
          <w:p w14:paraId="1481D5E5" w14:textId="77777777" w:rsidR="007D2366" w:rsidRPr="00DA1C9E" w:rsidRDefault="007D2366"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2</w:t>
            </w:r>
          </w:p>
        </w:tc>
        <w:tc>
          <w:tcPr>
            <w:tcW w:w="4726" w:type="dxa"/>
            <w:tcBorders>
              <w:top w:val="nil"/>
              <w:left w:val="nil"/>
              <w:bottom w:val="dotted" w:sz="4" w:space="0" w:color="auto"/>
              <w:right w:val="nil"/>
            </w:tcBorders>
            <w:shd w:val="clear" w:color="auto" w:fill="auto"/>
            <w:vAlign w:val="center"/>
          </w:tcPr>
          <w:p w14:paraId="53F779E6" w14:textId="77777777" w:rsidR="007D2366" w:rsidRPr="00DA1C9E" w:rsidRDefault="007D2366" w:rsidP="00342E82">
            <w:pPr>
              <w:spacing w:after="0" w:line="240" w:lineRule="auto"/>
              <w:rPr>
                <w:rFonts w:ascii="Arial Narrow" w:hAnsi="Arial Narrow"/>
                <w:color w:val="000000"/>
                <w:sz w:val="18"/>
                <w:szCs w:val="18"/>
              </w:rPr>
            </w:pPr>
            <w:r w:rsidRPr="00DA1C9E">
              <w:rPr>
                <w:rFonts w:ascii="Arial Narrow" w:hAnsi="Arial Narrow"/>
                <w:color w:val="000000"/>
                <w:sz w:val="18"/>
                <w:szCs w:val="18"/>
              </w:rPr>
              <w:t>Integrácia marginalizovaných rómskych komunít (vzdelávanie, trh práce</w:t>
            </w:r>
            <w:r w:rsidR="00A94D26" w:rsidRPr="00DA1C9E">
              <w:rPr>
                <w:rFonts w:ascii="Arial Narrow" w:hAnsi="Arial Narrow"/>
                <w:color w:val="000000"/>
                <w:sz w:val="18"/>
                <w:szCs w:val="18"/>
              </w:rPr>
              <w:t xml:space="preserve">, </w:t>
            </w:r>
            <w:r w:rsidRPr="00DA1C9E">
              <w:rPr>
                <w:rFonts w:ascii="Arial Narrow" w:hAnsi="Arial Narrow"/>
                <w:color w:val="000000"/>
                <w:sz w:val="18"/>
                <w:szCs w:val="18"/>
              </w:rPr>
              <w:t>sociálna inklúzia</w:t>
            </w:r>
            <w:r w:rsidR="00A94D26" w:rsidRPr="00DA1C9E">
              <w:rPr>
                <w:rFonts w:ascii="Arial Narrow" w:hAnsi="Arial Narrow"/>
                <w:color w:val="000000"/>
                <w:sz w:val="18"/>
                <w:szCs w:val="18"/>
              </w:rPr>
              <w:t xml:space="preserve"> a iné oblasti</w:t>
            </w:r>
            <w:r w:rsidRPr="00DA1C9E">
              <w:rPr>
                <w:rFonts w:ascii="Arial Narrow" w:hAnsi="Arial Narrow"/>
                <w:color w:val="000000"/>
                <w:sz w:val="18"/>
                <w:szCs w:val="18"/>
              </w:rPr>
              <w:t>)</w:t>
            </w:r>
          </w:p>
        </w:tc>
        <w:tc>
          <w:tcPr>
            <w:tcW w:w="1657" w:type="dxa"/>
            <w:tcBorders>
              <w:top w:val="nil"/>
              <w:left w:val="nil"/>
              <w:bottom w:val="dotted" w:sz="4" w:space="0" w:color="auto"/>
              <w:right w:val="nil"/>
            </w:tcBorders>
            <w:shd w:val="clear" w:color="auto" w:fill="auto"/>
            <w:noWrap/>
            <w:vAlign w:val="center"/>
          </w:tcPr>
          <w:p w14:paraId="580C3FE0" w14:textId="77777777" w:rsidR="007D2366" w:rsidRPr="00DA1C9E" w:rsidRDefault="007A35D4"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31.12.2018</w:t>
            </w:r>
          </w:p>
        </w:tc>
        <w:tc>
          <w:tcPr>
            <w:tcW w:w="1578" w:type="dxa"/>
            <w:gridSpan w:val="2"/>
            <w:tcBorders>
              <w:top w:val="nil"/>
              <w:left w:val="nil"/>
              <w:bottom w:val="dotted" w:sz="4" w:space="0" w:color="auto"/>
              <w:right w:val="nil"/>
            </w:tcBorders>
            <w:shd w:val="clear" w:color="auto" w:fill="auto"/>
            <w:vAlign w:val="center"/>
          </w:tcPr>
          <w:p w14:paraId="68FB4D9D" w14:textId="77777777" w:rsidR="007D2366" w:rsidRPr="00DA1C9E" w:rsidRDefault="007D2366"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MPSVR SR, MŠVVŠ SR, MV SR, ÚSVRK</w:t>
            </w:r>
          </w:p>
        </w:tc>
      </w:tr>
      <w:tr w:rsidR="007D2366" w:rsidRPr="00DA1C9E" w14:paraId="39D75A62" w14:textId="77777777" w:rsidTr="00342E82">
        <w:trPr>
          <w:gridAfter w:val="1"/>
          <w:wAfter w:w="8" w:type="dxa"/>
          <w:trHeight w:val="429"/>
          <w:jc w:val="center"/>
        </w:trPr>
        <w:tc>
          <w:tcPr>
            <w:tcW w:w="593" w:type="dxa"/>
            <w:tcBorders>
              <w:top w:val="nil"/>
              <w:left w:val="nil"/>
              <w:bottom w:val="dotted" w:sz="4" w:space="0" w:color="auto"/>
              <w:right w:val="nil"/>
            </w:tcBorders>
            <w:shd w:val="clear" w:color="auto" w:fill="auto"/>
            <w:noWrap/>
            <w:vAlign w:val="center"/>
          </w:tcPr>
          <w:p w14:paraId="47B941EF" w14:textId="77777777" w:rsidR="007D2366" w:rsidRPr="00DA1C9E" w:rsidRDefault="007D2366"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2</w:t>
            </w:r>
          </w:p>
        </w:tc>
        <w:tc>
          <w:tcPr>
            <w:tcW w:w="4726" w:type="dxa"/>
            <w:tcBorders>
              <w:top w:val="nil"/>
              <w:left w:val="nil"/>
              <w:bottom w:val="dotted" w:sz="4" w:space="0" w:color="auto"/>
              <w:right w:val="nil"/>
            </w:tcBorders>
            <w:shd w:val="clear" w:color="auto" w:fill="auto"/>
            <w:vAlign w:val="center"/>
          </w:tcPr>
          <w:p w14:paraId="2923390E" w14:textId="77777777" w:rsidR="007D2366" w:rsidRPr="00DA1C9E" w:rsidRDefault="00876610" w:rsidP="00342E82">
            <w:pPr>
              <w:spacing w:after="0" w:line="240" w:lineRule="auto"/>
              <w:rPr>
                <w:rFonts w:ascii="Arial Narrow" w:hAnsi="Arial Narrow"/>
                <w:color w:val="000000"/>
                <w:sz w:val="18"/>
                <w:szCs w:val="18"/>
              </w:rPr>
            </w:pPr>
            <w:r>
              <w:rPr>
                <w:rFonts w:ascii="Arial Narrow" w:hAnsi="Arial Narrow"/>
                <w:color w:val="000000"/>
                <w:sz w:val="18"/>
                <w:szCs w:val="18"/>
              </w:rPr>
              <w:t>Vyššia kvalita a lepšia podpora učiteľov</w:t>
            </w:r>
          </w:p>
        </w:tc>
        <w:tc>
          <w:tcPr>
            <w:tcW w:w="1657" w:type="dxa"/>
            <w:tcBorders>
              <w:top w:val="nil"/>
              <w:left w:val="nil"/>
              <w:bottom w:val="dotted" w:sz="4" w:space="0" w:color="auto"/>
              <w:right w:val="nil"/>
            </w:tcBorders>
            <w:shd w:val="clear" w:color="auto" w:fill="auto"/>
            <w:noWrap/>
            <w:vAlign w:val="center"/>
          </w:tcPr>
          <w:p w14:paraId="47508FA6" w14:textId="77777777" w:rsidR="007D2366" w:rsidRPr="00DA1C9E" w:rsidRDefault="007A35D4"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31.12.2018</w:t>
            </w:r>
          </w:p>
        </w:tc>
        <w:tc>
          <w:tcPr>
            <w:tcW w:w="1578" w:type="dxa"/>
            <w:gridSpan w:val="2"/>
            <w:tcBorders>
              <w:top w:val="nil"/>
              <w:left w:val="nil"/>
              <w:bottom w:val="dotted" w:sz="4" w:space="0" w:color="auto"/>
              <w:right w:val="nil"/>
            </w:tcBorders>
            <w:shd w:val="clear" w:color="auto" w:fill="auto"/>
            <w:vAlign w:val="center"/>
          </w:tcPr>
          <w:p w14:paraId="78A3AAAB" w14:textId="77777777" w:rsidR="007D2366" w:rsidRPr="00DA1C9E" w:rsidRDefault="007D2366"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MŠVVŠ SR</w:t>
            </w:r>
          </w:p>
        </w:tc>
      </w:tr>
      <w:tr w:rsidR="007D2366" w:rsidRPr="00DA1C9E" w14:paraId="09AA1322" w14:textId="77777777" w:rsidTr="00342E82">
        <w:trPr>
          <w:gridAfter w:val="1"/>
          <w:wAfter w:w="8" w:type="dxa"/>
          <w:trHeight w:val="429"/>
          <w:jc w:val="center"/>
        </w:trPr>
        <w:tc>
          <w:tcPr>
            <w:tcW w:w="593" w:type="dxa"/>
            <w:tcBorders>
              <w:top w:val="nil"/>
              <w:left w:val="nil"/>
              <w:bottom w:val="dotted" w:sz="4" w:space="0" w:color="auto"/>
              <w:right w:val="nil"/>
            </w:tcBorders>
            <w:shd w:val="clear" w:color="auto" w:fill="auto"/>
            <w:noWrap/>
            <w:vAlign w:val="center"/>
          </w:tcPr>
          <w:p w14:paraId="15B3299C" w14:textId="77777777" w:rsidR="007D2366" w:rsidRPr="00DA1C9E" w:rsidRDefault="007D2366"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2</w:t>
            </w:r>
          </w:p>
        </w:tc>
        <w:tc>
          <w:tcPr>
            <w:tcW w:w="4726" w:type="dxa"/>
            <w:tcBorders>
              <w:top w:val="nil"/>
              <w:left w:val="nil"/>
              <w:bottom w:val="dotted" w:sz="4" w:space="0" w:color="auto"/>
              <w:right w:val="nil"/>
            </w:tcBorders>
            <w:shd w:val="clear" w:color="auto" w:fill="auto"/>
            <w:vAlign w:val="center"/>
          </w:tcPr>
          <w:p w14:paraId="15500E81" w14:textId="77777777" w:rsidR="007D2366" w:rsidRPr="00DA1C9E" w:rsidRDefault="00876610" w:rsidP="00342E82">
            <w:pPr>
              <w:spacing w:after="0" w:line="240" w:lineRule="auto"/>
              <w:rPr>
                <w:rFonts w:ascii="Arial Narrow" w:hAnsi="Arial Narrow"/>
                <w:color w:val="000000"/>
                <w:sz w:val="18"/>
                <w:szCs w:val="18"/>
              </w:rPr>
            </w:pPr>
            <w:r>
              <w:rPr>
                <w:rFonts w:ascii="Arial Narrow" w:hAnsi="Arial Narrow"/>
                <w:color w:val="000000"/>
                <w:sz w:val="18"/>
                <w:szCs w:val="18"/>
              </w:rPr>
              <w:t>Prepojenie vzdelávania a potrieb trhu práce (duálne vzdelávanie)</w:t>
            </w:r>
          </w:p>
        </w:tc>
        <w:tc>
          <w:tcPr>
            <w:tcW w:w="1657" w:type="dxa"/>
            <w:tcBorders>
              <w:top w:val="nil"/>
              <w:left w:val="nil"/>
              <w:bottom w:val="dotted" w:sz="4" w:space="0" w:color="auto"/>
              <w:right w:val="nil"/>
            </w:tcBorders>
            <w:shd w:val="clear" w:color="auto" w:fill="auto"/>
            <w:noWrap/>
            <w:vAlign w:val="center"/>
          </w:tcPr>
          <w:p w14:paraId="3B49339F" w14:textId="77777777" w:rsidR="007D2366" w:rsidRPr="00DA1C9E" w:rsidRDefault="007A35D4"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31.12.2018</w:t>
            </w:r>
          </w:p>
        </w:tc>
        <w:tc>
          <w:tcPr>
            <w:tcW w:w="1578" w:type="dxa"/>
            <w:gridSpan w:val="2"/>
            <w:tcBorders>
              <w:top w:val="nil"/>
              <w:left w:val="nil"/>
              <w:bottom w:val="dotted" w:sz="4" w:space="0" w:color="auto"/>
              <w:right w:val="nil"/>
            </w:tcBorders>
            <w:shd w:val="clear" w:color="auto" w:fill="auto"/>
            <w:vAlign w:val="center"/>
          </w:tcPr>
          <w:p w14:paraId="024E1C8E" w14:textId="77777777" w:rsidR="007D2366" w:rsidRPr="00DA1C9E" w:rsidRDefault="007D2366"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MŠVVŠ SR</w:t>
            </w:r>
          </w:p>
        </w:tc>
      </w:tr>
      <w:tr w:rsidR="007D2366" w:rsidRPr="00DA1C9E" w14:paraId="21F3762B" w14:textId="77777777" w:rsidTr="00876610">
        <w:trPr>
          <w:gridAfter w:val="1"/>
          <w:wAfter w:w="8" w:type="dxa"/>
          <w:trHeight w:val="429"/>
          <w:jc w:val="center"/>
        </w:trPr>
        <w:tc>
          <w:tcPr>
            <w:tcW w:w="593" w:type="dxa"/>
            <w:tcBorders>
              <w:top w:val="nil"/>
              <w:left w:val="nil"/>
              <w:bottom w:val="dotted" w:sz="4" w:space="0" w:color="auto"/>
              <w:right w:val="nil"/>
            </w:tcBorders>
            <w:shd w:val="clear" w:color="auto" w:fill="auto"/>
            <w:noWrap/>
            <w:vAlign w:val="center"/>
          </w:tcPr>
          <w:p w14:paraId="5CACC4E3" w14:textId="77777777" w:rsidR="007D2366" w:rsidRPr="00DA1C9E" w:rsidRDefault="007D2366"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2</w:t>
            </w:r>
          </w:p>
        </w:tc>
        <w:tc>
          <w:tcPr>
            <w:tcW w:w="4726" w:type="dxa"/>
            <w:tcBorders>
              <w:top w:val="nil"/>
              <w:left w:val="nil"/>
              <w:bottom w:val="dotted" w:sz="4" w:space="0" w:color="auto"/>
              <w:right w:val="nil"/>
            </w:tcBorders>
            <w:shd w:val="clear" w:color="auto" w:fill="auto"/>
            <w:vAlign w:val="center"/>
          </w:tcPr>
          <w:p w14:paraId="6B0A1883" w14:textId="77777777" w:rsidR="007D2366" w:rsidRPr="00DA1C9E" w:rsidRDefault="007D2366" w:rsidP="00342E82">
            <w:pPr>
              <w:spacing w:after="0" w:line="240" w:lineRule="auto"/>
              <w:rPr>
                <w:rFonts w:ascii="Arial Narrow" w:hAnsi="Arial Narrow"/>
                <w:color w:val="000000"/>
                <w:sz w:val="18"/>
                <w:szCs w:val="18"/>
              </w:rPr>
            </w:pPr>
            <w:r w:rsidRPr="00DA1C9E">
              <w:rPr>
                <w:rFonts w:ascii="Arial Narrow" w:hAnsi="Arial Narrow"/>
                <w:color w:val="000000"/>
                <w:sz w:val="18"/>
                <w:szCs w:val="18"/>
              </w:rPr>
              <w:t>Zvýšenie podielu grantového financovania VŠ</w:t>
            </w:r>
          </w:p>
        </w:tc>
        <w:tc>
          <w:tcPr>
            <w:tcW w:w="1657" w:type="dxa"/>
            <w:tcBorders>
              <w:top w:val="nil"/>
              <w:left w:val="nil"/>
              <w:bottom w:val="dotted" w:sz="4" w:space="0" w:color="auto"/>
              <w:right w:val="nil"/>
            </w:tcBorders>
            <w:shd w:val="clear" w:color="auto" w:fill="auto"/>
            <w:noWrap/>
            <w:vAlign w:val="center"/>
          </w:tcPr>
          <w:p w14:paraId="7D5B4542" w14:textId="77777777" w:rsidR="007D2366" w:rsidRPr="00DA1C9E" w:rsidRDefault="007D2366"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31.12.2018</w:t>
            </w:r>
          </w:p>
        </w:tc>
        <w:tc>
          <w:tcPr>
            <w:tcW w:w="1578" w:type="dxa"/>
            <w:gridSpan w:val="2"/>
            <w:tcBorders>
              <w:top w:val="nil"/>
              <w:left w:val="nil"/>
              <w:bottom w:val="dotted" w:sz="4" w:space="0" w:color="auto"/>
              <w:right w:val="nil"/>
            </w:tcBorders>
            <w:shd w:val="clear" w:color="auto" w:fill="auto"/>
            <w:vAlign w:val="center"/>
          </w:tcPr>
          <w:p w14:paraId="317CF5EE" w14:textId="77777777" w:rsidR="007D2366" w:rsidRPr="00DA1C9E" w:rsidRDefault="007D2366"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MŠVVŠ SR</w:t>
            </w:r>
          </w:p>
        </w:tc>
      </w:tr>
      <w:tr w:rsidR="007D2366" w:rsidRPr="00DA1C9E" w14:paraId="28581E31" w14:textId="77777777" w:rsidTr="003545DE">
        <w:trPr>
          <w:gridAfter w:val="1"/>
          <w:wAfter w:w="8" w:type="dxa"/>
          <w:trHeight w:val="408"/>
          <w:jc w:val="center"/>
        </w:trPr>
        <w:tc>
          <w:tcPr>
            <w:tcW w:w="593" w:type="dxa"/>
            <w:tcBorders>
              <w:top w:val="dotted" w:sz="4" w:space="0" w:color="auto"/>
              <w:left w:val="nil"/>
              <w:bottom w:val="single" w:sz="4" w:space="0" w:color="auto"/>
              <w:right w:val="nil"/>
            </w:tcBorders>
            <w:shd w:val="clear" w:color="auto" w:fill="auto"/>
            <w:noWrap/>
            <w:vAlign w:val="center"/>
          </w:tcPr>
          <w:p w14:paraId="140906C5" w14:textId="77777777" w:rsidR="007D2366" w:rsidRPr="00DA1C9E" w:rsidRDefault="007D2366"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2</w:t>
            </w:r>
          </w:p>
        </w:tc>
        <w:tc>
          <w:tcPr>
            <w:tcW w:w="4726" w:type="dxa"/>
            <w:tcBorders>
              <w:top w:val="dotted" w:sz="4" w:space="0" w:color="auto"/>
              <w:left w:val="nil"/>
              <w:bottom w:val="single" w:sz="4" w:space="0" w:color="auto"/>
              <w:right w:val="nil"/>
            </w:tcBorders>
            <w:shd w:val="clear" w:color="auto" w:fill="auto"/>
            <w:vAlign w:val="center"/>
          </w:tcPr>
          <w:p w14:paraId="3955816B" w14:textId="77777777" w:rsidR="007D2366" w:rsidRPr="00DA1C9E" w:rsidRDefault="007D2366" w:rsidP="00342E82">
            <w:pPr>
              <w:spacing w:after="0" w:line="240" w:lineRule="auto"/>
              <w:rPr>
                <w:rFonts w:ascii="Arial Narrow" w:hAnsi="Arial Narrow"/>
                <w:color w:val="000000"/>
                <w:sz w:val="18"/>
                <w:szCs w:val="18"/>
              </w:rPr>
            </w:pPr>
            <w:r w:rsidRPr="00DA1C9E">
              <w:rPr>
                <w:rFonts w:ascii="Arial Narrow" w:hAnsi="Arial Narrow"/>
                <w:color w:val="000000"/>
                <w:sz w:val="18"/>
                <w:szCs w:val="18"/>
              </w:rPr>
              <w:t>Reforma akreditačnej komisie a procesu akreditácie</w:t>
            </w:r>
          </w:p>
        </w:tc>
        <w:tc>
          <w:tcPr>
            <w:tcW w:w="1657" w:type="dxa"/>
            <w:tcBorders>
              <w:top w:val="dotted" w:sz="4" w:space="0" w:color="auto"/>
              <w:left w:val="nil"/>
              <w:bottom w:val="single" w:sz="4" w:space="0" w:color="auto"/>
              <w:right w:val="nil"/>
            </w:tcBorders>
            <w:shd w:val="clear" w:color="auto" w:fill="auto"/>
            <w:noWrap/>
            <w:vAlign w:val="center"/>
          </w:tcPr>
          <w:p w14:paraId="2052B526" w14:textId="77777777" w:rsidR="007D2366" w:rsidRPr="00DA1C9E" w:rsidRDefault="007A35D4"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31.12.2018</w:t>
            </w:r>
          </w:p>
        </w:tc>
        <w:tc>
          <w:tcPr>
            <w:tcW w:w="1578" w:type="dxa"/>
            <w:gridSpan w:val="2"/>
            <w:tcBorders>
              <w:top w:val="dotted" w:sz="4" w:space="0" w:color="auto"/>
              <w:left w:val="nil"/>
              <w:bottom w:val="single" w:sz="4" w:space="0" w:color="auto"/>
              <w:right w:val="nil"/>
            </w:tcBorders>
            <w:shd w:val="clear" w:color="auto" w:fill="auto"/>
            <w:vAlign w:val="center"/>
          </w:tcPr>
          <w:p w14:paraId="1FFC2D07" w14:textId="77777777" w:rsidR="007D2366" w:rsidRPr="00DA1C9E" w:rsidRDefault="007D2366"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MŠVVŠ SR</w:t>
            </w:r>
          </w:p>
        </w:tc>
      </w:tr>
      <w:tr w:rsidR="007A35D4" w:rsidRPr="00DA1C9E" w14:paraId="3340D32E" w14:textId="77777777" w:rsidTr="00EE7207">
        <w:trPr>
          <w:gridAfter w:val="1"/>
          <w:wAfter w:w="8" w:type="dxa"/>
          <w:trHeight w:val="422"/>
          <w:jc w:val="center"/>
        </w:trPr>
        <w:tc>
          <w:tcPr>
            <w:tcW w:w="593" w:type="dxa"/>
            <w:tcBorders>
              <w:top w:val="single" w:sz="4" w:space="0" w:color="auto"/>
              <w:left w:val="nil"/>
              <w:bottom w:val="dotted" w:sz="4" w:space="0" w:color="auto"/>
              <w:right w:val="nil"/>
            </w:tcBorders>
            <w:shd w:val="clear" w:color="auto" w:fill="auto"/>
            <w:noWrap/>
            <w:vAlign w:val="center"/>
          </w:tcPr>
          <w:p w14:paraId="578AFD90" w14:textId="77777777" w:rsidR="007A35D4" w:rsidRPr="00DA1C9E" w:rsidRDefault="007A35D4"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3</w:t>
            </w:r>
          </w:p>
        </w:tc>
        <w:tc>
          <w:tcPr>
            <w:tcW w:w="4726" w:type="dxa"/>
            <w:tcBorders>
              <w:top w:val="single" w:sz="4" w:space="0" w:color="auto"/>
              <w:left w:val="nil"/>
              <w:bottom w:val="dotted" w:sz="4" w:space="0" w:color="auto"/>
              <w:right w:val="nil"/>
            </w:tcBorders>
            <w:shd w:val="clear" w:color="auto" w:fill="auto"/>
            <w:vAlign w:val="center"/>
          </w:tcPr>
          <w:p w14:paraId="0A2E6D42" w14:textId="77777777" w:rsidR="007A35D4" w:rsidRPr="00DA1C9E" w:rsidRDefault="007A35D4" w:rsidP="00342E82">
            <w:pPr>
              <w:spacing w:after="0" w:line="240" w:lineRule="auto"/>
              <w:rPr>
                <w:rFonts w:ascii="Arial Narrow" w:hAnsi="Arial Narrow"/>
                <w:color w:val="000000"/>
                <w:sz w:val="18"/>
                <w:szCs w:val="18"/>
              </w:rPr>
            </w:pPr>
            <w:r w:rsidRPr="00DA1C9E">
              <w:rPr>
                <w:rFonts w:ascii="Arial Narrow" w:hAnsi="Arial Narrow"/>
                <w:color w:val="000000"/>
                <w:sz w:val="18"/>
                <w:szCs w:val="18"/>
              </w:rPr>
              <w:t>Balíčky opatrení na znižovanie administratívnej a regulačnej záťaže podnikateľského prostredia</w:t>
            </w:r>
          </w:p>
        </w:tc>
        <w:tc>
          <w:tcPr>
            <w:tcW w:w="1657" w:type="dxa"/>
            <w:tcBorders>
              <w:top w:val="single" w:sz="4" w:space="0" w:color="auto"/>
              <w:left w:val="nil"/>
              <w:bottom w:val="dotted" w:sz="4" w:space="0" w:color="auto"/>
              <w:right w:val="nil"/>
            </w:tcBorders>
            <w:shd w:val="clear" w:color="auto" w:fill="auto"/>
            <w:noWrap/>
            <w:vAlign w:val="center"/>
          </w:tcPr>
          <w:p w14:paraId="32223EB1" w14:textId="77777777" w:rsidR="007A35D4" w:rsidRPr="00DA1C9E" w:rsidRDefault="007A35D4"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31.12.2018</w:t>
            </w:r>
          </w:p>
        </w:tc>
        <w:tc>
          <w:tcPr>
            <w:tcW w:w="1578" w:type="dxa"/>
            <w:gridSpan w:val="2"/>
            <w:tcBorders>
              <w:top w:val="single" w:sz="4" w:space="0" w:color="auto"/>
              <w:left w:val="nil"/>
              <w:bottom w:val="dotted" w:sz="4" w:space="0" w:color="auto"/>
              <w:right w:val="nil"/>
            </w:tcBorders>
            <w:shd w:val="clear" w:color="auto" w:fill="auto"/>
            <w:vAlign w:val="center"/>
          </w:tcPr>
          <w:p w14:paraId="66CBCB3D" w14:textId="77777777" w:rsidR="007A35D4" w:rsidRPr="00DA1C9E" w:rsidRDefault="007A35D4"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MH SR</w:t>
            </w:r>
          </w:p>
        </w:tc>
      </w:tr>
      <w:tr w:rsidR="003545DE" w:rsidRPr="00DA1C9E" w14:paraId="007E0292" w14:textId="77777777" w:rsidTr="00EE7207">
        <w:trPr>
          <w:gridAfter w:val="1"/>
          <w:wAfter w:w="8" w:type="dxa"/>
          <w:trHeight w:val="422"/>
          <w:jc w:val="center"/>
        </w:trPr>
        <w:tc>
          <w:tcPr>
            <w:tcW w:w="593" w:type="dxa"/>
            <w:tcBorders>
              <w:top w:val="dotted" w:sz="4" w:space="0" w:color="auto"/>
              <w:left w:val="nil"/>
              <w:bottom w:val="dotted" w:sz="4" w:space="0" w:color="auto"/>
              <w:right w:val="nil"/>
            </w:tcBorders>
            <w:shd w:val="clear" w:color="auto" w:fill="auto"/>
            <w:noWrap/>
            <w:vAlign w:val="center"/>
          </w:tcPr>
          <w:p w14:paraId="4EE5DA38" w14:textId="7D353CFA" w:rsidR="003545DE" w:rsidRPr="00DA1C9E" w:rsidRDefault="003545DE" w:rsidP="00342E82">
            <w:pPr>
              <w:spacing w:after="0" w:line="240" w:lineRule="auto"/>
              <w:jc w:val="center"/>
              <w:rPr>
                <w:rFonts w:ascii="Arial Narrow" w:hAnsi="Arial Narrow"/>
                <w:color w:val="000000"/>
                <w:sz w:val="18"/>
                <w:szCs w:val="18"/>
              </w:rPr>
            </w:pPr>
            <w:r>
              <w:rPr>
                <w:rFonts w:ascii="Arial Narrow" w:hAnsi="Arial Narrow"/>
                <w:color w:val="000000"/>
                <w:sz w:val="18"/>
                <w:szCs w:val="18"/>
              </w:rPr>
              <w:t>3</w:t>
            </w:r>
          </w:p>
        </w:tc>
        <w:tc>
          <w:tcPr>
            <w:tcW w:w="4726" w:type="dxa"/>
            <w:tcBorders>
              <w:top w:val="dotted" w:sz="4" w:space="0" w:color="auto"/>
              <w:left w:val="nil"/>
              <w:bottom w:val="dotted" w:sz="4" w:space="0" w:color="auto"/>
              <w:right w:val="nil"/>
            </w:tcBorders>
            <w:shd w:val="clear" w:color="auto" w:fill="auto"/>
            <w:vAlign w:val="center"/>
          </w:tcPr>
          <w:p w14:paraId="62F1871C" w14:textId="696A5967" w:rsidR="003545DE" w:rsidRPr="00DA1C9E" w:rsidRDefault="003545DE" w:rsidP="00342E82">
            <w:pPr>
              <w:spacing w:after="0" w:line="240" w:lineRule="auto"/>
              <w:rPr>
                <w:rFonts w:ascii="Arial Narrow" w:hAnsi="Arial Narrow"/>
                <w:color w:val="000000"/>
                <w:sz w:val="18"/>
                <w:szCs w:val="18"/>
              </w:rPr>
            </w:pPr>
            <w:r>
              <w:rPr>
                <w:rFonts w:ascii="Arial Narrow" w:hAnsi="Arial Narrow"/>
                <w:color w:val="000000"/>
                <w:sz w:val="18"/>
                <w:szCs w:val="18"/>
              </w:rPr>
              <w:t>A</w:t>
            </w:r>
            <w:r w:rsidRPr="003545DE">
              <w:rPr>
                <w:rFonts w:ascii="Arial Narrow" w:hAnsi="Arial Narrow"/>
                <w:color w:val="000000"/>
                <w:sz w:val="18"/>
                <w:szCs w:val="18"/>
              </w:rPr>
              <w:t>kčný plán implementácie záverov a odporúčaní zo Správy k stave justície (CEPEJ 2017)</w:t>
            </w:r>
          </w:p>
        </w:tc>
        <w:tc>
          <w:tcPr>
            <w:tcW w:w="1657" w:type="dxa"/>
            <w:tcBorders>
              <w:top w:val="dotted" w:sz="4" w:space="0" w:color="auto"/>
              <w:left w:val="nil"/>
              <w:bottom w:val="dotted" w:sz="4" w:space="0" w:color="auto"/>
              <w:right w:val="nil"/>
            </w:tcBorders>
            <w:shd w:val="clear" w:color="auto" w:fill="auto"/>
            <w:noWrap/>
            <w:vAlign w:val="center"/>
          </w:tcPr>
          <w:p w14:paraId="66D9252C" w14:textId="2FF4AB25" w:rsidR="003545DE" w:rsidRPr="00DA1C9E" w:rsidRDefault="003545DE" w:rsidP="00342E82">
            <w:pPr>
              <w:spacing w:after="0" w:line="240" w:lineRule="auto"/>
              <w:jc w:val="center"/>
              <w:rPr>
                <w:rFonts w:ascii="Arial Narrow" w:hAnsi="Arial Narrow"/>
                <w:color w:val="000000"/>
                <w:sz w:val="18"/>
                <w:szCs w:val="18"/>
              </w:rPr>
            </w:pPr>
            <w:r>
              <w:rPr>
                <w:rFonts w:ascii="Arial Narrow" w:hAnsi="Arial Narrow"/>
                <w:color w:val="000000"/>
                <w:sz w:val="18"/>
                <w:szCs w:val="18"/>
              </w:rPr>
              <w:t>31.12.2018</w:t>
            </w:r>
          </w:p>
        </w:tc>
        <w:tc>
          <w:tcPr>
            <w:tcW w:w="1578" w:type="dxa"/>
            <w:gridSpan w:val="2"/>
            <w:tcBorders>
              <w:top w:val="dotted" w:sz="4" w:space="0" w:color="auto"/>
              <w:left w:val="nil"/>
              <w:bottom w:val="dotted" w:sz="4" w:space="0" w:color="auto"/>
              <w:right w:val="nil"/>
            </w:tcBorders>
            <w:shd w:val="clear" w:color="auto" w:fill="auto"/>
            <w:vAlign w:val="center"/>
          </w:tcPr>
          <w:p w14:paraId="3373E752" w14:textId="58568567" w:rsidR="003545DE" w:rsidRPr="00DA1C9E" w:rsidRDefault="003545DE" w:rsidP="00342E82">
            <w:pPr>
              <w:spacing w:after="0" w:line="240" w:lineRule="auto"/>
              <w:jc w:val="center"/>
              <w:rPr>
                <w:rFonts w:ascii="Arial Narrow" w:hAnsi="Arial Narrow"/>
                <w:color w:val="000000"/>
                <w:sz w:val="18"/>
                <w:szCs w:val="18"/>
              </w:rPr>
            </w:pPr>
            <w:r>
              <w:rPr>
                <w:rFonts w:ascii="Arial Narrow" w:hAnsi="Arial Narrow"/>
                <w:color w:val="000000"/>
                <w:sz w:val="18"/>
                <w:szCs w:val="18"/>
              </w:rPr>
              <w:t>MS SR</w:t>
            </w:r>
          </w:p>
        </w:tc>
      </w:tr>
      <w:tr w:rsidR="00DA1C9E" w:rsidRPr="00DA1C9E" w14:paraId="07544A51" w14:textId="77777777" w:rsidTr="00297AED">
        <w:trPr>
          <w:gridAfter w:val="1"/>
          <w:wAfter w:w="8" w:type="dxa"/>
          <w:trHeight w:val="422"/>
          <w:jc w:val="center"/>
        </w:trPr>
        <w:tc>
          <w:tcPr>
            <w:tcW w:w="593" w:type="dxa"/>
            <w:tcBorders>
              <w:top w:val="dotted" w:sz="4" w:space="0" w:color="auto"/>
              <w:left w:val="nil"/>
              <w:bottom w:val="dotted" w:sz="4" w:space="0" w:color="auto"/>
              <w:right w:val="nil"/>
            </w:tcBorders>
            <w:shd w:val="clear" w:color="auto" w:fill="auto"/>
            <w:noWrap/>
            <w:vAlign w:val="center"/>
          </w:tcPr>
          <w:p w14:paraId="58F25464" w14:textId="77777777" w:rsidR="00DA1C9E" w:rsidRPr="00DA1C9E" w:rsidRDefault="00DA1C9E"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3</w:t>
            </w:r>
          </w:p>
        </w:tc>
        <w:tc>
          <w:tcPr>
            <w:tcW w:w="4726" w:type="dxa"/>
            <w:tcBorders>
              <w:top w:val="dotted" w:sz="4" w:space="0" w:color="auto"/>
              <w:left w:val="nil"/>
              <w:bottom w:val="dotted" w:sz="4" w:space="0" w:color="auto"/>
              <w:right w:val="nil"/>
            </w:tcBorders>
            <w:shd w:val="clear" w:color="auto" w:fill="auto"/>
            <w:vAlign w:val="center"/>
          </w:tcPr>
          <w:p w14:paraId="639C6182" w14:textId="08D13896" w:rsidR="00DA1C9E" w:rsidRPr="00DA1C9E" w:rsidRDefault="00DA1C9E" w:rsidP="00132156">
            <w:pPr>
              <w:spacing w:after="0" w:line="240" w:lineRule="auto"/>
              <w:rPr>
                <w:rFonts w:ascii="Arial Narrow" w:hAnsi="Arial Narrow"/>
                <w:color w:val="000000"/>
                <w:sz w:val="18"/>
                <w:szCs w:val="18"/>
              </w:rPr>
            </w:pPr>
            <w:r w:rsidRPr="00DA1C9E">
              <w:rPr>
                <w:rFonts w:ascii="Arial Narrow" w:hAnsi="Arial Narrow"/>
                <w:color w:val="000000"/>
                <w:sz w:val="18"/>
                <w:szCs w:val="18"/>
              </w:rPr>
              <w:t xml:space="preserve">Riešenie </w:t>
            </w:r>
            <w:r w:rsidR="00132156">
              <w:rPr>
                <w:rFonts w:ascii="Arial Narrow" w:hAnsi="Arial Narrow"/>
                <w:color w:val="000000"/>
                <w:sz w:val="18"/>
                <w:szCs w:val="18"/>
              </w:rPr>
              <w:t>súdnych</w:t>
            </w:r>
            <w:r w:rsidR="00132156" w:rsidRPr="00DA1C9E">
              <w:rPr>
                <w:rFonts w:ascii="Arial Narrow" w:hAnsi="Arial Narrow"/>
                <w:color w:val="000000"/>
                <w:sz w:val="18"/>
                <w:szCs w:val="18"/>
              </w:rPr>
              <w:t xml:space="preserve"> </w:t>
            </w:r>
            <w:r w:rsidRPr="00DA1C9E">
              <w:rPr>
                <w:rFonts w:ascii="Arial Narrow" w:hAnsi="Arial Narrow"/>
                <w:color w:val="000000"/>
                <w:sz w:val="18"/>
                <w:szCs w:val="18"/>
              </w:rPr>
              <w:t xml:space="preserve">exekúcii </w:t>
            </w:r>
          </w:p>
        </w:tc>
        <w:tc>
          <w:tcPr>
            <w:tcW w:w="1657" w:type="dxa"/>
            <w:tcBorders>
              <w:top w:val="dotted" w:sz="4" w:space="0" w:color="auto"/>
              <w:left w:val="nil"/>
              <w:bottom w:val="dotted" w:sz="4" w:space="0" w:color="auto"/>
              <w:right w:val="nil"/>
            </w:tcBorders>
            <w:shd w:val="clear" w:color="auto" w:fill="auto"/>
            <w:noWrap/>
            <w:vAlign w:val="center"/>
          </w:tcPr>
          <w:p w14:paraId="0155A8A0" w14:textId="77777777" w:rsidR="00DA1C9E" w:rsidRPr="00DA1C9E" w:rsidRDefault="00DA1C9E"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31.12.2018</w:t>
            </w:r>
          </w:p>
        </w:tc>
        <w:tc>
          <w:tcPr>
            <w:tcW w:w="1578" w:type="dxa"/>
            <w:gridSpan w:val="2"/>
            <w:tcBorders>
              <w:top w:val="dotted" w:sz="4" w:space="0" w:color="auto"/>
              <w:left w:val="nil"/>
              <w:bottom w:val="dotted" w:sz="4" w:space="0" w:color="auto"/>
              <w:right w:val="nil"/>
            </w:tcBorders>
            <w:shd w:val="clear" w:color="auto" w:fill="auto"/>
            <w:vAlign w:val="center"/>
          </w:tcPr>
          <w:p w14:paraId="4E32A0EC" w14:textId="77777777" w:rsidR="00DA1C9E" w:rsidRPr="00DA1C9E" w:rsidRDefault="00DA1C9E"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MS SR</w:t>
            </w:r>
          </w:p>
        </w:tc>
      </w:tr>
      <w:tr w:rsidR="007D2366" w:rsidRPr="00DA1C9E" w14:paraId="5717711C" w14:textId="77777777" w:rsidTr="00297AED">
        <w:trPr>
          <w:gridAfter w:val="1"/>
          <w:wAfter w:w="8" w:type="dxa"/>
          <w:trHeight w:val="422"/>
          <w:jc w:val="center"/>
        </w:trPr>
        <w:tc>
          <w:tcPr>
            <w:tcW w:w="593" w:type="dxa"/>
            <w:tcBorders>
              <w:top w:val="dotted" w:sz="4" w:space="0" w:color="auto"/>
              <w:left w:val="nil"/>
              <w:bottom w:val="dotted" w:sz="4" w:space="0" w:color="auto"/>
              <w:right w:val="nil"/>
            </w:tcBorders>
            <w:shd w:val="clear" w:color="auto" w:fill="auto"/>
            <w:noWrap/>
            <w:vAlign w:val="center"/>
          </w:tcPr>
          <w:p w14:paraId="47B3B66E" w14:textId="77777777" w:rsidR="007D2366" w:rsidRPr="00DA1C9E" w:rsidRDefault="007D2366"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3</w:t>
            </w:r>
          </w:p>
        </w:tc>
        <w:tc>
          <w:tcPr>
            <w:tcW w:w="4726" w:type="dxa"/>
            <w:tcBorders>
              <w:top w:val="dotted" w:sz="4" w:space="0" w:color="auto"/>
              <w:left w:val="nil"/>
              <w:bottom w:val="dotted" w:sz="4" w:space="0" w:color="auto"/>
              <w:right w:val="nil"/>
            </w:tcBorders>
            <w:shd w:val="clear" w:color="auto" w:fill="auto"/>
            <w:vAlign w:val="center"/>
          </w:tcPr>
          <w:p w14:paraId="546A6BDB" w14:textId="77777777" w:rsidR="007D2366" w:rsidRPr="00DA1C9E" w:rsidRDefault="007D2366" w:rsidP="00342E82">
            <w:pPr>
              <w:spacing w:after="0" w:line="240" w:lineRule="auto"/>
              <w:rPr>
                <w:rFonts w:ascii="Arial Narrow" w:hAnsi="Arial Narrow"/>
                <w:color w:val="000000"/>
                <w:sz w:val="18"/>
                <w:szCs w:val="18"/>
              </w:rPr>
            </w:pPr>
            <w:r w:rsidRPr="00DA1C9E">
              <w:rPr>
                <w:rFonts w:ascii="Arial Narrow" w:hAnsi="Arial Narrow"/>
                <w:color w:val="000000"/>
                <w:sz w:val="18"/>
                <w:szCs w:val="18"/>
              </w:rPr>
              <w:t>Elektronizácia verejnej správy</w:t>
            </w:r>
          </w:p>
        </w:tc>
        <w:tc>
          <w:tcPr>
            <w:tcW w:w="1657" w:type="dxa"/>
            <w:tcBorders>
              <w:top w:val="dotted" w:sz="4" w:space="0" w:color="auto"/>
              <w:left w:val="nil"/>
              <w:bottom w:val="dotted" w:sz="4" w:space="0" w:color="auto"/>
              <w:right w:val="nil"/>
            </w:tcBorders>
            <w:shd w:val="clear" w:color="auto" w:fill="auto"/>
            <w:noWrap/>
            <w:vAlign w:val="center"/>
          </w:tcPr>
          <w:p w14:paraId="11B89EDB" w14:textId="77777777" w:rsidR="007D2366" w:rsidRPr="00DA1C9E" w:rsidRDefault="007A35D4" w:rsidP="00342E82">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31.12.2018</w:t>
            </w:r>
          </w:p>
        </w:tc>
        <w:tc>
          <w:tcPr>
            <w:tcW w:w="1578" w:type="dxa"/>
            <w:gridSpan w:val="2"/>
            <w:tcBorders>
              <w:top w:val="dotted" w:sz="4" w:space="0" w:color="auto"/>
              <w:left w:val="nil"/>
              <w:bottom w:val="dotted" w:sz="4" w:space="0" w:color="auto"/>
              <w:right w:val="nil"/>
            </w:tcBorders>
            <w:shd w:val="clear" w:color="auto" w:fill="auto"/>
            <w:vAlign w:val="center"/>
          </w:tcPr>
          <w:p w14:paraId="72B2F96B" w14:textId="5D748BD0" w:rsidR="007D2366" w:rsidRPr="00DA1C9E" w:rsidRDefault="007D2366" w:rsidP="00520A38">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 xml:space="preserve">ÚPPVII, </w:t>
            </w:r>
            <w:r w:rsidRPr="00DA1C9E">
              <w:rPr>
                <w:rFonts w:ascii="Arial Narrow" w:hAnsi="Arial Narrow"/>
                <w:sz w:val="18"/>
                <w:szCs w:val="18"/>
              </w:rPr>
              <w:t>MS SR, MF SR</w:t>
            </w:r>
          </w:p>
        </w:tc>
      </w:tr>
      <w:tr w:rsidR="00446908" w:rsidRPr="00DA1C9E" w14:paraId="21488314" w14:textId="77777777" w:rsidTr="00297AED">
        <w:trPr>
          <w:gridAfter w:val="1"/>
          <w:wAfter w:w="8" w:type="dxa"/>
          <w:trHeight w:val="422"/>
          <w:jc w:val="center"/>
        </w:trPr>
        <w:tc>
          <w:tcPr>
            <w:tcW w:w="593" w:type="dxa"/>
            <w:tcBorders>
              <w:top w:val="dotted" w:sz="4" w:space="0" w:color="auto"/>
              <w:left w:val="nil"/>
              <w:bottom w:val="single" w:sz="4" w:space="0" w:color="auto"/>
              <w:right w:val="nil"/>
            </w:tcBorders>
            <w:shd w:val="clear" w:color="auto" w:fill="auto"/>
            <w:noWrap/>
            <w:vAlign w:val="center"/>
          </w:tcPr>
          <w:p w14:paraId="0C2E6A00" w14:textId="4D8A14E0" w:rsidR="00446908" w:rsidRPr="00DA1C9E" w:rsidRDefault="00297AED" w:rsidP="00446908">
            <w:pPr>
              <w:spacing w:after="0" w:line="240" w:lineRule="auto"/>
              <w:jc w:val="center"/>
              <w:rPr>
                <w:rFonts w:ascii="Arial Narrow" w:hAnsi="Arial Narrow"/>
                <w:color w:val="000000"/>
                <w:sz w:val="18"/>
                <w:szCs w:val="18"/>
              </w:rPr>
            </w:pPr>
            <w:r>
              <w:rPr>
                <w:rFonts w:ascii="Arial Narrow" w:hAnsi="Arial Narrow"/>
                <w:color w:val="000000"/>
                <w:sz w:val="18"/>
                <w:szCs w:val="18"/>
              </w:rPr>
              <w:t>3</w:t>
            </w:r>
          </w:p>
        </w:tc>
        <w:tc>
          <w:tcPr>
            <w:tcW w:w="4726" w:type="dxa"/>
            <w:tcBorders>
              <w:top w:val="dotted" w:sz="4" w:space="0" w:color="auto"/>
              <w:left w:val="nil"/>
              <w:bottom w:val="single" w:sz="4" w:space="0" w:color="auto"/>
              <w:right w:val="nil"/>
            </w:tcBorders>
            <w:shd w:val="clear" w:color="auto" w:fill="auto"/>
            <w:vAlign w:val="center"/>
          </w:tcPr>
          <w:p w14:paraId="6BA54BBA" w14:textId="29D5C654" w:rsidR="00446908" w:rsidRPr="00DA1C9E" w:rsidRDefault="00446908" w:rsidP="00446908">
            <w:pPr>
              <w:spacing w:after="0" w:line="240" w:lineRule="auto"/>
              <w:rPr>
                <w:rFonts w:ascii="Arial Narrow" w:hAnsi="Arial Narrow"/>
                <w:color w:val="000000"/>
                <w:sz w:val="18"/>
                <w:szCs w:val="18"/>
              </w:rPr>
            </w:pPr>
            <w:r w:rsidRPr="00DA1C9E">
              <w:rPr>
                <w:rFonts w:ascii="Arial Narrow" w:hAnsi="Arial Narrow"/>
                <w:color w:val="000000"/>
                <w:sz w:val="18"/>
                <w:szCs w:val="18"/>
              </w:rPr>
              <w:t>Analytické kapacity finančnej správy</w:t>
            </w:r>
          </w:p>
        </w:tc>
        <w:tc>
          <w:tcPr>
            <w:tcW w:w="1657" w:type="dxa"/>
            <w:tcBorders>
              <w:top w:val="dotted" w:sz="4" w:space="0" w:color="auto"/>
              <w:left w:val="nil"/>
              <w:bottom w:val="single" w:sz="4" w:space="0" w:color="auto"/>
              <w:right w:val="nil"/>
            </w:tcBorders>
            <w:shd w:val="clear" w:color="auto" w:fill="auto"/>
            <w:noWrap/>
            <w:vAlign w:val="center"/>
          </w:tcPr>
          <w:p w14:paraId="3F571495" w14:textId="09264555" w:rsidR="00446908" w:rsidRPr="00DA1C9E" w:rsidRDefault="00446908" w:rsidP="00446908">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31.12.2018</w:t>
            </w:r>
          </w:p>
        </w:tc>
        <w:tc>
          <w:tcPr>
            <w:tcW w:w="1578" w:type="dxa"/>
            <w:gridSpan w:val="2"/>
            <w:tcBorders>
              <w:top w:val="dotted" w:sz="4" w:space="0" w:color="auto"/>
              <w:left w:val="nil"/>
              <w:bottom w:val="single" w:sz="4" w:space="0" w:color="auto"/>
              <w:right w:val="nil"/>
            </w:tcBorders>
            <w:shd w:val="clear" w:color="auto" w:fill="auto"/>
            <w:vAlign w:val="center"/>
          </w:tcPr>
          <w:p w14:paraId="0ABD7545" w14:textId="1C3E85EE" w:rsidR="00446908" w:rsidRPr="00DA1C9E" w:rsidRDefault="00446908" w:rsidP="00446908">
            <w:pPr>
              <w:spacing w:after="0" w:line="240" w:lineRule="auto"/>
              <w:jc w:val="center"/>
              <w:rPr>
                <w:rFonts w:ascii="Arial Narrow" w:hAnsi="Arial Narrow"/>
                <w:color w:val="000000"/>
                <w:sz w:val="18"/>
                <w:szCs w:val="18"/>
              </w:rPr>
            </w:pPr>
            <w:r w:rsidRPr="00DA1C9E">
              <w:rPr>
                <w:rFonts w:ascii="Arial Narrow" w:hAnsi="Arial Narrow"/>
                <w:color w:val="000000"/>
                <w:sz w:val="18"/>
                <w:szCs w:val="18"/>
              </w:rPr>
              <w:t>FS SR</w:t>
            </w:r>
          </w:p>
        </w:tc>
      </w:tr>
    </w:tbl>
    <w:p w14:paraId="395B2719" w14:textId="77777777" w:rsidR="007D2366" w:rsidRPr="00256D89" w:rsidRDefault="007D2366" w:rsidP="007D2366">
      <w:pPr>
        <w:spacing w:after="0" w:line="240" w:lineRule="auto"/>
        <w:jc w:val="both"/>
        <w:rPr>
          <w:rFonts w:ascii="Arial Narrow" w:hAnsi="Arial Narrow"/>
        </w:rPr>
      </w:pPr>
    </w:p>
    <w:p w14:paraId="78F7C172" w14:textId="77777777" w:rsidR="007D2366" w:rsidRPr="00256D89" w:rsidRDefault="007D2366" w:rsidP="007D2366">
      <w:pPr>
        <w:spacing w:after="0" w:line="240" w:lineRule="auto"/>
        <w:jc w:val="both"/>
        <w:rPr>
          <w:rFonts w:ascii="Arial Narrow" w:hAnsi="Arial Narrow"/>
        </w:rPr>
      </w:pPr>
    </w:p>
    <w:p w14:paraId="53C52AAC" w14:textId="77777777" w:rsidR="007D2366" w:rsidRPr="00256D89" w:rsidRDefault="007D2366" w:rsidP="007D2366">
      <w:pPr>
        <w:spacing w:after="0" w:line="240" w:lineRule="auto"/>
        <w:jc w:val="both"/>
        <w:rPr>
          <w:rFonts w:ascii="Arial Narrow" w:hAnsi="Arial Narrow"/>
        </w:rPr>
      </w:pPr>
      <w:r w:rsidRPr="00256D89">
        <w:rPr>
          <w:rFonts w:ascii="Arial Narrow" w:hAnsi="Arial Narrow"/>
        </w:rPr>
        <w:br w:type="page"/>
      </w:r>
    </w:p>
    <w:p w14:paraId="4E02F6DA" w14:textId="77777777" w:rsidR="007D2366" w:rsidRPr="00256D89" w:rsidRDefault="007D2366" w:rsidP="007D2366">
      <w:pPr>
        <w:pStyle w:val="Nadpis2"/>
        <w:numPr>
          <w:ilvl w:val="1"/>
          <w:numId w:val="1"/>
        </w:numPr>
        <w:spacing w:after="240" w:line="240" w:lineRule="auto"/>
        <w:jc w:val="both"/>
        <w:rPr>
          <w:rFonts w:ascii="Arial Narrow" w:hAnsi="Arial Narrow"/>
          <w:color w:val="2C9ADC"/>
          <w:sz w:val="32"/>
          <w:szCs w:val="28"/>
        </w:rPr>
      </w:pPr>
      <w:bookmarkStart w:id="20" w:name="_Toc480749804"/>
      <w:bookmarkStart w:id="21" w:name="_Toc508039576"/>
      <w:r>
        <w:rPr>
          <w:rFonts w:ascii="Arial Narrow" w:hAnsi="Arial Narrow"/>
          <w:color w:val="2C9ADC"/>
          <w:sz w:val="32"/>
          <w:szCs w:val="28"/>
        </w:rPr>
        <w:lastRenderedPageBreak/>
        <w:t>Fiškálna politika a ve</w:t>
      </w:r>
      <w:r w:rsidRPr="00256D89">
        <w:rPr>
          <w:rFonts w:ascii="Arial Narrow" w:hAnsi="Arial Narrow"/>
          <w:color w:val="2C9ADC"/>
          <w:sz w:val="32"/>
          <w:szCs w:val="28"/>
        </w:rPr>
        <w:t>rejné financie</w:t>
      </w:r>
      <w:bookmarkEnd w:id="20"/>
      <w:bookmarkEnd w:id="21"/>
    </w:p>
    <w:p w14:paraId="62C4F863" w14:textId="77777777" w:rsidR="006D3CB1" w:rsidRPr="006D3CB1" w:rsidRDefault="006D3CB1" w:rsidP="006D3CB1">
      <w:pPr>
        <w:spacing w:after="0" w:line="240" w:lineRule="auto"/>
        <w:jc w:val="both"/>
        <w:rPr>
          <w:rFonts w:ascii="Arial Narrow" w:hAnsi="Arial Narrow" w:cs="Arial Narrow"/>
          <w:i/>
        </w:rPr>
      </w:pPr>
      <w:r w:rsidRPr="006D3CB1">
        <w:rPr>
          <w:rFonts w:ascii="Arial Narrow" w:hAnsi="Arial Narrow" w:cs="Arial Narrow"/>
          <w:i/>
        </w:rPr>
        <w:t>Na boj proti daňovým únikom a zlepšenie výberu daní zavedie finančná správa interné posudzovanie spoľahlivosti daňových subjektov. Pre zefektívnenie vymáhania daňových nedoplatkov sa zavedie systém posudzovania rizikovosti daňových dlžníkov. Analytické kapacity finančnej správy sa posilnia vybudovaním centrálnej analytickej jednotky. Implementuje sa ročné zúčtovanie sociálneho poistenia.</w:t>
      </w:r>
    </w:p>
    <w:p w14:paraId="3979DD16" w14:textId="77777777" w:rsidR="006D3CB1" w:rsidRPr="006D3CB1" w:rsidRDefault="006D3CB1" w:rsidP="006D3CB1">
      <w:pPr>
        <w:spacing w:after="0" w:line="240" w:lineRule="auto"/>
        <w:jc w:val="both"/>
        <w:rPr>
          <w:rFonts w:ascii="Arial Narrow" w:hAnsi="Arial Narrow" w:cs="Arial Narrow"/>
          <w:i/>
        </w:rPr>
      </w:pPr>
    </w:p>
    <w:p w14:paraId="132356C8" w14:textId="77777777" w:rsidR="007D2366" w:rsidRPr="003E5C54" w:rsidRDefault="003E5C54" w:rsidP="007D2366">
      <w:pPr>
        <w:pStyle w:val="Odsekzoznamu"/>
        <w:spacing w:after="0" w:line="240" w:lineRule="auto"/>
        <w:ind w:left="0"/>
        <w:jc w:val="both"/>
        <w:rPr>
          <w:rFonts w:ascii="Arial Narrow" w:hAnsi="Arial Narrow" w:cs="Arial Narrow"/>
          <w:i/>
          <w:highlight w:val="yellow"/>
        </w:rPr>
      </w:pPr>
      <w:r w:rsidRPr="003E5C54">
        <w:rPr>
          <w:rFonts w:ascii="Arial Narrow" w:hAnsi="Arial Narrow" w:cs="Arial Narrow"/>
          <w:i/>
        </w:rPr>
        <w:t>Prebehne tretie kolo revízie výdavkov so zameraním na pôdohospodárstvo, začlenenie skupín ohrozených chudobou a sociálnym vylúčením a zamestnanosť a odmeňovanie vo verejnej správe.</w:t>
      </w:r>
      <w:r w:rsidR="00BA1BFF">
        <w:rPr>
          <w:rFonts w:ascii="Arial Narrow" w:hAnsi="Arial Narrow" w:cs="Arial Narrow"/>
          <w:i/>
        </w:rPr>
        <w:t xml:space="preserve"> </w:t>
      </w:r>
      <w:r w:rsidR="00BA1BFF" w:rsidRPr="00BA1BFF">
        <w:rPr>
          <w:rFonts w:ascii="Arial Narrow" w:hAnsi="Arial Narrow" w:cs="Arial Narrow"/>
          <w:i/>
        </w:rPr>
        <w:t>Priebežné správy budú zverejnené v októbri 2018, záverečné správy s opatreniami v marci 2019.</w:t>
      </w:r>
    </w:p>
    <w:p w14:paraId="4DC4FC90" w14:textId="77777777" w:rsidR="003E5C54" w:rsidRPr="00781B38" w:rsidRDefault="003E5C54" w:rsidP="007D2366">
      <w:pPr>
        <w:pStyle w:val="Odsekzoznamu"/>
        <w:spacing w:after="0" w:line="240" w:lineRule="auto"/>
        <w:ind w:left="0"/>
        <w:jc w:val="both"/>
        <w:rPr>
          <w:rFonts w:ascii="Arial Narrow" w:hAnsi="Arial Narrow" w:cs="Arial Narrow"/>
          <w:i/>
          <w:highlight w:val="yellow"/>
        </w:rPr>
      </w:pPr>
    </w:p>
    <w:p w14:paraId="191A0C36" w14:textId="3666ABFB" w:rsidR="0097256F" w:rsidRPr="00781B38" w:rsidRDefault="006D3CB1" w:rsidP="00CE4828">
      <w:pPr>
        <w:spacing w:after="0" w:line="240" w:lineRule="auto"/>
        <w:jc w:val="both"/>
        <w:rPr>
          <w:rFonts w:ascii="Arial Narrow" w:hAnsi="Arial Narrow"/>
          <w:i/>
          <w:highlight w:val="yellow"/>
        </w:rPr>
      </w:pPr>
      <w:r w:rsidRPr="006D3CB1">
        <w:rPr>
          <w:rFonts w:ascii="Arial Narrow" w:hAnsi="Arial Narrow"/>
          <w:i/>
        </w:rPr>
        <w:t>S cieľom posilniť kvalitu riadenia rozpočtu iniciuje Ministerstvo financií SR v roku 2018 testovanie výdavkových limitov, na základe skutočných údajov plnenia rozpočtu. Výsledky simulácií by m</w:t>
      </w:r>
      <w:r w:rsidR="00B169DC">
        <w:rPr>
          <w:rFonts w:ascii="Arial Narrow" w:hAnsi="Arial Narrow"/>
          <w:i/>
        </w:rPr>
        <w:t>ali byť zverejnené do konca roka</w:t>
      </w:r>
      <w:r w:rsidRPr="006D3CB1">
        <w:rPr>
          <w:rFonts w:ascii="Arial Narrow" w:hAnsi="Arial Narrow"/>
          <w:i/>
        </w:rPr>
        <w:t>, s cieľom podnietiť odbornú a politickú debatu o podobe ich prípadnej implementácie v budúcnosti.</w:t>
      </w:r>
      <w:r w:rsidR="00B46E52">
        <w:rPr>
          <w:rFonts w:ascii="Arial Narrow" w:hAnsi="Arial Narrow"/>
          <w:i/>
        </w:rPr>
        <w:t xml:space="preserve"> </w:t>
      </w:r>
      <w:r w:rsidR="00B46E52" w:rsidRPr="00326EB5">
        <w:rPr>
          <w:rFonts w:ascii="Arial Narrow" w:hAnsi="Arial Narrow"/>
          <w:i/>
          <w:color w:val="333333"/>
          <w:shd w:val="clear" w:color="auto" w:fill="FFFFFF"/>
        </w:rPr>
        <w:t>Prvé skutočné testovanie v rámci stanoveni</w:t>
      </w:r>
      <w:r w:rsidR="00B46E52">
        <w:rPr>
          <w:rFonts w:ascii="Arial Narrow" w:hAnsi="Arial Narrow"/>
          <w:i/>
          <w:color w:val="333333"/>
          <w:shd w:val="clear" w:color="auto" w:fill="FFFFFF"/>
        </w:rPr>
        <w:t>a</w:t>
      </w:r>
      <w:r w:rsidR="00B46E52" w:rsidRPr="00326EB5">
        <w:rPr>
          <w:rFonts w:ascii="Arial Narrow" w:hAnsi="Arial Narrow"/>
          <w:i/>
          <w:color w:val="333333"/>
          <w:shd w:val="clear" w:color="auto" w:fill="FFFFFF"/>
        </w:rPr>
        <w:t xml:space="preserve"> a monitorovania plnenia rozpočtu prebehne v roku 2019</w:t>
      </w:r>
      <w:r w:rsidR="00B46E52">
        <w:rPr>
          <w:rFonts w:ascii="Arial Narrow" w:hAnsi="Arial Narrow"/>
          <w:color w:val="333333"/>
          <w:shd w:val="clear" w:color="auto" w:fill="FFFFFF"/>
        </w:rPr>
        <w:t xml:space="preserve">. </w:t>
      </w:r>
      <w:r w:rsidRPr="006D3CB1">
        <w:rPr>
          <w:rFonts w:ascii="Arial Narrow" w:hAnsi="Arial Narrow"/>
          <w:i/>
        </w:rPr>
        <w:t xml:space="preserve">Aj v roku 2018 bude pokračovať implementácia novely zákona o rozpočtových pravidlách z roku 2016. Medzi hlavné zmeny patrí zvyšovanie porovnateľnosti rozpočtovaných údajov za verejnú správu so skutočne vykázanými údajmi. </w:t>
      </w:r>
    </w:p>
    <w:p w14:paraId="17533CAD" w14:textId="77777777" w:rsidR="007D2366" w:rsidRPr="00781B38" w:rsidRDefault="007D2366" w:rsidP="0027447E">
      <w:pPr>
        <w:spacing w:after="0" w:line="240" w:lineRule="auto"/>
        <w:jc w:val="both"/>
        <w:rPr>
          <w:highlight w:val="yellow"/>
          <w:lang w:eastAsia="en-US"/>
        </w:rPr>
      </w:pPr>
    </w:p>
    <w:tbl>
      <w:tblPr>
        <w:tblW w:w="8657" w:type="dxa"/>
        <w:jc w:val="center"/>
        <w:tblCellMar>
          <w:left w:w="70" w:type="dxa"/>
          <w:right w:w="70" w:type="dxa"/>
        </w:tblCellMar>
        <w:tblLook w:val="04A0" w:firstRow="1" w:lastRow="0" w:firstColumn="1" w:lastColumn="0" w:noHBand="0" w:noVBand="1"/>
      </w:tblPr>
      <w:tblGrid>
        <w:gridCol w:w="2977"/>
        <w:gridCol w:w="575"/>
        <w:gridCol w:w="505"/>
        <w:gridCol w:w="508"/>
        <w:gridCol w:w="509"/>
        <w:gridCol w:w="509"/>
        <w:gridCol w:w="509"/>
        <w:gridCol w:w="509"/>
        <w:gridCol w:w="509"/>
        <w:gridCol w:w="509"/>
        <w:gridCol w:w="505"/>
        <w:gridCol w:w="533"/>
      </w:tblGrid>
      <w:tr w:rsidR="006D3CB1" w:rsidRPr="00490878" w14:paraId="3C1A173B" w14:textId="77777777" w:rsidTr="006C785E">
        <w:trPr>
          <w:trHeight w:val="237"/>
          <w:jc w:val="center"/>
        </w:trPr>
        <w:tc>
          <w:tcPr>
            <w:tcW w:w="8657" w:type="dxa"/>
            <w:gridSpan w:val="12"/>
            <w:tcBorders>
              <w:top w:val="nil"/>
              <w:left w:val="nil"/>
              <w:bottom w:val="single" w:sz="4" w:space="0" w:color="auto"/>
              <w:right w:val="nil"/>
            </w:tcBorders>
            <w:vAlign w:val="center"/>
          </w:tcPr>
          <w:p w14:paraId="6F4B7024" w14:textId="77777777" w:rsidR="006D3CB1" w:rsidRPr="006D3CB1" w:rsidRDefault="006D3CB1" w:rsidP="006D3CB1">
            <w:pPr>
              <w:spacing w:after="0" w:line="240" w:lineRule="auto"/>
              <w:jc w:val="both"/>
              <w:rPr>
                <w:rFonts w:ascii="Arial Narrow" w:hAnsi="Arial Narrow"/>
                <w:b/>
                <w:bCs/>
                <w:color w:val="2C9ADC"/>
                <w:sz w:val="20"/>
                <w:szCs w:val="20"/>
                <w:highlight w:val="yellow"/>
              </w:rPr>
            </w:pPr>
            <w:r w:rsidRPr="009F2177">
              <w:rPr>
                <w:rFonts w:ascii="Arial Narrow" w:hAnsi="Arial Narrow"/>
                <w:b/>
                <w:bCs/>
                <w:color w:val="2C9ADC"/>
                <w:sz w:val="20"/>
                <w:szCs w:val="20"/>
              </w:rPr>
              <w:t>Výsledkové indikátory pre fiškálnu politiku a verejné financie</w:t>
            </w:r>
          </w:p>
        </w:tc>
      </w:tr>
      <w:tr w:rsidR="006D3CB1" w:rsidRPr="00490878" w14:paraId="6E10897E" w14:textId="77777777" w:rsidTr="006C785E">
        <w:trPr>
          <w:trHeight w:val="404"/>
          <w:jc w:val="center"/>
        </w:trPr>
        <w:tc>
          <w:tcPr>
            <w:tcW w:w="2977" w:type="dxa"/>
            <w:tcBorders>
              <w:top w:val="nil"/>
              <w:left w:val="nil"/>
              <w:bottom w:val="single" w:sz="4" w:space="0" w:color="auto"/>
              <w:right w:val="nil"/>
            </w:tcBorders>
            <w:shd w:val="clear" w:color="auto" w:fill="auto"/>
            <w:noWrap/>
            <w:vAlign w:val="center"/>
            <w:hideMark/>
          </w:tcPr>
          <w:p w14:paraId="4FF9F98A" w14:textId="77777777" w:rsidR="006D3CB1" w:rsidRPr="006D3CB1" w:rsidRDefault="006D3CB1" w:rsidP="006D3CB1">
            <w:pPr>
              <w:spacing w:after="0" w:line="240" w:lineRule="auto"/>
              <w:rPr>
                <w:rFonts w:ascii="Arial Narrow" w:hAnsi="Arial Narrow"/>
                <w:b/>
                <w:bCs/>
                <w:sz w:val="20"/>
                <w:szCs w:val="20"/>
              </w:rPr>
            </w:pPr>
            <w:r w:rsidRPr="006D3CB1">
              <w:rPr>
                <w:rFonts w:ascii="Arial Narrow" w:hAnsi="Arial Narrow"/>
                <w:b/>
                <w:bCs/>
                <w:sz w:val="20"/>
                <w:szCs w:val="20"/>
              </w:rPr>
              <w:t> </w:t>
            </w:r>
          </w:p>
        </w:tc>
        <w:tc>
          <w:tcPr>
            <w:tcW w:w="575" w:type="dxa"/>
            <w:tcBorders>
              <w:top w:val="nil"/>
              <w:left w:val="nil"/>
              <w:bottom w:val="single" w:sz="4" w:space="0" w:color="auto"/>
              <w:right w:val="nil"/>
            </w:tcBorders>
            <w:shd w:val="clear" w:color="auto" w:fill="auto"/>
            <w:noWrap/>
            <w:vAlign w:val="center"/>
            <w:hideMark/>
          </w:tcPr>
          <w:p w14:paraId="43E70B6F" w14:textId="77777777" w:rsidR="006D3CB1" w:rsidRPr="006D3CB1" w:rsidRDefault="006D3CB1" w:rsidP="006D3CB1">
            <w:pPr>
              <w:spacing w:after="0" w:line="240" w:lineRule="auto"/>
              <w:rPr>
                <w:rFonts w:ascii="Arial Narrow" w:hAnsi="Arial Narrow"/>
                <w:b/>
                <w:bCs/>
                <w:sz w:val="20"/>
                <w:szCs w:val="20"/>
              </w:rPr>
            </w:pPr>
            <w:r w:rsidRPr="006D3CB1">
              <w:rPr>
                <w:rFonts w:ascii="Arial Narrow" w:hAnsi="Arial Narrow"/>
                <w:b/>
                <w:bCs/>
                <w:sz w:val="20"/>
                <w:szCs w:val="20"/>
              </w:rPr>
              <w:t> </w:t>
            </w:r>
          </w:p>
        </w:tc>
        <w:tc>
          <w:tcPr>
            <w:tcW w:w="505" w:type="dxa"/>
            <w:tcBorders>
              <w:top w:val="nil"/>
              <w:left w:val="nil"/>
              <w:bottom w:val="single" w:sz="4" w:space="0" w:color="auto"/>
              <w:right w:val="nil"/>
            </w:tcBorders>
            <w:vAlign w:val="center"/>
          </w:tcPr>
          <w:p w14:paraId="11AE752C" w14:textId="77777777" w:rsidR="006D3CB1" w:rsidRPr="006D3CB1" w:rsidRDefault="006D3CB1" w:rsidP="006D3CB1">
            <w:pPr>
              <w:spacing w:after="0" w:line="240" w:lineRule="auto"/>
              <w:rPr>
                <w:rFonts w:ascii="Arial Narrow" w:hAnsi="Arial Narrow"/>
                <w:b/>
                <w:bCs/>
                <w:sz w:val="20"/>
                <w:szCs w:val="20"/>
              </w:rPr>
            </w:pPr>
            <w:r w:rsidRPr="006D3CB1">
              <w:rPr>
                <w:rFonts w:ascii="Arial Narrow" w:hAnsi="Arial Narrow"/>
                <w:b/>
                <w:bCs/>
                <w:sz w:val="20"/>
                <w:szCs w:val="20"/>
              </w:rPr>
              <w:t>2008</w:t>
            </w:r>
          </w:p>
        </w:tc>
        <w:tc>
          <w:tcPr>
            <w:tcW w:w="508" w:type="dxa"/>
            <w:tcBorders>
              <w:top w:val="nil"/>
              <w:left w:val="nil"/>
              <w:bottom w:val="single" w:sz="4" w:space="0" w:color="auto"/>
              <w:right w:val="nil"/>
            </w:tcBorders>
            <w:shd w:val="clear" w:color="auto" w:fill="auto"/>
            <w:noWrap/>
            <w:vAlign w:val="center"/>
          </w:tcPr>
          <w:p w14:paraId="6CD1D646" w14:textId="77777777" w:rsidR="006D3CB1" w:rsidRPr="006D3CB1" w:rsidRDefault="006D3CB1" w:rsidP="006D3CB1">
            <w:pPr>
              <w:spacing w:after="0" w:line="240" w:lineRule="auto"/>
              <w:rPr>
                <w:rFonts w:ascii="Arial Narrow" w:hAnsi="Arial Narrow"/>
                <w:b/>
                <w:bCs/>
                <w:sz w:val="20"/>
                <w:szCs w:val="20"/>
              </w:rPr>
            </w:pPr>
            <w:r w:rsidRPr="006D3CB1">
              <w:rPr>
                <w:rFonts w:ascii="Arial Narrow" w:hAnsi="Arial Narrow"/>
                <w:b/>
                <w:bCs/>
                <w:sz w:val="20"/>
                <w:szCs w:val="20"/>
              </w:rPr>
              <w:t>2009</w:t>
            </w:r>
          </w:p>
        </w:tc>
        <w:tc>
          <w:tcPr>
            <w:tcW w:w="509" w:type="dxa"/>
            <w:tcBorders>
              <w:top w:val="nil"/>
              <w:left w:val="nil"/>
              <w:bottom w:val="single" w:sz="4" w:space="0" w:color="auto"/>
              <w:right w:val="nil"/>
            </w:tcBorders>
            <w:shd w:val="clear" w:color="auto" w:fill="auto"/>
            <w:noWrap/>
            <w:vAlign w:val="center"/>
          </w:tcPr>
          <w:p w14:paraId="49162B99" w14:textId="77777777" w:rsidR="006D3CB1" w:rsidRPr="006D3CB1" w:rsidRDefault="006D3CB1" w:rsidP="006D3CB1">
            <w:pPr>
              <w:spacing w:after="0" w:line="240" w:lineRule="auto"/>
              <w:rPr>
                <w:rFonts w:ascii="Arial Narrow" w:hAnsi="Arial Narrow"/>
                <w:b/>
                <w:bCs/>
                <w:sz w:val="20"/>
                <w:szCs w:val="20"/>
              </w:rPr>
            </w:pPr>
            <w:r w:rsidRPr="006D3CB1">
              <w:rPr>
                <w:rFonts w:ascii="Arial Narrow" w:hAnsi="Arial Narrow"/>
                <w:b/>
                <w:bCs/>
                <w:sz w:val="20"/>
                <w:szCs w:val="20"/>
              </w:rPr>
              <w:t>2010</w:t>
            </w:r>
          </w:p>
        </w:tc>
        <w:tc>
          <w:tcPr>
            <w:tcW w:w="509" w:type="dxa"/>
            <w:tcBorders>
              <w:top w:val="nil"/>
              <w:left w:val="nil"/>
              <w:bottom w:val="single" w:sz="4" w:space="0" w:color="auto"/>
              <w:right w:val="nil"/>
            </w:tcBorders>
            <w:shd w:val="clear" w:color="auto" w:fill="auto"/>
            <w:noWrap/>
            <w:vAlign w:val="center"/>
          </w:tcPr>
          <w:p w14:paraId="72936345" w14:textId="77777777" w:rsidR="006D3CB1" w:rsidRPr="006D3CB1" w:rsidRDefault="006D3CB1" w:rsidP="006D3CB1">
            <w:pPr>
              <w:spacing w:after="0" w:line="240" w:lineRule="auto"/>
              <w:rPr>
                <w:rFonts w:ascii="Arial Narrow" w:hAnsi="Arial Narrow"/>
                <w:b/>
                <w:bCs/>
                <w:sz w:val="20"/>
                <w:szCs w:val="20"/>
              </w:rPr>
            </w:pPr>
            <w:r w:rsidRPr="006D3CB1">
              <w:rPr>
                <w:rFonts w:ascii="Arial Narrow" w:hAnsi="Arial Narrow"/>
                <w:b/>
                <w:bCs/>
                <w:sz w:val="20"/>
                <w:szCs w:val="20"/>
              </w:rPr>
              <w:t>2011</w:t>
            </w:r>
          </w:p>
        </w:tc>
        <w:tc>
          <w:tcPr>
            <w:tcW w:w="509" w:type="dxa"/>
            <w:tcBorders>
              <w:top w:val="nil"/>
              <w:left w:val="nil"/>
              <w:bottom w:val="single" w:sz="4" w:space="0" w:color="auto"/>
              <w:right w:val="nil"/>
            </w:tcBorders>
            <w:shd w:val="clear" w:color="auto" w:fill="auto"/>
            <w:noWrap/>
            <w:vAlign w:val="center"/>
          </w:tcPr>
          <w:p w14:paraId="1B545457" w14:textId="77777777" w:rsidR="006D3CB1" w:rsidRPr="006D3CB1" w:rsidRDefault="006D3CB1" w:rsidP="006D3CB1">
            <w:pPr>
              <w:spacing w:after="0" w:line="240" w:lineRule="auto"/>
              <w:rPr>
                <w:rFonts w:ascii="Arial Narrow" w:hAnsi="Arial Narrow"/>
                <w:b/>
                <w:bCs/>
                <w:sz w:val="20"/>
                <w:szCs w:val="20"/>
              </w:rPr>
            </w:pPr>
            <w:r w:rsidRPr="006D3CB1">
              <w:rPr>
                <w:rFonts w:ascii="Arial Narrow" w:hAnsi="Arial Narrow"/>
                <w:b/>
                <w:bCs/>
                <w:sz w:val="20"/>
                <w:szCs w:val="20"/>
              </w:rPr>
              <w:t>2012</w:t>
            </w:r>
          </w:p>
        </w:tc>
        <w:tc>
          <w:tcPr>
            <w:tcW w:w="509" w:type="dxa"/>
            <w:tcBorders>
              <w:top w:val="nil"/>
              <w:left w:val="nil"/>
              <w:bottom w:val="single" w:sz="4" w:space="0" w:color="auto"/>
              <w:right w:val="nil"/>
            </w:tcBorders>
            <w:shd w:val="clear" w:color="auto" w:fill="auto"/>
            <w:noWrap/>
            <w:vAlign w:val="center"/>
          </w:tcPr>
          <w:p w14:paraId="0D345444" w14:textId="77777777" w:rsidR="006D3CB1" w:rsidRPr="006D3CB1" w:rsidRDefault="006D3CB1" w:rsidP="006D3CB1">
            <w:pPr>
              <w:spacing w:after="0" w:line="240" w:lineRule="auto"/>
              <w:rPr>
                <w:rFonts w:ascii="Arial Narrow" w:hAnsi="Arial Narrow"/>
                <w:b/>
                <w:bCs/>
                <w:sz w:val="20"/>
                <w:szCs w:val="20"/>
              </w:rPr>
            </w:pPr>
            <w:r w:rsidRPr="006D3CB1">
              <w:rPr>
                <w:rFonts w:ascii="Arial Narrow" w:hAnsi="Arial Narrow"/>
                <w:b/>
                <w:bCs/>
                <w:sz w:val="20"/>
                <w:szCs w:val="20"/>
              </w:rPr>
              <w:t>2013</w:t>
            </w:r>
          </w:p>
        </w:tc>
        <w:tc>
          <w:tcPr>
            <w:tcW w:w="509" w:type="dxa"/>
            <w:tcBorders>
              <w:top w:val="nil"/>
              <w:left w:val="nil"/>
              <w:bottom w:val="single" w:sz="4" w:space="0" w:color="auto"/>
              <w:right w:val="nil"/>
            </w:tcBorders>
            <w:shd w:val="clear" w:color="auto" w:fill="auto"/>
            <w:noWrap/>
            <w:vAlign w:val="center"/>
          </w:tcPr>
          <w:p w14:paraId="2B917332" w14:textId="77777777" w:rsidR="006D3CB1" w:rsidRPr="006D3CB1" w:rsidRDefault="006D3CB1" w:rsidP="006D3CB1">
            <w:pPr>
              <w:spacing w:after="0" w:line="240" w:lineRule="auto"/>
              <w:rPr>
                <w:rFonts w:ascii="Arial Narrow" w:hAnsi="Arial Narrow"/>
                <w:b/>
                <w:bCs/>
                <w:sz w:val="20"/>
                <w:szCs w:val="20"/>
              </w:rPr>
            </w:pPr>
            <w:r w:rsidRPr="006D3CB1">
              <w:rPr>
                <w:rFonts w:ascii="Arial Narrow" w:hAnsi="Arial Narrow"/>
                <w:b/>
                <w:bCs/>
                <w:sz w:val="20"/>
                <w:szCs w:val="20"/>
              </w:rPr>
              <w:t>2014</w:t>
            </w:r>
          </w:p>
        </w:tc>
        <w:tc>
          <w:tcPr>
            <w:tcW w:w="509" w:type="dxa"/>
            <w:tcBorders>
              <w:top w:val="nil"/>
              <w:left w:val="nil"/>
              <w:bottom w:val="single" w:sz="4" w:space="0" w:color="auto"/>
              <w:right w:val="nil"/>
            </w:tcBorders>
            <w:shd w:val="clear" w:color="auto" w:fill="auto"/>
            <w:noWrap/>
            <w:vAlign w:val="center"/>
          </w:tcPr>
          <w:p w14:paraId="05FD0B60" w14:textId="77777777" w:rsidR="006D3CB1" w:rsidRPr="006D3CB1" w:rsidRDefault="006D3CB1" w:rsidP="006D3CB1">
            <w:pPr>
              <w:spacing w:after="0" w:line="240" w:lineRule="auto"/>
              <w:rPr>
                <w:rFonts w:ascii="Arial Narrow" w:hAnsi="Arial Narrow"/>
                <w:b/>
                <w:bCs/>
                <w:sz w:val="20"/>
                <w:szCs w:val="20"/>
              </w:rPr>
            </w:pPr>
            <w:r w:rsidRPr="006D3CB1">
              <w:rPr>
                <w:rFonts w:ascii="Arial Narrow" w:hAnsi="Arial Narrow"/>
                <w:b/>
                <w:bCs/>
                <w:sz w:val="20"/>
                <w:szCs w:val="20"/>
              </w:rPr>
              <w:t>2015</w:t>
            </w:r>
          </w:p>
        </w:tc>
        <w:tc>
          <w:tcPr>
            <w:tcW w:w="505" w:type="dxa"/>
            <w:tcBorders>
              <w:top w:val="nil"/>
              <w:left w:val="nil"/>
              <w:bottom w:val="single" w:sz="4" w:space="0" w:color="auto"/>
              <w:right w:val="nil"/>
            </w:tcBorders>
            <w:vAlign w:val="center"/>
          </w:tcPr>
          <w:p w14:paraId="57AA1CEB" w14:textId="77777777" w:rsidR="006D3CB1" w:rsidRPr="006D3CB1" w:rsidRDefault="006D3CB1" w:rsidP="006D3CB1">
            <w:pPr>
              <w:spacing w:after="0" w:line="240" w:lineRule="auto"/>
              <w:rPr>
                <w:rFonts w:ascii="Arial Narrow" w:hAnsi="Arial Narrow"/>
                <w:b/>
                <w:bCs/>
                <w:sz w:val="20"/>
                <w:szCs w:val="20"/>
              </w:rPr>
            </w:pPr>
            <w:r w:rsidRPr="006D3CB1">
              <w:rPr>
                <w:rFonts w:ascii="Arial Narrow" w:hAnsi="Arial Narrow"/>
                <w:b/>
                <w:bCs/>
                <w:sz w:val="20"/>
                <w:szCs w:val="20"/>
              </w:rPr>
              <w:t>2016</w:t>
            </w:r>
          </w:p>
        </w:tc>
        <w:tc>
          <w:tcPr>
            <w:tcW w:w="533" w:type="dxa"/>
            <w:tcBorders>
              <w:top w:val="nil"/>
              <w:left w:val="nil"/>
              <w:bottom w:val="single" w:sz="4" w:space="0" w:color="auto"/>
              <w:right w:val="nil"/>
            </w:tcBorders>
            <w:shd w:val="clear" w:color="auto" w:fill="auto"/>
            <w:noWrap/>
            <w:vAlign w:val="center"/>
          </w:tcPr>
          <w:p w14:paraId="3424424E" w14:textId="77777777" w:rsidR="006D3CB1" w:rsidRPr="006D3CB1" w:rsidRDefault="006D3CB1" w:rsidP="006D3CB1">
            <w:pPr>
              <w:spacing w:after="0" w:line="240" w:lineRule="auto"/>
              <w:rPr>
                <w:rFonts w:ascii="Arial Narrow" w:hAnsi="Arial Narrow"/>
                <w:b/>
                <w:bCs/>
                <w:sz w:val="20"/>
                <w:szCs w:val="20"/>
              </w:rPr>
            </w:pPr>
            <w:r w:rsidRPr="006D3CB1">
              <w:rPr>
                <w:rFonts w:ascii="Arial Narrow" w:hAnsi="Arial Narrow"/>
                <w:b/>
                <w:bCs/>
                <w:sz w:val="20"/>
                <w:szCs w:val="20"/>
              </w:rPr>
              <w:t>Cieľ 2020</w:t>
            </w:r>
          </w:p>
        </w:tc>
      </w:tr>
      <w:tr w:rsidR="006D3CB1" w:rsidRPr="00490878" w14:paraId="4B902DE6" w14:textId="77777777" w:rsidTr="006C785E">
        <w:trPr>
          <w:trHeight w:val="249"/>
          <w:jc w:val="center"/>
        </w:trPr>
        <w:tc>
          <w:tcPr>
            <w:tcW w:w="2977" w:type="dxa"/>
            <w:tcBorders>
              <w:top w:val="nil"/>
              <w:left w:val="nil"/>
              <w:bottom w:val="nil"/>
              <w:right w:val="nil"/>
            </w:tcBorders>
            <w:shd w:val="clear" w:color="auto" w:fill="auto"/>
            <w:noWrap/>
            <w:vAlign w:val="center"/>
            <w:hideMark/>
          </w:tcPr>
          <w:p w14:paraId="0B779AD7" w14:textId="77777777" w:rsidR="006D3CB1" w:rsidRPr="006D3CB1" w:rsidRDefault="006D3CB1" w:rsidP="006D3CB1">
            <w:pPr>
              <w:spacing w:after="0" w:line="240" w:lineRule="auto"/>
              <w:jc w:val="both"/>
              <w:rPr>
                <w:rFonts w:ascii="Arial Narrow" w:hAnsi="Arial Narrow"/>
                <w:b/>
                <w:bCs/>
                <w:color w:val="000000"/>
                <w:sz w:val="20"/>
                <w:szCs w:val="20"/>
              </w:rPr>
            </w:pPr>
            <w:r w:rsidRPr="006D3CB1">
              <w:rPr>
                <w:rFonts w:ascii="Arial Narrow" w:hAnsi="Arial Narrow"/>
                <w:b/>
                <w:bCs/>
                <w:color w:val="000000"/>
                <w:sz w:val="20"/>
                <w:szCs w:val="20"/>
              </w:rPr>
              <w:t>Ukazovateľ dlhodobej udržateľnosti (GAP)</w:t>
            </w:r>
            <w:r w:rsidRPr="006D3CB1">
              <w:rPr>
                <w:rStyle w:val="Odkaznapoznmkupodiarou"/>
                <w:rFonts w:ascii="Arial Narrow" w:hAnsi="Arial Narrow"/>
                <w:b/>
                <w:bCs/>
                <w:color w:val="000000"/>
                <w:sz w:val="20"/>
                <w:szCs w:val="20"/>
              </w:rPr>
              <w:footnoteReference w:id="24"/>
            </w:r>
          </w:p>
        </w:tc>
        <w:tc>
          <w:tcPr>
            <w:tcW w:w="575" w:type="dxa"/>
            <w:tcBorders>
              <w:top w:val="nil"/>
              <w:left w:val="nil"/>
              <w:bottom w:val="nil"/>
              <w:right w:val="nil"/>
            </w:tcBorders>
            <w:shd w:val="clear" w:color="auto" w:fill="auto"/>
            <w:noWrap/>
            <w:vAlign w:val="center"/>
            <w:hideMark/>
          </w:tcPr>
          <w:p w14:paraId="067BEB86" w14:textId="77777777" w:rsidR="006D3CB1" w:rsidRPr="006D3CB1" w:rsidRDefault="006D3CB1" w:rsidP="006D3CB1">
            <w:pPr>
              <w:spacing w:after="0" w:line="240" w:lineRule="auto"/>
              <w:jc w:val="center"/>
              <w:rPr>
                <w:rFonts w:ascii="Arial Narrow" w:hAnsi="Arial Narrow"/>
                <w:b/>
                <w:bCs/>
                <w:color w:val="000000"/>
                <w:sz w:val="20"/>
                <w:szCs w:val="20"/>
              </w:rPr>
            </w:pPr>
            <w:r w:rsidRPr="006D3CB1">
              <w:rPr>
                <w:rFonts w:ascii="Arial Narrow" w:hAnsi="Arial Narrow"/>
                <w:b/>
                <w:bCs/>
                <w:color w:val="000000"/>
                <w:sz w:val="20"/>
                <w:szCs w:val="20"/>
              </w:rPr>
              <w:t>SK</w:t>
            </w:r>
          </w:p>
        </w:tc>
        <w:tc>
          <w:tcPr>
            <w:tcW w:w="505" w:type="dxa"/>
            <w:tcBorders>
              <w:top w:val="nil"/>
              <w:left w:val="nil"/>
              <w:bottom w:val="nil"/>
              <w:right w:val="nil"/>
            </w:tcBorders>
            <w:shd w:val="clear" w:color="auto" w:fill="auto"/>
            <w:vAlign w:val="center"/>
          </w:tcPr>
          <w:p w14:paraId="5B0716BF" w14:textId="77777777" w:rsidR="006D3CB1" w:rsidRPr="006D3CB1" w:rsidRDefault="006D3CB1" w:rsidP="006D3CB1">
            <w:pPr>
              <w:spacing w:after="0" w:line="240" w:lineRule="auto"/>
              <w:jc w:val="center"/>
              <w:rPr>
                <w:rFonts w:ascii="Arial Narrow" w:hAnsi="Arial Narrow"/>
                <w:color w:val="000000"/>
                <w:sz w:val="20"/>
                <w:szCs w:val="20"/>
              </w:rPr>
            </w:pPr>
            <w:r w:rsidRPr="006D3CB1">
              <w:rPr>
                <w:rFonts w:ascii="Arial Narrow" w:hAnsi="Arial Narrow"/>
                <w:color w:val="000000"/>
                <w:sz w:val="20"/>
                <w:szCs w:val="20"/>
              </w:rPr>
              <w:t>-</w:t>
            </w:r>
          </w:p>
        </w:tc>
        <w:tc>
          <w:tcPr>
            <w:tcW w:w="508" w:type="dxa"/>
            <w:tcBorders>
              <w:top w:val="nil"/>
              <w:left w:val="nil"/>
              <w:bottom w:val="nil"/>
              <w:right w:val="nil"/>
            </w:tcBorders>
            <w:shd w:val="clear" w:color="auto" w:fill="auto"/>
            <w:vAlign w:val="center"/>
          </w:tcPr>
          <w:p w14:paraId="3A007787" w14:textId="77777777" w:rsidR="006D3CB1" w:rsidRPr="006D3CB1" w:rsidRDefault="006D3CB1" w:rsidP="006D3CB1">
            <w:pPr>
              <w:spacing w:after="0" w:line="240" w:lineRule="auto"/>
              <w:jc w:val="center"/>
              <w:rPr>
                <w:rFonts w:ascii="Arial Narrow" w:hAnsi="Arial Narrow"/>
                <w:color w:val="000000"/>
                <w:sz w:val="20"/>
                <w:szCs w:val="20"/>
              </w:rPr>
            </w:pPr>
            <w:r w:rsidRPr="006D3CB1">
              <w:rPr>
                <w:rFonts w:ascii="Arial Narrow" w:hAnsi="Arial Narrow"/>
                <w:color w:val="000000"/>
                <w:sz w:val="20"/>
                <w:szCs w:val="20"/>
              </w:rPr>
              <w:t>9,5</w:t>
            </w:r>
          </w:p>
        </w:tc>
        <w:tc>
          <w:tcPr>
            <w:tcW w:w="509" w:type="dxa"/>
            <w:tcBorders>
              <w:top w:val="nil"/>
              <w:left w:val="nil"/>
              <w:bottom w:val="nil"/>
              <w:right w:val="nil"/>
            </w:tcBorders>
            <w:shd w:val="clear" w:color="auto" w:fill="auto"/>
            <w:vAlign w:val="center"/>
          </w:tcPr>
          <w:p w14:paraId="3EF63D3A" w14:textId="77777777" w:rsidR="006D3CB1" w:rsidRPr="006D3CB1" w:rsidRDefault="006D3CB1" w:rsidP="006D3CB1">
            <w:pPr>
              <w:spacing w:after="0" w:line="240" w:lineRule="auto"/>
              <w:jc w:val="center"/>
              <w:rPr>
                <w:rFonts w:ascii="Arial Narrow" w:hAnsi="Arial Narrow"/>
                <w:color w:val="000000"/>
                <w:sz w:val="20"/>
                <w:szCs w:val="20"/>
              </w:rPr>
            </w:pPr>
            <w:r w:rsidRPr="006D3CB1">
              <w:rPr>
                <w:rFonts w:ascii="Arial Narrow" w:hAnsi="Arial Narrow"/>
                <w:color w:val="000000"/>
                <w:sz w:val="20"/>
                <w:szCs w:val="20"/>
              </w:rPr>
              <w:t>9,2</w:t>
            </w:r>
          </w:p>
        </w:tc>
        <w:tc>
          <w:tcPr>
            <w:tcW w:w="509" w:type="dxa"/>
            <w:tcBorders>
              <w:top w:val="nil"/>
              <w:left w:val="nil"/>
              <w:bottom w:val="nil"/>
              <w:right w:val="nil"/>
            </w:tcBorders>
            <w:shd w:val="clear" w:color="auto" w:fill="auto"/>
            <w:vAlign w:val="center"/>
          </w:tcPr>
          <w:p w14:paraId="0797A2FB" w14:textId="77777777" w:rsidR="006D3CB1" w:rsidRPr="006D3CB1" w:rsidRDefault="006D3CB1" w:rsidP="006D3CB1">
            <w:pPr>
              <w:spacing w:after="0" w:line="240" w:lineRule="auto"/>
              <w:jc w:val="center"/>
              <w:rPr>
                <w:rFonts w:ascii="Arial Narrow" w:hAnsi="Arial Narrow"/>
                <w:color w:val="000000"/>
                <w:sz w:val="20"/>
                <w:szCs w:val="20"/>
              </w:rPr>
            </w:pPr>
            <w:r w:rsidRPr="006D3CB1">
              <w:rPr>
                <w:rFonts w:ascii="Arial Narrow" w:hAnsi="Arial Narrow"/>
                <w:color w:val="000000"/>
                <w:sz w:val="20"/>
                <w:szCs w:val="20"/>
              </w:rPr>
              <w:t>7</w:t>
            </w:r>
          </w:p>
        </w:tc>
        <w:tc>
          <w:tcPr>
            <w:tcW w:w="509" w:type="dxa"/>
            <w:tcBorders>
              <w:top w:val="nil"/>
              <w:left w:val="nil"/>
              <w:bottom w:val="nil"/>
              <w:right w:val="nil"/>
            </w:tcBorders>
            <w:shd w:val="clear" w:color="auto" w:fill="auto"/>
            <w:vAlign w:val="center"/>
          </w:tcPr>
          <w:p w14:paraId="5F54208B" w14:textId="77777777" w:rsidR="006D3CB1" w:rsidRPr="006D3CB1" w:rsidRDefault="006D3CB1" w:rsidP="006D3CB1">
            <w:pPr>
              <w:spacing w:after="0" w:line="240" w:lineRule="auto"/>
              <w:jc w:val="center"/>
              <w:rPr>
                <w:rFonts w:ascii="Arial Narrow" w:hAnsi="Arial Narrow"/>
                <w:color w:val="000000"/>
                <w:sz w:val="20"/>
                <w:szCs w:val="20"/>
              </w:rPr>
            </w:pPr>
            <w:r w:rsidRPr="006D3CB1">
              <w:rPr>
                <w:rFonts w:ascii="Arial Narrow" w:hAnsi="Arial Narrow"/>
                <w:color w:val="000000"/>
                <w:sz w:val="20"/>
                <w:szCs w:val="20"/>
              </w:rPr>
              <w:t>4</w:t>
            </w:r>
          </w:p>
        </w:tc>
        <w:tc>
          <w:tcPr>
            <w:tcW w:w="509" w:type="dxa"/>
            <w:tcBorders>
              <w:top w:val="nil"/>
              <w:left w:val="nil"/>
              <w:bottom w:val="nil"/>
              <w:right w:val="nil"/>
            </w:tcBorders>
            <w:shd w:val="clear" w:color="auto" w:fill="auto"/>
            <w:vAlign w:val="center"/>
          </w:tcPr>
          <w:p w14:paraId="39715887" w14:textId="77777777" w:rsidR="006D3CB1" w:rsidRPr="006D3CB1" w:rsidRDefault="006D3CB1" w:rsidP="006D3CB1">
            <w:pPr>
              <w:spacing w:after="0" w:line="240" w:lineRule="auto"/>
              <w:jc w:val="center"/>
              <w:rPr>
                <w:rFonts w:ascii="Arial Narrow" w:hAnsi="Arial Narrow"/>
                <w:color w:val="000000"/>
                <w:sz w:val="20"/>
                <w:szCs w:val="20"/>
              </w:rPr>
            </w:pPr>
            <w:r w:rsidRPr="006D3CB1">
              <w:rPr>
                <w:rFonts w:ascii="Arial Narrow" w:hAnsi="Arial Narrow"/>
                <w:color w:val="000000"/>
                <w:sz w:val="20"/>
                <w:szCs w:val="20"/>
              </w:rPr>
              <w:t>1,9</w:t>
            </w:r>
          </w:p>
        </w:tc>
        <w:tc>
          <w:tcPr>
            <w:tcW w:w="509" w:type="dxa"/>
            <w:tcBorders>
              <w:top w:val="nil"/>
              <w:left w:val="nil"/>
              <w:bottom w:val="nil"/>
              <w:right w:val="nil"/>
            </w:tcBorders>
            <w:shd w:val="clear" w:color="auto" w:fill="auto"/>
            <w:vAlign w:val="center"/>
          </w:tcPr>
          <w:p w14:paraId="4C5DF953" w14:textId="77777777" w:rsidR="006D3CB1" w:rsidRPr="006D3CB1" w:rsidRDefault="006D3CB1" w:rsidP="006D3CB1">
            <w:pPr>
              <w:spacing w:after="0" w:line="240" w:lineRule="auto"/>
              <w:jc w:val="center"/>
              <w:rPr>
                <w:rFonts w:ascii="Arial Narrow" w:hAnsi="Arial Narrow"/>
                <w:color w:val="000000"/>
                <w:sz w:val="20"/>
                <w:szCs w:val="20"/>
              </w:rPr>
            </w:pPr>
            <w:r w:rsidRPr="006D3CB1">
              <w:rPr>
                <w:rFonts w:ascii="Arial Narrow" w:hAnsi="Arial Narrow"/>
                <w:color w:val="000000"/>
                <w:sz w:val="20"/>
                <w:szCs w:val="20"/>
              </w:rPr>
              <w:t xml:space="preserve"> 1,4 </w:t>
            </w:r>
          </w:p>
        </w:tc>
        <w:tc>
          <w:tcPr>
            <w:tcW w:w="509" w:type="dxa"/>
            <w:tcBorders>
              <w:top w:val="nil"/>
              <w:left w:val="nil"/>
              <w:bottom w:val="nil"/>
              <w:right w:val="nil"/>
            </w:tcBorders>
            <w:shd w:val="clear" w:color="auto" w:fill="auto"/>
            <w:vAlign w:val="center"/>
          </w:tcPr>
          <w:p w14:paraId="4C32CD87" w14:textId="77777777" w:rsidR="006D3CB1" w:rsidRPr="006D3CB1" w:rsidRDefault="006D3CB1" w:rsidP="006D3CB1">
            <w:pPr>
              <w:spacing w:after="0" w:line="240" w:lineRule="auto"/>
              <w:jc w:val="center"/>
              <w:rPr>
                <w:rFonts w:ascii="Arial Narrow" w:hAnsi="Arial Narrow"/>
                <w:color w:val="000000"/>
                <w:sz w:val="20"/>
                <w:szCs w:val="20"/>
              </w:rPr>
            </w:pPr>
            <w:r w:rsidRPr="006D3CB1">
              <w:rPr>
                <w:rFonts w:ascii="Arial Narrow" w:hAnsi="Arial Narrow"/>
                <w:color w:val="000000"/>
                <w:sz w:val="20"/>
                <w:szCs w:val="20"/>
              </w:rPr>
              <w:t>0,4</w:t>
            </w:r>
          </w:p>
        </w:tc>
        <w:tc>
          <w:tcPr>
            <w:tcW w:w="505" w:type="dxa"/>
            <w:tcBorders>
              <w:top w:val="nil"/>
              <w:left w:val="nil"/>
              <w:bottom w:val="nil"/>
              <w:right w:val="nil"/>
            </w:tcBorders>
            <w:shd w:val="clear" w:color="auto" w:fill="auto"/>
            <w:vAlign w:val="center"/>
          </w:tcPr>
          <w:p w14:paraId="54038EDB" w14:textId="77777777" w:rsidR="006D3CB1" w:rsidRPr="006D3CB1" w:rsidRDefault="006D3CB1" w:rsidP="006D3CB1">
            <w:pPr>
              <w:spacing w:after="0" w:line="240" w:lineRule="auto"/>
              <w:rPr>
                <w:rFonts w:ascii="Arial Narrow" w:hAnsi="Arial Narrow"/>
                <w:color w:val="000000"/>
                <w:sz w:val="20"/>
                <w:szCs w:val="20"/>
              </w:rPr>
            </w:pPr>
            <w:r w:rsidRPr="006D3CB1">
              <w:rPr>
                <w:rFonts w:ascii="Arial Narrow" w:hAnsi="Arial Narrow"/>
                <w:color w:val="000000"/>
                <w:sz w:val="20"/>
                <w:szCs w:val="20"/>
              </w:rPr>
              <w:t>-0,1</w:t>
            </w:r>
          </w:p>
        </w:tc>
        <w:tc>
          <w:tcPr>
            <w:tcW w:w="533" w:type="dxa"/>
            <w:tcBorders>
              <w:top w:val="nil"/>
              <w:left w:val="nil"/>
              <w:bottom w:val="nil"/>
              <w:right w:val="nil"/>
            </w:tcBorders>
            <w:shd w:val="clear" w:color="auto" w:fill="auto"/>
            <w:vAlign w:val="center"/>
          </w:tcPr>
          <w:p w14:paraId="278C4718" w14:textId="77777777" w:rsidR="006D3CB1" w:rsidRPr="006D3CB1" w:rsidRDefault="006D3CB1" w:rsidP="006D3CB1">
            <w:pPr>
              <w:spacing w:after="0" w:line="240" w:lineRule="auto"/>
              <w:jc w:val="center"/>
              <w:rPr>
                <w:rFonts w:ascii="Arial Narrow" w:hAnsi="Arial Narrow"/>
                <w:color w:val="000000"/>
                <w:sz w:val="20"/>
                <w:szCs w:val="20"/>
              </w:rPr>
            </w:pPr>
            <w:r w:rsidRPr="006D3CB1">
              <w:rPr>
                <w:rFonts w:ascii="Arial Narrow" w:hAnsi="Arial Narrow"/>
                <w:color w:val="000000"/>
                <w:sz w:val="20"/>
                <w:szCs w:val="20"/>
              </w:rPr>
              <w:t>0</w:t>
            </w:r>
          </w:p>
        </w:tc>
      </w:tr>
      <w:tr w:rsidR="006D3CB1" w:rsidRPr="00490878" w14:paraId="1F7CD41A" w14:textId="77777777" w:rsidTr="006C785E">
        <w:trPr>
          <w:trHeight w:val="237"/>
          <w:jc w:val="center"/>
        </w:trPr>
        <w:tc>
          <w:tcPr>
            <w:tcW w:w="2977" w:type="dxa"/>
            <w:tcBorders>
              <w:top w:val="nil"/>
              <w:left w:val="nil"/>
              <w:bottom w:val="single" w:sz="4" w:space="0" w:color="auto"/>
              <w:right w:val="nil"/>
            </w:tcBorders>
            <w:shd w:val="clear" w:color="auto" w:fill="auto"/>
            <w:noWrap/>
            <w:vAlign w:val="center"/>
            <w:hideMark/>
          </w:tcPr>
          <w:p w14:paraId="753DA3A6" w14:textId="77777777" w:rsidR="006D3CB1" w:rsidRPr="006D3CB1" w:rsidRDefault="006D3CB1" w:rsidP="006D3CB1">
            <w:pPr>
              <w:spacing w:after="0" w:line="240" w:lineRule="auto"/>
              <w:jc w:val="both"/>
              <w:rPr>
                <w:rFonts w:ascii="Arial Narrow" w:hAnsi="Arial Narrow"/>
                <w:color w:val="000000"/>
                <w:sz w:val="20"/>
                <w:szCs w:val="20"/>
              </w:rPr>
            </w:pPr>
            <w:r w:rsidRPr="006D3CB1">
              <w:rPr>
                <w:rFonts w:ascii="Arial Narrow" w:hAnsi="Arial Narrow"/>
                <w:color w:val="000000"/>
                <w:sz w:val="20"/>
                <w:szCs w:val="20"/>
              </w:rPr>
              <w:t>(% HDP)</w:t>
            </w:r>
          </w:p>
        </w:tc>
        <w:tc>
          <w:tcPr>
            <w:tcW w:w="575" w:type="dxa"/>
            <w:tcBorders>
              <w:top w:val="nil"/>
              <w:left w:val="nil"/>
              <w:bottom w:val="single" w:sz="4" w:space="0" w:color="auto"/>
              <w:right w:val="nil"/>
            </w:tcBorders>
            <w:shd w:val="clear" w:color="auto" w:fill="auto"/>
            <w:noWrap/>
            <w:vAlign w:val="center"/>
            <w:hideMark/>
          </w:tcPr>
          <w:p w14:paraId="58BC0200" w14:textId="77777777" w:rsidR="006D3CB1" w:rsidRPr="006D3CB1" w:rsidRDefault="006D3CB1" w:rsidP="006D3CB1">
            <w:pPr>
              <w:spacing w:after="0" w:line="240" w:lineRule="auto"/>
              <w:jc w:val="center"/>
              <w:rPr>
                <w:rFonts w:ascii="Arial Narrow" w:hAnsi="Arial Narrow"/>
                <w:b/>
                <w:bCs/>
                <w:color w:val="000000"/>
                <w:sz w:val="20"/>
                <w:szCs w:val="20"/>
              </w:rPr>
            </w:pPr>
            <w:r w:rsidRPr="006D3CB1">
              <w:rPr>
                <w:rFonts w:ascii="Arial Narrow" w:hAnsi="Arial Narrow"/>
                <w:b/>
                <w:bCs/>
                <w:color w:val="000000"/>
                <w:sz w:val="20"/>
                <w:szCs w:val="20"/>
              </w:rPr>
              <w:t>EÚ</w:t>
            </w:r>
          </w:p>
        </w:tc>
        <w:tc>
          <w:tcPr>
            <w:tcW w:w="505" w:type="dxa"/>
            <w:tcBorders>
              <w:top w:val="nil"/>
              <w:left w:val="nil"/>
              <w:bottom w:val="single" w:sz="4" w:space="0" w:color="auto"/>
              <w:right w:val="nil"/>
            </w:tcBorders>
            <w:shd w:val="clear" w:color="auto" w:fill="auto"/>
            <w:vAlign w:val="center"/>
          </w:tcPr>
          <w:p w14:paraId="3FA5AD04" w14:textId="77777777" w:rsidR="006D3CB1" w:rsidRPr="006D3CB1" w:rsidRDefault="006D3CB1" w:rsidP="006D3CB1">
            <w:pPr>
              <w:spacing w:after="0" w:line="240" w:lineRule="auto"/>
              <w:jc w:val="center"/>
              <w:rPr>
                <w:rFonts w:ascii="Arial Narrow" w:hAnsi="Arial Narrow"/>
                <w:color w:val="000000"/>
                <w:sz w:val="20"/>
                <w:szCs w:val="20"/>
              </w:rPr>
            </w:pPr>
            <w:r w:rsidRPr="006D3CB1">
              <w:rPr>
                <w:rFonts w:ascii="Arial Narrow" w:hAnsi="Arial Narrow"/>
                <w:color w:val="000000"/>
                <w:sz w:val="20"/>
                <w:szCs w:val="20"/>
              </w:rPr>
              <w:t>-</w:t>
            </w:r>
          </w:p>
        </w:tc>
        <w:tc>
          <w:tcPr>
            <w:tcW w:w="508" w:type="dxa"/>
            <w:tcBorders>
              <w:top w:val="nil"/>
              <w:left w:val="nil"/>
              <w:bottom w:val="single" w:sz="4" w:space="0" w:color="auto"/>
              <w:right w:val="nil"/>
            </w:tcBorders>
            <w:shd w:val="clear" w:color="auto" w:fill="auto"/>
            <w:vAlign w:val="center"/>
          </w:tcPr>
          <w:p w14:paraId="51EB4553" w14:textId="77777777" w:rsidR="006D3CB1" w:rsidRPr="006D3CB1" w:rsidRDefault="006D3CB1" w:rsidP="006D3CB1">
            <w:pPr>
              <w:spacing w:after="0" w:line="240" w:lineRule="auto"/>
              <w:jc w:val="center"/>
              <w:rPr>
                <w:rFonts w:ascii="Arial Narrow" w:hAnsi="Arial Narrow"/>
                <w:color w:val="000000"/>
                <w:sz w:val="20"/>
                <w:szCs w:val="20"/>
              </w:rPr>
            </w:pPr>
            <w:r w:rsidRPr="006D3CB1">
              <w:rPr>
                <w:rFonts w:ascii="Arial Narrow" w:hAnsi="Arial Narrow"/>
                <w:color w:val="000000"/>
                <w:sz w:val="20"/>
                <w:szCs w:val="20"/>
              </w:rPr>
              <w:t>-</w:t>
            </w:r>
          </w:p>
        </w:tc>
        <w:tc>
          <w:tcPr>
            <w:tcW w:w="509" w:type="dxa"/>
            <w:tcBorders>
              <w:top w:val="nil"/>
              <w:left w:val="nil"/>
              <w:bottom w:val="single" w:sz="4" w:space="0" w:color="auto"/>
              <w:right w:val="nil"/>
            </w:tcBorders>
            <w:shd w:val="clear" w:color="auto" w:fill="auto"/>
            <w:vAlign w:val="center"/>
          </w:tcPr>
          <w:p w14:paraId="49CF56F2" w14:textId="77777777" w:rsidR="006D3CB1" w:rsidRPr="006D3CB1" w:rsidRDefault="006D3CB1" w:rsidP="006D3CB1">
            <w:pPr>
              <w:spacing w:after="0" w:line="240" w:lineRule="auto"/>
              <w:jc w:val="center"/>
              <w:rPr>
                <w:rFonts w:ascii="Arial Narrow" w:hAnsi="Arial Narrow"/>
                <w:color w:val="000000"/>
                <w:sz w:val="20"/>
                <w:szCs w:val="20"/>
              </w:rPr>
            </w:pPr>
            <w:r w:rsidRPr="006D3CB1">
              <w:rPr>
                <w:rFonts w:ascii="Arial Narrow" w:hAnsi="Arial Narrow"/>
                <w:color w:val="000000"/>
                <w:sz w:val="20"/>
                <w:szCs w:val="20"/>
              </w:rPr>
              <w:t>-</w:t>
            </w:r>
          </w:p>
        </w:tc>
        <w:tc>
          <w:tcPr>
            <w:tcW w:w="509" w:type="dxa"/>
            <w:tcBorders>
              <w:top w:val="nil"/>
              <w:left w:val="nil"/>
              <w:bottom w:val="single" w:sz="4" w:space="0" w:color="auto"/>
              <w:right w:val="nil"/>
            </w:tcBorders>
            <w:shd w:val="clear" w:color="auto" w:fill="auto"/>
            <w:vAlign w:val="center"/>
          </w:tcPr>
          <w:p w14:paraId="32475AEE" w14:textId="77777777" w:rsidR="006D3CB1" w:rsidRPr="006D3CB1" w:rsidRDefault="006D3CB1" w:rsidP="006D3CB1">
            <w:pPr>
              <w:spacing w:after="0" w:line="240" w:lineRule="auto"/>
              <w:jc w:val="center"/>
              <w:rPr>
                <w:rFonts w:ascii="Arial Narrow" w:hAnsi="Arial Narrow"/>
                <w:color w:val="000000"/>
                <w:sz w:val="20"/>
                <w:szCs w:val="20"/>
              </w:rPr>
            </w:pPr>
            <w:r w:rsidRPr="006D3CB1">
              <w:rPr>
                <w:rFonts w:ascii="Arial Narrow" w:hAnsi="Arial Narrow"/>
                <w:color w:val="000000"/>
                <w:sz w:val="20"/>
                <w:szCs w:val="20"/>
              </w:rPr>
              <w:t xml:space="preserve"> - </w:t>
            </w:r>
          </w:p>
        </w:tc>
        <w:tc>
          <w:tcPr>
            <w:tcW w:w="509" w:type="dxa"/>
            <w:tcBorders>
              <w:top w:val="nil"/>
              <w:left w:val="nil"/>
              <w:bottom w:val="single" w:sz="4" w:space="0" w:color="auto"/>
              <w:right w:val="nil"/>
            </w:tcBorders>
            <w:shd w:val="clear" w:color="auto" w:fill="auto"/>
            <w:vAlign w:val="center"/>
          </w:tcPr>
          <w:p w14:paraId="76782E34" w14:textId="77777777" w:rsidR="006D3CB1" w:rsidRPr="006D3CB1" w:rsidRDefault="006D3CB1" w:rsidP="006D3CB1">
            <w:pPr>
              <w:spacing w:after="0" w:line="240" w:lineRule="auto"/>
              <w:jc w:val="center"/>
              <w:rPr>
                <w:rFonts w:ascii="Arial Narrow" w:hAnsi="Arial Narrow"/>
                <w:color w:val="000000"/>
                <w:sz w:val="20"/>
                <w:szCs w:val="20"/>
              </w:rPr>
            </w:pPr>
            <w:r w:rsidRPr="006D3CB1">
              <w:rPr>
                <w:rFonts w:ascii="Arial Narrow" w:hAnsi="Arial Narrow"/>
                <w:color w:val="000000"/>
                <w:sz w:val="20"/>
                <w:szCs w:val="20"/>
              </w:rPr>
              <w:t xml:space="preserve"> - </w:t>
            </w:r>
          </w:p>
        </w:tc>
        <w:tc>
          <w:tcPr>
            <w:tcW w:w="509" w:type="dxa"/>
            <w:tcBorders>
              <w:top w:val="nil"/>
              <w:left w:val="nil"/>
              <w:bottom w:val="single" w:sz="4" w:space="0" w:color="auto"/>
              <w:right w:val="nil"/>
            </w:tcBorders>
            <w:shd w:val="clear" w:color="auto" w:fill="auto"/>
            <w:vAlign w:val="center"/>
          </w:tcPr>
          <w:p w14:paraId="7B91879C" w14:textId="77777777" w:rsidR="006D3CB1" w:rsidRPr="006D3CB1" w:rsidRDefault="006D3CB1" w:rsidP="006D3CB1">
            <w:pPr>
              <w:spacing w:after="0" w:line="240" w:lineRule="auto"/>
              <w:jc w:val="center"/>
              <w:rPr>
                <w:rFonts w:ascii="Arial Narrow" w:hAnsi="Arial Narrow"/>
                <w:color w:val="000000"/>
                <w:sz w:val="20"/>
                <w:szCs w:val="20"/>
              </w:rPr>
            </w:pPr>
            <w:r w:rsidRPr="006D3CB1">
              <w:rPr>
                <w:rFonts w:ascii="Arial Narrow" w:hAnsi="Arial Narrow"/>
                <w:color w:val="000000"/>
                <w:sz w:val="20"/>
                <w:szCs w:val="20"/>
              </w:rPr>
              <w:t xml:space="preserve"> - </w:t>
            </w:r>
          </w:p>
        </w:tc>
        <w:tc>
          <w:tcPr>
            <w:tcW w:w="509" w:type="dxa"/>
            <w:tcBorders>
              <w:top w:val="nil"/>
              <w:left w:val="nil"/>
              <w:bottom w:val="single" w:sz="4" w:space="0" w:color="auto"/>
              <w:right w:val="nil"/>
            </w:tcBorders>
            <w:shd w:val="clear" w:color="auto" w:fill="auto"/>
            <w:vAlign w:val="center"/>
          </w:tcPr>
          <w:p w14:paraId="190C5C4B" w14:textId="77777777" w:rsidR="006D3CB1" w:rsidRPr="006D3CB1" w:rsidRDefault="006D3CB1" w:rsidP="006D3CB1">
            <w:pPr>
              <w:spacing w:after="0" w:line="240" w:lineRule="auto"/>
              <w:jc w:val="center"/>
              <w:rPr>
                <w:rFonts w:ascii="Arial Narrow" w:hAnsi="Arial Narrow"/>
                <w:color w:val="000000"/>
                <w:sz w:val="20"/>
                <w:szCs w:val="20"/>
              </w:rPr>
            </w:pPr>
            <w:r w:rsidRPr="006D3CB1">
              <w:rPr>
                <w:rFonts w:ascii="Arial Narrow" w:hAnsi="Arial Narrow"/>
                <w:color w:val="000000"/>
                <w:sz w:val="20"/>
                <w:szCs w:val="20"/>
              </w:rPr>
              <w:t xml:space="preserve"> - </w:t>
            </w:r>
          </w:p>
        </w:tc>
        <w:tc>
          <w:tcPr>
            <w:tcW w:w="509" w:type="dxa"/>
            <w:tcBorders>
              <w:top w:val="nil"/>
              <w:left w:val="nil"/>
              <w:bottom w:val="single" w:sz="4" w:space="0" w:color="auto"/>
              <w:right w:val="nil"/>
            </w:tcBorders>
            <w:shd w:val="clear" w:color="auto" w:fill="auto"/>
            <w:vAlign w:val="center"/>
          </w:tcPr>
          <w:p w14:paraId="0A3D5D06" w14:textId="77777777" w:rsidR="006D3CB1" w:rsidRPr="006D3CB1" w:rsidRDefault="006D3CB1" w:rsidP="006D3CB1">
            <w:pPr>
              <w:spacing w:after="0" w:line="240" w:lineRule="auto"/>
              <w:jc w:val="center"/>
              <w:rPr>
                <w:rFonts w:ascii="Arial Narrow" w:hAnsi="Arial Narrow"/>
                <w:color w:val="000000"/>
                <w:sz w:val="20"/>
                <w:szCs w:val="20"/>
              </w:rPr>
            </w:pPr>
          </w:p>
        </w:tc>
        <w:tc>
          <w:tcPr>
            <w:tcW w:w="505" w:type="dxa"/>
            <w:tcBorders>
              <w:top w:val="nil"/>
              <w:left w:val="nil"/>
              <w:bottom w:val="single" w:sz="4" w:space="0" w:color="auto"/>
              <w:right w:val="nil"/>
            </w:tcBorders>
            <w:shd w:val="clear" w:color="auto" w:fill="auto"/>
            <w:vAlign w:val="center"/>
          </w:tcPr>
          <w:p w14:paraId="6F26765C" w14:textId="77777777" w:rsidR="006D3CB1" w:rsidRPr="006D3CB1" w:rsidRDefault="006D3CB1" w:rsidP="006D3CB1">
            <w:pPr>
              <w:spacing w:after="0" w:line="240" w:lineRule="auto"/>
              <w:jc w:val="center"/>
              <w:rPr>
                <w:rFonts w:ascii="Arial Narrow" w:hAnsi="Arial Narrow"/>
                <w:color w:val="000000"/>
                <w:sz w:val="20"/>
                <w:szCs w:val="20"/>
              </w:rPr>
            </w:pPr>
            <w:r w:rsidRPr="006D3CB1">
              <w:rPr>
                <w:rFonts w:ascii="Arial Narrow" w:hAnsi="Arial Narrow"/>
                <w:color w:val="000000"/>
                <w:sz w:val="20"/>
                <w:szCs w:val="20"/>
              </w:rPr>
              <w:t>-</w:t>
            </w:r>
          </w:p>
        </w:tc>
        <w:tc>
          <w:tcPr>
            <w:tcW w:w="533" w:type="dxa"/>
            <w:tcBorders>
              <w:top w:val="nil"/>
              <w:left w:val="nil"/>
              <w:bottom w:val="single" w:sz="4" w:space="0" w:color="auto"/>
              <w:right w:val="nil"/>
            </w:tcBorders>
            <w:shd w:val="clear" w:color="auto" w:fill="auto"/>
            <w:vAlign w:val="center"/>
          </w:tcPr>
          <w:p w14:paraId="319796B1" w14:textId="77777777" w:rsidR="006D3CB1" w:rsidRPr="006D3CB1" w:rsidRDefault="006D3CB1" w:rsidP="006D3CB1">
            <w:pPr>
              <w:spacing w:after="0" w:line="240" w:lineRule="auto"/>
              <w:jc w:val="center"/>
              <w:rPr>
                <w:rFonts w:ascii="Arial Narrow" w:hAnsi="Arial Narrow"/>
                <w:color w:val="000000"/>
                <w:sz w:val="20"/>
                <w:szCs w:val="20"/>
              </w:rPr>
            </w:pPr>
            <w:r w:rsidRPr="006D3CB1">
              <w:rPr>
                <w:rFonts w:ascii="Arial Narrow" w:hAnsi="Arial Narrow"/>
                <w:color w:val="000000"/>
                <w:sz w:val="20"/>
                <w:szCs w:val="20"/>
              </w:rPr>
              <w:t>-</w:t>
            </w:r>
          </w:p>
        </w:tc>
      </w:tr>
      <w:tr w:rsidR="006C785E" w:rsidRPr="00490878" w14:paraId="708C3EBE" w14:textId="77777777" w:rsidTr="006C785E">
        <w:trPr>
          <w:trHeight w:val="237"/>
          <w:jc w:val="center"/>
        </w:trPr>
        <w:tc>
          <w:tcPr>
            <w:tcW w:w="2977" w:type="dxa"/>
            <w:tcBorders>
              <w:top w:val="nil"/>
              <w:left w:val="nil"/>
              <w:right w:val="nil"/>
            </w:tcBorders>
            <w:shd w:val="clear" w:color="auto" w:fill="auto"/>
            <w:noWrap/>
            <w:vAlign w:val="center"/>
            <w:hideMark/>
          </w:tcPr>
          <w:p w14:paraId="12E1AE15" w14:textId="77777777" w:rsidR="006C785E" w:rsidRPr="006C785E" w:rsidRDefault="006C785E" w:rsidP="006C785E">
            <w:pPr>
              <w:spacing w:after="0" w:line="240" w:lineRule="auto"/>
              <w:rPr>
                <w:rFonts w:ascii="Arial Narrow" w:hAnsi="Arial Narrow"/>
                <w:b/>
                <w:bCs/>
                <w:color w:val="000000"/>
                <w:sz w:val="20"/>
                <w:szCs w:val="20"/>
              </w:rPr>
            </w:pPr>
            <w:r w:rsidRPr="006C785E">
              <w:rPr>
                <w:rFonts w:ascii="Arial Narrow" w:hAnsi="Arial Narrow"/>
                <w:b/>
                <w:bCs/>
                <w:color w:val="000000"/>
                <w:sz w:val="20"/>
                <w:szCs w:val="20"/>
              </w:rPr>
              <w:t>Efektívnosť výberu DPH</w:t>
            </w:r>
          </w:p>
        </w:tc>
        <w:tc>
          <w:tcPr>
            <w:tcW w:w="575" w:type="dxa"/>
            <w:tcBorders>
              <w:top w:val="nil"/>
              <w:left w:val="nil"/>
              <w:right w:val="nil"/>
            </w:tcBorders>
            <w:shd w:val="clear" w:color="auto" w:fill="auto"/>
            <w:noWrap/>
            <w:vAlign w:val="center"/>
            <w:hideMark/>
          </w:tcPr>
          <w:p w14:paraId="76E01DCA" w14:textId="77777777" w:rsidR="006C785E" w:rsidRPr="006C785E" w:rsidRDefault="006C785E" w:rsidP="006C785E">
            <w:pPr>
              <w:spacing w:after="0" w:line="240" w:lineRule="auto"/>
              <w:jc w:val="center"/>
              <w:rPr>
                <w:rFonts w:ascii="Arial Narrow" w:hAnsi="Arial Narrow"/>
                <w:b/>
                <w:bCs/>
                <w:color w:val="000000"/>
                <w:sz w:val="20"/>
                <w:szCs w:val="20"/>
              </w:rPr>
            </w:pPr>
            <w:r w:rsidRPr="006C785E">
              <w:rPr>
                <w:rFonts w:ascii="Arial Narrow" w:hAnsi="Arial Narrow"/>
                <w:b/>
                <w:bCs/>
                <w:color w:val="000000"/>
                <w:sz w:val="20"/>
                <w:szCs w:val="20"/>
              </w:rPr>
              <w:t>SK</w:t>
            </w:r>
          </w:p>
        </w:tc>
        <w:tc>
          <w:tcPr>
            <w:tcW w:w="505" w:type="dxa"/>
            <w:tcBorders>
              <w:top w:val="nil"/>
              <w:left w:val="nil"/>
              <w:right w:val="nil"/>
            </w:tcBorders>
            <w:vAlign w:val="center"/>
          </w:tcPr>
          <w:p w14:paraId="0EE3B723" w14:textId="77777777" w:rsidR="006C785E" w:rsidRPr="006C785E" w:rsidRDefault="006C785E" w:rsidP="006C785E">
            <w:pPr>
              <w:spacing w:after="0" w:line="240" w:lineRule="auto"/>
              <w:jc w:val="center"/>
              <w:rPr>
                <w:rFonts w:ascii="Arial Narrow" w:hAnsi="Arial Narrow"/>
                <w:sz w:val="20"/>
                <w:szCs w:val="20"/>
              </w:rPr>
            </w:pPr>
            <w:r w:rsidRPr="006C785E">
              <w:rPr>
                <w:rFonts w:ascii="Arial Narrow" w:hAnsi="Arial Narrow"/>
                <w:sz w:val="20"/>
                <w:szCs w:val="20"/>
              </w:rPr>
              <w:t>62,3</w:t>
            </w:r>
          </w:p>
        </w:tc>
        <w:tc>
          <w:tcPr>
            <w:tcW w:w="508" w:type="dxa"/>
            <w:tcBorders>
              <w:top w:val="nil"/>
              <w:left w:val="nil"/>
              <w:right w:val="nil"/>
            </w:tcBorders>
            <w:shd w:val="clear" w:color="auto" w:fill="auto"/>
            <w:vAlign w:val="center"/>
          </w:tcPr>
          <w:p w14:paraId="50F56ACB" w14:textId="77777777" w:rsidR="006C785E" w:rsidRPr="006C785E" w:rsidRDefault="006C785E" w:rsidP="006C785E">
            <w:pPr>
              <w:spacing w:after="0" w:line="240" w:lineRule="auto"/>
              <w:jc w:val="center"/>
              <w:rPr>
                <w:rFonts w:ascii="Arial Narrow" w:hAnsi="Arial Narrow"/>
                <w:color w:val="000000"/>
                <w:sz w:val="20"/>
                <w:szCs w:val="20"/>
              </w:rPr>
            </w:pPr>
            <w:r w:rsidRPr="006C785E">
              <w:rPr>
                <w:rFonts w:ascii="Arial Narrow" w:hAnsi="Arial Narrow"/>
                <w:sz w:val="20"/>
                <w:szCs w:val="20"/>
              </w:rPr>
              <w:t>55,5</w:t>
            </w:r>
          </w:p>
        </w:tc>
        <w:tc>
          <w:tcPr>
            <w:tcW w:w="509" w:type="dxa"/>
            <w:tcBorders>
              <w:top w:val="nil"/>
              <w:left w:val="nil"/>
              <w:right w:val="nil"/>
            </w:tcBorders>
            <w:shd w:val="clear" w:color="auto" w:fill="auto"/>
            <w:vAlign w:val="center"/>
          </w:tcPr>
          <w:p w14:paraId="720EC69C" w14:textId="77777777" w:rsidR="006C785E" w:rsidRPr="006C785E" w:rsidRDefault="006C785E" w:rsidP="006C785E">
            <w:pPr>
              <w:spacing w:after="0" w:line="240" w:lineRule="auto"/>
              <w:jc w:val="center"/>
              <w:rPr>
                <w:rFonts w:ascii="Arial Narrow" w:hAnsi="Arial Narrow"/>
                <w:color w:val="000000"/>
                <w:sz w:val="20"/>
                <w:szCs w:val="20"/>
              </w:rPr>
            </w:pPr>
            <w:r w:rsidRPr="006C785E">
              <w:rPr>
                <w:rFonts w:ascii="Arial Narrow" w:hAnsi="Arial Narrow"/>
                <w:sz w:val="20"/>
                <w:szCs w:val="20"/>
              </w:rPr>
              <w:t>54,3</w:t>
            </w:r>
          </w:p>
        </w:tc>
        <w:tc>
          <w:tcPr>
            <w:tcW w:w="509" w:type="dxa"/>
            <w:tcBorders>
              <w:top w:val="nil"/>
              <w:left w:val="nil"/>
              <w:right w:val="nil"/>
            </w:tcBorders>
            <w:shd w:val="clear" w:color="auto" w:fill="auto"/>
            <w:vAlign w:val="center"/>
          </w:tcPr>
          <w:p w14:paraId="3BE638D9" w14:textId="77777777" w:rsidR="006C785E" w:rsidRPr="006C785E" w:rsidRDefault="006C785E" w:rsidP="006C785E">
            <w:pPr>
              <w:spacing w:after="0" w:line="240" w:lineRule="auto"/>
              <w:jc w:val="center"/>
              <w:rPr>
                <w:rFonts w:ascii="Arial Narrow" w:hAnsi="Arial Narrow"/>
                <w:color w:val="000000"/>
                <w:sz w:val="20"/>
                <w:szCs w:val="20"/>
              </w:rPr>
            </w:pPr>
            <w:r w:rsidRPr="006C785E">
              <w:rPr>
                <w:rFonts w:ascii="Arial Narrow" w:hAnsi="Arial Narrow"/>
                <w:sz w:val="20"/>
                <w:szCs w:val="20"/>
              </w:rPr>
              <w:t>54,3</w:t>
            </w:r>
          </w:p>
        </w:tc>
        <w:tc>
          <w:tcPr>
            <w:tcW w:w="509" w:type="dxa"/>
            <w:tcBorders>
              <w:top w:val="nil"/>
              <w:left w:val="nil"/>
              <w:right w:val="nil"/>
            </w:tcBorders>
            <w:shd w:val="clear" w:color="auto" w:fill="auto"/>
            <w:vAlign w:val="center"/>
          </w:tcPr>
          <w:p w14:paraId="0A1F9F26" w14:textId="77777777" w:rsidR="006C785E" w:rsidRPr="006C785E" w:rsidRDefault="006C785E" w:rsidP="006C785E">
            <w:pPr>
              <w:spacing w:after="0" w:line="240" w:lineRule="auto"/>
              <w:jc w:val="center"/>
              <w:rPr>
                <w:rFonts w:ascii="Arial Narrow" w:hAnsi="Arial Narrow"/>
                <w:color w:val="000000"/>
                <w:sz w:val="20"/>
                <w:szCs w:val="20"/>
              </w:rPr>
            </w:pPr>
            <w:r w:rsidRPr="006C785E">
              <w:rPr>
                <w:rFonts w:ascii="Arial Narrow" w:hAnsi="Arial Narrow"/>
                <w:sz w:val="20"/>
                <w:szCs w:val="20"/>
              </w:rPr>
              <w:t>49,8</w:t>
            </w:r>
          </w:p>
        </w:tc>
        <w:tc>
          <w:tcPr>
            <w:tcW w:w="509" w:type="dxa"/>
            <w:tcBorders>
              <w:top w:val="nil"/>
              <w:left w:val="nil"/>
              <w:right w:val="nil"/>
            </w:tcBorders>
            <w:shd w:val="clear" w:color="auto" w:fill="auto"/>
            <w:vAlign w:val="center"/>
          </w:tcPr>
          <w:p w14:paraId="7A291EC3" w14:textId="77777777" w:rsidR="006C785E" w:rsidRPr="006C785E" w:rsidRDefault="006C785E" w:rsidP="006C785E">
            <w:pPr>
              <w:spacing w:after="0" w:line="240" w:lineRule="auto"/>
              <w:jc w:val="center"/>
              <w:rPr>
                <w:rFonts w:ascii="Arial Narrow" w:hAnsi="Arial Narrow"/>
                <w:color w:val="000000"/>
                <w:sz w:val="20"/>
                <w:szCs w:val="20"/>
              </w:rPr>
            </w:pPr>
            <w:r w:rsidRPr="006C785E">
              <w:rPr>
                <w:rFonts w:ascii="Arial Narrow" w:hAnsi="Arial Narrow"/>
                <w:sz w:val="20"/>
                <w:szCs w:val="20"/>
              </w:rPr>
              <w:t>54,7</w:t>
            </w:r>
          </w:p>
        </w:tc>
        <w:tc>
          <w:tcPr>
            <w:tcW w:w="509" w:type="dxa"/>
            <w:tcBorders>
              <w:top w:val="nil"/>
              <w:left w:val="nil"/>
              <w:right w:val="nil"/>
            </w:tcBorders>
            <w:shd w:val="clear" w:color="auto" w:fill="auto"/>
            <w:vAlign w:val="center"/>
          </w:tcPr>
          <w:p w14:paraId="168E1441" w14:textId="77777777" w:rsidR="006C785E" w:rsidRPr="006C785E" w:rsidRDefault="006C785E" w:rsidP="006C785E">
            <w:pPr>
              <w:spacing w:after="0" w:line="240" w:lineRule="auto"/>
              <w:jc w:val="center"/>
              <w:rPr>
                <w:rFonts w:ascii="Arial Narrow" w:hAnsi="Arial Narrow"/>
                <w:color w:val="000000"/>
                <w:sz w:val="20"/>
                <w:szCs w:val="20"/>
              </w:rPr>
            </w:pPr>
            <w:r w:rsidRPr="006C785E">
              <w:rPr>
                <w:rFonts w:ascii="Arial Narrow" w:hAnsi="Arial Narrow"/>
                <w:sz w:val="20"/>
                <w:szCs w:val="20"/>
              </w:rPr>
              <w:t>57,2</w:t>
            </w:r>
          </w:p>
        </w:tc>
        <w:tc>
          <w:tcPr>
            <w:tcW w:w="509" w:type="dxa"/>
            <w:tcBorders>
              <w:top w:val="nil"/>
              <w:left w:val="nil"/>
              <w:right w:val="nil"/>
            </w:tcBorders>
            <w:shd w:val="clear" w:color="auto" w:fill="auto"/>
            <w:vAlign w:val="center"/>
          </w:tcPr>
          <w:p w14:paraId="63ABCD5D" w14:textId="77777777" w:rsidR="006C785E" w:rsidRPr="006C785E" w:rsidRDefault="006C785E" w:rsidP="006C785E">
            <w:pPr>
              <w:spacing w:after="0" w:line="240" w:lineRule="auto"/>
              <w:jc w:val="center"/>
              <w:rPr>
                <w:rFonts w:ascii="Arial Narrow" w:hAnsi="Arial Narrow"/>
                <w:color w:val="000000"/>
                <w:sz w:val="20"/>
                <w:szCs w:val="20"/>
              </w:rPr>
            </w:pPr>
            <w:r w:rsidRPr="006C785E">
              <w:rPr>
                <w:rFonts w:ascii="Arial Narrow" w:hAnsi="Arial Narrow"/>
                <w:sz w:val="20"/>
                <w:szCs w:val="20"/>
              </w:rPr>
              <w:t>58,1</w:t>
            </w:r>
          </w:p>
        </w:tc>
        <w:tc>
          <w:tcPr>
            <w:tcW w:w="505" w:type="dxa"/>
            <w:tcBorders>
              <w:top w:val="nil"/>
              <w:left w:val="nil"/>
              <w:right w:val="nil"/>
            </w:tcBorders>
            <w:vAlign w:val="center"/>
          </w:tcPr>
          <w:p w14:paraId="50F25B20" w14:textId="77777777" w:rsidR="006C785E" w:rsidRPr="006C785E" w:rsidRDefault="006C785E" w:rsidP="006C785E">
            <w:pPr>
              <w:spacing w:after="0" w:line="240" w:lineRule="auto"/>
              <w:jc w:val="center"/>
              <w:rPr>
                <w:rFonts w:ascii="Arial Narrow" w:hAnsi="Arial Narrow"/>
                <w:color w:val="000000"/>
                <w:sz w:val="20"/>
                <w:szCs w:val="20"/>
              </w:rPr>
            </w:pPr>
            <w:r w:rsidRPr="006C785E">
              <w:rPr>
                <w:rFonts w:ascii="Arial Narrow" w:hAnsi="Arial Narrow"/>
                <w:sz w:val="20"/>
                <w:szCs w:val="20"/>
              </w:rPr>
              <w:t>60,1</w:t>
            </w:r>
          </w:p>
        </w:tc>
        <w:tc>
          <w:tcPr>
            <w:tcW w:w="533" w:type="dxa"/>
            <w:tcBorders>
              <w:top w:val="nil"/>
              <w:left w:val="nil"/>
              <w:right w:val="nil"/>
            </w:tcBorders>
            <w:shd w:val="clear" w:color="auto" w:fill="auto"/>
            <w:vAlign w:val="center"/>
          </w:tcPr>
          <w:p w14:paraId="7C9EBB81" w14:textId="77777777" w:rsidR="006C785E" w:rsidRPr="006C785E" w:rsidRDefault="006C785E" w:rsidP="006C785E">
            <w:pPr>
              <w:spacing w:after="0" w:line="240" w:lineRule="auto"/>
              <w:jc w:val="center"/>
              <w:rPr>
                <w:rFonts w:ascii="Arial Narrow" w:hAnsi="Arial Narrow"/>
                <w:color w:val="000000"/>
                <w:sz w:val="20"/>
                <w:szCs w:val="20"/>
              </w:rPr>
            </w:pPr>
            <w:r w:rsidRPr="006C785E">
              <w:rPr>
                <w:rFonts w:ascii="Arial Narrow" w:hAnsi="Arial Narrow"/>
                <w:color w:val="000000"/>
                <w:sz w:val="20"/>
                <w:szCs w:val="20"/>
              </w:rPr>
              <w:t>-</w:t>
            </w:r>
          </w:p>
        </w:tc>
      </w:tr>
      <w:tr w:rsidR="006C785E" w:rsidRPr="00490878" w14:paraId="266B11FB" w14:textId="77777777" w:rsidTr="006C785E">
        <w:trPr>
          <w:trHeight w:val="237"/>
          <w:jc w:val="center"/>
        </w:trPr>
        <w:tc>
          <w:tcPr>
            <w:tcW w:w="2977" w:type="dxa"/>
            <w:tcBorders>
              <w:top w:val="nil"/>
              <w:left w:val="nil"/>
              <w:bottom w:val="single" w:sz="4" w:space="0" w:color="auto"/>
              <w:right w:val="nil"/>
            </w:tcBorders>
            <w:shd w:val="clear" w:color="auto" w:fill="auto"/>
            <w:noWrap/>
            <w:vAlign w:val="center"/>
            <w:hideMark/>
          </w:tcPr>
          <w:p w14:paraId="4F4FFB07" w14:textId="77777777" w:rsidR="006C785E" w:rsidRPr="006C785E" w:rsidRDefault="006C785E" w:rsidP="006C785E">
            <w:pPr>
              <w:spacing w:after="0" w:line="240" w:lineRule="auto"/>
              <w:jc w:val="both"/>
              <w:rPr>
                <w:rFonts w:ascii="Arial Narrow" w:hAnsi="Arial Narrow"/>
                <w:color w:val="000000"/>
                <w:sz w:val="20"/>
                <w:szCs w:val="20"/>
              </w:rPr>
            </w:pPr>
            <w:r w:rsidRPr="006C785E">
              <w:rPr>
                <w:rFonts w:ascii="Arial Narrow" w:hAnsi="Arial Narrow"/>
                <w:color w:val="000000"/>
                <w:sz w:val="20"/>
                <w:szCs w:val="20"/>
              </w:rPr>
              <w:t>(% HDP)</w:t>
            </w:r>
          </w:p>
        </w:tc>
        <w:tc>
          <w:tcPr>
            <w:tcW w:w="575" w:type="dxa"/>
            <w:tcBorders>
              <w:top w:val="nil"/>
              <w:left w:val="nil"/>
              <w:bottom w:val="single" w:sz="4" w:space="0" w:color="auto"/>
              <w:right w:val="nil"/>
            </w:tcBorders>
            <w:shd w:val="clear" w:color="auto" w:fill="auto"/>
            <w:noWrap/>
            <w:vAlign w:val="center"/>
            <w:hideMark/>
          </w:tcPr>
          <w:p w14:paraId="4A5E2D0F" w14:textId="77777777" w:rsidR="006C785E" w:rsidRPr="006C785E" w:rsidRDefault="006C785E" w:rsidP="006C785E">
            <w:pPr>
              <w:spacing w:after="0" w:line="240" w:lineRule="auto"/>
              <w:jc w:val="center"/>
              <w:rPr>
                <w:rFonts w:ascii="Arial Narrow" w:hAnsi="Arial Narrow"/>
                <w:b/>
                <w:bCs/>
                <w:color w:val="000000"/>
                <w:sz w:val="20"/>
                <w:szCs w:val="20"/>
              </w:rPr>
            </w:pPr>
            <w:r w:rsidRPr="006C785E">
              <w:rPr>
                <w:rFonts w:ascii="Arial Narrow" w:hAnsi="Arial Narrow"/>
                <w:b/>
                <w:bCs/>
                <w:color w:val="000000"/>
                <w:sz w:val="20"/>
                <w:szCs w:val="20"/>
              </w:rPr>
              <w:t>EÚ</w:t>
            </w:r>
          </w:p>
        </w:tc>
        <w:tc>
          <w:tcPr>
            <w:tcW w:w="505" w:type="dxa"/>
            <w:tcBorders>
              <w:top w:val="nil"/>
              <w:left w:val="nil"/>
              <w:bottom w:val="single" w:sz="4" w:space="0" w:color="auto"/>
              <w:right w:val="nil"/>
            </w:tcBorders>
            <w:vAlign w:val="center"/>
          </w:tcPr>
          <w:p w14:paraId="19F37969" w14:textId="77777777" w:rsidR="006C785E" w:rsidRPr="006C785E" w:rsidRDefault="006C785E" w:rsidP="006C785E">
            <w:pPr>
              <w:spacing w:after="0" w:line="240" w:lineRule="auto"/>
              <w:jc w:val="center"/>
              <w:rPr>
                <w:rFonts w:ascii="Arial Narrow" w:hAnsi="Arial Narrow"/>
                <w:sz w:val="20"/>
                <w:szCs w:val="20"/>
              </w:rPr>
            </w:pPr>
            <w:r w:rsidRPr="006C785E">
              <w:rPr>
                <w:rFonts w:ascii="Arial Narrow" w:hAnsi="Arial Narrow"/>
                <w:sz w:val="20"/>
                <w:szCs w:val="20"/>
              </w:rPr>
              <w:t>69,6</w:t>
            </w:r>
          </w:p>
        </w:tc>
        <w:tc>
          <w:tcPr>
            <w:tcW w:w="508" w:type="dxa"/>
            <w:tcBorders>
              <w:top w:val="nil"/>
              <w:left w:val="nil"/>
              <w:bottom w:val="single" w:sz="4" w:space="0" w:color="auto"/>
              <w:right w:val="nil"/>
            </w:tcBorders>
            <w:shd w:val="clear" w:color="auto" w:fill="auto"/>
            <w:vAlign w:val="center"/>
          </w:tcPr>
          <w:p w14:paraId="2C856645" w14:textId="77777777" w:rsidR="006C785E" w:rsidRPr="006C785E" w:rsidRDefault="006C785E" w:rsidP="006C785E">
            <w:pPr>
              <w:spacing w:after="0" w:line="240" w:lineRule="auto"/>
              <w:jc w:val="center"/>
              <w:rPr>
                <w:rFonts w:ascii="Arial Narrow" w:hAnsi="Arial Narrow"/>
                <w:color w:val="000000"/>
                <w:sz w:val="20"/>
                <w:szCs w:val="20"/>
              </w:rPr>
            </w:pPr>
            <w:r w:rsidRPr="006C785E">
              <w:rPr>
                <w:rFonts w:ascii="Arial Narrow" w:hAnsi="Arial Narrow"/>
                <w:sz w:val="20"/>
                <w:szCs w:val="20"/>
              </w:rPr>
              <w:t>64,1</w:t>
            </w:r>
          </w:p>
        </w:tc>
        <w:tc>
          <w:tcPr>
            <w:tcW w:w="509" w:type="dxa"/>
            <w:tcBorders>
              <w:top w:val="nil"/>
              <w:left w:val="nil"/>
              <w:bottom w:val="single" w:sz="4" w:space="0" w:color="auto"/>
              <w:right w:val="nil"/>
            </w:tcBorders>
            <w:shd w:val="clear" w:color="auto" w:fill="auto"/>
            <w:vAlign w:val="center"/>
          </w:tcPr>
          <w:p w14:paraId="14B13697" w14:textId="77777777" w:rsidR="006C785E" w:rsidRPr="006C785E" w:rsidRDefault="006C785E" w:rsidP="006C785E">
            <w:pPr>
              <w:spacing w:after="0" w:line="240" w:lineRule="auto"/>
              <w:jc w:val="center"/>
              <w:rPr>
                <w:rFonts w:ascii="Arial Narrow" w:hAnsi="Arial Narrow"/>
                <w:color w:val="000000"/>
                <w:sz w:val="20"/>
                <w:szCs w:val="20"/>
              </w:rPr>
            </w:pPr>
            <w:r w:rsidRPr="006C785E">
              <w:rPr>
                <w:rFonts w:ascii="Arial Narrow" w:hAnsi="Arial Narrow"/>
                <w:sz w:val="20"/>
                <w:szCs w:val="20"/>
              </w:rPr>
              <w:t>65,4</w:t>
            </w:r>
          </w:p>
        </w:tc>
        <w:tc>
          <w:tcPr>
            <w:tcW w:w="509" w:type="dxa"/>
            <w:tcBorders>
              <w:top w:val="nil"/>
              <w:left w:val="nil"/>
              <w:bottom w:val="single" w:sz="4" w:space="0" w:color="auto"/>
              <w:right w:val="nil"/>
            </w:tcBorders>
            <w:shd w:val="clear" w:color="auto" w:fill="auto"/>
            <w:vAlign w:val="center"/>
          </w:tcPr>
          <w:p w14:paraId="6D880A4E" w14:textId="77777777" w:rsidR="006C785E" w:rsidRPr="006C785E" w:rsidRDefault="006C785E" w:rsidP="006C785E">
            <w:pPr>
              <w:spacing w:after="0" w:line="240" w:lineRule="auto"/>
              <w:jc w:val="center"/>
              <w:rPr>
                <w:rFonts w:ascii="Arial Narrow" w:hAnsi="Arial Narrow"/>
                <w:color w:val="000000"/>
                <w:sz w:val="20"/>
                <w:szCs w:val="20"/>
              </w:rPr>
            </w:pPr>
            <w:r w:rsidRPr="006C785E">
              <w:rPr>
                <w:rFonts w:ascii="Arial Narrow" w:hAnsi="Arial Narrow"/>
                <w:sz w:val="20"/>
                <w:szCs w:val="20"/>
              </w:rPr>
              <w:t>66,0</w:t>
            </w:r>
          </w:p>
        </w:tc>
        <w:tc>
          <w:tcPr>
            <w:tcW w:w="509" w:type="dxa"/>
            <w:tcBorders>
              <w:top w:val="nil"/>
              <w:left w:val="nil"/>
              <w:bottom w:val="single" w:sz="4" w:space="0" w:color="auto"/>
              <w:right w:val="nil"/>
            </w:tcBorders>
            <w:shd w:val="clear" w:color="auto" w:fill="auto"/>
            <w:vAlign w:val="center"/>
          </w:tcPr>
          <w:p w14:paraId="17004F2B" w14:textId="77777777" w:rsidR="006C785E" w:rsidRPr="006C785E" w:rsidRDefault="006C785E" w:rsidP="006C785E">
            <w:pPr>
              <w:spacing w:after="0" w:line="240" w:lineRule="auto"/>
              <w:jc w:val="center"/>
              <w:rPr>
                <w:rFonts w:ascii="Arial Narrow" w:hAnsi="Arial Narrow"/>
                <w:color w:val="000000"/>
                <w:sz w:val="20"/>
                <w:szCs w:val="20"/>
              </w:rPr>
            </w:pPr>
            <w:r w:rsidRPr="006C785E">
              <w:rPr>
                <w:rFonts w:ascii="Arial Narrow" w:hAnsi="Arial Narrow"/>
                <w:sz w:val="20"/>
                <w:szCs w:val="20"/>
              </w:rPr>
              <w:t>66,0</w:t>
            </w:r>
          </w:p>
        </w:tc>
        <w:tc>
          <w:tcPr>
            <w:tcW w:w="509" w:type="dxa"/>
            <w:tcBorders>
              <w:top w:val="nil"/>
              <w:left w:val="nil"/>
              <w:bottom w:val="single" w:sz="4" w:space="0" w:color="auto"/>
              <w:right w:val="nil"/>
            </w:tcBorders>
            <w:shd w:val="clear" w:color="auto" w:fill="auto"/>
            <w:vAlign w:val="center"/>
          </w:tcPr>
          <w:p w14:paraId="01E9EFC7" w14:textId="77777777" w:rsidR="006C785E" w:rsidRPr="006C785E" w:rsidRDefault="006C785E" w:rsidP="006C785E">
            <w:pPr>
              <w:spacing w:after="0" w:line="240" w:lineRule="auto"/>
              <w:jc w:val="center"/>
              <w:rPr>
                <w:rFonts w:ascii="Arial Narrow" w:hAnsi="Arial Narrow"/>
                <w:color w:val="000000"/>
                <w:sz w:val="20"/>
                <w:szCs w:val="20"/>
              </w:rPr>
            </w:pPr>
            <w:r w:rsidRPr="006C785E">
              <w:rPr>
                <w:rFonts w:ascii="Arial Narrow" w:hAnsi="Arial Narrow"/>
                <w:sz w:val="20"/>
                <w:szCs w:val="20"/>
              </w:rPr>
              <w:t>66,4</w:t>
            </w:r>
          </w:p>
        </w:tc>
        <w:tc>
          <w:tcPr>
            <w:tcW w:w="509" w:type="dxa"/>
            <w:tcBorders>
              <w:top w:val="nil"/>
              <w:left w:val="nil"/>
              <w:bottom w:val="single" w:sz="4" w:space="0" w:color="auto"/>
              <w:right w:val="nil"/>
            </w:tcBorders>
            <w:shd w:val="clear" w:color="auto" w:fill="auto"/>
            <w:vAlign w:val="center"/>
          </w:tcPr>
          <w:p w14:paraId="06A05FE4" w14:textId="77777777" w:rsidR="006C785E" w:rsidRPr="006C785E" w:rsidRDefault="006C785E" w:rsidP="006C785E">
            <w:pPr>
              <w:spacing w:after="0" w:line="240" w:lineRule="auto"/>
              <w:jc w:val="center"/>
              <w:rPr>
                <w:rFonts w:ascii="Arial Narrow" w:hAnsi="Arial Narrow"/>
                <w:color w:val="000000"/>
                <w:sz w:val="20"/>
                <w:szCs w:val="20"/>
              </w:rPr>
            </w:pPr>
            <w:r w:rsidRPr="006C785E">
              <w:rPr>
                <w:rFonts w:ascii="Arial Narrow" w:hAnsi="Arial Narrow"/>
                <w:sz w:val="20"/>
                <w:szCs w:val="20"/>
              </w:rPr>
              <w:t>67,8</w:t>
            </w:r>
          </w:p>
        </w:tc>
        <w:tc>
          <w:tcPr>
            <w:tcW w:w="509" w:type="dxa"/>
            <w:tcBorders>
              <w:top w:val="nil"/>
              <w:left w:val="nil"/>
              <w:bottom w:val="single" w:sz="4" w:space="0" w:color="auto"/>
              <w:right w:val="nil"/>
            </w:tcBorders>
            <w:shd w:val="clear" w:color="auto" w:fill="auto"/>
            <w:vAlign w:val="center"/>
          </w:tcPr>
          <w:p w14:paraId="518B62F4" w14:textId="77777777" w:rsidR="006C785E" w:rsidRPr="006C785E" w:rsidRDefault="006C785E" w:rsidP="006C785E">
            <w:pPr>
              <w:spacing w:after="0" w:line="240" w:lineRule="auto"/>
              <w:jc w:val="center"/>
              <w:rPr>
                <w:rFonts w:ascii="Arial Narrow" w:hAnsi="Arial Narrow"/>
                <w:color w:val="000000"/>
                <w:sz w:val="20"/>
                <w:szCs w:val="20"/>
              </w:rPr>
            </w:pPr>
            <w:r w:rsidRPr="006C785E">
              <w:rPr>
                <w:rFonts w:ascii="Arial Narrow" w:hAnsi="Arial Narrow"/>
                <w:sz w:val="20"/>
                <w:szCs w:val="20"/>
              </w:rPr>
              <w:t>67,2</w:t>
            </w:r>
          </w:p>
        </w:tc>
        <w:tc>
          <w:tcPr>
            <w:tcW w:w="505" w:type="dxa"/>
            <w:tcBorders>
              <w:top w:val="nil"/>
              <w:left w:val="nil"/>
              <w:bottom w:val="single" w:sz="4" w:space="0" w:color="auto"/>
              <w:right w:val="nil"/>
            </w:tcBorders>
            <w:vAlign w:val="center"/>
          </w:tcPr>
          <w:p w14:paraId="6B601327" w14:textId="77777777" w:rsidR="006C785E" w:rsidRPr="006C785E" w:rsidRDefault="006C785E" w:rsidP="006C785E">
            <w:pPr>
              <w:spacing w:after="0" w:line="240" w:lineRule="auto"/>
              <w:jc w:val="center"/>
              <w:rPr>
                <w:rFonts w:ascii="Arial Narrow" w:hAnsi="Arial Narrow"/>
                <w:color w:val="000000"/>
                <w:sz w:val="20"/>
                <w:szCs w:val="20"/>
              </w:rPr>
            </w:pPr>
            <w:r w:rsidRPr="006C785E">
              <w:rPr>
                <w:rFonts w:ascii="Arial Narrow" w:hAnsi="Arial Narrow"/>
                <w:sz w:val="20"/>
                <w:szCs w:val="20"/>
              </w:rPr>
              <w:t>69,1</w:t>
            </w:r>
          </w:p>
        </w:tc>
        <w:tc>
          <w:tcPr>
            <w:tcW w:w="533" w:type="dxa"/>
            <w:tcBorders>
              <w:top w:val="nil"/>
              <w:left w:val="nil"/>
              <w:bottom w:val="single" w:sz="4" w:space="0" w:color="auto"/>
              <w:right w:val="nil"/>
            </w:tcBorders>
            <w:shd w:val="clear" w:color="auto" w:fill="auto"/>
            <w:vAlign w:val="center"/>
          </w:tcPr>
          <w:p w14:paraId="5FCBBEFE" w14:textId="77777777" w:rsidR="006C785E" w:rsidRPr="006C785E" w:rsidRDefault="006C785E" w:rsidP="006C785E">
            <w:pPr>
              <w:spacing w:after="0" w:line="240" w:lineRule="auto"/>
              <w:jc w:val="center"/>
              <w:rPr>
                <w:rFonts w:ascii="Arial Narrow" w:hAnsi="Arial Narrow"/>
                <w:color w:val="000000"/>
                <w:sz w:val="20"/>
                <w:szCs w:val="20"/>
              </w:rPr>
            </w:pPr>
            <w:r w:rsidRPr="006C785E">
              <w:rPr>
                <w:rFonts w:ascii="Arial Narrow" w:hAnsi="Arial Narrow"/>
                <w:color w:val="000000"/>
                <w:sz w:val="20"/>
                <w:szCs w:val="20"/>
              </w:rPr>
              <w:t>-</w:t>
            </w:r>
          </w:p>
        </w:tc>
      </w:tr>
      <w:tr w:rsidR="006C785E" w:rsidRPr="00490878" w14:paraId="29C6A509" w14:textId="77777777" w:rsidTr="006C785E">
        <w:trPr>
          <w:trHeight w:val="237"/>
          <w:jc w:val="center"/>
        </w:trPr>
        <w:tc>
          <w:tcPr>
            <w:tcW w:w="2977" w:type="dxa"/>
            <w:tcBorders>
              <w:top w:val="single" w:sz="4" w:space="0" w:color="auto"/>
              <w:left w:val="nil"/>
              <w:bottom w:val="nil"/>
              <w:right w:val="nil"/>
            </w:tcBorders>
            <w:shd w:val="clear" w:color="auto" w:fill="auto"/>
            <w:noWrap/>
            <w:vAlign w:val="center"/>
          </w:tcPr>
          <w:p w14:paraId="749D9FC0" w14:textId="77777777" w:rsidR="006C785E" w:rsidRPr="006C785E" w:rsidRDefault="006C785E" w:rsidP="006C785E">
            <w:pPr>
              <w:spacing w:after="0" w:line="240" w:lineRule="auto"/>
              <w:jc w:val="both"/>
              <w:rPr>
                <w:rFonts w:ascii="Arial Narrow" w:hAnsi="Arial Narrow"/>
                <w:color w:val="000000"/>
                <w:sz w:val="20"/>
                <w:szCs w:val="20"/>
              </w:rPr>
            </w:pPr>
            <w:r w:rsidRPr="006C785E">
              <w:rPr>
                <w:rFonts w:ascii="Arial Narrow" w:hAnsi="Arial Narrow"/>
                <w:b/>
                <w:bCs/>
                <w:color w:val="000000"/>
                <w:sz w:val="20"/>
                <w:szCs w:val="20"/>
              </w:rPr>
              <w:t>Medzera DPH</w:t>
            </w:r>
          </w:p>
        </w:tc>
        <w:tc>
          <w:tcPr>
            <w:tcW w:w="575" w:type="dxa"/>
            <w:tcBorders>
              <w:top w:val="single" w:sz="4" w:space="0" w:color="auto"/>
              <w:left w:val="nil"/>
              <w:bottom w:val="nil"/>
              <w:right w:val="nil"/>
            </w:tcBorders>
            <w:shd w:val="clear" w:color="auto" w:fill="auto"/>
            <w:noWrap/>
            <w:vAlign w:val="center"/>
          </w:tcPr>
          <w:p w14:paraId="5E067339" w14:textId="77777777" w:rsidR="006C785E" w:rsidRPr="006C785E" w:rsidRDefault="006C785E" w:rsidP="006C785E">
            <w:pPr>
              <w:spacing w:after="0" w:line="240" w:lineRule="auto"/>
              <w:jc w:val="center"/>
              <w:rPr>
                <w:rFonts w:ascii="Arial Narrow" w:hAnsi="Arial Narrow"/>
                <w:b/>
                <w:bCs/>
                <w:color w:val="000000"/>
                <w:sz w:val="20"/>
                <w:szCs w:val="20"/>
              </w:rPr>
            </w:pPr>
            <w:r w:rsidRPr="006C785E">
              <w:rPr>
                <w:rFonts w:ascii="Arial Narrow" w:hAnsi="Arial Narrow"/>
                <w:b/>
                <w:bCs/>
                <w:color w:val="000000"/>
                <w:sz w:val="20"/>
                <w:szCs w:val="20"/>
              </w:rPr>
              <w:t>SK</w:t>
            </w:r>
          </w:p>
        </w:tc>
        <w:tc>
          <w:tcPr>
            <w:tcW w:w="505" w:type="dxa"/>
            <w:tcBorders>
              <w:top w:val="single" w:sz="4" w:space="0" w:color="auto"/>
              <w:left w:val="nil"/>
              <w:bottom w:val="nil"/>
              <w:right w:val="nil"/>
            </w:tcBorders>
            <w:vAlign w:val="center"/>
          </w:tcPr>
          <w:p w14:paraId="387F2FE5" w14:textId="77777777" w:rsidR="006C785E" w:rsidRPr="006C785E" w:rsidRDefault="006C785E" w:rsidP="006C785E">
            <w:pPr>
              <w:spacing w:after="0" w:line="240" w:lineRule="auto"/>
              <w:jc w:val="center"/>
              <w:rPr>
                <w:rFonts w:ascii="Arial Narrow" w:hAnsi="Arial Narrow"/>
                <w:sz w:val="20"/>
                <w:szCs w:val="20"/>
              </w:rPr>
            </w:pPr>
            <w:r w:rsidRPr="006C785E">
              <w:rPr>
                <w:rFonts w:ascii="Arial Narrow" w:hAnsi="Arial Narrow"/>
                <w:sz w:val="20"/>
                <w:szCs w:val="20"/>
              </w:rPr>
              <w:t>31,3</w:t>
            </w:r>
          </w:p>
        </w:tc>
        <w:tc>
          <w:tcPr>
            <w:tcW w:w="508" w:type="dxa"/>
            <w:tcBorders>
              <w:top w:val="single" w:sz="4" w:space="0" w:color="auto"/>
              <w:left w:val="nil"/>
              <w:bottom w:val="nil"/>
              <w:right w:val="nil"/>
            </w:tcBorders>
            <w:shd w:val="clear" w:color="auto" w:fill="auto"/>
            <w:vAlign w:val="center"/>
          </w:tcPr>
          <w:p w14:paraId="025D2409" w14:textId="77777777" w:rsidR="006C785E" w:rsidRPr="006C785E" w:rsidRDefault="006C785E" w:rsidP="006C785E">
            <w:pPr>
              <w:spacing w:after="0" w:line="240" w:lineRule="auto"/>
              <w:jc w:val="center"/>
              <w:rPr>
                <w:rFonts w:ascii="Arial Narrow" w:hAnsi="Arial Narrow"/>
                <w:sz w:val="20"/>
                <w:szCs w:val="20"/>
              </w:rPr>
            </w:pPr>
            <w:r w:rsidRPr="006C785E">
              <w:rPr>
                <w:rFonts w:ascii="Arial Narrow" w:hAnsi="Arial Narrow"/>
                <w:sz w:val="20"/>
                <w:szCs w:val="20"/>
              </w:rPr>
              <w:t>34,9</w:t>
            </w:r>
          </w:p>
        </w:tc>
        <w:tc>
          <w:tcPr>
            <w:tcW w:w="509" w:type="dxa"/>
            <w:tcBorders>
              <w:top w:val="single" w:sz="4" w:space="0" w:color="auto"/>
              <w:left w:val="nil"/>
              <w:bottom w:val="nil"/>
              <w:right w:val="nil"/>
            </w:tcBorders>
            <w:shd w:val="clear" w:color="auto" w:fill="auto"/>
            <w:vAlign w:val="center"/>
          </w:tcPr>
          <w:p w14:paraId="4A3C1774" w14:textId="77777777" w:rsidR="006C785E" w:rsidRPr="006C785E" w:rsidRDefault="006C785E" w:rsidP="006C785E">
            <w:pPr>
              <w:spacing w:after="0" w:line="240" w:lineRule="auto"/>
              <w:jc w:val="center"/>
              <w:rPr>
                <w:rFonts w:ascii="Arial Narrow" w:hAnsi="Arial Narrow"/>
                <w:sz w:val="20"/>
                <w:szCs w:val="20"/>
              </w:rPr>
            </w:pPr>
            <w:r w:rsidRPr="006C785E">
              <w:rPr>
                <w:rFonts w:ascii="Arial Narrow" w:hAnsi="Arial Narrow"/>
                <w:sz w:val="20"/>
                <w:szCs w:val="20"/>
              </w:rPr>
              <w:t>35,6</w:t>
            </w:r>
          </w:p>
        </w:tc>
        <w:tc>
          <w:tcPr>
            <w:tcW w:w="509" w:type="dxa"/>
            <w:tcBorders>
              <w:top w:val="single" w:sz="4" w:space="0" w:color="auto"/>
              <w:left w:val="nil"/>
              <w:bottom w:val="nil"/>
              <w:right w:val="nil"/>
            </w:tcBorders>
            <w:shd w:val="clear" w:color="auto" w:fill="auto"/>
            <w:vAlign w:val="center"/>
          </w:tcPr>
          <w:p w14:paraId="7E5CA118" w14:textId="77777777" w:rsidR="006C785E" w:rsidRPr="006C785E" w:rsidRDefault="006C785E" w:rsidP="006C785E">
            <w:pPr>
              <w:spacing w:after="0" w:line="240" w:lineRule="auto"/>
              <w:jc w:val="center"/>
              <w:rPr>
                <w:rFonts w:ascii="Arial Narrow" w:hAnsi="Arial Narrow"/>
                <w:sz w:val="20"/>
                <w:szCs w:val="20"/>
              </w:rPr>
            </w:pPr>
            <w:r w:rsidRPr="006C785E">
              <w:rPr>
                <w:rFonts w:ascii="Arial Narrow" w:hAnsi="Arial Narrow"/>
                <w:sz w:val="20"/>
                <w:szCs w:val="20"/>
              </w:rPr>
              <w:t>38,2</w:t>
            </w:r>
          </w:p>
        </w:tc>
        <w:tc>
          <w:tcPr>
            <w:tcW w:w="509" w:type="dxa"/>
            <w:tcBorders>
              <w:top w:val="single" w:sz="4" w:space="0" w:color="auto"/>
              <w:left w:val="nil"/>
              <w:bottom w:val="nil"/>
              <w:right w:val="nil"/>
            </w:tcBorders>
            <w:shd w:val="clear" w:color="auto" w:fill="auto"/>
            <w:vAlign w:val="center"/>
          </w:tcPr>
          <w:p w14:paraId="429D1266" w14:textId="77777777" w:rsidR="006C785E" w:rsidRPr="006C785E" w:rsidRDefault="006C785E" w:rsidP="006C785E">
            <w:pPr>
              <w:spacing w:after="0" w:line="240" w:lineRule="auto"/>
              <w:jc w:val="center"/>
              <w:rPr>
                <w:rFonts w:ascii="Arial Narrow" w:hAnsi="Arial Narrow"/>
                <w:sz w:val="20"/>
                <w:szCs w:val="20"/>
              </w:rPr>
            </w:pPr>
            <w:r w:rsidRPr="006C785E">
              <w:rPr>
                <w:rFonts w:ascii="Arial Narrow" w:hAnsi="Arial Narrow"/>
                <w:sz w:val="20"/>
                <w:szCs w:val="20"/>
              </w:rPr>
              <w:t>41,0</w:t>
            </w:r>
          </w:p>
        </w:tc>
        <w:tc>
          <w:tcPr>
            <w:tcW w:w="509" w:type="dxa"/>
            <w:tcBorders>
              <w:top w:val="single" w:sz="4" w:space="0" w:color="auto"/>
              <w:left w:val="nil"/>
              <w:bottom w:val="nil"/>
              <w:right w:val="nil"/>
            </w:tcBorders>
            <w:shd w:val="clear" w:color="auto" w:fill="auto"/>
            <w:vAlign w:val="center"/>
          </w:tcPr>
          <w:p w14:paraId="1ED7B67D" w14:textId="77777777" w:rsidR="006C785E" w:rsidRPr="006C785E" w:rsidRDefault="006C785E" w:rsidP="006C785E">
            <w:pPr>
              <w:spacing w:after="0" w:line="240" w:lineRule="auto"/>
              <w:jc w:val="center"/>
              <w:rPr>
                <w:rFonts w:ascii="Arial Narrow" w:hAnsi="Arial Narrow"/>
                <w:sz w:val="20"/>
                <w:szCs w:val="20"/>
              </w:rPr>
            </w:pPr>
            <w:r w:rsidRPr="006C785E">
              <w:rPr>
                <w:rFonts w:ascii="Arial Narrow" w:hAnsi="Arial Narrow"/>
                <w:sz w:val="20"/>
                <w:szCs w:val="20"/>
              </w:rPr>
              <w:t>37,2</w:t>
            </w:r>
          </w:p>
        </w:tc>
        <w:tc>
          <w:tcPr>
            <w:tcW w:w="509" w:type="dxa"/>
            <w:tcBorders>
              <w:top w:val="single" w:sz="4" w:space="0" w:color="auto"/>
              <w:left w:val="nil"/>
              <w:bottom w:val="nil"/>
              <w:right w:val="nil"/>
            </w:tcBorders>
            <w:shd w:val="clear" w:color="auto" w:fill="auto"/>
            <w:vAlign w:val="center"/>
          </w:tcPr>
          <w:p w14:paraId="54808E4F" w14:textId="77777777" w:rsidR="006C785E" w:rsidRPr="006C785E" w:rsidRDefault="006C785E" w:rsidP="006C785E">
            <w:pPr>
              <w:spacing w:after="0" w:line="240" w:lineRule="auto"/>
              <w:jc w:val="center"/>
              <w:rPr>
                <w:rFonts w:ascii="Arial Narrow" w:hAnsi="Arial Narrow"/>
                <w:sz w:val="20"/>
                <w:szCs w:val="20"/>
              </w:rPr>
            </w:pPr>
            <w:r w:rsidRPr="006C785E">
              <w:rPr>
                <w:rFonts w:ascii="Arial Narrow" w:hAnsi="Arial Narrow"/>
                <w:sz w:val="20"/>
                <w:szCs w:val="20"/>
              </w:rPr>
              <w:t>32,3</w:t>
            </w:r>
          </w:p>
        </w:tc>
        <w:tc>
          <w:tcPr>
            <w:tcW w:w="509" w:type="dxa"/>
            <w:tcBorders>
              <w:top w:val="single" w:sz="4" w:space="0" w:color="auto"/>
              <w:left w:val="nil"/>
              <w:bottom w:val="nil"/>
              <w:right w:val="nil"/>
            </w:tcBorders>
            <w:shd w:val="clear" w:color="auto" w:fill="auto"/>
            <w:vAlign w:val="center"/>
          </w:tcPr>
          <w:p w14:paraId="62E04FAD" w14:textId="77777777" w:rsidR="006C785E" w:rsidRPr="006C785E" w:rsidRDefault="006C785E" w:rsidP="006C785E">
            <w:pPr>
              <w:spacing w:after="0" w:line="240" w:lineRule="auto"/>
              <w:jc w:val="center"/>
              <w:rPr>
                <w:rFonts w:ascii="Arial Narrow" w:hAnsi="Arial Narrow"/>
                <w:sz w:val="20"/>
                <w:szCs w:val="20"/>
              </w:rPr>
            </w:pPr>
            <w:r w:rsidRPr="006C785E">
              <w:rPr>
                <w:rFonts w:ascii="Arial Narrow" w:hAnsi="Arial Narrow"/>
                <w:sz w:val="20"/>
                <w:szCs w:val="20"/>
              </w:rPr>
              <w:t>31,6</w:t>
            </w:r>
          </w:p>
        </w:tc>
        <w:tc>
          <w:tcPr>
            <w:tcW w:w="505" w:type="dxa"/>
            <w:tcBorders>
              <w:top w:val="single" w:sz="4" w:space="0" w:color="auto"/>
              <w:left w:val="nil"/>
              <w:bottom w:val="nil"/>
              <w:right w:val="nil"/>
            </w:tcBorders>
            <w:vAlign w:val="center"/>
          </w:tcPr>
          <w:p w14:paraId="525D9E07" w14:textId="77777777" w:rsidR="006C785E" w:rsidRPr="006C785E" w:rsidRDefault="006C785E" w:rsidP="006C785E">
            <w:pPr>
              <w:spacing w:after="0" w:line="240" w:lineRule="auto"/>
              <w:jc w:val="center"/>
              <w:rPr>
                <w:rFonts w:ascii="Arial Narrow" w:hAnsi="Arial Narrow"/>
                <w:color w:val="000000"/>
                <w:sz w:val="20"/>
                <w:szCs w:val="20"/>
              </w:rPr>
            </w:pPr>
            <w:r w:rsidRPr="006C785E">
              <w:rPr>
                <w:rFonts w:ascii="Arial Narrow" w:hAnsi="Arial Narrow"/>
                <w:sz w:val="20"/>
                <w:szCs w:val="20"/>
              </w:rPr>
              <w:t>28,3</w:t>
            </w:r>
          </w:p>
        </w:tc>
        <w:tc>
          <w:tcPr>
            <w:tcW w:w="533" w:type="dxa"/>
            <w:tcBorders>
              <w:top w:val="single" w:sz="4" w:space="0" w:color="auto"/>
              <w:left w:val="nil"/>
              <w:bottom w:val="nil"/>
              <w:right w:val="nil"/>
            </w:tcBorders>
            <w:shd w:val="clear" w:color="auto" w:fill="auto"/>
            <w:vAlign w:val="center"/>
          </w:tcPr>
          <w:p w14:paraId="6C8447E2" w14:textId="77777777" w:rsidR="006C785E" w:rsidRPr="006C785E" w:rsidRDefault="006C785E" w:rsidP="006C785E">
            <w:pPr>
              <w:spacing w:after="0" w:line="240" w:lineRule="auto"/>
              <w:jc w:val="center"/>
              <w:rPr>
                <w:rFonts w:ascii="Arial Narrow" w:hAnsi="Arial Narrow"/>
                <w:color w:val="000000"/>
                <w:sz w:val="20"/>
                <w:szCs w:val="20"/>
              </w:rPr>
            </w:pPr>
            <w:r w:rsidRPr="006C785E">
              <w:rPr>
                <w:rFonts w:ascii="Arial Narrow" w:hAnsi="Arial Narrow"/>
                <w:color w:val="000000"/>
                <w:sz w:val="20"/>
                <w:szCs w:val="20"/>
              </w:rPr>
              <w:t>-</w:t>
            </w:r>
          </w:p>
        </w:tc>
      </w:tr>
      <w:tr w:rsidR="006C785E" w:rsidRPr="00490878" w14:paraId="3A35B663" w14:textId="77777777" w:rsidTr="006C785E">
        <w:trPr>
          <w:trHeight w:val="237"/>
          <w:jc w:val="center"/>
        </w:trPr>
        <w:tc>
          <w:tcPr>
            <w:tcW w:w="2977" w:type="dxa"/>
            <w:tcBorders>
              <w:top w:val="nil"/>
              <w:left w:val="nil"/>
              <w:bottom w:val="single" w:sz="4" w:space="0" w:color="auto"/>
              <w:right w:val="nil"/>
            </w:tcBorders>
            <w:shd w:val="clear" w:color="auto" w:fill="auto"/>
            <w:noWrap/>
            <w:vAlign w:val="center"/>
          </w:tcPr>
          <w:p w14:paraId="44B60E87" w14:textId="77777777" w:rsidR="006C785E" w:rsidRPr="006C785E" w:rsidRDefault="006C785E" w:rsidP="006C785E">
            <w:pPr>
              <w:spacing w:after="0" w:line="240" w:lineRule="auto"/>
              <w:jc w:val="both"/>
              <w:rPr>
                <w:rFonts w:ascii="Arial Narrow" w:hAnsi="Arial Narrow"/>
                <w:color w:val="000000"/>
                <w:sz w:val="20"/>
                <w:szCs w:val="20"/>
              </w:rPr>
            </w:pPr>
            <w:r w:rsidRPr="006C785E">
              <w:rPr>
                <w:rFonts w:ascii="Arial Narrow" w:hAnsi="Arial Narrow"/>
                <w:color w:val="000000"/>
                <w:sz w:val="20"/>
                <w:szCs w:val="20"/>
              </w:rPr>
              <w:t>(% potenciálneho výnosu)</w:t>
            </w:r>
          </w:p>
        </w:tc>
        <w:tc>
          <w:tcPr>
            <w:tcW w:w="575" w:type="dxa"/>
            <w:tcBorders>
              <w:top w:val="nil"/>
              <w:left w:val="nil"/>
              <w:bottom w:val="single" w:sz="4" w:space="0" w:color="auto"/>
              <w:right w:val="nil"/>
            </w:tcBorders>
            <w:shd w:val="clear" w:color="auto" w:fill="auto"/>
            <w:noWrap/>
            <w:vAlign w:val="center"/>
          </w:tcPr>
          <w:p w14:paraId="17583D18" w14:textId="77777777" w:rsidR="006C785E" w:rsidRPr="006C785E" w:rsidRDefault="006C785E" w:rsidP="006C785E">
            <w:pPr>
              <w:spacing w:after="0" w:line="240" w:lineRule="auto"/>
              <w:jc w:val="center"/>
              <w:rPr>
                <w:rFonts w:ascii="Arial Narrow" w:hAnsi="Arial Narrow"/>
                <w:b/>
                <w:bCs/>
                <w:color w:val="000000"/>
                <w:sz w:val="20"/>
                <w:szCs w:val="20"/>
              </w:rPr>
            </w:pPr>
            <w:r w:rsidRPr="006C785E">
              <w:rPr>
                <w:rFonts w:ascii="Arial Narrow" w:hAnsi="Arial Narrow"/>
                <w:b/>
                <w:bCs/>
                <w:color w:val="000000"/>
                <w:sz w:val="20"/>
                <w:szCs w:val="20"/>
              </w:rPr>
              <w:t>EÚ</w:t>
            </w:r>
          </w:p>
        </w:tc>
        <w:tc>
          <w:tcPr>
            <w:tcW w:w="505" w:type="dxa"/>
            <w:tcBorders>
              <w:top w:val="nil"/>
              <w:left w:val="nil"/>
              <w:bottom w:val="single" w:sz="4" w:space="0" w:color="auto"/>
              <w:right w:val="nil"/>
            </w:tcBorders>
            <w:vAlign w:val="center"/>
          </w:tcPr>
          <w:p w14:paraId="2F2C7259" w14:textId="77777777" w:rsidR="006C785E" w:rsidRPr="006C785E" w:rsidRDefault="006C785E" w:rsidP="006C785E">
            <w:pPr>
              <w:spacing w:after="0" w:line="240" w:lineRule="auto"/>
              <w:jc w:val="center"/>
              <w:rPr>
                <w:rFonts w:ascii="Arial Narrow" w:hAnsi="Arial Narrow"/>
                <w:sz w:val="20"/>
                <w:szCs w:val="20"/>
              </w:rPr>
            </w:pPr>
            <w:r w:rsidRPr="006C785E">
              <w:rPr>
                <w:rFonts w:ascii="Arial Narrow" w:hAnsi="Arial Narrow"/>
                <w:sz w:val="20"/>
                <w:szCs w:val="20"/>
              </w:rPr>
              <w:t>-</w:t>
            </w:r>
          </w:p>
        </w:tc>
        <w:tc>
          <w:tcPr>
            <w:tcW w:w="508" w:type="dxa"/>
            <w:tcBorders>
              <w:top w:val="nil"/>
              <w:left w:val="nil"/>
              <w:bottom w:val="single" w:sz="4" w:space="0" w:color="auto"/>
              <w:right w:val="nil"/>
            </w:tcBorders>
            <w:shd w:val="clear" w:color="auto" w:fill="auto"/>
            <w:vAlign w:val="center"/>
          </w:tcPr>
          <w:p w14:paraId="572B95C0" w14:textId="77777777" w:rsidR="006C785E" w:rsidRPr="006C785E" w:rsidRDefault="006C785E" w:rsidP="006C785E">
            <w:pPr>
              <w:spacing w:after="0" w:line="240" w:lineRule="auto"/>
              <w:jc w:val="center"/>
              <w:rPr>
                <w:rFonts w:ascii="Arial Narrow" w:hAnsi="Arial Narrow"/>
                <w:sz w:val="20"/>
                <w:szCs w:val="20"/>
              </w:rPr>
            </w:pPr>
            <w:r w:rsidRPr="006C785E">
              <w:rPr>
                <w:rFonts w:ascii="Arial Narrow" w:hAnsi="Arial Narrow"/>
                <w:sz w:val="20"/>
                <w:szCs w:val="20"/>
              </w:rPr>
              <w:t>-</w:t>
            </w:r>
          </w:p>
        </w:tc>
        <w:tc>
          <w:tcPr>
            <w:tcW w:w="509" w:type="dxa"/>
            <w:tcBorders>
              <w:top w:val="nil"/>
              <w:left w:val="nil"/>
              <w:bottom w:val="single" w:sz="4" w:space="0" w:color="auto"/>
              <w:right w:val="nil"/>
            </w:tcBorders>
            <w:shd w:val="clear" w:color="auto" w:fill="auto"/>
            <w:vAlign w:val="center"/>
          </w:tcPr>
          <w:p w14:paraId="3E1CC349" w14:textId="77777777" w:rsidR="006C785E" w:rsidRPr="006C785E" w:rsidRDefault="006C785E" w:rsidP="006C785E">
            <w:pPr>
              <w:spacing w:after="0" w:line="240" w:lineRule="auto"/>
              <w:jc w:val="center"/>
              <w:rPr>
                <w:rFonts w:ascii="Arial Narrow" w:hAnsi="Arial Narrow"/>
                <w:sz w:val="20"/>
                <w:szCs w:val="20"/>
              </w:rPr>
            </w:pPr>
            <w:r w:rsidRPr="006C785E">
              <w:rPr>
                <w:rFonts w:ascii="Arial Narrow" w:hAnsi="Arial Narrow"/>
                <w:sz w:val="20"/>
                <w:szCs w:val="20"/>
              </w:rPr>
              <w:t>13,5</w:t>
            </w:r>
          </w:p>
        </w:tc>
        <w:tc>
          <w:tcPr>
            <w:tcW w:w="509" w:type="dxa"/>
            <w:tcBorders>
              <w:top w:val="nil"/>
              <w:left w:val="nil"/>
              <w:bottom w:val="single" w:sz="4" w:space="0" w:color="auto"/>
              <w:right w:val="nil"/>
            </w:tcBorders>
            <w:shd w:val="clear" w:color="auto" w:fill="auto"/>
            <w:vAlign w:val="center"/>
          </w:tcPr>
          <w:p w14:paraId="707CADDE" w14:textId="77777777" w:rsidR="006C785E" w:rsidRPr="006C785E" w:rsidRDefault="006C785E" w:rsidP="006C785E">
            <w:pPr>
              <w:spacing w:after="0" w:line="240" w:lineRule="auto"/>
              <w:jc w:val="center"/>
              <w:rPr>
                <w:rFonts w:ascii="Arial Narrow" w:hAnsi="Arial Narrow"/>
                <w:sz w:val="20"/>
                <w:szCs w:val="20"/>
              </w:rPr>
            </w:pPr>
            <w:r w:rsidRPr="006C785E">
              <w:rPr>
                <w:rFonts w:ascii="Arial Narrow" w:hAnsi="Arial Narrow"/>
                <w:sz w:val="20"/>
                <w:szCs w:val="20"/>
              </w:rPr>
              <w:t>14,4</w:t>
            </w:r>
          </w:p>
        </w:tc>
        <w:tc>
          <w:tcPr>
            <w:tcW w:w="509" w:type="dxa"/>
            <w:tcBorders>
              <w:top w:val="nil"/>
              <w:left w:val="nil"/>
              <w:bottom w:val="single" w:sz="4" w:space="0" w:color="auto"/>
              <w:right w:val="nil"/>
            </w:tcBorders>
            <w:shd w:val="clear" w:color="auto" w:fill="auto"/>
            <w:vAlign w:val="center"/>
          </w:tcPr>
          <w:p w14:paraId="7A27227E" w14:textId="77777777" w:rsidR="006C785E" w:rsidRPr="006C785E" w:rsidRDefault="006C785E" w:rsidP="006C785E">
            <w:pPr>
              <w:spacing w:after="0" w:line="240" w:lineRule="auto"/>
              <w:jc w:val="center"/>
              <w:rPr>
                <w:rFonts w:ascii="Arial Narrow" w:hAnsi="Arial Narrow"/>
                <w:sz w:val="20"/>
                <w:szCs w:val="20"/>
              </w:rPr>
            </w:pPr>
            <w:r w:rsidRPr="006C785E">
              <w:rPr>
                <w:rFonts w:ascii="Arial Narrow" w:hAnsi="Arial Narrow"/>
                <w:sz w:val="20"/>
                <w:szCs w:val="20"/>
              </w:rPr>
              <w:t>15,0</w:t>
            </w:r>
          </w:p>
        </w:tc>
        <w:tc>
          <w:tcPr>
            <w:tcW w:w="509" w:type="dxa"/>
            <w:tcBorders>
              <w:top w:val="nil"/>
              <w:left w:val="nil"/>
              <w:bottom w:val="single" w:sz="4" w:space="0" w:color="auto"/>
              <w:right w:val="nil"/>
            </w:tcBorders>
            <w:shd w:val="clear" w:color="auto" w:fill="auto"/>
            <w:vAlign w:val="center"/>
          </w:tcPr>
          <w:p w14:paraId="4A633DEC" w14:textId="77777777" w:rsidR="006C785E" w:rsidRPr="006C785E" w:rsidRDefault="006C785E" w:rsidP="006C785E">
            <w:pPr>
              <w:spacing w:after="0" w:line="240" w:lineRule="auto"/>
              <w:jc w:val="center"/>
              <w:rPr>
                <w:rFonts w:ascii="Arial Narrow" w:hAnsi="Arial Narrow"/>
                <w:sz w:val="20"/>
                <w:szCs w:val="20"/>
              </w:rPr>
            </w:pPr>
            <w:r w:rsidRPr="006C785E">
              <w:rPr>
                <w:rFonts w:ascii="Arial Narrow" w:hAnsi="Arial Narrow"/>
                <w:sz w:val="20"/>
                <w:szCs w:val="20"/>
              </w:rPr>
              <w:t>14,8</w:t>
            </w:r>
          </w:p>
        </w:tc>
        <w:tc>
          <w:tcPr>
            <w:tcW w:w="509" w:type="dxa"/>
            <w:tcBorders>
              <w:top w:val="nil"/>
              <w:left w:val="nil"/>
              <w:bottom w:val="single" w:sz="4" w:space="0" w:color="auto"/>
              <w:right w:val="nil"/>
            </w:tcBorders>
            <w:shd w:val="clear" w:color="auto" w:fill="auto"/>
            <w:vAlign w:val="center"/>
          </w:tcPr>
          <w:p w14:paraId="5C4B7434" w14:textId="77777777" w:rsidR="006C785E" w:rsidRPr="006C785E" w:rsidRDefault="006C785E" w:rsidP="006C785E">
            <w:pPr>
              <w:spacing w:after="0" w:line="240" w:lineRule="auto"/>
              <w:jc w:val="center"/>
              <w:rPr>
                <w:rFonts w:ascii="Arial Narrow" w:hAnsi="Arial Narrow"/>
                <w:sz w:val="20"/>
                <w:szCs w:val="20"/>
              </w:rPr>
            </w:pPr>
            <w:r w:rsidRPr="006C785E">
              <w:rPr>
                <w:rFonts w:ascii="Arial Narrow" w:hAnsi="Arial Narrow"/>
                <w:sz w:val="20"/>
                <w:szCs w:val="20"/>
              </w:rPr>
              <w:t>14,0</w:t>
            </w:r>
          </w:p>
        </w:tc>
        <w:tc>
          <w:tcPr>
            <w:tcW w:w="509" w:type="dxa"/>
            <w:tcBorders>
              <w:top w:val="nil"/>
              <w:left w:val="nil"/>
              <w:bottom w:val="single" w:sz="4" w:space="0" w:color="auto"/>
              <w:right w:val="nil"/>
            </w:tcBorders>
            <w:shd w:val="clear" w:color="auto" w:fill="auto"/>
            <w:vAlign w:val="center"/>
          </w:tcPr>
          <w:p w14:paraId="55B5D731" w14:textId="77777777" w:rsidR="006C785E" w:rsidRPr="006C785E" w:rsidRDefault="006C785E" w:rsidP="006C785E">
            <w:pPr>
              <w:spacing w:after="0" w:line="240" w:lineRule="auto"/>
              <w:jc w:val="center"/>
              <w:rPr>
                <w:rFonts w:ascii="Arial Narrow" w:hAnsi="Arial Narrow"/>
                <w:sz w:val="20"/>
                <w:szCs w:val="20"/>
              </w:rPr>
            </w:pPr>
            <w:r w:rsidRPr="006C785E">
              <w:rPr>
                <w:rFonts w:ascii="Arial Narrow" w:hAnsi="Arial Narrow"/>
                <w:sz w:val="20"/>
                <w:szCs w:val="20"/>
              </w:rPr>
              <w:t>12,8</w:t>
            </w:r>
          </w:p>
        </w:tc>
        <w:tc>
          <w:tcPr>
            <w:tcW w:w="505" w:type="dxa"/>
            <w:tcBorders>
              <w:top w:val="nil"/>
              <w:left w:val="nil"/>
              <w:bottom w:val="single" w:sz="4" w:space="0" w:color="auto"/>
              <w:right w:val="nil"/>
            </w:tcBorders>
            <w:vAlign w:val="center"/>
          </w:tcPr>
          <w:p w14:paraId="3C0D46A5" w14:textId="77777777" w:rsidR="006C785E" w:rsidRPr="006C785E" w:rsidRDefault="006C785E" w:rsidP="006C785E">
            <w:pPr>
              <w:spacing w:after="0" w:line="240" w:lineRule="auto"/>
              <w:jc w:val="center"/>
              <w:rPr>
                <w:rFonts w:ascii="Arial Narrow" w:hAnsi="Arial Narrow"/>
                <w:color w:val="000000"/>
                <w:sz w:val="20"/>
                <w:szCs w:val="20"/>
              </w:rPr>
            </w:pPr>
            <w:r w:rsidRPr="006C785E">
              <w:rPr>
                <w:rFonts w:ascii="Arial Narrow" w:hAnsi="Arial Narrow"/>
                <w:sz w:val="20"/>
                <w:szCs w:val="20"/>
              </w:rPr>
              <w:t>-</w:t>
            </w:r>
          </w:p>
        </w:tc>
        <w:tc>
          <w:tcPr>
            <w:tcW w:w="533" w:type="dxa"/>
            <w:tcBorders>
              <w:top w:val="nil"/>
              <w:left w:val="nil"/>
              <w:bottom w:val="single" w:sz="4" w:space="0" w:color="auto"/>
              <w:right w:val="nil"/>
            </w:tcBorders>
            <w:shd w:val="clear" w:color="auto" w:fill="auto"/>
            <w:vAlign w:val="center"/>
          </w:tcPr>
          <w:p w14:paraId="645C0B98" w14:textId="77777777" w:rsidR="006C785E" w:rsidRPr="006C785E" w:rsidRDefault="006C785E" w:rsidP="006C785E">
            <w:pPr>
              <w:spacing w:after="0" w:line="240" w:lineRule="auto"/>
              <w:jc w:val="center"/>
              <w:rPr>
                <w:rFonts w:ascii="Arial Narrow" w:hAnsi="Arial Narrow"/>
                <w:color w:val="000000"/>
                <w:sz w:val="20"/>
                <w:szCs w:val="20"/>
              </w:rPr>
            </w:pPr>
            <w:r w:rsidRPr="006C785E">
              <w:rPr>
                <w:rFonts w:ascii="Arial Narrow" w:hAnsi="Arial Narrow"/>
                <w:color w:val="000000"/>
                <w:sz w:val="20"/>
                <w:szCs w:val="20"/>
              </w:rPr>
              <w:t>-</w:t>
            </w:r>
          </w:p>
        </w:tc>
      </w:tr>
    </w:tbl>
    <w:p w14:paraId="39A2CA95" w14:textId="77777777" w:rsidR="007D2366" w:rsidRPr="00781B38" w:rsidRDefault="007D2366" w:rsidP="007D2366">
      <w:pPr>
        <w:spacing w:after="0" w:line="240" w:lineRule="auto"/>
        <w:rPr>
          <w:rFonts w:ascii="Arial Narrow" w:hAnsi="Arial Narrow"/>
          <w:highlight w:val="yellow"/>
        </w:rPr>
      </w:pPr>
    </w:p>
    <w:p w14:paraId="35428F12" w14:textId="17DB0996" w:rsidR="007D2366" w:rsidRDefault="006D3CB1" w:rsidP="007D2366">
      <w:pPr>
        <w:pStyle w:val="Odsekzoznamu"/>
        <w:spacing w:after="0" w:line="240" w:lineRule="auto"/>
        <w:ind w:left="0"/>
        <w:jc w:val="both"/>
        <w:rPr>
          <w:rFonts w:ascii="Arial Narrow" w:hAnsi="Arial Narrow" w:cs="Arial Narrow"/>
        </w:rPr>
      </w:pPr>
      <w:bookmarkStart w:id="22" w:name="OLE_LINK5"/>
      <w:r w:rsidRPr="006D3CB1">
        <w:rPr>
          <w:rFonts w:ascii="Arial Narrow" w:hAnsi="Arial Narrow" w:cs="Arial Narrow"/>
        </w:rPr>
        <w:t>Základným cieľom rozpočtovej politiky je zabezpečenie efektívnych a dlhodobo udržateľných verejných financií podporujúcich udržateľný hospodársky rozvoj a zvyšovanie kvality života v kontexte starnutia obyvateľstva a pri zohľadnení podmienených záväzkov. Tento cieľ je zakotvený aj v ústavnom zákone o rozpočtovej zodpovednosti a ovplyvňuje tým pravidelnú aktualizáciu stratégie riadenia verejných financií. Podľa správy Rady pre rozpočtovú zodpovednosť z apríla 2017 bol v roku 2016 prvýkrát dosiahnutý stav dlhodobej udržateľnosti. Po zohľadnení makroekonomického scenára, demografického vývoja a súčasných politík b</w:t>
      </w:r>
      <w:r w:rsidR="00520A38">
        <w:rPr>
          <w:rFonts w:ascii="Arial Narrow" w:hAnsi="Arial Narrow" w:cs="Arial Narrow"/>
        </w:rPr>
        <w:t xml:space="preserve">y tak ani v dlhodobom horizonte </w:t>
      </w:r>
      <w:r w:rsidRPr="006D3CB1">
        <w:rPr>
          <w:rFonts w:ascii="Arial Narrow" w:hAnsi="Arial Narrow" w:cs="Arial Narrow"/>
        </w:rPr>
        <w:t>nemala byť prekročená horná hranica ústavného limitu dlhovej brzdy (na úrovni 50 % HDP).</w:t>
      </w:r>
      <w:bookmarkEnd w:id="22"/>
    </w:p>
    <w:p w14:paraId="55777051" w14:textId="77777777" w:rsidR="00B46E52" w:rsidRDefault="00B46E52" w:rsidP="007D2366">
      <w:pPr>
        <w:pStyle w:val="Odsekzoznamu"/>
        <w:spacing w:after="0" w:line="240" w:lineRule="auto"/>
        <w:ind w:left="0"/>
        <w:jc w:val="both"/>
        <w:rPr>
          <w:rFonts w:ascii="Arial Narrow" w:hAnsi="Arial Narrow" w:cs="Arial Narrow"/>
        </w:rPr>
      </w:pPr>
    </w:p>
    <w:p w14:paraId="621CB7E7" w14:textId="77777777" w:rsidR="00B46E52" w:rsidRPr="004D2FA2" w:rsidRDefault="00B46E52" w:rsidP="00B46E52">
      <w:pPr>
        <w:pStyle w:val="Odsekzoznamu"/>
        <w:spacing w:after="0" w:line="240" w:lineRule="auto"/>
        <w:ind w:left="0"/>
        <w:jc w:val="both"/>
        <w:rPr>
          <w:rFonts w:ascii="Arial Narrow" w:hAnsi="Arial Narrow"/>
          <w:b/>
          <w:i/>
          <w:color w:val="333333"/>
          <w:shd w:val="clear" w:color="auto" w:fill="FFFFFF"/>
        </w:rPr>
      </w:pPr>
      <w:r w:rsidRPr="004D2FA2">
        <w:rPr>
          <w:rFonts w:ascii="Arial Narrow" w:hAnsi="Arial Narrow"/>
          <w:b/>
          <w:i/>
          <w:color w:val="333333"/>
          <w:shd w:val="clear" w:color="auto" w:fill="FFFFFF"/>
        </w:rPr>
        <w:t>Reformy rozpočtových pravidiel</w:t>
      </w:r>
    </w:p>
    <w:p w14:paraId="02C80904" w14:textId="288C89E5" w:rsidR="00B46E52" w:rsidRPr="002E7634" w:rsidRDefault="00B46E52" w:rsidP="00B46E52">
      <w:pPr>
        <w:pStyle w:val="Odsekzoznamu"/>
        <w:spacing w:after="0" w:line="240" w:lineRule="auto"/>
        <w:ind w:left="0"/>
        <w:jc w:val="both"/>
        <w:rPr>
          <w:rStyle w:val="Zvraznenie"/>
          <w:rFonts w:ascii="Arial Narrow" w:eastAsiaTheme="majorEastAsia" w:hAnsi="Arial Narrow"/>
          <w:i w:val="0"/>
          <w:color w:val="333333"/>
          <w:shd w:val="clear" w:color="auto" w:fill="FFFFFF"/>
        </w:rPr>
      </w:pPr>
      <w:r w:rsidRPr="00395E90">
        <w:rPr>
          <w:rFonts w:ascii="Arial Narrow" w:hAnsi="Arial Narrow"/>
          <w:b/>
          <w:color w:val="333333"/>
          <w:shd w:val="clear" w:color="auto" w:fill="FFFFFF"/>
        </w:rPr>
        <w:t>MF SR zač</w:t>
      </w:r>
      <w:r>
        <w:rPr>
          <w:rFonts w:ascii="Arial Narrow" w:hAnsi="Arial Narrow"/>
          <w:b/>
          <w:color w:val="333333"/>
          <w:shd w:val="clear" w:color="auto" w:fill="FFFFFF"/>
        </w:rPr>
        <w:t>ína</w:t>
      </w:r>
      <w:r w:rsidRPr="00395E90">
        <w:rPr>
          <w:rFonts w:ascii="Arial Narrow" w:hAnsi="Arial Narrow"/>
          <w:b/>
          <w:color w:val="333333"/>
          <w:shd w:val="clear" w:color="auto" w:fill="FFFFFF"/>
        </w:rPr>
        <w:t xml:space="preserve"> v roku 2018 pracovať na </w:t>
      </w:r>
      <w:r>
        <w:rPr>
          <w:rFonts w:ascii="Arial Narrow" w:hAnsi="Arial Narrow"/>
          <w:b/>
          <w:color w:val="333333"/>
          <w:shd w:val="clear" w:color="auto" w:fill="FFFFFF"/>
        </w:rPr>
        <w:t>testovaní</w:t>
      </w:r>
      <w:r w:rsidRPr="00395E90">
        <w:rPr>
          <w:rFonts w:ascii="Arial Narrow" w:hAnsi="Arial Narrow"/>
          <w:b/>
          <w:color w:val="333333"/>
          <w:shd w:val="clear" w:color="auto" w:fill="FFFFFF"/>
        </w:rPr>
        <w:t xml:space="preserve"> výdavkových limitov </w:t>
      </w:r>
      <w:r>
        <w:rPr>
          <w:rFonts w:ascii="Arial Narrow" w:hAnsi="Arial Narrow"/>
          <w:b/>
          <w:color w:val="333333"/>
          <w:shd w:val="clear" w:color="auto" w:fill="FFFFFF"/>
        </w:rPr>
        <w:t>v rámci riadenia rozpočtu verejnej správy</w:t>
      </w:r>
      <w:r w:rsidRPr="002E7634">
        <w:rPr>
          <w:rFonts w:ascii="Arial Narrow" w:hAnsi="Arial Narrow"/>
          <w:color w:val="333333"/>
          <w:shd w:val="clear" w:color="auto" w:fill="FFFFFF"/>
        </w:rPr>
        <w:t>.</w:t>
      </w:r>
      <w:r>
        <w:rPr>
          <w:rFonts w:ascii="Arial Narrow" w:hAnsi="Arial Narrow"/>
          <w:color w:val="333333"/>
          <w:shd w:val="clear" w:color="auto" w:fill="FFFFFF"/>
        </w:rPr>
        <w:t xml:space="preserve"> </w:t>
      </w:r>
      <w:r w:rsidRPr="00FB1EE9">
        <w:rPr>
          <w:rFonts w:ascii="Arial Narrow" w:hAnsi="Arial Narrow"/>
          <w:color w:val="333333"/>
          <w:shd w:val="clear" w:color="auto" w:fill="FFFFFF"/>
        </w:rPr>
        <w:t xml:space="preserve">Výdavkové limity predstavujú </w:t>
      </w:r>
      <w:r>
        <w:rPr>
          <w:rFonts w:ascii="Arial Narrow" w:hAnsi="Arial Narrow"/>
          <w:color w:val="333333"/>
          <w:shd w:val="clear" w:color="auto" w:fill="FFFFFF"/>
        </w:rPr>
        <w:t xml:space="preserve">podľa medzinárodnej praxe jeden z najlepších </w:t>
      </w:r>
      <w:r w:rsidRPr="00FB1EE9">
        <w:rPr>
          <w:rFonts w:ascii="Arial Narrow" w:hAnsi="Arial Narrow"/>
          <w:color w:val="333333"/>
          <w:shd w:val="clear" w:color="auto" w:fill="FFFFFF"/>
        </w:rPr>
        <w:t>operatívny</w:t>
      </w:r>
      <w:r>
        <w:rPr>
          <w:rFonts w:ascii="Arial Narrow" w:hAnsi="Arial Narrow"/>
          <w:color w:val="333333"/>
          <w:shd w:val="clear" w:color="auto" w:fill="FFFFFF"/>
        </w:rPr>
        <w:t>ch</w:t>
      </w:r>
      <w:r w:rsidRPr="00FB1EE9">
        <w:rPr>
          <w:rFonts w:ascii="Arial Narrow" w:hAnsi="Arial Narrow"/>
          <w:color w:val="333333"/>
          <w:shd w:val="clear" w:color="auto" w:fill="FFFFFF"/>
        </w:rPr>
        <w:t xml:space="preserve"> nástroj</w:t>
      </w:r>
      <w:r>
        <w:rPr>
          <w:rFonts w:ascii="Arial Narrow" w:hAnsi="Arial Narrow"/>
          <w:color w:val="333333"/>
          <w:shd w:val="clear" w:color="auto" w:fill="FFFFFF"/>
        </w:rPr>
        <w:t>ov</w:t>
      </w:r>
      <w:r w:rsidRPr="00FB1EE9">
        <w:rPr>
          <w:rFonts w:ascii="Arial Narrow" w:hAnsi="Arial Narrow"/>
          <w:color w:val="333333"/>
          <w:shd w:val="clear" w:color="auto" w:fill="FFFFFF"/>
        </w:rPr>
        <w:t xml:space="preserve"> </w:t>
      </w:r>
      <w:r w:rsidR="00520A38">
        <w:rPr>
          <w:rFonts w:ascii="Arial Narrow" w:hAnsi="Arial Narrow"/>
          <w:color w:val="333333"/>
          <w:shd w:val="clear" w:color="auto" w:fill="FFFFFF"/>
        </w:rPr>
        <w:t xml:space="preserve">pre plánovanie a implementáciu </w:t>
      </w:r>
      <w:r>
        <w:rPr>
          <w:rFonts w:ascii="Arial Narrow" w:hAnsi="Arial Narrow"/>
          <w:color w:val="333333"/>
          <w:shd w:val="clear" w:color="auto" w:fill="FFFFFF"/>
        </w:rPr>
        <w:t>rozpočtu verejnej správy.</w:t>
      </w:r>
      <w:r w:rsidRPr="004D2FA2">
        <w:t xml:space="preserve"> </w:t>
      </w:r>
      <w:r>
        <w:rPr>
          <w:rFonts w:ascii="Arial Narrow" w:hAnsi="Arial Narrow"/>
          <w:color w:val="333333"/>
          <w:shd w:val="clear" w:color="auto" w:fill="FFFFFF"/>
        </w:rPr>
        <w:t>V úvodnej fáze pripraví MF SR simulácie výdavkových stropov na základe</w:t>
      </w:r>
      <w:r w:rsidR="003B6159">
        <w:rPr>
          <w:rFonts w:ascii="Arial Narrow" w:hAnsi="Arial Narrow"/>
          <w:color w:val="333333"/>
          <w:shd w:val="clear" w:color="auto" w:fill="FFFFFF"/>
        </w:rPr>
        <w:t xml:space="preserve"> skutočných údajov z minulosti. V</w:t>
      </w:r>
      <w:r>
        <w:rPr>
          <w:rFonts w:ascii="Arial Narrow" w:hAnsi="Arial Narrow"/>
          <w:color w:val="333333"/>
          <w:shd w:val="clear" w:color="auto" w:fill="FFFFFF"/>
        </w:rPr>
        <w:t>yhodnotenie jednotlivých simulácií by malo následne slúžiť ako analytický podklad pre rozhodovanie o</w:t>
      </w:r>
      <w:r w:rsidR="00520A38">
        <w:rPr>
          <w:rFonts w:ascii="Arial Narrow" w:hAnsi="Arial Narrow"/>
          <w:color w:val="333333"/>
          <w:shd w:val="clear" w:color="auto" w:fill="FFFFFF"/>
        </w:rPr>
        <w:t xml:space="preserve"> prípadnej podobe implementácie výdavkových limitov v </w:t>
      </w:r>
      <w:r>
        <w:rPr>
          <w:rFonts w:ascii="Arial Narrow" w:hAnsi="Arial Narrow"/>
          <w:color w:val="333333"/>
          <w:shd w:val="clear" w:color="auto" w:fill="FFFFFF"/>
        </w:rPr>
        <w:t>budúcnosti. Prvé skutočné testovanie v rámci stanovenia a monitorovania plnenia rozpočtu prebehne v roku 2019.</w:t>
      </w:r>
    </w:p>
    <w:p w14:paraId="4F0E87BD" w14:textId="77777777" w:rsidR="00B46E52" w:rsidRPr="00490878" w:rsidRDefault="00B46E52" w:rsidP="00B46E52">
      <w:pPr>
        <w:pStyle w:val="Odsekzoznamu"/>
        <w:spacing w:after="0" w:line="240" w:lineRule="auto"/>
        <w:ind w:left="0"/>
        <w:jc w:val="both"/>
        <w:rPr>
          <w:rFonts w:ascii="Arial Narrow" w:hAnsi="Arial Narrow" w:cs="Arial Narrow"/>
          <w:highlight w:val="yellow"/>
        </w:rPr>
      </w:pPr>
    </w:p>
    <w:p w14:paraId="7B7A3AB8" w14:textId="22B61811" w:rsidR="00B46E52" w:rsidRPr="004820DE" w:rsidRDefault="00B46E52" w:rsidP="00B46E52">
      <w:pPr>
        <w:spacing w:after="0" w:line="240" w:lineRule="auto"/>
        <w:jc w:val="both"/>
        <w:rPr>
          <w:rFonts w:ascii="Arial Narrow" w:hAnsi="Arial Narrow"/>
        </w:rPr>
      </w:pPr>
      <w:r w:rsidRPr="004D2FA2">
        <w:rPr>
          <w:rFonts w:ascii="Arial Narrow" w:hAnsi="Arial Narrow"/>
          <w:b/>
        </w:rPr>
        <w:t>Aj v roku 2018 bude pokračovať implementácia novely zákona o rozpočtových pravidlách</w:t>
      </w:r>
      <w:r>
        <w:rPr>
          <w:rFonts w:ascii="Arial Narrow" w:hAnsi="Arial Narrow"/>
          <w:b/>
        </w:rPr>
        <w:t xml:space="preserve"> z roku 2016</w:t>
      </w:r>
      <w:r>
        <w:rPr>
          <w:rFonts w:ascii="Arial Narrow" w:hAnsi="Arial Narrow"/>
        </w:rPr>
        <w:t xml:space="preserve">. </w:t>
      </w:r>
      <w:r w:rsidRPr="00490878">
        <w:rPr>
          <w:rFonts w:ascii="Arial Narrow" w:hAnsi="Arial Narrow"/>
        </w:rPr>
        <w:t xml:space="preserve">Schválením zákona NR SR z októbra 2016 sa novelizovali zákony o rozpočtových pravidlách verejnej správy a územnej samosprávy. Niektoré </w:t>
      </w:r>
      <w:r>
        <w:rPr>
          <w:rFonts w:ascii="Arial Narrow" w:hAnsi="Arial Narrow"/>
        </w:rPr>
        <w:t xml:space="preserve">z iniciovaných </w:t>
      </w:r>
      <w:r w:rsidRPr="00490878">
        <w:rPr>
          <w:rFonts w:ascii="Arial Narrow" w:hAnsi="Arial Narrow"/>
        </w:rPr>
        <w:t>zm</w:t>
      </w:r>
      <w:r>
        <w:rPr>
          <w:rFonts w:ascii="Arial Narrow" w:hAnsi="Arial Narrow"/>
        </w:rPr>
        <w:t>ien</w:t>
      </w:r>
      <w:r w:rsidRPr="00490878">
        <w:rPr>
          <w:rFonts w:ascii="Arial Narrow" w:hAnsi="Arial Narrow"/>
        </w:rPr>
        <w:t xml:space="preserve"> </w:t>
      </w:r>
      <w:r>
        <w:rPr>
          <w:rFonts w:ascii="Arial Narrow" w:hAnsi="Arial Narrow"/>
        </w:rPr>
        <w:t xml:space="preserve">vstúpili do účinnosti už </w:t>
      </w:r>
      <w:r w:rsidRPr="00490878">
        <w:rPr>
          <w:rFonts w:ascii="Arial Narrow" w:hAnsi="Arial Narrow"/>
        </w:rPr>
        <w:t xml:space="preserve">od januára 2017, pričom </w:t>
      </w:r>
      <w:r>
        <w:rPr>
          <w:rFonts w:ascii="Arial Narrow" w:hAnsi="Arial Narrow"/>
        </w:rPr>
        <w:t>ďalšie</w:t>
      </w:r>
      <w:r w:rsidRPr="00490878">
        <w:rPr>
          <w:rFonts w:ascii="Arial Narrow" w:hAnsi="Arial Narrow"/>
        </w:rPr>
        <w:t xml:space="preserve"> časti novely nadobúdajú účinnosť od 2018 resp. 2019</w:t>
      </w:r>
      <w:r>
        <w:rPr>
          <w:rFonts w:ascii="Arial Narrow" w:hAnsi="Arial Narrow"/>
        </w:rPr>
        <w:t xml:space="preserve">. </w:t>
      </w:r>
      <w:r w:rsidRPr="00490878">
        <w:rPr>
          <w:rFonts w:ascii="Arial Narrow" w:hAnsi="Arial Narrow"/>
        </w:rPr>
        <w:t>K</w:t>
      </w:r>
      <w:r>
        <w:rPr>
          <w:rFonts w:ascii="Arial Narrow" w:hAnsi="Arial Narrow"/>
        </w:rPr>
        <w:t> hlavným zmenám platným o</w:t>
      </w:r>
      <w:r w:rsidRPr="00490878">
        <w:rPr>
          <w:rFonts w:ascii="Arial Narrow" w:hAnsi="Arial Narrow"/>
        </w:rPr>
        <w:t xml:space="preserve">d januára </w:t>
      </w:r>
      <w:r w:rsidRPr="00490878">
        <w:rPr>
          <w:rFonts w:ascii="Arial Narrow" w:hAnsi="Arial Narrow"/>
        </w:rPr>
        <w:lastRenderedPageBreak/>
        <w:t xml:space="preserve">2018 </w:t>
      </w:r>
      <w:r>
        <w:rPr>
          <w:rFonts w:ascii="Arial Narrow" w:hAnsi="Arial Narrow"/>
        </w:rPr>
        <w:t xml:space="preserve">patria úpravy týkajúce sa </w:t>
      </w:r>
      <w:r w:rsidRPr="00395E90">
        <w:rPr>
          <w:rFonts w:ascii="Arial Narrow" w:hAnsi="Arial Narrow"/>
          <w:b/>
        </w:rPr>
        <w:t>rozp</w:t>
      </w:r>
      <w:r>
        <w:rPr>
          <w:rFonts w:ascii="Arial Narrow" w:hAnsi="Arial Narrow"/>
          <w:b/>
        </w:rPr>
        <w:t>očtovania</w:t>
      </w:r>
      <w:r w:rsidRPr="00395E90">
        <w:rPr>
          <w:rFonts w:ascii="Arial Narrow" w:hAnsi="Arial Narrow"/>
          <w:b/>
        </w:rPr>
        <w:t xml:space="preserve"> všetkých príjmov a výdavkov, vrátane </w:t>
      </w:r>
      <w:r w:rsidR="00520A38">
        <w:rPr>
          <w:rFonts w:ascii="Arial Narrow" w:hAnsi="Arial Narrow"/>
          <w:b/>
        </w:rPr>
        <w:t>samostatných</w:t>
      </w:r>
      <w:r w:rsidR="00520A38" w:rsidRPr="00395E90">
        <w:rPr>
          <w:rFonts w:ascii="Arial Narrow" w:hAnsi="Arial Narrow"/>
          <w:b/>
        </w:rPr>
        <w:t xml:space="preserve"> </w:t>
      </w:r>
      <w:r w:rsidRPr="00395E90">
        <w:rPr>
          <w:rFonts w:ascii="Arial Narrow" w:hAnsi="Arial Narrow"/>
          <w:b/>
        </w:rPr>
        <w:t>účtov</w:t>
      </w:r>
      <w:r>
        <w:rPr>
          <w:rFonts w:ascii="Arial Narrow" w:hAnsi="Arial Narrow"/>
        </w:rPr>
        <w:t xml:space="preserve">. </w:t>
      </w:r>
      <w:r w:rsidR="00520A38">
        <w:rPr>
          <w:rFonts w:ascii="Arial Narrow" w:hAnsi="Arial Narrow"/>
        </w:rPr>
        <w:t xml:space="preserve">Začalo </w:t>
      </w:r>
      <w:r>
        <w:rPr>
          <w:rFonts w:ascii="Arial Narrow" w:hAnsi="Arial Narrow"/>
        </w:rPr>
        <w:t>sa uplatňovať</w:t>
      </w:r>
      <w:r w:rsidRPr="00395E90">
        <w:rPr>
          <w:rFonts w:ascii="Arial Narrow" w:hAnsi="Arial Narrow"/>
        </w:rPr>
        <w:t xml:space="preserve"> rozpočtovanie tak, že </w:t>
      </w:r>
      <w:r>
        <w:rPr>
          <w:rFonts w:ascii="Arial Narrow" w:hAnsi="Arial Narrow"/>
        </w:rPr>
        <w:t>sa budú</w:t>
      </w:r>
      <w:r w:rsidRPr="00395E90">
        <w:rPr>
          <w:rFonts w:ascii="Arial Narrow" w:hAnsi="Arial Narrow"/>
        </w:rPr>
        <w:t xml:space="preserve"> rozpočtovať príjmy a výdavky n</w:t>
      </w:r>
      <w:r>
        <w:rPr>
          <w:rFonts w:ascii="Arial Narrow" w:hAnsi="Arial Narrow"/>
        </w:rPr>
        <w:t>a všetkých účtoch rozpočtovej organizácie</w:t>
      </w:r>
      <w:r w:rsidRPr="00395E90">
        <w:rPr>
          <w:rFonts w:ascii="Arial Narrow" w:hAnsi="Arial Narrow"/>
        </w:rPr>
        <w:t xml:space="preserve">. </w:t>
      </w:r>
      <w:r>
        <w:rPr>
          <w:rFonts w:ascii="Arial Narrow" w:hAnsi="Arial Narrow"/>
        </w:rPr>
        <w:t>Cieľom postupu je zlepšenie porovnateľnosti</w:t>
      </w:r>
      <w:r w:rsidRPr="00490878">
        <w:rPr>
          <w:rFonts w:ascii="Arial Narrow" w:hAnsi="Arial Narrow"/>
        </w:rPr>
        <w:t xml:space="preserve"> rozpočto</w:t>
      </w:r>
      <w:r>
        <w:rPr>
          <w:rFonts w:ascii="Arial Narrow" w:hAnsi="Arial Narrow"/>
        </w:rPr>
        <w:t>vých</w:t>
      </w:r>
      <w:r w:rsidRPr="00490878">
        <w:rPr>
          <w:rFonts w:ascii="Arial Narrow" w:hAnsi="Arial Narrow"/>
        </w:rPr>
        <w:t xml:space="preserve"> údajov so skutoč</w:t>
      </w:r>
      <w:r>
        <w:rPr>
          <w:rFonts w:ascii="Arial Narrow" w:hAnsi="Arial Narrow"/>
        </w:rPr>
        <w:t>ne</w:t>
      </w:r>
      <w:r w:rsidRPr="00490878">
        <w:rPr>
          <w:rFonts w:ascii="Arial Narrow" w:hAnsi="Arial Narrow"/>
        </w:rPr>
        <w:t xml:space="preserve"> vykázanými údajmi.</w:t>
      </w:r>
    </w:p>
    <w:p w14:paraId="1B2BAC9E" w14:textId="77777777" w:rsidR="006D3CB1" w:rsidRDefault="006D3CB1" w:rsidP="007D2366">
      <w:pPr>
        <w:pStyle w:val="Odsekzoznamu"/>
        <w:spacing w:after="0" w:line="240" w:lineRule="auto"/>
        <w:ind w:left="0"/>
        <w:jc w:val="both"/>
        <w:rPr>
          <w:rFonts w:ascii="Arial Narrow" w:hAnsi="Arial Narrow" w:cs="Arial Narrow"/>
        </w:rPr>
      </w:pPr>
    </w:p>
    <w:p w14:paraId="7589E1F7" w14:textId="57674C18" w:rsidR="006D3CB1" w:rsidRDefault="00F030F5" w:rsidP="006D3CB1">
      <w:pPr>
        <w:spacing w:after="0" w:line="240" w:lineRule="auto"/>
        <w:jc w:val="both"/>
        <w:rPr>
          <w:rFonts w:ascii="Arial Narrow" w:hAnsi="Arial Narrow" w:cs="Arial Narrow"/>
          <w:b/>
          <w:i/>
        </w:rPr>
      </w:pPr>
      <w:r>
        <w:rPr>
          <w:rFonts w:ascii="Arial Narrow" w:hAnsi="Arial Narrow" w:cs="Arial Narrow"/>
          <w:b/>
          <w:i/>
        </w:rPr>
        <w:t>Efektívnosť výdavkov</w:t>
      </w:r>
    </w:p>
    <w:p w14:paraId="45AEC641" w14:textId="77777777" w:rsidR="009F2177" w:rsidRPr="00DF3C67" w:rsidRDefault="009F2177" w:rsidP="009F2177">
      <w:pPr>
        <w:spacing w:after="0" w:line="240" w:lineRule="auto"/>
        <w:jc w:val="both"/>
        <w:rPr>
          <w:rFonts w:ascii="Arial Narrow" w:hAnsi="Arial Narrow" w:cs="Arial Narrow"/>
        </w:rPr>
      </w:pPr>
      <w:r w:rsidRPr="00DF3C67">
        <w:rPr>
          <w:rFonts w:ascii="Arial Narrow" w:hAnsi="Arial Narrow" w:cs="Arial Narrow"/>
        </w:rPr>
        <w:t xml:space="preserve">V rámci rozpočtového procesu pri aplikovaní </w:t>
      </w:r>
      <w:r w:rsidRPr="00DF3C67">
        <w:rPr>
          <w:rFonts w:ascii="Arial Narrow" w:hAnsi="Arial Narrow" w:cs="Arial Narrow"/>
          <w:b/>
        </w:rPr>
        <w:t xml:space="preserve">iniciatívy </w:t>
      </w:r>
      <w:r w:rsidRPr="00DF3C67">
        <w:rPr>
          <w:rFonts w:ascii="Arial Narrow" w:hAnsi="Arial Narrow" w:cs="Arial Narrow"/>
          <w:b/>
          <w:i/>
        </w:rPr>
        <w:t>Hodnota za peniaze</w:t>
      </w:r>
      <w:r w:rsidRPr="00DF3C67">
        <w:rPr>
          <w:rFonts w:ascii="Arial Narrow" w:hAnsi="Arial Narrow" w:cs="Arial Narrow"/>
        </w:rPr>
        <w:t xml:space="preserve"> bude vláda pokračovať v pravidelnom a systematickom hodnotení efektívnosti vynakladania verejných financií. Závery jednotlivých revízií budú súčasťou rozpočtu verejnej správy a návrhu rozpočtového plánu. </w:t>
      </w:r>
    </w:p>
    <w:p w14:paraId="5CF87976" w14:textId="77777777" w:rsidR="009F2177" w:rsidRPr="00DF3C67" w:rsidRDefault="009F2177" w:rsidP="009F2177">
      <w:pPr>
        <w:spacing w:after="0" w:line="240" w:lineRule="auto"/>
        <w:jc w:val="both"/>
        <w:rPr>
          <w:rFonts w:ascii="Arial Narrow" w:hAnsi="Arial Narrow" w:cs="Arial Narrow"/>
        </w:rPr>
      </w:pPr>
    </w:p>
    <w:p w14:paraId="43589981" w14:textId="77777777" w:rsidR="009F2177" w:rsidRPr="00DF3C67" w:rsidRDefault="009F2177" w:rsidP="009F2177">
      <w:pPr>
        <w:spacing w:after="0" w:line="240" w:lineRule="auto"/>
        <w:jc w:val="both"/>
        <w:rPr>
          <w:rFonts w:ascii="Arial Narrow" w:hAnsi="Arial Narrow"/>
        </w:rPr>
      </w:pPr>
      <w:r w:rsidRPr="009F2177">
        <w:rPr>
          <w:rFonts w:ascii="Arial Narrow" w:hAnsi="Arial Narrow"/>
          <w:b/>
        </w:rPr>
        <w:t>Prvé kolo revízie výdavkov sa zameralo na zdravotníctvo, dopravu a informatizáciu</w:t>
      </w:r>
      <w:r w:rsidRPr="009F2177">
        <w:rPr>
          <w:rFonts w:ascii="Arial Narrow" w:hAnsi="Arial Narrow"/>
        </w:rPr>
        <w:t>, ktoré predstavujú približne 8,6 % HDP.</w:t>
      </w:r>
      <w:r w:rsidRPr="00DF3C67">
        <w:rPr>
          <w:rFonts w:ascii="Arial Narrow" w:hAnsi="Arial Narrow"/>
        </w:rPr>
        <w:t xml:space="preserve"> Revízia identifikovala potenciálne opatrenia vo výške približne 9 % revidovaných výdavkov z celkových výdavkov na zdravotníctvo, resp. informatizáciu. Súčasťou rozpočtu verejnej správy na roky 2017 až 2019 sú opatrenia v zdravotníctve v hodnote 174 mil. eur (čo zodpovedá 3,9 % výdavkov na zdravotníctvo).</w:t>
      </w:r>
    </w:p>
    <w:p w14:paraId="3905CA72" w14:textId="77777777" w:rsidR="009F2177" w:rsidRPr="00DF3C67" w:rsidRDefault="009F2177" w:rsidP="009F2177">
      <w:pPr>
        <w:spacing w:after="0" w:line="240" w:lineRule="auto"/>
        <w:jc w:val="both"/>
        <w:rPr>
          <w:rFonts w:ascii="Arial Narrow" w:hAnsi="Arial Narrow"/>
        </w:rPr>
      </w:pPr>
    </w:p>
    <w:p w14:paraId="2E34566D" w14:textId="77777777" w:rsidR="009F2177" w:rsidRPr="00DF3C67" w:rsidRDefault="009F2177" w:rsidP="009F2177">
      <w:pPr>
        <w:spacing w:after="0" w:line="240" w:lineRule="auto"/>
        <w:jc w:val="both"/>
        <w:rPr>
          <w:rFonts w:ascii="Arial Narrow" w:hAnsi="Arial Narrow"/>
        </w:rPr>
      </w:pPr>
      <w:r w:rsidRPr="009F2177">
        <w:rPr>
          <w:rFonts w:ascii="Arial Narrow" w:hAnsi="Arial Narrow"/>
          <w:b/>
        </w:rPr>
        <w:t>Druhé kolo revízie výdavkov hodnotilo trh práce a sociálny systém, vzdelávanie a životné prostredie.</w:t>
      </w:r>
      <w:r w:rsidRPr="00DF3C67">
        <w:rPr>
          <w:rFonts w:ascii="Arial Narrow" w:hAnsi="Arial Narrow"/>
        </w:rPr>
        <w:t xml:space="preserve"> Záverečné správy boli zverejnené v júni 2017. Zhodnotené boli výdavky v hodnote 7,3 % HDP. Identifikované opatrenia mali hodnotu 277 mil. eur. Z toho 88 mil. eur je vo vzdelávaní, 59 mil. eur v politikách trhu práce a sociálnych politikách a 130 mil. eur v životnom prostredí. Lepšie odmeňovanie učiteľov, reforma financovania vedy a akreditačného procesu a zbieranie relevantných informácii prinesú vyššiu hodnotu v školstve. Efektívnejšia prevádzka, najmä v Slovenskom vodohospodárskom podniku a zvýšenie poplatkov za skládkovanie znižuje výdavky v životnom prostredí. Hodnotu zvýši utlmenie výroby elektriny z uhlia, </w:t>
      </w:r>
      <w:proofErr w:type="spellStart"/>
      <w:r w:rsidRPr="00DF3C67">
        <w:rPr>
          <w:rFonts w:ascii="Arial Narrow" w:hAnsi="Arial Narrow"/>
        </w:rPr>
        <w:t>prioritizácia</w:t>
      </w:r>
      <w:proofErr w:type="spellEnd"/>
      <w:r w:rsidRPr="00DF3C67">
        <w:rPr>
          <w:rFonts w:ascii="Arial Narrow" w:hAnsi="Arial Narrow"/>
        </w:rPr>
        <w:t xml:space="preserve"> protipovodňových opatrení a zvýšenie miery pripojenia obyvateľstva na čistiarne odpadových vôd. V oblasti trhu práce a sociálnych vecí patrí medzi identifikované opatrenia lepšie cielenie rodinných dávok, ročné zúčtovanie sociálnych odvodov a nižšia nákladovosť a zhodnotenie v II. a III. pilieri. </w:t>
      </w:r>
    </w:p>
    <w:p w14:paraId="28E4535D" w14:textId="77777777" w:rsidR="009F2177" w:rsidRPr="00DF3C67" w:rsidRDefault="009F2177" w:rsidP="009F2177">
      <w:pPr>
        <w:spacing w:after="0" w:line="240" w:lineRule="auto"/>
        <w:jc w:val="both"/>
        <w:rPr>
          <w:rFonts w:ascii="Arial Narrow" w:hAnsi="Arial Narrow"/>
        </w:rPr>
      </w:pPr>
    </w:p>
    <w:p w14:paraId="5A5EE05D" w14:textId="394FA9F9" w:rsidR="009F2177" w:rsidRPr="00DF3C67" w:rsidRDefault="009F2177" w:rsidP="009F2177">
      <w:pPr>
        <w:spacing w:after="0" w:line="240" w:lineRule="auto"/>
        <w:jc w:val="both"/>
        <w:rPr>
          <w:rFonts w:ascii="Arial Narrow" w:hAnsi="Arial Narrow" w:cs="Arial Narrow"/>
        </w:rPr>
      </w:pPr>
      <w:r w:rsidRPr="009F2177">
        <w:rPr>
          <w:rFonts w:ascii="Arial Narrow" w:hAnsi="Arial Narrow" w:cs="Arial Narrow"/>
          <w:b/>
        </w:rPr>
        <w:t>Tretie kolo revízie výdavkov sa zameriava na pôdohospodárstvo, začlenenie skupín ohrozených chudobou a sociálnym vylúčením a zamestnanosť a odmeňovanie vo verejnej správe.</w:t>
      </w:r>
      <w:r w:rsidR="003E5C54">
        <w:rPr>
          <w:rFonts w:ascii="Arial Narrow" w:hAnsi="Arial Narrow" w:cs="Arial Narrow"/>
        </w:rPr>
        <w:t xml:space="preserve"> Priebežné správy budú zverejnené v októbri 2018, záverečné správy</w:t>
      </w:r>
      <w:r w:rsidRPr="00DF3C67">
        <w:rPr>
          <w:rFonts w:ascii="Arial Narrow" w:hAnsi="Arial Narrow" w:cs="Arial Narrow"/>
        </w:rPr>
        <w:t xml:space="preserve"> s opatreniami v marci 2019. Výsledky revízie budú zapracované v rozpočte verejnej správy 2020 až 2022. Súčasne sú hodnotené investície v IT v hodnote viac ako 230 mil. eur, dopravné investície v hodnote takmer 8 mld. eur.</w:t>
      </w:r>
    </w:p>
    <w:p w14:paraId="04D237DD" w14:textId="77777777" w:rsidR="009F2177" w:rsidRPr="00DF3C67" w:rsidRDefault="009F2177" w:rsidP="009F2177">
      <w:pPr>
        <w:tabs>
          <w:tab w:val="left" w:pos="6518"/>
        </w:tabs>
        <w:spacing w:after="0" w:line="240" w:lineRule="auto"/>
        <w:jc w:val="both"/>
        <w:rPr>
          <w:rFonts w:ascii="Arial Narrow" w:hAnsi="Arial Narrow" w:cs="Arial Narrow"/>
        </w:rPr>
      </w:pPr>
      <w:r w:rsidRPr="00DF3C67">
        <w:rPr>
          <w:rFonts w:ascii="Arial Narrow" w:hAnsi="Arial Narrow" w:cs="Arial Narrow"/>
        </w:rPr>
        <w:tab/>
      </w:r>
    </w:p>
    <w:p w14:paraId="0FB5D83A" w14:textId="77777777" w:rsidR="009F2177" w:rsidRDefault="009F2177" w:rsidP="009F2177">
      <w:pPr>
        <w:spacing w:after="0" w:line="240" w:lineRule="auto"/>
        <w:jc w:val="both"/>
        <w:rPr>
          <w:rFonts w:ascii="Arial Narrow" w:hAnsi="Arial Narrow" w:cs="Arial Narrow"/>
        </w:rPr>
      </w:pPr>
      <w:r w:rsidRPr="00DF3C67">
        <w:rPr>
          <w:rFonts w:ascii="Arial Narrow" w:hAnsi="Arial Narrow" w:cs="Arial Narrow"/>
          <w:b/>
        </w:rPr>
        <w:t>Revíziami boli v prvých dvoch rokoch posúdené výdavky vo výške 15,2 % HDP</w:t>
      </w:r>
      <w:r w:rsidRPr="00DF3C67">
        <w:rPr>
          <w:rFonts w:ascii="Arial Narrow" w:hAnsi="Arial Narrow" w:cs="Arial Narrow"/>
        </w:rPr>
        <w:t xml:space="preserve">, vrátane IT výdavkov aj v nerevidovaných kapitolách štátneho rozpočtu. Neposúdených ostalo 5,9 % HDP, z ktorých sa v súčasnosti reviduje ministerstvo pôdohospodárstva. Ďalšie aktuálne revízie sú prierezové, zameriavajú sa na viac sektorov verejnej správy. </w:t>
      </w:r>
    </w:p>
    <w:p w14:paraId="4E34F2B9" w14:textId="77777777" w:rsidR="009F2177" w:rsidRDefault="009F2177" w:rsidP="009F2177">
      <w:pPr>
        <w:spacing w:after="0" w:line="240" w:lineRule="auto"/>
        <w:jc w:val="both"/>
        <w:rPr>
          <w:rFonts w:ascii="Arial Narrow" w:hAnsi="Arial Narrow" w:cs="Arial Narrow"/>
        </w:rPr>
      </w:pPr>
    </w:p>
    <w:p w14:paraId="60509240" w14:textId="543A4FA7" w:rsidR="009F2177" w:rsidRPr="009F2177" w:rsidRDefault="009F2177" w:rsidP="009F2177">
      <w:pPr>
        <w:spacing w:after="0" w:line="240" w:lineRule="auto"/>
        <w:jc w:val="both"/>
        <w:rPr>
          <w:rFonts w:ascii="Arial Narrow" w:hAnsi="Arial Narrow" w:cs="Arial Narrow"/>
        </w:rPr>
      </w:pPr>
      <w:r w:rsidRPr="009F2177">
        <w:rPr>
          <w:rFonts w:ascii="Arial Narrow" w:hAnsi="Arial Narrow" w:cs="Arial Narrow"/>
          <w:b/>
        </w:rPr>
        <w:t>Bude sa pokra</w:t>
      </w:r>
      <w:r w:rsidR="00C504B5">
        <w:rPr>
          <w:rFonts w:ascii="Arial Narrow" w:hAnsi="Arial Narrow" w:cs="Arial Narrow"/>
          <w:b/>
        </w:rPr>
        <w:t xml:space="preserve">čovať v posilňovaní inštitúcií </w:t>
      </w:r>
      <w:r w:rsidRPr="009F2177">
        <w:rPr>
          <w:rFonts w:ascii="Arial Narrow" w:hAnsi="Arial Narrow" w:cs="Arial Narrow"/>
          <w:b/>
        </w:rPr>
        <w:t xml:space="preserve">prostredníctvom zlepšovania procesov a metodík. </w:t>
      </w:r>
      <w:r w:rsidR="00BC4E02">
        <w:rPr>
          <w:rFonts w:ascii="Arial Narrow" w:hAnsi="Arial Narrow" w:cs="Arial Narrow"/>
        </w:rPr>
        <w:t xml:space="preserve">Revízia výdavkov a </w:t>
      </w:r>
      <w:r w:rsidRPr="009F2177">
        <w:rPr>
          <w:rFonts w:ascii="Arial Narrow" w:hAnsi="Arial Narrow" w:cs="Arial Narrow"/>
        </w:rPr>
        <w:t>úloha MF</w:t>
      </w:r>
      <w:r>
        <w:rPr>
          <w:rFonts w:ascii="Arial Narrow" w:hAnsi="Arial Narrow" w:cs="Arial Narrow"/>
        </w:rPr>
        <w:t xml:space="preserve"> </w:t>
      </w:r>
      <w:r w:rsidRPr="009F2177">
        <w:rPr>
          <w:rFonts w:ascii="Arial Narrow" w:hAnsi="Arial Narrow" w:cs="Arial Narrow"/>
        </w:rPr>
        <w:t xml:space="preserve">SR pri hodnotení verejných investícii bude </w:t>
      </w:r>
      <w:r w:rsidR="00BC4E02">
        <w:rPr>
          <w:rFonts w:ascii="Arial Narrow" w:hAnsi="Arial Narrow" w:cs="Arial Narrow"/>
        </w:rPr>
        <w:t xml:space="preserve">posilnená ukotvením v legislatíve </w:t>
      </w:r>
      <w:r w:rsidRPr="009F2177">
        <w:rPr>
          <w:rFonts w:ascii="Arial Narrow" w:hAnsi="Arial Narrow" w:cs="Arial Narrow"/>
        </w:rPr>
        <w:t>a vznikne podrobná metodika pre prípravu budúcich revízií výdavkov.</w:t>
      </w:r>
      <w:r w:rsidRPr="009F2177">
        <w:rPr>
          <w:rFonts w:ascii="Arial Narrow" w:hAnsi="Arial Narrow" w:cs="Arial Narrow"/>
          <w:b/>
        </w:rPr>
        <w:t xml:space="preserve"> </w:t>
      </w:r>
      <w:r w:rsidRPr="009F2177">
        <w:rPr>
          <w:rFonts w:ascii="Arial Narrow" w:hAnsi="Arial Narrow" w:cs="Arial Narrow"/>
        </w:rPr>
        <w:t>Jednotná investičná metodika zabezpečuje porovnateľnosť prínosov investičných projektov a metodický pokyn MF</w:t>
      </w:r>
      <w:r>
        <w:rPr>
          <w:rFonts w:ascii="Arial Narrow" w:hAnsi="Arial Narrow" w:cs="Arial Narrow"/>
        </w:rPr>
        <w:t xml:space="preserve"> </w:t>
      </w:r>
      <w:r w:rsidRPr="009F2177">
        <w:rPr>
          <w:rFonts w:ascii="Arial Narrow" w:hAnsi="Arial Narrow" w:cs="Arial Narrow"/>
        </w:rPr>
        <w:t>SR k investíciám upresňuje proces a úlohu MF</w:t>
      </w:r>
      <w:r>
        <w:rPr>
          <w:rFonts w:ascii="Arial Narrow" w:hAnsi="Arial Narrow" w:cs="Arial Narrow"/>
        </w:rPr>
        <w:t xml:space="preserve"> </w:t>
      </w:r>
      <w:r w:rsidRPr="009F2177">
        <w:rPr>
          <w:rFonts w:ascii="Arial Narrow" w:hAnsi="Arial Narrow" w:cs="Arial Narrow"/>
        </w:rPr>
        <w:t xml:space="preserve">SR. Na tieto dokumenty budú nadväzovať podrobnejšie investičné metodiky vo všetkých sektoroch (po vzore dopravnej metodiky). </w:t>
      </w:r>
    </w:p>
    <w:p w14:paraId="0E07826F" w14:textId="77777777" w:rsidR="007D2366" w:rsidRPr="00781B38" w:rsidRDefault="007D2366" w:rsidP="007D2366">
      <w:pPr>
        <w:pStyle w:val="Odsekzoznamu"/>
        <w:spacing w:after="0" w:line="240" w:lineRule="auto"/>
        <w:ind w:left="0"/>
        <w:jc w:val="both"/>
        <w:rPr>
          <w:rFonts w:ascii="Arial Narrow" w:hAnsi="Arial Narrow" w:cs="Arial Narrow"/>
          <w:highlight w:val="yellow"/>
        </w:rPr>
      </w:pPr>
    </w:p>
    <w:p w14:paraId="5123A65A" w14:textId="77777777" w:rsidR="006D3CB1" w:rsidRPr="009F63CE" w:rsidRDefault="006D3CB1" w:rsidP="006D3CB1">
      <w:pPr>
        <w:spacing w:after="0" w:line="240" w:lineRule="auto"/>
        <w:rPr>
          <w:rFonts w:ascii="Arial Narrow" w:hAnsi="Arial Narrow"/>
          <w:b/>
          <w:i/>
        </w:rPr>
      </w:pPr>
      <w:r w:rsidRPr="009F63CE">
        <w:rPr>
          <w:rFonts w:ascii="Arial Narrow" w:hAnsi="Arial Narrow"/>
          <w:b/>
          <w:i/>
        </w:rPr>
        <w:t>Efektívnosť výberu daní</w:t>
      </w:r>
    </w:p>
    <w:p w14:paraId="3FA84EEC" w14:textId="0962E30A" w:rsidR="006D3CB1" w:rsidRPr="009F2177" w:rsidRDefault="00FD1916" w:rsidP="00AD6BB1">
      <w:pPr>
        <w:spacing w:after="0" w:line="240" w:lineRule="auto"/>
        <w:jc w:val="both"/>
        <w:rPr>
          <w:rFonts w:ascii="Arial Narrow" w:hAnsi="Arial Narrow"/>
        </w:rPr>
      </w:pPr>
      <w:r w:rsidRPr="00FD1916">
        <w:rPr>
          <w:rFonts w:ascii="Arial Narrow" w:hAnsi="Arial Narrow"/>
        </w:rPr>
        <w:t>Pokračuje boj proti daňovým únikom a pozitívny vývoj úspešnosti výberu DPH. Uvedenú skutočnosť potvrdzuje aj pokles medzery na DPH, ktorá v období od roku 201</w:t>
      </w:r>
      <w:r w:rsidR="00AD6BB1">
        <w:rPr>
          <w:rFonts w:ascii="Arial Narrow" w:hAnsi="Arial Narrow"/>
        </w:rPr>
        <w:t xml:space="preserve">2 do 2016 klesla z úrovne 41 % </w:t>
      </w:r>
      <w:r w:rsidRPr="00FD1916">
        <w:rPr>
          <w:rFonts w:ascii="Arial Narrow" w:hAnsi="Arial Narrow"/>
        </w:rPr>
        <w:t xml:space="preserve">na 28,3 %. Na základe predbežných odhadov MF SR sa ďalší pokles vo veľkosti medzery výberu DPH očakáva aj v roku 2017. </w:t>
      </w:r>
      <w:r w:rsidR="00266CCA">
        <w:rPr>
          <w:rFonts w:ascii="Arial Narrow" w:hAnsi="Arial Narrow"/>
        </w:rPr>
        <w:t>Rastúci trend úspešnosti vý</w:t>
      </w:r>
      <w:r w:rsidR="00266CCA" w:rsidRPr="00266CCA">
        <w:rPr>
          <w:rFonts w:ascii="Arial Narrow" w:hAnsi="Arial Narrow"/>
        </w:rPr>
        <w:t>beru DPH po</w:t>
      </w:r>
      <w:r w:rsidR="00266CCA">
        <w:rPr>
          <w:rFonts w:ascii="Arial Narrow" w:hAnsi="Arial Narrow"/>
        </w:rPr>
        <w:t xml:space="preserve">tvrdzuje aj rast efektívnej daňovej </w:t>
      </w:r>
      <w:r w:rsidR="00266CCA" w:rsidRPr="00266CCA">
        <w:rPr>
          <w:rFonts w:ascii="Arial Narrow" w:hAnsi="Arial Narrow"/>
        </w:rPr>
        <w:t>sadzby DPH (EDS)</w:t>
      </w:r>
      <w:r w:rsidR="00266CCA">
        <w:rPr>
          <w:rFonts w:ascii="Arial Narrow" w:hAnsi="Arial Narrow"/>
        </w:rPr>
        <w:t>. Tá vo štvrtom kvartá</w:t>
      </w:r>
      <w:r w:rsidR="00AD6BB1">
        <w:rPr>
          <w:rFonts w:ascii="Arial Narrow" w:hAnsi="Arial Narrow"/>
        </w:rPr>
        <w:t xml:space="preserve">li 2017 vzrástla na 15,8 %, čo </w:t>
      </w:r>
      <w:r w:rsidR="00266CCA">
        <w:rPr>
          <w:rFonts w:ascii="Arial Narrow" w:hAnsi="Arial Narrow"/>
        </w:rPr>
        <w:t>zodpovedá úrovni druhého kvartálu</w:t>
      </w:r>
      <w:r w:rsidR="00266CCA" w:rsidRPr="00266CCA">
        <w:rPr>
          <w:rFonts w:ascii="Arial Narrow" w:hAnsi="Arial Narrow"/>
        </w:rPr>
        <w:t xml:space="preserve"> 2005.</w:t>
      </w:r>
      <w:r w:rsidR="00266CCA">
        <w:rPr>
          <w:rFonts w:ascii="Arial Narrow" w:hAnsi="Arial Narrow"/>
        </w:rPr>
        <w:t xml:space="preserve"> </w:t>
      </w:r>
      <w:r w:rsidR="00AD6BB1">
        <w:rPr>
          <w:rFonts w:ascii="Arial Narrow" w:hAnsi="Arial Narrow"/>
        </w:rPr>
        <w:t xml:space="preserve">Efektívna daňová sadzba z príjmu právnických osôb </w:t>
      </w:r>
      <w:r w:rsidRPr="00FD1916">
        <w:rPr>
          <w:rFonts w:ascii="Arial Narrow" w:hAnsi="Arial Narrow"/>
        </w:rPr>
        <w:t xml:space="preserve">v posledných rokoch rastie historickým tempom, čo okrem </w:t>
      </w:r>
      <w:proofErr w:type="spellStart"/>
      <w:r w:rsidRPr="00FD1916">
        <w:rPr>
          <w:rFonts w:ascii="Arial Narrow" w:hAnsi="Arial Narrow"/>
        </w:rPr>
        <w:t>procyklickosti</w:t>
      </w:r>
      <w:proofErr w:type="spellEnd"/>
      <w:r w:rsidRPr="00FD1916">
        <w:rPr>
          <w:rFonts w:ascii="Arial Narrow" w:hAnsi="Arial Narrow"/>
        </w:rPr>
        <w:t xml:space="preserve"> tejto dane  možno pripísať opatreniam na DPH, ktoré sa pozitívne prejavujú aj vo výnose </w:t>
      </w:r>
      <w:r w:rsidR="00AD6BB1">
        <w:rPr>
          <w:rFonts w:ascii="Arial Narrow" w:hAnsi="Arial Narrow"/>
        </w:rPr>
        <w:t>dane z príjmu právnických osôb</w:t>
      </w:r>
      <w:r w:rsidRPr="00FD1916">
        <w:rPr>
          <w:rFonts w:ascii="Arial Narrow" w:hAnsi="Arial Narrow"/>
        </w:rPr>
        <w:t>.</w:t>
      </w:r>
    </w:p>
    <w:tbl>
      <w:tblPr>
        <w:tblpPr w:leftFromText="141" w:rightFromText="141" w:vertAnchor="text" w:horzAnchor="margin" w:tblpXSpec="center" w:tblpY="109"/>
        <w:tblOverlap w:val="neve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310"/>
        <w:gridCol w:w="222"/>
        <w:gridCol w:w="4032"/>
      </w:tblGrid>
      <w:tr w:rsidR="006D3CB1" w:rsidRPr="00781B38" w14:paraId="460991C2" w14:textId="77777777" w:rsidTr="00266CCA">
        <w:trPr>
          <w:trHeight w:val="126"/>
        </w:trPr>
        <w:tc>
          <w:tcPr>
            <w:tcW w:w="4226" w:type="dxa"/>
            <w:tcBorders>
              <w:top w:val="nil"/>
              <w:left w:val="nil"/>
              <w:bottom w:val="single" w:sz="4" w:space="0" w:color="auto"/>
              <w:right w:val="nil"/>
            </w:tcBorders>
            <w:vAlign w:val="bottom"/>
          </w:tcPr>
          <w:p w14:paraId="36E87FA3" w14:textId="7B581CEF" w:rsidR="006D3CB1" w:rsidRPr="00FD1916" w:rsidRDefault="006D3CB1" w:rsidP="00432B6B">
            <w:pPr>
              <w:pStyle w:val="Popis"/>
              <w:rPr>
                <w:rFonts w:cs="Arial"/>
                <w:szCs w:val="20"/>
              </w:rPr>
            </w:pPr>
            <w:bookmarkStart w:id="23" w:name="_Toc509513317"/>
            <w:r w:rsidRPr="00FD1916">
              <w:lastRenderedPageBreak/>
              <w:t xml:space="preserve">Graf </w:t>
            </w:r>
            <w:fldSimple w:instr=" SEQ Graf \* ARABIC ">
              <w:r w:rsidR="00EE7207">
                <w:rPr>
                  <w:noProof/>
                </w:rPr>
                <w:t>5</w:t>
              </w:r>
            </w:fldSimple>
            <w:r w:rsidRPr="00FD1916">
              <w:t xml:space="preserve">: </w:t>
            </w:r>
            <w:r w:rsidR="00432B6B">
              <w:t xml:space="preserve">Efektívna daňová sadzba DPH </w:t>
            </w:r>
            <w:r w:rsidRPr="00FD1916">
              <w:t>(%</w:t>
            </w:r>
            <w:r w:rsidR="00432B6B">
              <w:t>)</w:t>
            </w:r>
            <w:bookmarkEnd w:id="23"/>
          </w:p>
        </w:tc>
        <w:tc>
          <w:tcPr>
            <w:tcW w:w="222" w:type="dxa"/>
            <w:tcBorders>
              <w:top w:val="nil"/>
              <w:left w:val="nil"/>
              <w:bottom w:val="nil"/>
              <w:right w:val="nil"/>
            </w:tcBorders>
            <w:vAlign w:val="bottom"/>
          </w:tcPr>
          <w:p w14:paraId="10756A22" w14:textId="77777777" w:rsidR="006D3CB1" w:rsidRPr="00FD1916" w:rsidRDefault="006D3CB1" w:rsidP="006D3CB1">
            <w:pPr>
              <w:spacing w:before="40" w:after="40" w:line="240" w:lineRule="auto"/>
              <w:rPr>
                <w:rFonts w:ascii="Arial Narrow" w:hAnsi="Arial Narrow" w:cs="Arial"/>
                <w:b/>
                <w:sz w:val="20"/>
                <w:szCs w:val="20"/>
              </w:rPr>
            </w:pPr>
          </w:p>
        </w:tc>
        <w:tc>
          <w:tcPr>
            <w:tcW w:w="4116" w:type="dxa"/>
            <w:tcBorders>
              <w:top w:val="nil"/>
              <w:left w:val="nil"/>
              <w:bottom w:val="single" w:sz="4" w:space="0" w:color="auto"/>
              <w:right w:val="nil"/>
            </w:tcBorders>
            <w:vAlign w:val="bottom"/>
          </w:tcPr>
          <w:p w14:paraId="03754CA2" w14:textId="21B863DB" w:rsidR="006D3CB1" w:rsidRPr="00FD1916" w:rsidRDefault="006D3CB1" w:rsidP="006D3CB1">
            <w:pPr>
              <w:pStyle w:val="Popis"/>
            </w:pPr>
            <w:bookmarkStart w:id="24" w:name="_Toc509513318"/>
            <w:r w:rsidRPr="00FD1916">
              <w:t xml:space="preserve">Graf </w:t>
            </w:r>
            <w:fldSimple w:instr=" SEQ Graf \* ARABIC ">
              <w:r w:rsidR="00EE7207">
                <w:rPr>
                  <w:noProof/>
                </w:rPr>
                <w:t>6</w:t>
              </w:r>
            </w:fldSimple>
            <w:r w:rsidRPr="00FD1916">
              <w:t>: Efektívna daňová sadzba DPPO (</w:t>
            </w:r>
            <w:r w:rsidR="00432B6B">
              <w:t xml:space="preserve">%, </w:t>
            </w:r>
            <w:r w:rsidRPr="00FD1916">
              <w:t>výber dane na čistom prevádzkovom prebytku)</w:t>
            </w:r>
            <w:bookmarkEnd w:id="24"/>
          </w:p>
        </w:tc>
      </w:tr>
      <w:tr w:rsidR="006D3CB1" w:rsidRPr="00781B38" w14:paraId="69D083D7" w14:textId="77777777" w:rsidTr="00266CCA">
        <w:tblPrEx>
          <w:tblCellMar>
            <w:left w:w="108" w:type="dxa"/>
            <w:right w:w="108" w:type="dxa"/>
          </w:tblCellMar>
        </w:tblPrEx>
        <w:trPr>
          <w:trHeight w:val="944"/>
        </w:trPr>
        <w:tc>
          <w:tcPr>
            <w:tcW w:w="4226" w:type="dxa"/>
            <w:tcBorders>
              <w:top w:val="single" w:sz="4" w:space="0" w:color="auto"/>
              <w:left w:val="nil"/>
              <w:bottom w:val="single" w:sz="4" w:space="0" w:color="auto"/>
              <w:right w:val="nil"/>
            </w:tcBorders>
            <w:vAlign w:val="center"/>
          </w:tcPr>
          <w:p w14:paraId="78298E13" w14:textId="6F3C9BBF" w:rsidR="006D3CB1" w:rsidRPr="00781B38" w:rsidRDefault="00266CCA" w:rsidP="006D3CB1">
            <w:pPr>
              <w:spacing w:before="40" w:after="40" w:line="240" w:lineRule="auto"/>
              <w:jc w:val="center"/>
              <w:rPr>
                <w:rFonts w:ascii="Arial Narrow" w:hAnsi="Arial Narrow" w:cs="Arial"/>
                <w:b/>
                <w:sz w:val="20"/>
                <w:szCs w:val="20"/>
                <w:highlight w:val="yellow"/>
              </w:rPr>
            </w:pPr>
            <w:r>
              <w:rPr>
                <w:noProof/>
                <w:lang w:val="en-US" w:eastAsia="en-US"/>
              </w:rPr>
              <w:drawing>
                <wp:inline distT="0" distB="0" distL="0" distR="0" wp14:anchorId="032FD591" wp14:editId="20B06308">
                  <wp:extent cx="2657475" cy="2257425"/>
                  <wp:effectExtent l="0" t="0" r="0" b="0"/>
                  <wp:docPr id="225" name="Graf 2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222" w:type="dxa"/>
            <w:tcBorders>
              <w:top w:val="nil"/>
              <w:left w:val="nil"/>
              <w:bottom w:val="nil"/>
              <w:right w:val="nil"/>
            </w:tcBorders>
            <w:vAlign w:val="center"/>
          </w:tcPr>
          <w:p w14:paraId="6D3C5D7E" w14:textId="77777777" w:rsidR="006D3CB1" w:rsidRPr="00781B38" w:rsidRDefault="006D3CB1" w:rsidP="006D3CB1">
            <w:pPr>
              <w:spacing w:before="40" w:after="40" w:line="240" w:lineRule="auto"/>
              <w:jc w:val="center"/>
              <w:rPr>
                <w:rFonts w:ascii="Arial Narrow" w:hAnsi="Arial Narrow" w:cs="Arial"/>
                <w:b/>
                <w:sz w:val="20"/>
                <w:szCs w:val="20"/>
                <w:highlight w:val="yellow"/>
              </w:rPr>
            </w:pPr>
          </w:p>
        </w:tc>
        <w:tc>
          <w:tcPr>
            <w:tcW w:w="4116" w:type="dxa"/>
            <w:tcBorders>
              <w:top w:val="single" w:sz="4" w:space="0" w:color="auto"/>
              <w:left w:val="nil"/>
              <w:bottom w:val="single" w:sz="4" w:space="0" w:color="auto"/>
              <w:right w:val="nil"/>
            </w:tcBorders>
            <w:vAlign w:val="center"/>
          </w:tcPr>
          <w:p w14:paraId="3FDBAEDF" w14:textId="77777777" w:rsidR="006D3CB1" w:rsidRPr="00781B38" w:rsidRDefault="00FD1916" w:rsidP="006D3CB1">
            <w:pPr>
              <w:spacing w:before="40" w:after="40" w:line="240" w:lineRule="auto"/>
              <w:jc w:val="center"/>
              <w:rPr>
                <w:rFonts w:ascii="Arial Narrow" w:hAnsi="Arial Narrow" w:cs="Arial"/>
                <w:b/>
                <w:sz w:val="20"/>
                <w:szCs w:val="20"/>
                <w:highlight w:val="yellow"/>
              </w:rPr>
            </w:pPr>
            <w:r>
              <w:rPr>
                <w:noProof/>
                <w:lang w:val="en-US" w:eastAsia="en-US"/>
              </w:rPr>
              <w:drawing>
                <wp:inline distT="0" distB="0" distL="0" distR="0" wp14:anchorId="62F5AF14" wp14:editId="7F8EBF8D">
                  <wp:extent cx="2475230" cy="2122098"/>
                  <wp:effectExtent l="0" t="0" r="127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6D3CB1" w:rsidRPr="00781B38" w14:paraId="389E24E6" w14:textId="77777777" w:rsidTr="00266CCA">
        <w:trPr>
          <w:trHeight w:val="120"/>
        </w:trPr>
        <w:tc>
          <w:tcPr>
            <w:tcW w:w="4226" w:type="dxa"/>
            <w:tcBorders>
              <w:top w:val="single" w:sz="4" w:space="0" w:color="auto"/>
              <w:left w:val="nil"/>
              <w:bottom w:val="single" w:sz="4" w:space="0" w:color="auto"/>
              <w:right w:val="nil"/>
            </w:tcBorders>
            <w:vAlign w:val="center"/>
          </w:tcPr>
          <w:p w14:paraId="7F5EBF58" w14:textId="77777777" w:rsidR="006D3CB1" w:rsidRPr="00FD1916" w:rsidRDefault="006D3CB1" w:rsidP="00BA1BFF">
            <w:pPr>
              <w:spacing w:after="0" w:line="240" w:lineRule="auto"/>
              <w:jc w:val="right"/>
              <w:rPr>
                <w:rFonts w:ascii="Arial Narrow" w:hAnsi="Arial Narrow" w:cs="Arial"/>
                <w:sz w:val="16"/>
                <w:szCs w:val="14"/>
              </w:rPr>
            </w:pPr>
            <w:r w:rsidRPr="00FD1916">
              <w:rPr>
                <w:rFonts w:ascii="Arial Narrow" w:hAnsi="Arial Narrow" w:cs="Arial Narrow"/>
                <w:i/>
                <w:iCs/>
                <w:color w:val="000000"/>
                <w:sz w:val="16"/>
                <w:szCs w:val="16"/>
              </w:rPr>
              <w:t xml:space="preserve">Zdroj: MF SR </w:t>
            </w:r>
          </w:p>
        </w:tc>
        <w:tc>
          <w:tcPr>
            <w:tcW w:w="222" w:type="dxa"/>
            <w:tcBorders>
              <w:top w:val="nil"/>
              <w:left w:val="nil"/>
              <w:bottom w:val="nil"/>
              <w:right w:val="nil"/>
            </w:tcBorders>
            <w:vAlign w:val="center"/>
          </w:tcPr>
          <w:p w14:paraId="70DF96EA" w14:textId="77777777" w:rsidR="006D3CB1" w:rsidRPr="00FD1916" w:rsidRDefault="006D3CB1" w:rsidP="00BA1BFF">
            <w:pPr>
              <w:spacing w:after="0" w:line="240" w:lineRule="auto"/>
              <w:jc w:val="center"/>
              <w:rPr>
                <w:rFonts w:ascii="Arial Narrow" w:hAnsi="Arial Narrow" w:cs="Arial"/>
                <w:sz w:val="16"/>
                <w:szCs w:val="14"/>
              </w:rPr>
            </w:pPr>
          </w:p>
        </w:tc>
        <w:tc>
          <w:tcPr>
            <w:tcW w:w="4116" w:type="dxa"/>
            <w:tcBorders>
              <w:top w:val="single" w:sz="4" w:space="0" w:color="auto"/>
              <w:left w:val="nil"/>
              <w:bottom w:val="single" w:sz="4" w:space="0" w:color="auto"/>
              <w:right w:val="nil"/>
            </w:tcBorders>
            <w:vAlign w:val="center"/>
          </w:tcPr>
          <w:p w14:paraId="4CAD8A44" w14:textId="36A5C66D" w:rsidR="006D3CB1" w:rsidRPr="00FD1916" w:rsidRDefault="00B375F4" w:rsidP="00AD6BB1">
            <w:pPr>
              <w:spacing w:after="0" w:line="240" w:lineRule="auto"/>
              <w:jc w:val="both"/>
              <w:rPr>
                <w:rFonts w:ascii="Arial Narrow" w:hAnsi="Arial Narrow" w:cs="Arial"/>
                <w:sz w:val="16"/>
                <w:szCs w:val="14"/>
              </w:rPr>
            </w:pPr>
            <w:r>
              <w:rPr>
                <w:rFonts w:ascii="Arial Narrow" w:hAnsi="Arial Narrow" w:cs="Arial Narrow"/>
                <w:i/>
                <w:iCs/>
                <w:color w:val="000000"/>
                <w:sz w:val="16"/>
                <w:szCs w:val="16"/>
              </w:rPr>
              <w:t>Poznámka: S1 – národné hospodárstvo; S11 – Nefinančné korporácie; S12 – Finančné korporácie</w:t>
            </w:r>
            <w:r w:rsidR="00AD6BB1">
              <w:rPr>
                <w:rFonts w:ascii="Arial Narrow" w:hAnsi="Arial Narrow" w:cs="Arial Narrow"/>
                <w:i/>
                <w:iCs/>
                <w:color w:val="000000"/>
                <w:sz w:val="16"/>
                <w:szCs w:val="16"/>
              </w:rPr>
              <w:t xml:space="preserve">       </w:t>
            </w:r>
            <w:r>
              <w:rPr>
                <w:rFonts w:ascii="Arial Narrow" w:hAnsi="Arial Narrow" w:cs="Arial Narrow"/>
                <w:i/>
                <w:iCs/>
                <w:color w:val="000000"/>
                <w:sz w:val="16"/>
                <w:szCs w:val="16"/>
              </w:rPr>
              <w:t xml:space="preserve">                </w:t>
            </w:r>
            <w:r w:rsidR="006D3CB1" w:rsidRPr="00FD1916">
              <w:rPr>
                <w:rFonts w:ascii="Arial Narrow" w:hAnsi="Arial Narrow" w:cs="Arial Narrow"/>
                <w:i/>
                <w:iCs/>
                <w:color w:val="000000"/>
                <w:sz w:val="16"/>
                <w:szCs w:val="16"/>
              </w:rPr>
              <w:t xml:space="preserve">Zdroj: MF SR </w:t>
            </w:r>
          </w:p>
        </w:tc>
      </w:tr>
      <w:tr w:rsidR="00B375F4" w:rsidRPr="00781B38" w14:paraId="7437F091" w14:textId="77777777" w:rsidTr="00266CCA">
        <w:trPr>
          <w:trHeight w:val="120"/>
        </w:trPr>
        <w:tc>
          <w:tcPr>
            <w:tcW w:w="4226" w:type="dxa"/>
            <w:tcBorders>
              <w:top w:val="single" w:sz="4" w:space="0" w:color="auto"/>
              <w:left w:val="nil"/>
              <w:bottom w:val="nil"/>
              <w:right w:val="nil"/>
            </w:tcBorders>
            <w:vAlign w:val="center"/>
          </w:tcPr>
          <w:p w14:paraId="60840549" w14:textId="2114DC7E" w:rsidR="00B375F4" w:rsidRPr="00FD1916" w:rsidRDefault="00B375F4" w:rsidP="00BA1BFF">
            <w:pPr>
              <w:spacing w:after="0" w:line="240" w:lineRule="auto"/>
              <w:jc w:val="right"/>
              <w:rPr>
                <w:rFonts w:ascii="Arial Narrow" w:hAnsi="Arial Narrow" w:cs="Arial Narrow"/>
                <w:i/>
                <w:iCs/>
                <w:color w:val="000000"/>
                <w:sz w:val="16"/>
                <w:szCs w:val="16"/>
              </w:rPr>
            </w:pPr>
            <w:r>
              <w:rPr>
                <w:rFonts w:ascii="Arial Narrow" w:hAnsi="Arial Narrow" w:cs="Arial Narrow"/>
                <w:i/>
                <w:iCs/>
                <w:color w:val="000000"/>
                <w:sz w:val="16"/>
                <w:szCs w:val="16"/>
              </w:rPr>
              <w:t xml:space="preserve"> </w:t>
            </w:r>
          </w:p>
        </w:tc>
        <w:tc>
          <w:tcPr>
            <w:tcW w:w="222" w:type="dxa"/>
            <w:tcBorders>
              <w:top w:val="nil"/>
              <w:left w:val="nil"/>
              <w:bottom w:val="nil"/>
              <w:right w:val="nil"/>
            </w:tcBorders>
            <w:vAlign w:val="center"/>
          </w:tcPr>
          <w:p w14:paraId="43CBAA1F" w14:textId="77777777" w:rsidR="00B375F4" w:rsidRPr="00FD1916" w:rsidRDefault="00B375F4" w:rsidP="00BA1BFF">
            <w:pPr>
              <w:spacing w:after="0" w:line="240" w:lineRule="auto"/>
              <w:jc w:val="center"/>
              <w:rPr>
                <w:rFonts w:ascii="Arial Narrow" w:hAnsi="Arial Narrow" w:cs="Arial"/>
                <w:sz w:val="16"/>
                <w:szCs w:val="14"/>
              </w:rPr>
            </w:pPr>
          </w:p>
        </w:tc>
        <w:tc>
          <w:tcPr>
            <w:tcW w:w="4116" w:type="dxa"/>
            <w:tcBorders>
              <w:top w:val="single" w:sz="4" w:space="0" w:color="auto"/>
              <w:left w:val="nil"/>
              <w:bottom w:val="nil"/>
              <w:right w:val="nil"/>
            </w:tcBorders>
            <w:vAlign w:val="center"/>
          </w:tcPr>
          <w:p w14:paraId="774A309D" w14:textId="77777777" w:rsidR="00B375F4" w:rsidRDefault="00B375F4" w:rsidP="00BA1BFF">
            <w:pPr>
              <w:spacing w:after="0" w:line="240" w:lineRule="auto"/>
              <w:jc w:val="right"/>
              <w:rPr>
                <w:rFonts w:ascii="Arial Narrow" w:hAnsi="Arial Narrow" w:cs="Arial Narrow"/>
                <w:i/>
                <w:iCs/>
                <w:color w:val="000000"/>
                <w:sz w:val="16"/>
                <w:szCs w:val="16"/>
              </w:rPr>
            </w:pPr>
          </w:p>
        </w:tc>
      </w:tr>
    </w:tbl>
    <w:p w14:paraId="25FA6F5C" w14:textId="77777777" w:rsidR="00BA1BFF" w:rsidRDefault="00BA1BFF" w:rsidP="006D3CB1">
      <w:pPr>
        <w:spacing w:after="0" w:line="240" w:lineRule="auto"/>
        <w:jc w:val="both"/>
        <w:rPr>
          <w:rFonts w:ascii="Arial Narrow" w:hAnsi="Arial Narrow"/>
        </w:rPr>
      </w:pPr>
    </w:p>
    <w:p w14:paraId="138EF42A" w14:textId="77777777" w:rsidR="00BA1BFF" w:rsidRPr="009F63CE" w:rsidRDefault="00FD1916" w:rsidP="006D3CB1">
      <w:pPr>
        <w:spacing w:after="0" w:line="240" w:lineRule="auto"/>
        <w:jc w:val="both"/>
        <w:rPr>
          <w:rFonts w:ascii="Arial Narrow" w:hAnsi="Arial Narrow"/>
        </w:rPr>
      </w:pPr>
      <w:r w:rsidRPr="00FD1916">
        <w:rPr>
          <w:rFonts w:ascii="Arial Narrow" w:hAnsi="Arial Narrow"/>
        </w:rPr>
        <w:t>Okrem DPH sa úsilie sústreďuje aj na spotrebné dane, kde bolo rovnako prijatých viacero opatrení na zníženie priestoru optimalizácie a všeobecného potierania daňových únikov</w:t>
      </w:r>
      <w:r w:rsidRPr="009F63CE">
        <w:rPr>
          <w:rFonts w:ascii="Arial Narrow" w:hAnsi="Arial Narrow"/>
        </w:rPr>
        <w:t>.</w:t>
      </w:r>
      <w:r w:rsidR="006D3CB1" w:rsidRPr="009F63CE">
        <w:rPr>
          <w:rFonts w:ascii="Arial Narrow" w:hAnsi="Arial Narrow"/>
        </w:rPr>
        <w:t xml:space="preserve"> Aktualizovaná daňová medzera na dani z minerálnych olejov ukazuje, že v posledných rokoch dochádza k ustáleniu vývoja daňovej medzery. V roku 201</w:t>
      </w:r>
      <w:r w:rsidRPr="009F63CE">
        <w:rPr>
          <w:rFonts w:ascii="Arial Narrow" w:hAnsi="Arial Narrow"/>
        </w:rPr>
        <w:t>6</w:t>
      </w:r>
      <w:r w:rsidR="006D3CB1" w:rsidRPr="009F63CE">
        <w:rPr>
          <w:rFonts w:ascii="Arial Narrow" w:hAnsi="Arial Narrow"/>
        </w:rPr>
        <w:t xml:space="preserve"> medzera mierne poklesla, kedy sa rozptyl jej odhadu pohyboval v pásme od 17,</w:t>
      </w:r>
      <w:r w:rsidRPr="009F63CE">
        <w:rPr>
          <w:rFonts w:ascii="Arial Narrow" w:hAnsi="Arial Narrow"/>
        </w:rPr>
        <w:t>2</w:t>
      </w:r>
      <w:r w:rsidR="006D3CB1" w:rsidRPr="009F63CE">
        <w:rPr>
          <w:rFonts w:ascii="Arial Narrow" w:hAnsi="Arial Narrow"/>
        </w:rPr>
        <w:t xml:space="preserve"> % až </w:t>
      </w:r>
      <w:r w:rsidRPr="009F63CE">
        <w:rPr>
          <w:rFonts w:ascii="Arial Narrow" w:hAnsi="Arial Narrow"/>
        </w:rPr>
        <w:t>20,5</w:t>
      </w:r>
      <w:r w:rsidR="006D3CB1" w:rsidRPr="009F63CE">
        <w:rPr>
          <w:rFonts w:ascii="Arial Narrow" w:hAnsi="Arial Narrow"/>
        </w:rPr>
        <w:t xml:space="preserve"> % z potenciálneho výnosu na tejto dani (čo zodpovedá 2</w:t>
      </w:r>
      <w:r w:rsidRPr="009F63CE">
        <w:rPr>
          <w:rFonts w:ascii="Arial Narrow" w:hAnsi="Arial Narrow"/>
        </w:rPr>
        <w:t>47</w:t>
      </w:r>
      <w:r w:rsidR="006D3CB1" w:rsidRPr="009F63CE">
        <w:rPr>
          <w:rFonts w:ascii="Arial Narrow" w:hAnsi="Arial Narrow"/>
        </w:rPr>
        <w:t xml:space="preserve"> až </w:t>
      </w:r>
      <w:r w:rsidRPr="009F63CE">
        <w:rPr>
          <w:rFonts w:ascii="Arial Narrow" w:hAnsi="Arial Narrow"/>
        </w:rPr>
        <w:t>305</w:t>
      </w:r>
      <w:r w:rsidR="006D3CB1" w:rsidRPr="009F63CE">
        <w:rPr>
          <w:rFonts w:ascii="Arial Narrow" w:hAnsi="Arial Narrow"/>
        </w:rPr>
        <w:t xml:space="preserve"> mil. eur). </w:t>
      </w:r>
    </w:p>
    <w:p w14:paraId="6E39BDA1" w14:textId="77777777" w:rsidR="006D3CB1" w:rsidRPr="00781B38" w:rsidRDefault="006D3CB1" w:rsidP="006D3CB1">
      <w:pPr>
        <w:spacing w:after="0" w:line="240" w:lineRule="auto"/>
        <w:jc w:val="both"/>
        <w:rPr>
          <w:rFonts w:ascii="Arial Narrow" w:hAnsi="Arial Narrow"/>
          <w:highlight w:val="yellow"/>
        </w:rPr>
      </w:pPr>
    </w:p>
    <w:p w14:paraId="382CC98B" w14:textId="328199EB" w:rsidR="00EB3812" w:rsidRPr="00AD6BB1" w:rsidRDefault="00D31752" w:rsidP="00EB3812">
      <w:pPr>
        <w:spacing w:after="0" w:line="240" w:lineRule="auto"/>
        <w:jc w:val="both"/>
        <w:rPr>
          <w:rFonts w:ascii="Arial Narrow" w:hAnsi="Arial Narrow"/>
          <w:b/>
        </w:rPr>
      </w:pPr>
      <w:r w:rsidRPr="000F416A">
        <w:rPr>
          <w:rFonts w:ascii="Arial Narrow" w:hAnsi="Arial Narrow"/>
          <w:i/>
          <w:color w:val="000000"/>
          <w:szCs w:val="20"/>
        </w:rPr>
        <w:t>V </w:t>
      </w:r>
      <w:r w:rsidRPr="000F416A">
        <w:rPr>
          <w:rFonts w:ascii="Arial Narrow" w:hAnsi="Arial Narrow"/>
        </w:rPr>
        <w:t>rámci realizácie</w:t>
      </w:r>
      <w:r>
        <w:rPr>
          <w:rFonts w:ascii="Arial Narrow" w:hAnsi="Arial Narrow"/>
        </w:rPr>
        <w:t xml:space="preserve"> reformných zámerov pokračuje Finančná správa </w:t>
      </w:r>
      <w:r w:rsidRPr="000F416A">
        <w:rPr>
          <w:rFonts w:ascii="Arial Narrow" w:hAnsi="Arial Narrow"/>
        </w:rPr>
        <w:t xml:space="preserve">SR v </w:t>
      </w:r>
      <w:r w:rsidRPr="000F416A">
        <w:rPr>
          <w:rFonts w:ascii="Arial Narrow" w:hAnsi="Arial Narrow"/>
          <w:b/>
        </w:rPr>
        <w:t>boji proti daňovým podvodom</w:t>
      </w:r>
      <w:r w:rsidR="00EB3812">
        <w:rPr>
          <w:rFonts w:ascii="Arial Narrow" w:hAnsi="Arial Narrow"/>
        </w:rPr>
        <w:t xml:space="preserve"> implementáciou opatrení zo schváleného tretieho </w:t>
      </w:r>
      <w:r w:rsidR="00EB3812" w:rsidRPr="00EB3812">
        <w:rPr>
          <w:rFonts w:ascii="Arial Narrow" w:hAnsi="Arial Narrow"/>
          <w:b/>
        </w:rPr>
        <w:t>akčného plánu</w:t>
      </w:r>
      <w:r w:rsidR="00EB3812">
        <w:rPr>
          <w:rFonts w:ascii="Arial Narrow" w:hAnsi="Arial Narrow"/>
        </w:rPr>
        <w:t xml:space="preserve"> </w:t>
      </w:r>
      <w:r w:rsidR="00EB3812" w:rsidRPr="00D31752">
        <w:rPr>
          <w:rFonts w:ascii="Arial Narrow" w:hAnsi="Arial Narrow"/>
          <w:b/>
        </w:rPr>
        <w:t>na boj prot</w:t>
      </w:r>
      <w:r w:rsidR="00AD6BB1">
        <w:rPr>
          <w:rFonts w:ascii="Arial Narrow" w:hAnsi="Arial Narrow"/>
          <w:b/>
        </w:rPr>
        <w:t xml:space="preserve">i daňovým podvodom na roky 2017 – </w:t>
      </w:r>
      <w:r w:rsidR="00EB3812" w:rsidRPr="00D31752">
        <w:rPr>
          <w:rFonts w:ascii="Arial Narrow" w:hAnsi="Arial Narrow"/>
          <w:b/>
        </w:rPr>
        <w:t>2018</w:t>
      </w:r>
      <w:r w:rsidR="00EB3812">
        <w:rPr>
          <w:rFonts w:ascii="Arial Narrow" w:hAnsi="Arial Narrow"/>
          <w:b/>
        </w:rPr>
        <w:t xml:space="preserve"> </w:t>
      </w:r>
      <w:r w:rsidR="00EB3812" w:rsidRPr="00EB3812">
        <w:rPr>
          <w:rFonts w:ascii="Arial Narrow" w:hAnsi="Arial Narrow"/>
        </w:rPr>
        <w:t>(</w:t>
      </w:r>
      <w:hyperlink r:id="rId17" w:history="1">
        <w:r w:rsidR="00EB3812" w:rsidRPr="009F63CE">
          <w:rPr>
            <w:rStyle w:val="Hypertextovprepojenie"/>
            <w:rFonts w:ascii="Arial Narrow" w:hAnsi="Arial Narrow"/>
            <w:color w:val="2C9ADC"/>
          </w:rPr>
          <w:t>schválený vládou v apríli 2017</w:t>
        </w:r>
      </w:hyperlink>
      <w:r w:rsidR="00EB3812" w:rsidRPr="00EB3812">
        <w:rPr>
          <w:rFonts w:ascii="Arial Narrow" w:hAnsi="Arial Narrow"/>
        </w:rPr>
        <w:t>).</w:t>
      </w:r>
    </w:p>
    <w:p w14:paraId="293C9D4F" w14:textId="77777777" w:rsidR="00EB3812" w:rsidRDefault="00EB3812" w:rsidP="00EB3812">
      <w:pPr>
        <w:spacing w:after="0" w:line="240" w:lineRule="auto"/>
        <w:jc w:val="both"/>
        <w:rPr>
          <w:rFonts w:ascii="Arial Narrow" w:hAnsi="Arial Narrow"/>
        </w:rPr>
      </w:pPr>
    </w:p>
    <w:p w14:paraId="156BA1F0" w14:textId="327A9887" w:rsidR="006C785E" w:rsidRDefault="00D31752" w:rsidP="006C785E">
      <w:pPr>
        <w:spacing w:after="0" w:line="240" w:lineRule="auto"/>
        <w:jc w:val="both"/>
        <w:rPr>
          <w:rFonts w:ascii="Arial Narrow" w:hAnsi="Arial Narrow"/>
        </w:rPr>
      </w:pPr>
      <w:r w:rsidRPr="000F416A">
        <w:rPr>
          <w:rFonts w:ascii="Arial Narrow" w:hAnsi="Arial Narrow"/>
        </w:rPr>
        <w:t xml:space="preserve">K navrhnutým opatreniam týkajúcich sa finančnej správy patrí zavedenie </w:t>
      </w:r>
      <w:r w:rsidRPr="000F416A">
        <w:rPr>
          <w:rFonts w:ascii="Arial Narrow" w:hAnsi="Arial Narrow"/>
          <w:b/>
        </w:rPr>
        <w:t>interného posudzovania spoľahlivosti daňových subjektov</w:t>
      </w:r>
      <w:r w:rsidRPr="000F416A">
        <w:rPr>
          <w:rFonts w:ascii="Arial Narrow" w:hAnsi="Arial Narrow"/>
        </w:rPr>
        <w:t xml:space="preserve"> </w:t>
      </w:r>
      <w:r w:rsidRPr="000F416A">
        <w:rPr>
          <w:rFonts w:ascii="Arial Narrow" w:hAnsi="Arial Narrow"/>
          <w:b/>
        </w:rPr>
        <w:t>(index daňovej spoľahlivosti)</w:t>
      </w:r>
      <w:r w:rsidR="00726E70">
        <w:rPr>
          <w:rFonts w:ascii="Arial Narrow" w:hAnsi="Arial Narrow"/>
          <w:b/>
        </w:rPr>
        <w:t xml:space="preserve">. </w:t>
      </w:r>
      <w:r>
        <w:rPr>
          <w:rFonts w:ascii="Arial Narrow" w:hAnsi="Arial Narrow"/>
        </w:rPr>
        <w:t xml:space="preserve">Pôjde o </w:t>
      </w:r>
      <w:r w:rsidRPr="00F2433E">
        <w:rPr>
          <w:rFonts w:ascii="Arial Narrow" w:hAnsi="Arial Narrow"/>
        </w:rPr>
        <w:t xml:space="preserve">hodnotenie daňového subjektu na základe plnenia jeho povinností voči finančnej správe a má motivačný aj preventívny charakter. Primárnym cieľom tohto opatrenia je </w:t>
      </w:r>
      <w:r>
        <w:rPr>
          <w:rFonts w:ascii="Arial Narrow" w:hAnsi="Arial Narrow"/>
        </w:rPr>
        <w:t>podpora</w:t>
      </w:r>
      <w:r w:rsidRPr="00F2433E">
        <w:rPr>
          <w:rFonts w:ascii="Arial Narrow" w:hAnsi="Arial Narrow"/>
        </w:rPr>
        <w:t xml:space="preserve"> dobrovoľného plnenia daňových povinností a zvýšenie právnej istoty v obchodných vzťahoch. Sekundárnym efektom tohto opatrenia by mala byť pomoc daň</w:t>
      </w:r>
      <w:r>
        <w:rPr>
          <w:rFonts w:ascii="Arial Narrow" w:hAnsi="Arial Narrow"/>
        </w:rPr>
        <w:t xml:space="preserve">ovým subjektom, ktoré si plnia svoje </w:t>
      </w:r>
      <w:r w:rsidRPr="00F2433E">
        <w:rPr>
          <w:rFonts w:ascii="Arial Narrow" w:hAnsi="Arial Narrow"/>
        </w:rPr>
        <w:t>povinnosti voči štátnemu rozpočtu a finančnej správe, zlepšiť svoje postavenie a vyhýbať sa prípadnému a neúmyselnému zapojeniu sa do podvodných aktivít iných daňových subjektov</w:t>
      </w:r>
      <w:r>
        <w:rPr>
          <w:rFonts w:ascii="Arial Narrow" w:hAnsi="Arial Narrow"/>
        </w:rPr>
        <w:t xml:space="preserve">. </w:t>
      </w:r>
    </w:p>
    <w:p w14:paraId="5D303D8A" w14:textId="77777777" w:rsidR="006C785E" w:rsidRDefault="006C785E" w:rsidP="006C785E">
      <w:pPr>
        <w:spacing w:after="0" w:line="240" w:lineRule="auto"/>
        <w:jc w:val="both"/>
        <w:rPr>
          <w:rFonts w:ascii="Arial Narrow" w:hAnsi="Arial Narrow"/>
        </w:rPr>
      </w:pPr>
    </w:p>
    <w:p w14:paraId="4012FB6D" w14:textId="5F80F90B" w:rsidR="006C785E" w:rsidRDefault="00BC4A96" w:rsidP="00D31752">
      <w:pPr>
        <w:spacing w:after="0" w:line="240" w:lineRule="auto"/>
        <w:jc w:val="both"/>
        <w:rPr>
          <w:rFonts w:ascii="Arial Narrow" w:hAnsi="Arial Narrow"/>
          <w:color w:val="000000" w:themeColor="text1"/>
        </w:rPr>
      </w:pPr>
      <w:r w:rsidRPr="00BC4A96">
        <w:rPr>
          <w:rFonts w:ascii="Arial Narrow" w:hAnsi="Arial Narrow"/>
          <w:color w:val="000000" w:themeColor="text1"/>
        </w:rPr>
        <w:t xml:space="preserve">S cieľom obmedzenia okamžitých daňových únikov spojených s predajom tovarov a poskytovaním služieb sa pri vybraných službách zavedie povinnosť evidencie tržieb prostredníctvom </w:t>
      </w:r>
      <w:r w:rsidRPr="00BC4A96">
        <w:rPr>
          <w:rFonts w:ascii="Arial Narrow" w:hAnsi="Arial Narrow"/>
          <w:b/>
          <w:color w:val="000000" w:themeColor="text1"/>
        </w:rPr>
        <w:t>elektronickej registračnej pokladnice</w:t>
      </w:r>
      <w:r w:rsidRPr="00BC4A96">
        <w:rPr>
          <w:rFonts w:ascii="Arial Narrow" w:hAnsi="Arial Narrow"/>
          <w:color w:val="000000" w:themeColor="text1"/>
        </w:rPr>
        <w:t xml:space="preserve"> alebo prostredníctvom </w:t>
      </w:r>
      <w:r w:rsidRPr="00BC4A96">
        <w:rPr>
          <w:rFonts w:ascii="Arial Narrow" w:hAnsi="Arial Narrow"/>
          <w:b/>
          <w:color w:val="000000" w:themeColor="text1"/>
        </w:rPr>
        <w:t>virtuálnej registračnej pokladnice</w:t>
      </w:r>
      <w:r w:rsidRPr="00BC4A96">
        <w:rPr>
          <w:rFonts w:ascii="Arial Narrow" w:hAnsi="Arial Narrow"/>
          <w:color w:val="000000" w:themeColor="text1"/>
        </w:rPr>
        <w:t xml:space="preserve"> s on-line prepojením na finančnú správu</w:t>
      </w:r>
    </w:p>
    <w:p w14:paraId="1308FA44" w14:textId="77777777" w:rsidR="002B7245" w:rsidRPr="009F2177" w:rsidRDefault="002B7245" w:rsidP="00D31752">
      <w:pPr>
        <w:spacing w:after="0" w:line="240" w:lineRule="auto"/>
        <w:jc w:val="both"/>
        <w:rPr>
          <w:rFonts w:ascii="Arial Narrow" w:hAnsi="Arial Narrow"/>
          <w:b/>
          <w:i/>
          <w:color w:val="000000" w:themeColor="text1"/>
          <w:szCs w:val="20"/>
        </w:rPr>
      </w:pPr>
    </w:p>
    <w:p w14:paraId="33444D21" w14:textId="0762B418" w:rsidR="00CE6D15" w:rsidRDefault="00D31752" w:rsidP="00D31752">
      <w:pPr>
        <w:spacing w:after="0" w:line="240" w:lineRule="auto"/>
        <w:jc w:val="both"/>
        <w:rPr>
          <w:rFonts w:ascii="Arial Narrow" w:hAnsi="Arial Narrow"/>
        </w:rPr>
      </w:pPr>
      <w:r w:rsidRPr="004A1B2B">
        <w:rPr>
          <w:rFonts w:ascii="Arial Narrow" w:hAnsi="Arial Narrow"/>
        </w:rPr>
        <w:t xml:space="preserve">V spolupráci s ostatnými rezortmi verejnej správy sa do konca roka 2018 zriadi </w:t>
      </w:r>
      <w:r w:rsidRPr="004A1B2B">
        <w:rPr>
          <w:rFonts w:ascii="Arial Narrow" w:hAnsi="Arial Narrow"/>
          <w:b/>
        </w:rPr>
        <w:t>medzirezortné analytické centrum</w:t>
      </w:r>
      <w:r w:rsidR="00BA3E64">
        <w:rPr>
          <w:rFonts w:ascii="Arial Narrow" w:hAnsi="Arial Narrow"/>
          <w:b/>
        </w:rPr>
        <w:t xml:space="preserve"> (JACK) </w:t>
      </w:r>
      <w:r w:rsidRPr="004A1B2B">
        <w:rPr>
          <w:rFonts w:ascii="Arial Narrow" w:hAnsi="Arial Narrow"/>
          <w:b/>
        </w:rPr>
        <w:t>zaoberajúce sa finančnou kriminalitou</w:t>
      </w:r>
      <w:r w:rsidR="00BA3E64">
        <w:rPr>
          <w:rFonts w:ascii="Arial Narrow" w:hAnsi="Arial Narrow"/>
          <w:b/>
        </w:rPr>
        <w:t xml:space="preserve">  a daňovými únikmi</w:t>
      </w:r>
      <w:r>
        <w:rPr>
          <w:rFonts w:ascii="Arial Narrow" w:hAnsi="Arial Narrow"/>
        </w:rPr>
        <w:t xml:space="preserve">. </w:t>
      </w:r>
      <w:r w:rsidR="00BA3E64">
        <w:rPr>
          <w:rFonts w:ascii="Arial Narrow" w:hAnsi="Arial Narrow"/>
        </w:rPr>
        <w:t xml:space="preserve">Cieľom je zlepšenie spolupráce medzi finančnou správou a políciou vrátane získavania všetkých dostupných informácií. Cieľom je eliminácia porušovaní daňových povinností a zabránenie vzniku ďalších nedoplatkov, ale aj eliminácia duplicitných </w:t>
      </w:r>
      <w:r w:rsidR="009467A4">
        <w:rPr>
          <w:rFonts w:ascii="Arial Narrow" w:hAnsi="Arial Narrow"/>
        </w:rPr>
        <w:t>preverovaní</w:t>
      </w:r>
      <w:r w:rsidR="00BA3E64">
        <w:rPr>
          <w:rFonts w:ascii="Arial Narrow" w:hAnsi="Arial Narrow"/>
        </w:rPr>
        <w:t xml:space="preserve"> štátnymi orgánmi.</w:t>
      </w:r>
    </w:p>
    <w:p w14:paraId="5CBE34F2" w14:textId="77777777" w:rsidR="00D31752" w:rsidRDefault="00D31752" w:rsidP="00D31752">
      <w:pPr>
        <w:spacing w:after="0" w:line="240" w:lineRule="auto"/>
        <w:jc w:val="both"/>
        <w:rPr>
          <w:rFonts w:ascii="Arial Narrow" w:hAnsi="Arial Narrow"/>
        </w:rPr>
      </w:pPr>
    </w:p>
    <w:p w14:paraId="080221E7" w14:textId="21095419" w:rsidR="0097256F" w:rsidRDefault="00D31752" w:rsidP="00D31752">
      <w:pPr>
        <w:spacing w:after="0" w:line="240" w:lineRule="auto"/>
        <w:jc w:val="both"/>
        <w:rPr>
          <w:rFonts w:ascii="Arial Narrow" w:hAnsi="Arial Narrow"/>
        </w:rPr>
      </w:pPr>
      <w:r w:rsidRPr="008D0BCC">
        <w:rPr>
          <w:rFonts w:ascii="Arial Narrow" w:hAnsi="Arial Narrow"/>
        </w:rPr>
        <w:t>Ďalším zámerom finančnej správy je pok</w:t>
      </w:r>
      <w:r w:rsidR="006256A8">
        <w:rPr>
          <w:rFonts w:ascii="Arial Narrow" w:hAnsi="Arial Narrow"/>
        </w:rPr>
        <w:t xml:space="preserve">račovať vo využívaní inštitútu </w:t>
      </w:r>
      <w:r w:rsidRPr="006256A8">
        <w:rPr>
          <w:rFonts w:ascii="Arial Narrow" w:hAnsi="Arial Narrow"/>
          <w:b/>
          <w:i/>
        </w:rPr>
        <w:t xml:space="preserve">soft </w:t>
      </w:r>
      <w:proofErr w:type="spellStart"/>
      <w:r w:rsidRPr="006256A8">
        <w:rPr>
          <w:rFonts w:ascii="Arial Narrow" w:hAnsi="Arial Narrow"/>
          <w:b/>
          <w:i/>
        </w:rPr>
        <w:t>warning</w:t>
      </w:r>
      <w:proofErr w:type="spellEnd"/>
      <w:r w:rsidRPr="008D0BCC">
        <w:rPr>
          <w:rFonts w:ascii="Arial Narrow" w:hAnsi="Arial Narrow"/>
        </w:rPr>
        <w:t xml:space="preserve"> vo význame „ľahké, mierne varovanie, upozornenie“ klienta FS na plnenie jeho zákonných povinnosti s uvedením právnych následkov neplnenia týchto povinností. Cieľom tohto opatrenia je dosiahnuť súčinnosť klientov FS</w:t>
      </w:r>
      <w:r w:rsidR="00AD6BB1">
        <w:rPr>
          <w:rFonts w:ascii="Arial Narrow" w:hAnsi="Arial Narrow"/>
        </w:rPr>
        <w:t xml:space="preserve"> SR</w:t>
      </w:r>
      <w:r w:rsidRPr="008D0BCC">
        <w:rPr>
          <w:rFonts w:ascii="Arial Narrow" w:hAnsi="Arial Narrow"/>
        </w:rPr>
        <w:t xml:space="preserve"> pri plnení ich povinností, ktoré neboli riadne a včas splnené a tým zvýšiť dobrovoľné plnenie daňových povinností klientov FS</w:t>
      </w:r>
      <w:r w:rsidR="00AD6BB1">
        <w:rPr>
          <w:rFonts w:ascii="Arial Narrow" w:hAnsi="Arial Narrow"/>
        </w:rPr>
        <w:t xml:space="preserve"> SR </w:t>
      </w:r>
      <w:r w:rsidRPr="008D0BCC">
        <w:rPr>
          <w:rFonts w:ascii="Arial Narrow" w:hAnsi="Arial Narrow"/>
        </w:rPr>
        <w:t>ich samosprávou.</w:t>
      </w:r>
    </w:p>
    <w:p w14:paraId="54DB434E" w14:textId="77777777" w:rsidR="00CE6D15" w:rsidRPr="003E31A0" w:rsidRDefault="00CE6D15" w:rsidP="00D31752">
      <w:pPr>
        <w:spacing w:after="0" w:line="240" w:lineRule="auto"/>
        <w:jc w:val="both"/>
        <w:rPr>
          <w:rFonts w:ascii="Arial Narrow" w:hAnsi="Arial Narrow"/>
          <w:color w:val="000000" w:themeColor="text1"/>
        </w:rPr>
      </w:pPr>
    </w:p>
    <w:p w14:paraId="7AB1DD80" w14:textId="77777777" w:rsidR="00CE6D15" w:rsidRDefault="00CE6D15" w:rsidP="00CE6D15">
      <w:pPr>
        <w:spacing w:after="0" w:line="240" w:lineRule="auto"/>
        <w:jc w:val="both"/>
        <w:rPr>
          <w:rFonts w:ascii="Arial Narrow" w:hAnsi="Arial Narrow"/>
          <w:color w:val="000000" w:themeColor="text1"/>
        </w:rPr>
      </w:pPr>
      <w:r w:rsidRPr="003E31A0">
        <w:rPr>
          <w:rFonts w:ascii="Arial Narrow" w:hAnsi="Arial Narrow"/>
          <w:color w:val="000000" w:themeColor="text1"/>
        </w:rPr>
        <w:t xml:space="preserve">Pripravujú sa </w:t>
      </w:r>
      <w:r w:rsidRPr="003E31A0">
        <w:rPr>
          <w:rFonts w:ascii="Arial Narrow" w:hAnsi="Arial Narrow"/>
          <w:b/>
          <w:color w:val="000000" w:themeColor="text1"/>
        </w:rPr>
        <w:t>informačné systémy pre automatickú výmenu informácií o finančných účtoch</w:t>
      </w:r>
      <w:r w:rsidRPr="003E31A0">
        <w:rPr>
          <w:rFonts w:ascii="Arial Narrow" w:hAnsi="Arial Narrow"/>
          <w:color w:val="000000" w:themeColor="text1"/>
        </w:rPr>
        <w:t>. Realizujú sa úpravy informačných systémov, vďaka ktorým bude mať finančné riaditeľstvo informáciu o príjmoch slovenských rezidentov na finančných účtoch držaných v zahraničí.</w:t>
      </w:r>
    </w:p>
    <w:p w14:paraId="148B735C" w14:textId="77777777" w:rsidR="00D31752" w:rsidRDefault="00D31752" w:rsidP="00D31752">
      <w:pPr>
        <w:spacing w:after="0" w:line="240" w:lineRule="auto"/>
        <w:jc w:val="both"/>
        <w:rPr>
          <w:rFonts w:ascii="Arial Narrow" w:hAnsi="Arial Narrow"/>
        </w:rPr>
      </w:pPr>
    </w:p>
    <w:p w14:paraId="44D54DA3" w14:textId="77777777" w:rsidR="007D2366" w:rsidRDefault="007D2366" w:rsidP="007D2366">
      <w:pPr>
        <w:spacing w:after="0" w:line="240" w:lineRule="auto"/>
        <w:rPr>
          <w:rFonts w:ascii="Arial Narrow" w:hAnsi="Arial Narrow"/>
          <w:b/>
          <w:i/>
        </w:rPr>
      </w:pPr>
      <w:r>
        <w:rPr>
          <w:rFonts w:ascii="Arial Narrow" w:hAnsi="Arial Narrow"/>
          <w:b/>
          <w:i/>
        </w:rPr>
        <w:t>Ročné zúčtovanie sociálneho poistenia</w:t>
      </w:r>
    </w:p>
    <w:p w14:paraId="46104F6A" w14:textId="30CF2E28" w:rsidR="00E87F25" w:rsidRDefault="007D2366" w:rsidP="007D2366">
      <w:pPr>
        <w:spacing w:after="0" w:line="240" w:lineRule="auto"/>
        <w:jc w:val="both"/>
        <w:rPr>
          <w:rFonts w:ascii="Arial Narrow" w:hAnsi="Arial Narrow"/>
          <w:color w:val="000000"/>
          <w:lang w:eastAsia="cs-CZ"/>
        </w:rPr>
      </w:pPr>
      <w:r w:rsidRPr="00E87F25">
        <w:rPr>
          <w:rFonts w:ascii="Arial Narrow" w:hAnsi="Arial Narrow"/>
        </w:rPr>
        <w:t xml:space="preserve">Do konca roka 2018 sa príjme legislatíva s cieľom </w:t>
      </w:r>
      <w:r w:rsidRPr="00E87F25">
        <w:rPr>
          <w:rFonts w:ascii="Arial Narrow" w:hAnsi="Arial Narrow"/>
          <w:b/>
        </w:rPr>
        <w:t>zavedenia ročného zúčtovania sociálneho poistenia ako efektívneho nástroja na zamedzenie odvodovej optimalizácie subjektov</w:t>
      </w:r>
      <w:r w:rsidRPr="00E87F25">
        <w:rPr>
          <w:rStyle w:val="Odkaznapoznmkupodiarou"/>
          <w:rFonts w:ascii="Arial Narrow" w:hAnsi="Arial Narrow"/>
        </w:rPr>
        <w:footnoteReference w:id="25"/>
      </w:r>
      <w:r w:rsidRPr="00E87F25">
        <w:rPr>
          <w:rFonts w:ascii="Arial Narrow" w:hAnsi="Arial Narrow"/>
        </w:rPr>
        <w:t>.</w:t>
      </w:r>
      <w:r w:rsidR="00E87F25">
        <w:rPr>
          <w:rFonts w:ascii="Arial Narrow" w:hAnsi="Arial Narrow"/>
        </w:rPr>
        <w:t xml:space="preserve"> </w:t>
      </w:r>
      <w:r w:rsidR="00E87F25" w:rsidRPr="003D3D10">
        <w:rPr>
          <w:rFonts w:ascii="Arial Narrow" w:hAnsi="Arial Narrow"/>
        </w:rPr>
        <w:t xml:space="preserve">Znížia sa </w:t>
      </w:r>
      <w:r w:rsidR="00E87F25">
        <w:rPr>
          <w:rFonts w:ascii="Arial Narrow" w:hAnsi="Arial Narrow"/>
        </w:rPr>
        <w:t xml:space="preserve">tým </w:t>
      </w:r>
      <w:r w:rsidR="00E87F25" w:rsidRPr="003D3D10">
        <w:rPr>
          <w:rFonts w:ascii="Arial Narrow" w:hAnsi="Arial Narrow"/>
        </w:rPr>
        <w:t>motivácie vykazovať vysoké odmeny v jednom mesiaci, vďaka čomu bude odvodové zaťaženie práce spravodlivejšie a príjmy štátu vyššie.</w:t>
      </w:r>
      <w:r w:rsidR="00E87F25">
        <w:rPr>
          <w:rFonts w:ascii="Arial Narrow" w:hAnsi="Arial Narrow"/>
        </w:rPr>
        <w:t xml:space="preserve"> </w:t>
      </w:r>
      <w:r w:rsidR="00E87F25" w:rsidRPr="00E87F25">
        <w:rPr>
          <w:rFonts w:ascii="Arial Narrow" w:hAnsi="Arial Narrow"/>
          <w:color w:val="000000"/>
          <w:lang w:eastAsia="cs-CZ"/>
        </w:rPr>
        <w:t>Platenie preddavkov na sociálne poistenie bude možné od januára 2019 a výkon ročného zúčtovania v sociálnom poiste</w:t>
      </w:r>
      <w:r w:rsidR="00E87F25">
        <w:rPr>
          <w:rFonts w:ascii="Arial Narrow" w:hAnsi="Arial Narrow"/>
          <w:color w:val="000000"/>
          <w:lang w:eastAsia="cs-CZ"/>
        </w:rPr>
        <w:t xml:space="preserve">ní v roku 2020 za predošlý rok. </w:t>
      </w:r>
      <w:r w:rsidR="00D05C94" w:rsidRPr="00D05C94">
        <w:rPr>
          <w:rFonts w:ascii="Arial Narrow" w:hAnsi="Arial Narrow"/>
          <w:color w:val="000000"/>
          <w:lang w:eastAsia="cs-CZ"/>
        </w:rPr>
        <w:t>Opatrenie v roku 2019 zvýši príjmy</w:t>
      </w:r>
      <w:r w:rsidR="00F030F5">
        <w:rPr>
          <w:rFonts w:ascii="Arial Narrow" w:hAnsi="Arial Narrow"/>
          <w:color w:val="000000"/>
          <w:lang w:eastAsia="cs-CZ"/>
        </w:rPr>
        <w:t xml:space="preserve"> verejnej správy o 56,</w:t>
      </w:r>
      <w:r w:rsidR="00B872B0">
        <w:rPr>
          <w:rFonts w:ascii="Arial Narrow" w:hAnsi="Arial Narrow"/>
          <w:color w:val="000000"/>
          <w:lang w:eastAsia="cs-CZ"/>
        </w:rPr>
        <w:t>8</w:t>
      </w:r>
      <w:r w:rsidR="00F030F5">
        <w:rPr>
          <w:rFonts w:ascii="Arial Narrow" w:hAnsi="Arial Narrow"/>
          <w:color w:val="000000"/>
          <w:lang w:eastAsia="cs-CZ"/>
        </w:rPr>
        <w:t xml:space="preserve"> mil. </w:t>
      </w:r>
      <w:r w:rsidR="00D05C94" w:rsidRPr="00D05C94">
        <w:rPr>
          <w:rFonts w:ascii="Arial Narrow" w:hAnsi="Arial Narrow"/>
          <w:color w:val="000000"/>
          <w:lang w:eastAsia="cs-CZ"/>
        </w:rPr>
        <w:t xml:space="preserve">eur, zatiaľ čo </w:t>
      </w:r>
      <w:r w:rsidR="00F030F5">
        <w:rPr>
          <w:rFonts w:ascii="Arial Narrow" w:hAnsi="Arial Narrow"/>
          <w:color w:val="000000"/>
          <w:lang w:eastAsia="cs-CZ"/>
        </w:rPr>
        <w:t xml:space="preserve">výdavky budú vyššie o 8,6 mil. </w:t>
      </w:r>
      <w:r w:rsidR="00D05C94" w:rsidRPr="00D05C94">
        <w:rPr>
          <w:rFonts w:ascii="Arial Narrow" w:hAnsi="Arial Narrow"/>
          <w:color w:val="000000"/>
          <w:lang w:eastAsia="cs-CZ"/>
        </w:rPr>
        <w:t>eur. V nasledujúcich dvoch rokoch budú celkové príjmy verejnej správy vyššie o približne 40 mil. eur a výdavky po</w:t>
      </w:r>
      <w:r w:rsidR="00E86371">
        <w:rPr>
          <w:rFonts w:ascii="Arial Narrow" w:hAnsi="Arial Narrow"/>
          <w:color w:val="000000"/>
          <w:lang w:eastAsia="cs-CZ"/>
        </w:rPr>
        <w:t xml:space="preserve">rastú na 13,8 resp. 15,5 </w:t>
      </w:r>
      <w:r w:rsidR="00F030F5">
        <w:rPr>
          <w:rFonts w:ascii="Arial Narrow" w:hAnsi="Arial Narrow"/>
          <w:color w:val="000000"/>
          <w:lang w:eastAsia="cs-CZ"/>
        </w:rPr>
        <w:t>mil.</w:t>
      </w:r>
      <w:r w:rsidR="00E86371">
        <w:rPr>
          <w:rFonts w:ascii="Arial Narrow" w:hAnsi="Arial Narrow"/>
          <w:color w:val="000000"/>
          <w:lang w:eastAsia="cs-CZ"/>
        </w:rPr>
        <w:t xml:space="preserve"> </w:t>
      </w:r>
      <w:r w:rsidR="00D05C94" w:rsidRPr="00D05C94">
        <w:rPr>
          <w:rFonts w:ascii="Arial Narrow" w:hAnsi="Arial Narrow"/>
          <w:color w:val="000000"/>
          <w:lang w:eastAsia="cs-CZ"/>
        </w:rPr>
        <w:t>eur.</w:t>
      </w:r>
    </w:p>
    <w:p w14:paraId="7AC3703E" w14:textId="77777777" w:rsidR="00E87F25" w:rsidRPr="00E87F25" w:rsidRDefault="00E87F25" w:rsidP="007D2366">
      <w:pPr>
        <w:spacing w:after="0" w:line="240" w:lineRule="auto"/>
        <w:jc w:val="both"/>
      </w:pPr>
    </w:p>
    <w:p w14:paraId="36B5F974" w14:textId="77777777" w:rsidR="00E87F25" w:rsidRDefault="00E87F25" w:rsidP="007D2366">
      <w:pPr>
        <w:spacing w:after="0" w:line="240" w:lineRule="auto"/>
        <w:jc w:val="both"/>
        <w:rPr>
          <w:rFonts w:ascii="Arial Narrow" w:hAnsi="Arial Narrow"/>
        </w:rPr>
      </w:pPr>
    </w:p>
    <w:p w14:paraId="7E2FA596" w14:textId="77777777" w:rsidR="007D2366" w:rsidRPr="00257018" w:rsidRDefault="007D2366" w:rsidP="007D2366">
      <w:pPr>
        <w:spacing w:after="0" w:line="240" w:lineRule="auto"/>
        <w:rPr>
          <w:rFonts w:ascii="Arial Narrow" w:hAnsi="Arial Narrow"/>
        </w:rPr>
      </w:pPr>
    </w:p>
    <w:p w14:paraId="04F07284" w14:textId="77777777" w:rsidR="007D2366" w:rsidRPr="001E6D10" w:rsidRDefault="007D2366" w:rsidP="007D2366">
      <w:pPr>
        <w:spacing w:after="0" w:line="240" w:lineRule="auto"/>
        <w:jc w:val="both"/>
        <w:rPr>
          <w:rFonts w:ascii="Arial Narrow" w:hAnsi="Arial Narrow"/>
          <w:highlight w:val="lightGray"/>
        </w:rPr>
      </w:pPr>
      <w:r w:rsidRPr="00256D89">
        <w:rPr>
          <w:rFonts w:ascii="Arial Narrow" w:hAnsi="Arial Narrow"/>
          <w:color w:val="2C9ADC"/>
          <w:sz w:val="32"/>
          <w:szCs w:val="28"/>
        </w:rPr>
        <w:br w:type="page"/>
      </w:r>
    </w:p>
    <w:p w14:paraId="1765F1B8" w14:textId="77777777" w:rsidR="007D2366" w:rsidRPr="00256D89" w:rsidRDefault="007D2366" w:rsidP="007D2366">
      <w:pPr>
        <w:pStyle w:val="Nadpis2"/>
        <w:numPr>
          <w:ilvl w:val="1"/>
          <w:numId w:val="1"/>
        </w:numPr>
        <w:spacing w:after="240" w:line="240" w:lineRule="auto"/>
        <w:jc w:val="both"/>
        <w:rPr>
          <w:rFonts w:ascii="Arial Narrow" w:hAnsi="Arial Narrow"/>
          <w:color w:val="2C9ADC"/>
          <w:sz w:val="32"/>
          <w:szCs w:val="28"/>
        </w:rPr>
      </w:pPr>
      <w:bookmarkStart w:id="25" w:name="_Toc480749805"/>
      <w:bookmarkStart w:id="26" w:name="_Toc508039577"/>
      <w:r w:rsidRPr="00256D89">
        <w:rPr>
          <w:rFonts w:ascii="Arial Narrow" w:hAnsi="Arial Narrow"/>
          <w:color w:val="2C9ADC"/>
          <w:sz w:val="32"/>
          <w:szCs w:val="28"/>
        </w:rPr>
        <w:lastRenderedPageBreak/>
        <w:t>Vzdelávanie, veda a inovácie</w:t>
      </w:r>
      <w:bookmarkEnd w:id="25"/>
      <w:bookmarkEnd w:id="26"/>
    </w:p>
    <w:p w14:paraId="3CF6E96D" w14:textId="2F0DCDCD" w:rsidR="00AC7707" w:rsidRDefault="006C13BB" w:rsidP="00AC7707">
      <w:pPr>
        <w:pStyle w:val="Odsekzoznamu"/>
        <w:spacing w:after="0" w:line="240" w:lineRule="auto"/>
        <w:ind w:left="0"/>
        <w:jc w:val="both"/>
        <w:rPr>
          <w:rFonts w:ascii="Arial Narrow" w:hAnsi="Arial Narrow" w:cs="Arial Narrow"/>
          <w:i/>
        </w:rPr>
      </w:pPr>
      <w:r>
        <w:rPr>
          <w:rFonts w:ascii="Arial Narrow" w:hAnsi="Arial Narrow" w:cs="Arial Narrow"/>
          <w:i/>
        </w:rPr>
        <w:t>R</w:t>
      </w:r>
      <w:r w:rsidRPr="006C13BB">
        <w:rPr>
          <w:rFonts w:ascii="Arial Narrow" w:hAnsi="Arial Narrow" w:cs="Arial Narrow"/>
          <w:i/>
        </w:rPr>
        <w:t>ezort školstva bude realizovať opatrenia</w:t>
      </w:r>
      <w:r>
        <w:rPr>
          <w:rFonts w:ascii="Arial Narrow" w:hAnsi="Arial Narrow" w:cs="Arial Narrow"/>
          <w:i/>
        </w:rPr>
        <w:t xml:space="preserve"> z revízie výdavkov </w:t>
      </w:r>
      <w:r w:rsidRPr="00BA0E8B">
        <w:rPr>
          <w:rFonts w:ascii="Arial Narrow" w:hAnsi="Arial Narrow" w:cs="Arial Narrow"/>
          <w:i/>
        </w:rPr>
        <w:t xml:space="preserve">na </w:t>
      </w:r>
      <w:r w:rsidR="00F62025">
        <w:rPr>
          <w:rFonts w:ascii="Arial Narrow" w:hAnsi="Arial Narrow" w:cs="Arial Narrow"/>
          <w:i/>
        </w:rPr>
        <w:t>vzdelávanie</w:t>
      </w:r>
      <w:r>
        <w:rPr>
          <w:rFonts w:ascii="Arial Narrow" w:hAnsi="Arial Narrow" w:cs="Arial Narrow"/>
          <w:i/>
        </w:rPr>
        <w:t>, ktorá sa uskutočnila v roku 2017.</w:t>
      </w:r>
      <w:r w:rsidR="00E74102">
        <w:rPr>
          <w:rFonts w:ascii="Arial Narrow" w:hAnsi="Arial Narrow" w:cs="Arial Narrow"/>
          <w:i/>
        </w:rPr>
        <w:t xml:space="preserve"> </w:t>
      </w:r>
      <w:r w:rsidR="007D2366">
        <w:rPr>
          <w:rFonts w:ascii="Arial Narrow" w:hAnsi="Arial Narrow" w:cs="Arial Narrow"/>
          <w:i/>
        </w:rPr>
        <w:t xml:space="preserve">Pokračuje </w:t>
      </w:r>
      <w:r w:rsidR="007D2366" w:rsidRPr="00B04EEB">
        <w:rPr>
          <w:rFonts w:ascii="Arial Narrow" w:hAnsi="Arial Narrow" w:cs="Arial Narrow"/>
          <w:i/>
        </w:rPr>
        <w:t>zvyšovanie atraktivity učiteľského povolania najmä zvyšovaním platov učiteľov</w:t>
      </w:r>
      <w:r w:rsidR="007D2366">
        <w:rPr>
          <w:rFonts w:ascii="Arial Narrow" w:hAnsi="Arial Narrow" w:cs="Arial Narrow"/>
          <w:i/>
        </w:rPr>
        <w:t xml:space="preserve"> </w:t>
      </w:r>
      <w:r w:rsidR="007D2366" w:rsidRPr="00395EDD">
        <w:rPr>
          <w:rFonts w:ascii="Arial Narrow" w:hAnsi="Arial Narrow"/>
          <w:i/>
        </w:rPr>
        <w:t>v súlade s</w:t>
      </w:r>
      <w:r w:rsidR="00F036C1">
        <w:rPr>
          <w:rFonts w:ascii="Arial Narrow" w:hAnsi="Arial Narrow"/>
          <w:i/>
        </w:rPr>
        <w:t xml:space="preserve"> P</w:t>
      </w:r>
      <w:r w:rsidR="007D2366" w:rsidRPr="00395EDD">
        <w:rPr>
          <w:rFonts w:ascii="Arial Narrow" w:hAnsi="Arial Narrow"/>
          <w:i/>
        </w:rPr>
        <w:t>rogramovým vyhlásením vlády</w:t>
      </w:r>
      <w:r w:rsidR="007D2366">
        <w:rPr>
          <w:rFonts w:ascii="Arial Narrow" w:hAnsi="Arial Narrow"/>
          <w:i/>
        </w:rPr>
        <w:t xml:space="preserve"> SR</w:t>
      </w:r>
      <w:r w:rsidR="00A62A9B">
        <w:rPr>
          <w:rFonts w:ascii="Arial Narrow" w:hAnsi="Arial Narrow"/>
          <w:i/>
        </w:rPr>
        <w:t xml:space="preserve">. </w:t>
      </w:r>
      <w:r w:rsidR="00A62A9B" w:rsidRPr="00A62A9B">
        <w:rPr>
          <w:rFonts w:ascii="Arial Narrow" w:hAnsi="Arial Narrow"/>
          <w:i/>
        </w:rPr>
        <w:t xml:space="preserve">Zlepší sa väzba medzi </w:t>
      </w:r>
      <w:r w:rsidR="00A62A9B">
        <w:rPr>
          <w:rFonts w:ascii="Arial Narrow" w:hAnsi="Arial Narrow"/>
          <w:i/>
        </w:rPr>
        <w:t>odmeňovaním učiteľov a kvalitou.</w:t>
      </w:r>
      <w:r w:rsidR="007D2366">
        <w:rPr>
          <w:rFonts w:ascii="Arial Narrow" w:hAnsi="Arial Narrow" w:cs="Arial Narrow"/>
          <w:i/>
        </w:rPr>
        <w:t xml:space="preserve"> </w:t>
      </w:r>
      <w:r w:rsidR="00E74102">
        <w:rPr>
          <w:rFonts w:ascii="Arial Narrow" w:hAnsi="Arial Narrow" w:cs="Arial Narrow"/>
          <w:i/>
        </w:rPr>
        <w:t>Novela z</w:t>
      </w:r>
      <w:r w:rsidR="002E1B25">
        <w:rPr>
          <w:rFonts w:ascii="Arial Narrow" w:hAnsi="Arial Narrow" w:cs="Arial Narrow"/>
          <w:i/>
        </w:rPr>
        <w:t xml:space="preserve">ákona bude </w:t>
      </w:r>
      <w:r w:rsidR="00E74102">
        <w:rPr>
          <w:rFonts w:ascii="Arial Narrow" w:hAnsi="Arial Narrow" w:cs="Arial Narrow"/>
          <w:i/>
        </w:rPr>
        <w:t>motiv</w:t>
      </w:r>
      <w:r w:rsidR="002E1B25">
        <w:rPr>
          <w:rFonts w:ascii="Arial Narrow" w:hAnsi="Arial Narrow" w:cs="Arial Narrow"/>
          <w:i/>
        </w:rPr>
        <w:t>ovať</w:t>
      </w:r>
      <w:r w:rsidR="00E74102">
        <w:rPr>
          <w:rFonts w:ascii="Arial Narrow" w:hAnsi="Arial Narrow" w:cs="Arial Narrow"/>
          <w:i/>
        </w:rPr>
        <w:t xml:space="preserve"> viac škôl i zamestnávateľov zapojiť sa do duálneho vzdelávania. </w:t>
      </w:r>
      <w:r w:rsidR="007D2366" w:rsidRPr="001C6E2E">
        <w:rPr>
          <w:rFonts w:ascii="Arial Narrow" w:hAnsi="Arial Narrow" w:cs="Arial Narrow"/>
          <w:i/>
        </w:rPr>
        <w:t>V oblasti vysokého školstva sa reformuje akreditačná kom</w:t>
      </w:r>
      <w:r w:rsidR="007D2366">
        <w:rPr>
          <w:rFonts w:ascii="Arial Narrow" w:hAnsi="Arial Narrow" w:cs="Arial Narrow"/>
          <w:i/>
        </w:rPr>
        <w:t>i</w:t>
      </w:r>
      <w:r w:rsidR="007D2366" w:rsidRPr="001C6E2E">
        <w:rPr>
          <w:rFonts w:ascii="Arial Narrow" w:hAnsi="Arial Narrow" w:cs="Arial Narrow"/>
          <w:i/>
        </w:rPr>
        <w:t xml:space="preserve">sia a proces akreditácie, </w:t>
      </w:r>
      <w:r w:rsidR="007F1620">
        <w:rPr>
          <w:rFonts w:ascii="Arial Narrow" w:hAnsi="Arial Narrow" w:cs="Arial Narrow"/>
          <w:i/>
        </w:rPr>
        <w:t>u</w:t>
      </w:r>
      <w:r w:rsidR="007F1620" w:rsidRPr="007F1620">
        <w:rPr>
          <w:rFonts w:ascii="Arial Narrow" w:hAnsi="Arial Narrow" w:cs="Arial Narrow"/>
          <w:i/>
        </w:rPr>
        <w:t>prav</w:t>
      </w:r>
      <w:r w:rsidR="007F1620">
        <w:rPr>
          <w:rFonts w:ascii="Arial Narrow" w:hAnsi="Arial Narrow" w:cs="Arial Narrow"/>
          <w:i/>
        </w:rPr>
        <w:t>í sa</w:t>
      </w:r>
      <w:r w:rsidR="007F1620" w:rsidRPr="007F1620">
        <w:rPr>
          <w:rFonts w:ascii="Arial Narrow" w:hAnsi="Arial Narrow" w:cs="Arial Narrow"/>
          <w:i/>
        </w:rPr>
        <w:t xml:space="preserve"> vnútorné riadeni</w:t>
      </w:r>
      <w:r w:rsidR="007F1620">
        <w:rPr>
          <w:rFonts w:ascii="Arial Narrow" w:hAnsi="Arial Narrow" w:cs="Arial Narrow"/>
          <w:i/>
        </w:rPr>
        <w:t>e</w:t>
      </w:r>
      <w:r w:rsidR="007F1620" w:rsidRPr="007F1620">
        <w:rPr>
          <w:rFonts w:ascii="Arial Narrow" w:hAnsi="Arial Narrow" w:cs="Arial Narrow"/>
          <w:i/>
        </w:rPr>
        <w:t xml:space="preserve"> verejných vysokých škôl</w:t>
      </w:r>
      <w:r w:rsidR="007F1620">
        <w:rPr>
          <w:rFonts w:ascii="Arial Narrow" w:hAnsi="Arial Narrow" w:cs="Arial Narrow"/>
          <w:i/>
        </w:rPr>
        <w:t>,</w:t>
      </w:r>
      <w:r w:rsidR="007F1620" w:rsidRPr="007F1620">
        <w:rPr>
          <w:rFonts w:ascii="Arial Narrow" w:hAnsi="Arial Narrow" w:cs="Arial Narrow"/>
          <w:i/>
        </w:rPr>
        <w:t xml:space="preserve"> </w:t>
      </w:r>
      <w:r w:rsidR="007D2366" w:rsidRPr="001C6E2E">
        <w:rPr>
          <w:rFonts w:ascii="Arial Narrow" w:hAnsi="Arial Narrow" w:cs="Arial Narrow"/>
          <w:i/>
        </w:rPr>
        <w:t>profesijne orientované vysokoškolské študijné programy</w:t>
      </w:r>
      <w:r w:rsidR="007D2366">
        <w:rPr>
          <w:rFonts w:ascii="Arial Narrow" w:hAnsi="Arial Narrow" w:cs="Arial Narrow"/>
          <w:i/>
        </w:rPr>
        <w:t xml:space="preserve"> </w:t>
      </w:r>
      <w:r w:rsidR="007D2366" w:rsidRPr="001C6E2E">
        <w:rPr>
          <w:rFonts w:ascii="Arial Narrow" w:hAnsi="Arial Narrow" w:cs="Arial Narrow"/>
          <w:i/>
        </w:rPr>
        <w:t>zabezpečia l</w:t>
      </w:r>
      <w:r w:rsidR="00F036C1">
        <w:rPr>
          <w:rFonts w:ascii="Arial Narrow" w:hAnsi="Arial Narrow" w:cs="Arial Narrow"/>
          <w:i/>
        </w:rPr>
        <w:t xml:space="preserve">epšiu prepojenosť s trhom práce. </w:t>
      </w:r>
      <w:r w:rsidR="00F62025" w:rsidRPr="00F62025">
        <w:rPr>
          <w:rFonts w:ascii="Arial Narrow" w:hAnsi="Arial Narrow"/>
          <w:i/>
        </w:rPr>
        <w:t>V rokoch 2018 a 2019 sa podporí rekonštrukcia vysokoškolských internátov.</w:t>
      </w:r>
    </w:p>
    <w:p w14:paraId="6765BC4F" w14:textId="77777777" w:rsidR="00AC7707" w:rsidRDefault="00AC7707" w:rsidP="00AC7707">
      <w:pPr>
        <w:pStyle w:val="Odsekzoznamu"/>
        <w:spacing w:after="0" w:line="240" w:lineRule="auto"/>
        <w:ind w:left="0"/>
        <w:jc w:val="both"/>
        <w:rPr>
          <w:rFonts w:ascii="Arial Narrow" w:hAnsi="Arial Narrow" w:cs="Arial Narrow"/>
          <w:i/>
        </w:rPr>
      </w:pPr>
    </w:p>
    <w:tbl>
      <w:tblPr>
        <w:tblW w:w="8576" w:type="dxa"/>
        <w:jc w:val="center"/>
        <w:tblLook w:val="04A0" w:firstRow="1" w:lastRow="0" w:firstColumn="1" w:lastColumn="0" w:noHBand="0" w:noVBand="1"/>
      </w:tblPr>
      <w:tblGrid>
        <w:gridCol w:w="3484"/>
        <w:gridCol w:w="670"/>
        <w:gridCol w:w="505"/>
        <w:gridCol w:w="505"/>
        <w:gridCol w:w="505"/>
        <w:gridCol w:w="505"/>
        <w:gridCol w:w="505"/>
        <w:gridCol w:w="505"/>
        <w:gridCol w:w="505"/>
        <w:gridCol w:w="505"/>
        <w:gridCol w:w="556"/>
      </w:tblGrid>
      <w:tr w:rsidR="00AC7707" w:rsidRPr="00181935" w14:paraId="2D9DD805" w14:textId="77777777" w:rsidTr="00E87F25">
        <w:trPr>
          <w:trHeight w:val="278"/>
          <w:jc w:val="center"/>
        </w:trPr>
        <w:tc>
          <w:tcPr>
            <w:tcW w:w="8576" w:type="dxa"/>
            <w:gridSpan w:val="11"/>
            <w:tcBorders>
              <w:top w:val="nil"/>
              <w:left w:val="nil"/>
              <w:bottom w:val="single" w:sz="4" w:space="0" w:color="auto"/>
              <w:right w:val="nil"/>
            </w:tcBorders>
            <w:shd w:val="clear" w:color="auto" w:fill="auto"/>
            <w:noWrap/>
            <w:vAlign w:val="center"/>
            <w:hideMark/>
          </w:tcPr>
          <w:p w14:paraId="44F60801" w14:textId="77777777" w:rsidR="00AC7707" w:rsidRPr="00B53BDB" w:rsidRDefault="00AC7707" w:rsidP="007E4A2E">
            <w:pPr>
              <w:spacing w:after="0" w:line="240" w:lineRule="auto"/>
              <w:rPr>
                <w:rFonts w:ascii="Arial Narrow" w:hAnsi="Arial Narrow"/>
                <w:b/>
                <w:bCs/>
                <w:color w:val="2C9ADC"/>
                <w:sz w:val="20"/>
                <w:szCs w:val="20"/>
                <w:lang w:val="en-US" w:eastAsia="en-US"/>
              </w:rPr>
            </w:pPr>
            <w:proofErr w:type="spellStart"/>
            <w:r w:rsidRPr="00B53BDB">
              <w:rPr>
                <w:rFonts w:ascii="Arial Narrow" w:hAnsi="Arial Narrow"/>
                <w:b/>
                <w:bCs/>
                <w:color w:val="2C9ADC"/>
                <w:sz w:val="20"/>
                <w:szCs w:val="20"/>
                <w:lang w:val="en-US" w:eastAsia="en-US"/>
              </w:rPr>
              <w:t>Výsledkové</w:t>
            </w:r>
            <w:proofErr w:type="spellEnd"/>
            <w:r w:rsidRPr="00B53BDB">
              <w:rPr>
                <w:rFonts w:ascii="Arial Narrow" w:hAnsi="Arial Narrow"/>
                <w:b/>
                <w:bCs/>
                <w:color w:val="2C9ADC"/>
                <w:sz w:val="20"/>
                <w:szCs w:val="20"/>
                <w:lang w:val="en-US" w:eastAsia="en-US"/>
              </w:rPr>
              <w:t xml:space="preserve"> </w:t>
            </w:r>
            <w:proofErr w:type="spellStart"/>
            <w:r w:rsidRPr="00B53BDB">
              <w:rPr>
                <w:rFonts w:ascii="Arial Narrow" w:hAnsi="Arial Narrow"/>
                <w:b/>
                <w:bCs/>
                <w:color w:val="2C9ADC"/>
                <w:sz w:val="20"/>
                <w:szCs w:val="20"/>
                <w:lang w:val="en-US" w:eastAsia="en-US"/>
              </w:rPr>
              <w:t>indikátory</w:t>
            </w:r>
            <w:proofErr w:type="spellEnd"/>
            <w:r w:rsidRPr="00B53BDB">
              <w:rPr>
                <w:rFonts w:ascii="Arial Narrow" w:hAnsi="Arial Narrow"/>
                <w:b/>
                <w:bCs/>
                <w:color w:val="2C9ADC"/>
                <w:sz w:val="20"/>
                <w:szCs w:val="20"/>
                <w:lang w:val="en-US" w:eastAsia="en-US"/>
              </w:rPr>
              <w:t xml:space="preserve"> pre </w:t>
            </w:r>
            <w:proofErr w:type="spellStart"/>
            <w:r w:rsidRPr="00B53BDB">
              <w:rPr>
                <w:rFonts w:ascii="Arial Narrow" w:hAnsi="Arial Narrow"/>
                <w:b/>
                <w:bCs/>
                <w:color w:val="2C9ADC"/>
                <w:sz w:val="20"/>
                <w:szCs w:val="20"/>
                <w:lang w:val="en-US" w:eastAsia="en-US"/>
              </w:rPr>
              <w:t>vzdelávanie</w:t>
            </w:r>
            <w:proofErr w:type="spellEnd"/>
            <w:r w:rsidRPr="00B53BDB">
              <w:rPr>
                <w:rFonts w:ascii="Arial Narrow" w:hAnsi="Arial Narrow"/>
                <w:b/>
                <w:bCs/>
                <w:color w:val="2C9ADC"/>
                <w:sz w:val="20"/>
                <w:szCs w:val="20"/>
                <w:lang w:val="en-US" w:eastAsia="en-US"/>
              </w:rPr>
              <w:t xml:space="preserve">, </w:t>
            </w:r>
            <w:proofErr w:type="spellStart"/>
            <w:r w:rsidRPr="00B53BDB">
              <w:rPr>
                <w:rFonts w:ascii="Arial Narrow" w:hAnsi="Arial Narrow"/>
                <w:b/>
                <w:bCs/>
                <w:color w:val="2C9ADC"/>
                <w:sz w:val="20"/>
                <w:szCs w:val="20"/>
                <w:lang w:val="en-US" w:eastAsia="en-US"/>
              </w:rPr>
              <w:t>vedu</w:t>
            </w:r>
            <w:proofErr w:type="spellEnd"/>
            <w:r w:rsidRPr="00B53BDB">
              <w:rPr>
                <w:rFonts w:ascii="Arial Narrow" w:hAnsi="Arial Narrow"/>
                <w:b/>
                <w:bCs/>
                <w:color w:val="2C9ADC"/>
                <w:sz w:val="20"/>
                <w:szCs w:val="20"/>
                <w:lang w:val="en-US" w:eastAsia="en-US"/>
              </w:rPr>
              <w:t xml:space="preserve"> a </w:t>
            </w:r>
            <w:proofErr w:type="spellStart"/>
            <w:r w:rsidRPr="00B53BDB">
              <w:rPr>
                <w:rFonts w:ascii="Arial Narrow" w:hAnsi="Arial Narrow"/>
                <w:b/>
                <w:bCs/>
                <w:color w:val="2C9ADC"/>
                <w:sz w:val="20"/>
                <w:szCs w:val="20"/>
                <w:lang w:val="en-US" w:eastAsia="en-US"/>
              </w:rPr>
              <w:t>inovácie</w:t>
            </w:r>
            <w:proofErr w:type="spellEnd"/>
          </w:p>
        </w:tc>
      </w:tr>
      <w:tr w:rsidR="00AC7707" w:rsidRPr="00181935" w14:paraId="77263206" w14:textId="77777777" w:rsidTr="00E87F25">
        <w:tblPrEx>
          <w:tblCellMar>
            <w:left w:w="70" w:type="dxa"/>
            <w:right w:w="70" w:type="dxa"/>
          </w:tblCellMar>
        </w:tblPrEx>
        <w:trPr>
          <w:trHeight w:val="411"/>
          <w:jc w:val="center"/>
        </w:trPr>
        <w:tc>
          <w:tcPr>
            <w:tcW w:w="3484" w:type="dxa"/>
            <w:tcBorders>
              <w:top w:val="nil"/>
              <w:left w:val="nil"/>
              <w:bottom w:val="single" w:sz="4" w:space="0" w:color="auto"/>
              <w:right w:val="nil"/>
            </w:tcBorders>
            <w:shd w:val="clear" w:color="auto" w:fill="auto"/>
            <w:noWrap/>
            <w:vAlign w:val="center"/>
            <w:hideMark/>
          </w:tcPr>
          <w:p w14:paraId="1B750080" w14:textId="77777777" w:rsidR="00AC7707" w:rsidRPr="00181935" w:rsidRDefault="00AC7707" w:rsidP="007E4A2E">
            <w:pPr>
              <w:spacing w:after="0" w:line="240" w:lineRule="auto"/>
              <w:jc w:val="both"/>
              <w:rPr>
                <w:rFonts w:ascii="Arial Narrow" w:hAnsi="Arial Narrow"/>
                <w:b/>
                <w:bCs/>
                <w:sz w:val="20"/>
                <w:szCs w:val="20"/>
              </w:rPr>
            </w:pPr>
            <w:r w:rsidRPr="00181935">
              <w:rPr>
                <w:rFonts w:ascii="Arial Narrow" w:hAnsi="Arial Narrow"/>
                <w:b/>
                <w:bCs/>
                <w:sz w:val="20"/>
                <w:szCs w:val="20"/>
              </w:rPr>
              <w:t> </w:t>
            </w:r>
          </w:p>
        </w:tc>
        <w:tc>
          <w:tcPr>
            <w:tcW w:w="670" w:type="dxa"/>
            <w:tcBorders>
              <w:top w:val="nil"/>
              <w:left w:val="nil"/>
              <w:bottom w:val="single" w:sz="4" w:space="0" w:color="auto"/>
              <w:right w:val="nil"/>
            </w:tcBorders>
            <w:shd w:val="clear" w:color="auto" w:fill="auto"/>
            <w:noWrap/>
            <w:vAlign w:val="center"/>
            <w:hideMark/>
          </w:tcPr>
          <w:p w14:paraId="72A0E951" w14:textId="77777777" w:rsidR="00AC7707" w:rsidRPr="00181935" w:rsidRDefault="00AC7707" w:rsidP="007E4A2E">
            <w:pPr>
              <w:spacing w:after="0" w:line="240" w:lineRule="auto"/>
              <w:rPr>
                <w:rFonts w:ascii="Arial Narrow" w:hAnsi="Arial Narrow"/>
                <w:b/>
                <w:bCs/>
                <w:sz w:val="20"/>
                <w:szCs w:val="20"/>
              </w:rPr>
            </w:pPr>
            <w:r w:rsidRPr="00181935">
              <w:rPr>
                <w:rFonts w:ascii="Arial Narrow" w:hAnsi="Arial Narrow"/>
                <w:b/>
                <w:bCs/>
                <w:sz w:val="20"/>
                <w:szCs w:val="20"/>
              </w:rPr>
              <w:t> </w:t>
            </w:r>
          </w:p>
        </w:tc>
        <w:tc>
          <w:tcPr>
            <w:tcW w:w="483" w:type="dxa"/>
            <w:tcBorders>
              <w:top w:val="nil"/>
              <w:left w:val="nil"/>
              <w:bottom w:val="single" w:sz="4" w:space="0" w:color="auto"/>
              <w:right w:val="nil"/>
            </w:tcBorders>
            <w:shd w:val="clear" w:color="auto" w:fill="auto"/>
            <w:vAlign w:val="center"/>
            <w:hideMark/>
          </w:tcPr>
          <w:p w14:paraId="2223B8D2" w14:textId="77777777" w:rsidR="00AC7707" w:rsidRPr="00181935" w:rsidRDefault="00AC7707" w:rsidP="007E4A2E">
            <w:pPr>
              <w:spacing w:after="0" w:line="240" w:lineRule="auto"/>
              <w:jc w:val="center"/>
              <w:rPr>
                <w:rFonts w:ascii="Arial Narrow" w:hAnsi="Arial Narrow"/>
                <w:b/>
                <w:bCs/>
                <w:sz w:val="20"/>
                <w:szCs w:val="20"/>
              </w:rPr>
            </w:pPr>
            <w:r w:rsidRPr="00181935">
              <w:rPr>
                <w:rFonts w:ascii="Arial Narrow" w:hAnsi="Arial Narrow"/>
                <w:b/>
                <w:bCs/>
                <w:sz w:val="20"/>
                <w:szCs w:val="20"/>
              </w:rPr>
              <w:t>2009</w:t>
            </w:r>
          </w:p>
        </w:tc>
        <w:tc>
          <w:tcPr>
            <w:tcW w:w="483" w:type="dxa"/>
            <w:tcBorders>
              <w:top w:val="nil"/>
              <w:left w:val="nil"/>
              <w:bottom w:val="single" w:sz="4" w:space="0" w:color="auto"/>
              <w:right w:val="nil"/>
            </w:tcBorders>
            <w:shd w:val="clear" w:color="auto" w:fill="auto"/>
            <w:vAlign w:val="center"/>
            <w:hideMark/>
          </w:tcPr>
          <w:p w14:paraId="4F761572" w14:textId="77777777" w:rsidR="00AC7707" w:rsidRPr="00181935" w:rsidRDefault="00AC7707" w:rsidP="007E4A2E">
            <w:pPr>
              <w:spacing w:after="0" w:line="240" w:lineRule="auto"/>
              <w:jc w:val="center"/>
              <w:rPr>
                <w:rFonts w:ascii="Arial Narrow" w:hAnsi="Arial Narrow"/>
                <w:b/>
                <w:bCs/>
                <w:sz w:val="20"/>
                <w:szCs w:val="20"/>
              </w:rPr>
            </w:pPr>
            <w:r w:rsidRPr="00181935">
              <w:rPr>
                <w:rFonts w:ascii="Arial Narrow" w:hAnsi="Arial Narrow"/>
                <w:b/>
                <w:bCs/>
                <w:sz w:val="20"/>
                <w:szCs w:val="20"/>
              </w:rPr>
              <w:t>2010</w:t>
            </w:r>
          </w:p>
        </w:tc>
        <w:tc>
          <w:tcPr>
            <w:tcW w:w="483" w:type="dxa"/>
            <w:tcBorders>
              <w:top w:val="nil"/>
              <w:left w:val="nil"/>
              <w:bottom w:val="single" w:sz="4" w:space="0" w:color="auto"/>
              <w:right w:val="nil"/>
            </w:tcBorders>
            <w:shd w:val="clear" w:color="auto" w:fill="auto"/>
            <w:vAlign w:val="center"/>
            <w:hideMark/>
          </w:tcPr>
          <w:p w14:paraId="0021A95C" w14:textId="77777777" w:rsidR="00AC7707" w:rsidRPr="00181935" w:rsidRDefault="00AC7707" w:rsidP="007E4A2E">
            <w:pPr>
              <w:spacing w:after="0" w:line="240" w:lineRule="auto"/>
              <w:jc w:val="center"/>
              <w:rPr>
                <w:rFonts w:ascii="Arial Narrow" w:hAnsi="Arial Narrow"/>
                <w:b/>
                <w:bCs/>
                <w:sz w:val="20"/>
                <w:szCs w:val="20"/>
              </w:rPr>
            </w:pPr>
            <w:r w:rsidRPr="00181935">
              <w:rPr>
                <w:rFonts w:ascii="Arial Narrow" w:hAnsi="Arial Narrow"/>
                <w:b/>
                <w:bCs/>
                <w:sz w:val="20"/>
                <w:szCs w:val="20"/>
              </w:rPr>
              <w:t>2011</w:t>
            </w:r>
          </w:p>
        </w:tc>
        <w:tc>
          <w:tcPr>
            <w:tcW w:w="483" w:type="dxa"/>
            <w:tcBorders>
              <w:top w:val="nil"/>
              <w:left w:val="nil"/>
              <w:bottom w:val="single" w:sz="4" w:space="0" w:color="auto"/>
              <w:right w:val="nil"/>
            </w:tcBorders>
            <w:shd w:val="clear" w:color="auto" w:fill="auto"/>
            <w:vAlign w:val="center"/>
            <w:hideMark/>
          </w:tcPr>
          <w:p w14:paraId="266AD3F6" w14:textId="77777777" w:rsidR="00AC7707" w:rsidRPr="00181935" w:rsidRDefault="00AC7707" w:rsidP="007E4A2E">
            <w:pPr>
              <w:spacing w:after="0" w:line="240" w:lineRule="auto"/>
              <w:jc w:val="center"/>
              <w:rPr>
                <w:rFonts w:ascii="Arial Narrow" w:hAnsi="Arial Narrow"/>
                <w:b/>
                <w:bCs/>
                <w:sz w:val="20"/>
                <w:szCs w:val="20"/>
              </w:rPr>
            </w:pPr>
            <w:r w:rsidRPr="00181935">
              <w:rPr>
                <w:rFonts w:ascii="Arial Narrow" w:hAnsi="Arial Narrow"/>
                <w:b/>
                <w:bCs/>
                <w:sz w:val="20"/>
                <w:szCs w:val="20"/>
              </w:rPr>
              <w:t>2012</w:t>
            </w:r>
          </w:p>
        </w:tc>
        <w:tc>
          <w:tcPr>
            <w:tcW w:w="483" w:type="dxa"/>
            <w:tcBorders>
              <w:top w:val="nil"/>
              <w:left w:val="nil"/>
              <w:bottom w:val="single" w:sz="4" w:space="0" w:color="auto"/>
              <w:right w:val="nil"/>
            </w:tcBorders>
            <w:shd w:val="clear" w:color="auto" w:fill="auto"/>
            <w:vAlign w:val="center"/>
            <w:hideMark/>
          </w:tcPr>
          <w:p w14:paraId="6B525E48" w14:textId="77777777" w:rsidR="00AC7707" w:rsidRPr="00181935" w:rsidRDefault="00AC7707" w:rsidP="007E4A2E">
            <w:pPr>
              <w:spacing w:after="0" w:line="240" w:lineRule="auto"/>
              <w:jc w:val="center"/>
              <w:rPr>
                <w:rFonts w:ascii="Arial Narrow" w:hAnsi="Arial Narrow"/>
                <w:b/>
                <w:bCs/>
                <w:sz w:val="20"/>
                <w:szCs w:val="20"/>
              </w:rPr>
            </w:pPr>
            <w:r w:rsidRPr="00181935">
              <w:rPr>
                <w:rFonts w:ascii="Arial Narrow" w:hAnsi="Arial Narrow"/>
                <w:b/>
                <w:bCs/>
                <w:sz w:val="20"/>
                <w:szCs w:val="20"/>
              </w:rPr>
              <w:t>2013</w:t>
            </w:r>
          </w:p>
        </w:tc>
        <w:tc>
          <w:tcPr>
            <w:tcW w:w="483" w:type="dxa"/>
            <w:tcBorders>
              <w:top w:val="nil"/>
              <w:left w:val="nil"/>
              <w:bottom w:val="single" w:sz="4" w:space="0" w:color="auto"/>
              <w:right w:val="nil"/>
            </w:tcBorders>
            <w:shd w:val="clear" w:color="auto" w:fill="auto"/>
            <w:vAlign w:val="center"/>
            <w:hideMark/>
          </w:tcPr>
          <w:p w14:paraId="51F7D72F" w14:textId="77777777" w:rsidR="00AC7707" w:rsidRPr="00181935" w:rsidRDefault="00AC7707" w:rsidP="007E4A2E">
            <w:pPr>
              <w:spacing w:after="0" w:line="240" w:lineRule="auto"/>
              <w:jc w:val="center"/>
              <w:rPr>
                <w:rFonts w:ascii="Arial Narrow" w:hAnsi="Arial Narrow"/>
                <w:b/>
                <w:bCs/>
                <w:sz w:val="20"/>
                <w:szCs w:val="20"/>
              </w:rPr>
            </w:pPr>
            <w:r w:rsidRPr="00181935">
              <w:rPr>
                <w:rFonts w:ascii="Arial Narrow" w:hAnsi="Arial Narrow"/>
                <w:b/>
                <w:bCs/>
                <w:sz w:val="20"/>
                <w:szCs w:val="20"/>
              </w:rPr>
              <w:t>2014</w:t>
            </w:r>
          </w:p>
        </w:tc>
        <w:tc>
          <w:tcPr>
            <w:tcW w:w="483" w:type="dxa"/>
            <w:tcBorders>
              <w:top w:val="nil"/>
              <w:left w:val="nil"/>
              <w:bottom w:val="single" w:sz="4" w:space="0" w:color="auto"/>
              <w:right w:val="nil"/>
            </w:tcBorders>
            <w:shd w:val="clear" w:color="auto" w:fill="auto"/>
            <w:vAlign w:val="center"/>
            <w:hideMark/>
          </w:tcPr>
          <w:p w14:paraId="2C06F6A0" w14:textId="77777777" w:rsidR="00AC7707" w:rsidRPr="00181935" w:rsidRDefault="00AC7707" w:rsidP="007E4A2E">
            <w:pPr>
              <w:spacing w:after="0" w:line="240" w:lineRule="auto"/>
              <w:jc w:val="center"/>
              <w:rPr>
                <w:rFonts w:ascii="Arial Narrow" w:hAnsi="Arial Narrow"/>
                <w:b/>
                <w:bCs/>
                <w:sz w:val="20"/>
                <w:szCs w:val="20"/>
              </w:rPr>
            </w:pPr>
            <w:r w:rsidRPr="00181935">
              <w:rPr>
                <w:rFonts w:ascii="Arial Narrow" w:hAnsi="Arial Narrow"/>
                <w:b/>
                <w:bCs/>
                <w:sz w:val="20"/>
                <w:szCs w:val="20"/>
              </w:rPr>
              <w:t>2015</w:t>
            </w:r>
          </w:p>
        </w:tc>
        <w:tc>
          <w:tcPr>
            <w:tcW w:w="483" w:type="dxa"/>
            <w:tcBorders>
              <w:top w:val="nil"/>
              <w:left w:val="nil"/>
              <w:bottom w:val="single" w:sz="4" w:space="0" w:color="auto"/>
              <w:right w:val="nil"/>
            </w:tcBorders>
            <w:shd w:val="clear" w:color="auto" w:fill="auto"/>
            <w:vAlign w:val="center"/>
            <w:hideMark/>
          </w:tcPr>
          <w:p w14:paraId="223015B8" w14:textId="77777777" w:rsidR="00AC7707" w:rsidRPr="00181935" w:rsidRDefault="00AC7707" w:rsidP="007E4A2E">
            <w:pPr>
              <w:spacing w:after="0" w:line="240" w:lineRule="auto"/>
              <w:jc w:val="center"/>
              <w:rPr>
                <w:rFonts w:ascii="Arial Narrow" w:hAnsi="Arial Narrow"/>
                <w:b/>
                <w:bCs/>
                <w:sz w:val="20"/>
                <w:szCs w:val="20"/>
              </w:rPr>
            </w:pPr>
            <w:r>
              <w:rPr>
                <w:rFonts w:ascii="Arial Narrow" w:hAnsi="Arial Narrow"/>
                <w:b/>
                <w:bCs/>
                <w:sz w:val="20"/>
                <w:szCs w:val="20"/>
              </w:rPr>
              <w:t>2016</w:t>
            </w:r>
          </w:p>
        </w:tc>
        <w:tc>
          <w:tcPr>
            <w:tcW w:w="556" w:type="dxa"/>
            <w:tcBorders>
              <w:top w:val="nil"/>
              <w:left w:val="nil"/>
              <w:bottom w:val="single" w:sz="4" w:space="0" w:color="auto"/>
              <w:right w:val="nil"/>
            </w:tcBorders>
            <w:shd w:val="clear" w:color="auto" w:fill="auto"/>
            <w:vAlign w:val="center"/>
            <w:hideMark/>
          </w:tcPr>
          <w:p w14:paraId="29BDF329" w14:textId="77777777" w:rsidR="00AC7707" w:rsidRPr="00181935" w:rsidRDefault="00AC7707" w:rsidP="007E4A2E">
            <w:pPr>
              <w:spacing w:after="0" w:line="240" w:lineRule="auto"/>
              <w:jc w:val="center"/>
              <w:rPr>
                <w:rFonts w:ascii="Arial Narrow" w:hAnsi="Arial Narrow"/>
                <w:b/>
                <w:bCs/>
                <w:sz w:val="20"/>
                <w:szCs w:val="20"/>
              </w:rPr>
            </w:pPr>
            <w:r w:rsidRPr="00181935">
              <w:rPr>
                <w:rFonts w:ascii="Arial Narrow" w:hAnsi="Arial Narrow"/>
                <w:b/>
                <w:bCs/>
                <w:sz w:val="20"/>
                <w:szCs w:val="20"/>
              </w:rPr>
              <w:t>Cieľ 2020</w:t>
            </w:r>
          </w:p>
        </w:tc>
      </w:tr>
      <w:tr w:rsidR="00AC7707" w:rsidRPr="00181935" w14:paraId="4D74E491" w14:textId="77777777" w:rsidTr="00E87F25">
        <w:tblPrEx>
          <w:tblCellMar>
            <w:left w:w="70" w:type="dxa"/>
            <w:right w:w="70" w:type="dxa"/>
          </w:tblCellMar>
        </w:tblPrEx>
        <w:trPr>
          <w:trHeight w:val="278"/>
          <w:jc w:val="center"/>
        </w:trPr>
        <w:tc>
          <w:tcPr>
            <w:tcW w:w="3484" w:type="dxa"/>
            <w:tcBorders>
              <w:top w:val="nil"/>
              <w:left w:val="nil"/>
              <w:bottom w:val="nil"/>
              <w:right w:val="nil"/>
            </w:tcBorders>
            <w:shd w:val="clear" w:color="auto" w:fill="auto"/>
            <w:noWrap/>
            <w:vAlign w:val="center"/>
            <w:hideMark/>
          </w:tcPr>
          <w:p w14:paraId="0F5A10FC" w14:textId="77777777" w:rsidR="00AC7707" w:rsidRPr="00181935" w:rsidRDefault="00AC7707" w:rsidP="007E4A2E">
            <w:pPr>
              <w:spacing w:after="0" w:line="240" w:lineRule="auto"/>
              <w:jc w:val="both"/>
              <w:rPr>
                <w:rFonts w:ascii="Arial Narrow" w:hAnsi="Arial Narrow"/>
                <w:b/>
                <w:bCs/>
                <w:color w:val="000000"/>
                <w:sz w:val="20"/>
                <w:szCs w:val="20"/>
              </w:rPr>
            </w:pPr>
            <w:r w:rsidRPr="00181935">
              <w:rPr>
                <w:rFonts w:ascii="Arial Narrow" w:hAnsi="Arial Narrow"/>
                <w:b/>
                <w:bCs/>
                <w:color w:val="000000"/>
                <w:sz w:val="20"/>
                <w:szCs w:val="20"/>
              </w:rPr>
              <w:t>PISA</w:t>
            </w:r>
          </w:p>
        </w:tc>
        <w:tc>
          <w:tcPr>
            <w:tcW w:w="670" w:type="dxa"/>
            <w:tcBorders>
              <w:top w:val="nil"/>
              <w:left w:val="nil"/>
              <w:bottom w:val="nil"/>
              <w:right w:val="nil"/>
            </w:tcBorders>
            <w:shd w:val="clear" w:color="auto" w:fill="auto"/>
            <w:noWrap/>
            <w:vAlign w:val="center"/>
            <w:hideMark/>
          </w:tcPr>
          <w:p w14:paraId="0D4A5051" w14:textId="77777777" w:rsidR="00AC7707" w:rsidRPr="00181935" w:rsidRDefault="00AC7707" w:rsidP="007E4A2E">
            <w:pPr>
              <w:spacing w:after="0" w:line="240" w:lineRule="auto"/>
              <w:jc w:val="center"/>
              <w:rPr>
                <w:rFonts w:ascii="Arial Narrow" w:hAnsi="Arial Narrow"/>
                <w:b/>
                <w:bCs/>
                <w:color w:val="000000"/>
                <w:sz w:val="20"/>
                <w:szCs w:val="20"/>
              </w:rPr>
            </w:pPr>
            <w:r w:rsidRPr="00181935">
              <w:rPr>
                <w:rFonts w:ascii="Arial Narrow" w:hAnsi="Arial Narrow"/>
                <w:b/>
                <w:bCs/>
                <w:color w:val="000000"/>
                <w:sz w:val="20"/>
                <w:szCs w:val="20"/>
              </w:rPr>
              <w:t>SK</w:t>
            </w:r>
          </w:p>
        </w:tc>
        <w:tc>
          <w:tcPr>
            <w:tcW w:w="483" w:type="dxa"/>
            <w:tcBorders>
              <w:top w:val="nil"/>
              <w:left w:val="nil"/>
              <w:bottom w:val="nil"/>
              <w:right w:val="nil"/>
            </w:tcBorders>
            <w:shd w:val="clear" w:color="auto" w:fill="auto"/>
            <w:vAlign w:val="center"/>
            <w:hideMark/>
          </w:tcPr>
          <w:p w14:paraId="76F7F2D0"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488</w:t>
            </w:r>
          </w:p>
        </w:tc>
        <w:tc>
          <w:tcPr>
            <w:tcW w:w="483" w:type="dxa"/>
            <w:tcBorders>
              <w:top w:val="nil"/>
              <w:left w:val="nil"/>
              <w:bottom w:val="nil"/>
              <w:right w:val="nil"/>
            </w:tcBorders>
            <w:shd w:val="clear" w:color="auto" w:fill="auto"/>
            <w:vAlign w:val="center"/>
            <w:hideMark/>
          </w:tcPr>
          <w:p w14:paraId="212B0907"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w:t>
            </w:r>
          </w:p>
        </w:tc>
        <w:tc>
          <w:tcPr>
            <w:tcW w:w="483" w:type="dxa"/>
            <w:tcBorders>
              <w:top w:val="nil"/>
              <w:left w:val="nil"/>
              <w:bottom w:val="nil"/>
              <w:right w:val="nil"/>
            </w:tcBorders>
            <w:shd w:val="clear" w:color="auto" w:fill="auto"/>
            <w:vAlign w:val="center"/>
            <w:hideMark/>
          </w:tcPr>
          <w:p w14:paraId="0B0627F0"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w:t>
            </w:r>
          </w:p>
        </w:tc>
        <w:tc>
          <w:tcPr>
            <w:tcW w:w="483" w:type="dxa"/>
            <w:tcBorders>
              <w:top w:val="nil"/>
              <w:left w:val="nil"/>
              <w:bottom w:val="nil"/>
              <w:right w:val="nil"/>
            </w:tcBorders>
            <w:shd w:val="clear" w:color="auto" w:fill="auto"/>
            <w:vAlign w:val="center"/>
            <w:hideMark/>
          </w:tcPr>
          <w:p w14:paraId="0636E63A"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472</w:t>
            </w:r>
          </w:p>
        </w:tc>
        <w:tc>
          <w:tcPr>
            <w:tcW w:w="483" w:type="dxa"/>
            <w:tcBorders>
              <w:top w:val="nil"/>
              <w:left w:val="nil"/>
              <w:bottom w:val="nil"/>
              <w:right w:val="nil"/>
            </w:tcBorders>
            <w:shd w:val="clear" w:color="auto" w:fill="auto"/>
            <w:vAlign w:val="center"/>
            <w:hideMark/>
          </w:tcPr>
          <w:p w14:paraId="032AEFDA"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 xml:space="preserve"> - </w:t>
            </w:r>
          </w:p>
        </w:tc>
        <w:tc>
          <w:tcPr>
            <w:tcW w:w="483" w:type="dxa"/>
            <w:tcBorders>
              <w:top w:val="nil"/>
              <w:left w:val="nil"/>
              <w:bottom w:val="nil"/>
              <w:right w:val="nil"/>
            </w:tcBorders>
            <w:shd w:val="clear" w:color="auto" w:fill="auto"/>
            <w:vAlign w:val="center"/>
            <w:hideMark/>
          </w:tcPr>
          <w:p w14:paraId="21403B30"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 xml:space="preserve"> - </w:t>
            </w:r>
          </w:p>
        </w:tc>
        <w:tc>
          <w:tcPr>
            <w:tcW w:w="483" w:type="dxa"/>
            <w:tcBorders>
              <w:top w:val="nil"/>
              <w:left w:val="nil"/>
              <w:bottom w:val="nil"/>
              <w:right w:val="nil"/>
            </w:tcBorders>
            <w:shd w:val="clear" w:color="auto" w:fill="auto"/>
            <w:vAlign w:val="center"/>
            <w:hideMark/>
          </w:tcPr>
          <w:p w14:paraId="382B74BC"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463</w:t>
            </w:r>
          </w:p>
        </w:tc>
        <w:tc>
          <w:tcPr>
            <w:tcW w:w="483" w:type="dxa"/>
            <w:tcBorders>
              <w:top w:val="nil"/>
              <w:left w:val="nil"/>
              <w:bottom w:val="nil"/>
              <w:right w:val="nil"/>
            </w:tcBorders>
            <w:shd w:val="clear" w:color="auto" w:fill="auto"/>
            <w:vAlign w:val="center"/>
          </w:tcPr>
          <w:p w14:paraId="762A2809" w14:textId="77777777" w:rsidR="00AC7707" w:rsidRPr="00181935" w:rsidRDefault="00AC7707" w:rsidP="007E4A2E">
            <w:pPr>
              <w:spacing w:after="0" w:line="240" w:lineRule="auto"/>
              <w:jc w:val="center"/>
              <w:rPr>
                <w:rFonts w:ascii="Arial Narrow" w:hAnsi="Arial Narrow"/>
                <w:color w:val="000000"/>
                <w:sz w:val="20"/>
                <w:szCs w:val="20"/>
              </w:rPr>
            </w:pPr>
            <w:r w:rsidRPr="00412AB0">
              <w:rPr>
                <w:rFonts w:ascii="Arial Narrow" w:hAnsi="Arial Narrow"/>
                <w:color w:val="000000"/>
                <w:sz w:val="20"/>
                <w:szCs w:val="20"/>
                <w:lang w:val="en-US" w:eastAsia="en-US"/>
              </w:rPr>
              <w:t xml:space="preserve"> - </w:t>
            </w:r>
          </w:p>
        </w:tc>
        <w:tc>
          <w:tcPr>
            <w:tcW w:w="556" w:type="dxa"/>
            <w:tcBorders>
              <w:top w:val="nil"/>
              <w:left w:val="nil"/>
              <w:bottom w:val="nil"/>
              <w:right w:val="nil"/>
            </w:tcBorders>
            <w:shd w:val="clear" w:color="auto" w:fill="auto"/>
            <w:vAlign w:val="center"/>
            <w:hideMark/>
          </w:tcPr>
          <w:p w14:paraId="4A4ED602"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505</w:t>
            </w:r>
          </w:p>
        </w:tc>
      </w:tr>
      <w:tr w:rsidR="00AC7707" w:rsidRPr="00181935" w14:paraId="0E2B49B1" w14:textId="77777777" w:rsidTr="00E87F25">
        <w:tblPrEx>
          <w:tblCellMar>
            <w:left w:w="70" w:type="dxa"/>
            <w:right w:w="70" w:type="dxa"/>
          </w:tblCellMar>
        </w:tblPrEx>
        <w:trPr>
          <w:trHeight w:val="278"/>
          <w:jc w:val="center"/>
        </w:trPr>
        <w:tc>
          <w:tcPr>
            <w:tcW w:w="3484" w:type="dxa"/>
            <w:tcBorders>
              <w:top w:val="nil"/>
              <w:left w:val="nil"/>
              <w:bottom w:val="single" w:sz="4" w:space="0" w:color="auto"/>
              <w:right w:val="nil"/>
            </w:tcBorders>
            <w:shd w:val="clear" w:color="auto" w:fill="auto"/>
            <w:noWrap/>
            <w:vAlign w:val="center"/>
            <w:hideMark/>
          </w:tcPr>
          <w:p w14:paraId="1871605A" w14:textId="77777777" w:rsidR="00AC7707" w:rsidRPr="00181935" w:rsidRDefault="00AC7707" w:rsidP="007E4A2E">
            <w:pPr>
              <w:spacing w:after="0" w:line="240" w:lineRule="auto"/>
              <w:jc w:val="both"/>
              <w:rPr>
                <w:rFonts w:ascii="Arial Narrow" w:hAnsi="Arial Narrow"/>
                <w:color w:val="000000"/>
                <w:sz w:val="20"/>
                <w:szCs w:val="20"/>
              </w:rPr>
            </w:pPr>
            <w:r w:rsidRPr="00181935">
              <w:rPr>
                <w:rFonts w:ascii="Arial Narrow" w:hAnsi="Arial Narrow"/>
                <w:color w:val="000000"/>
                <w:sz w:val="20"/>
                <w:szCs w:val="20"/>
              </w:rPr>
              <w:t>(priemer dosiahnutých bodov)</w:t>
            </w:r>
          </w:p>
        </w:tc>
        <w:tc>
          <w:tcPr>
            <w:tcW w:w="670" w:type="dxa"/>
            <w:tcBorders>
              <w:top w:val="nil"/>
              <w:left w:val="nil"/>
              <w:bottom w:val="nil"/>
              <w:right w:val="nil"/>
            </w:tcBorders>
            <w:shd w:val="clear" w:color="auto" w:fill="auto"/>
            <w:noWrap/>
            <w:vAlign w:val="center"/>
            <w:hideMark/>
          </w:tcPr>
          <w:p w14:paraId="508A0FB9" w14:textId="77777777" w:rsidR="00AC7707" w:rsidRPr="00181935" w:rsidRDefault="00AC7707" w:rsidP="007E4A2E">
            <w:pPr>
              <w:spacing w:after="0" w:line="240" w:lineRule="auto"/>
              <w:jc w:val="center"/>
              <w:rPr>
                <w:rFonts w:ascii="Arial Narrow" w:hAnsi="Arial Narrow"/>
                <w:b/>
                <w:bCs/>
                <w:color w:val="000000"/>
                <w:sz w:val="20"/>
                <w:szCs w:val="20"/>
              </w:rPr>
            </w:pPr>
            <w:r w:rsidRPr="00181935">
              <w:rPr>
                <w:rFonts w:ascii="Arial Narrow" w:hAnsi="Arial Narrow"/>
                <w:b/>
                <w:bCs/>
                <w:color w:val="000000"/>
                <w:sz w:val="20"/>
                <w:szCs w:val="20"/>
              </w:rPr>
              <w:t>OECD</w:t>
            </w:r>
          </w:p>
        </w:tc>
        <w:tc>
          <w:tcPr>
            <w:tcW w:w="483" w:type="dxa"/>
            <w:tcBorders>
              <w:top w:val="nil"/>
              <w:left w:val="nil"/>
              <w:bottom w:val="nil"/>
              <w:right w:val="nil"/>
            </w:tcBorders>
            <w:shd w:val="clear" w:color="auto" w:fill="auto"/>
            <w:vAlign w:val="center"/>
            <w:hideMark/>
          </w:tcPr>
          <w:p w14:paraId="5B89FA6E"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497</w:t>
            </w:r>
          </w:p>
        </w:tc>
        <w:tc>
          <w:tcPr>
            <w:tcW w:w="483" w:type="dxa"/>
            <w:tcBorders>
              <w:top w:val="nil"/>
              <w:left w:val="nil"/>
              <w:bottom w:val="nil"/>
              <w:right w:val="nil"/>
            </w:tcBorders>
            <w:shd w:val="clear" w:color="auto" w:fill="auto"/>
            <w:vAlign w:val="center"/>
            <w:hideMark/>
          </w:tcPr>
          <w:p w14:paraId="57594013"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w:t>
            </w:r>
          </w:p>
        </w:tc>
        <w:tc>
          <w:tcPr>
            <w:tcW w:w="483" w:type="dxa"/>
            <w:tcBorders>
              <w:top w:val="nil"/>
              <w:left w:val="nil"/>
              <w:bottom w:val="nil"/>
              <w:right w:val="nil"/>
            </w:tcBorders>
            <w:shd w:val="clear" w:color="auto" w:fill="auto"/>
            <w:vAlign w:val="center"/>
            <w:hideMark/>
          </w:tcPr>
          <w:p w14:paraId="15FC0B3F"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w:t>
            </w:r>
          </w:p>
        </w:tc>
        <w:tc>
          <w:tcPr>
            <w:tcW w:w="483" w:type="dxa"/>
            <w:tcBorders>
              <w:top w:val="nil"/>
              <w:left w:val="nil"/>
              <w:bottom w:val="nil"/>
              <w:right w:val="nil"/>
            </w:tcBorders>
            <w:shd w:val="clear" w:color="auto" w:fill="auto"/>
            <w:vAlign w:val="center"/>
            <w:hideMark/>
          </w:tcPr>
          <w:p w14:paraId="01482A69"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497</w:t>
            </w:r>
          </w:p>
        </w:tc>
        <w:tc>
          <w:tcPr>
            <w:tcW w:w="483" w:type="dxa"/>
            <w:tcBorders>
              <w:top w:val="nil"/>
              <w:left w:val="nil"/>
              <w:bottom w:val="nil"/>
              <w:right w:val="nil"/>
            </w:tcBorders>
            <w:shd w:val="clear" w:color="auto" w:fill="auto"/>
            <w:vAlign w:val="center"/>
            <w:hideMark/>
          </w:tcPr>
          <w:p w14:paraId="488FAC4D"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 xml:space="preserve"> - </w:t>
            </w:r>
          </w:p>
        </w:tc>
        <w:tc>
          <w:tcPr>
            <w:tcW w:w="483" w:type="dxa"/>
            <w:tcBorders>
              <w:top w:val="nil"/>
              <w:left w:val="nil"/>
              <w:bottom w:val="single" w:sz="4" w:space="0" w:color="auto"/>
              <w:right w:val="nil"/>
            </w:tcBorders>
            <w:shd w:val="clear" w:color="auto" w:fill="auto"/>
            <w:vAlign w:val="center"/>
            <w:hideMark/>
          </w:tcPr>
          <w:p w14:paraId="4AD1DB9E"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 xml:space="preserve"> - </w:t>
            </w:r>
          </w:p>
        </w:tc>
        <w:tc>
          <w:tcPr>
            <w:tcW w:w="483" w:type="dxa"/>
            <w:tcBorders>
              <w:top w:val="nil"/>
              <w:left w:val="nil"/>
              <w:bottom w:val="single" w:sz="4" w:space="0" w:color="auto"/>
              <w:right w:val="nil"/>
            </w:tcBorders>
            <w:shd w:val="clear" w:color="auto" w:fill="auto"/>
            <w:vAlign w:val="center"/>
            <w:hideMark/>
          </w:tcPr>
          <w:p w14:paraId="6FE312F0"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492</w:t>
            </w:r>
          </w:p>
        </w:tc>
        <w:tc>
          <w:tcPr>
            <w:tcW w:w="483" w:type="dxa"/>
            <w:tcBorders>
              <w:top w:val="nil"/>
              <w:left w:val="nil"/>
              <w:bottom w:val="single" w:sz="4" w:space="0" w:color="auto"/>
              <w:right w:val="nil"/>
            </w:tcBorders>
            <w:shd w:val="clear" w:color="auto" w:fill="auto"/>
            <w:vAlign w:val="center"/>
          </w:tcPr>
          <w:p w14:paraId="755A7985" w14:textId="77777777" w:rsidR="00AC7707" w:rsidRPr="00181935" w:rsidRDefault="00AC7707" w:rsidP="007E4A2E">
            <w:pPr>
              <w:spacing w:after="0" w:line="240" w:lineRule="auto"/>
              <w:jc w:val="center"/>
              <w:rPr>
                <w:rFonts w:ascii="Arial Narrow" w:hAnsi="Arial Narrow"/>
                <w:color w:val="000000"/>
                <w:sz w:val="20"/>
                <w:szCs w:val="20"/>
              </w:rPr>
            </w:pPr>
            <w:r w:rsidRPr="00412AB0">
              <w:rPr>
                <w:rFonts w:ascii="Arial Narrow" w:hAnsi="Arial Narrow"/>
                <w:color w:val="000000"/>
                <w:sz w:val="20"/>
                <w:szCs w:val="20"/>
                <w:lang w:val="en-US" w:eastAsia="en-US"/>
              </w:rPr>
              <w:t xml:space="preserve"> - </w:t>
            </w:r>
          </w:p>
        </w:tc>
        <w:tc>
          <w:tcPr>
            <w:tcW w:w="556" w:type="dxa"/>
            <w:tcBorders>
              <w:top w:val="nil"/>
              <w:left w:val="nil"/>
              <w:bottom w:val="single" w:sz="4" w:space="0" w:color="auto"/>
              <w:right w:val="nil"/>
            </w:tcBorders>
            <w:shd w:val="clear" w:color="auto" w:fill="auto"/>
            <w:vAlign w:val="center"/>
            <w:hideMark/>
          </w:tcPr>
          <w:p w14:paraId="2AF4D8BB"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w:t>
            </w:r>
          </w:p>
        </w:tc>
      </w:tr>
      <w:tr w:rsidR="00AC7707" w:rsidRPr="00181935" w14:paraId="16D32FB8" w14:textId="77777777" w:rsidTr="00E87F25">
        <w:tblPrEx>
          <w:tblCellMar>
            <w:left w:w="70" w:type="dxa"/>
            <w:right w:w="70" w:type="dxa"/>
          </w:tblCellMar>
        </w:tblPrEx>
        <w:trPr>
          <w:trHeight w:val="278"/>
          <w:jc w:val="center"/>
        </w:trPr>
        <w:tc>
          <w:tcPr>
            <w:tcW w:w="3484" w:type="dxa"/>
            <w:tcBorders>
              <w:top w:val="nil"/>
              <w:left w:val="nil"/>
              <w:bottom w:val="nil"/>
              <w:right w:val="nil"/>
            </w:tcBorders>
            <w:shd w:val="clear" w:color="auto" w:fill="auto"/>
            <w:noWrap/>
            <w:vAlign w:val="center"/>
            <w:hideMark/>
          </w:tcPr>
          <w:p w14:paraId="2DB6B0EB" w14:textId="77777777" w:rsidR="00AC7707" w:rsidRPr="00181935" w:rsidRDefault="00AC7707" w:rsidP="007E4A2E">
            <w:pPr>
              <w:spacing w:after="0" w:line="240" w:lineRule="auto"/>
              <w:rPr>
                <w:rFonts w:ascii="Arial Narrow" w:hAnsi="Arial Narrow"/>
                <w:b/>
                <w:bCs/>
                <w:color w:val="000000"/>
                <w:sz w:val="20"/>
                <w:szCs w:val="20"/>
              </w:rPr>
            </w:pPr>
            <w:r w:rsidRPr="00181935">
              <w:rPr>
                <w:rFonts w:ascii="Arial Narrow" w:hAnsi="Arial Narrow"/>
                <w:b/>
                <w:bCs/>
                <w:color w:val="000000"/>
                <w:sz w:val="20"/>
                <w:szCs w:val="20"/>
              </w:rPr>
              <w:t>Predčasné ukončenie školskej dochádzky</w:t>
            </w:r>
          </w:p>
        </w:tc>
        <w:tc>
          <w:tcPr>
            <w:tcW w:w="670" w:type="dxa"/>
            <w:tcBorders>
              <w:top w:val="single" w:sz="4" w:space="0" w:color="auto"/>
              <w:left w:val="nil"/>
              <w:bottom w:val="nil"/>
              <w:right w:val="nil"/>
            </w:tcBorders>
            <w:shd w:val="clear" w:color="auto" w:fill="auto"/>
            <w:noWrap/>
            <w:vAlign w:val="center"/>
            <w:hideMark/>
          </w:tcPr>
          <w:p w14:paraId="54ADE1E4" w14:textId="77777777" w:rsidR="00AC7707" w:rsidRPr="00181935" w:rsidRDefault="00AC7707" w:rsidP="007E4A2E">
            <w:pPr>
              <w:spacing w:after="0" w:line="240" w:lineRule="auto"/>
              <w:jc w:val="center"/>
              <w:rPr>
                <w:rFonts w:ascii="Arial Narrow" w:hAnsi="Arial Narrow"/>
                <w:b/>
                <w:bCs/>
                <w:color w:val="000000"/>
                <w:sz w:val="20"/>
                <w:szCs w:val="20"/>
              </w:rPr>
            </w:pPr>
            <w:r w:rsidRPr="00181935">
              <w:rPr>
                <w:rFonts w:ascii="Arial Narrow" w:hAnsi="Arial Narrow"/>
                <w:b/>
                <w:bCs/>
                <w:color w:val="000000"/>
                <w:sz w:val="20"/>
                <w:szCs w:val="20"/>
              </w:rPr>
              <w:t>SK</w:t>
            </w:r>
          </w:p>
        </w:tc>
        <w:tc>
          <w:tcPr>
            <w:tcW w:w="483" w:type="dxa"/>
            <w:tcBorders>
              <w:top w:val="single" w:sz="4" w:space="0" w:color="auto"/>
              <w:left w:val="nil"/>
              <w:bottom w:val="nil"/>
              <w:right w:val="nil"/>
            </w:tcBorders>
            <w:shd w:val="clear" w:color="auto" w:fill="auto"/>
            <w:vAlign w:val="center"/>
            <w:hideMark/>
          </w:tcPr>
          <w:p w14:paraId="2DBFBC59"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4,9</w:t>
            </w:r>
          </w:p>
        </w:tc>
        <w:tc>
          <w:tcPr>
            <w:tcW w:w="483" w:type="dxa"/>
            <w:tcBorders>
              <w:top w:val="single" w:sz="4" w:space="0" w:color="auto"/>
              <w:left w:val="nil"/>
              <w:bottom w:val="nil"/>
              <w:right w:val="nil"/>
            </w:tcBorders>
            <w:shd w:val="clear" w:color="auto" w:fill="auto"/>
            <w:vAlign w:val="center"/>
            <w:hideMark/>
          </w:tcPr>
          <w:p w14:paraId="2FA977FA"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4,7</w:t>
            </w:r>
          </w:p>
        </w:tc>
        <w:tc>
          <w:tcPr>
            <w:tcW w:w="483" w:type="dxa"/>
            <w:tcBorders>
              <w:top w:val="single" w:sz="4" w:space="0" w:color="auto"/>
              <w:left w:val="nil"/>
              <w:bottom w:val="nil"/>
              <w:right w:val="nil"/>
            </w:tcBorders>
            <w:shd w:val="clear" w:color="auto" w:fill="auto"/>
            <w:vAlign w:val="center"/>
            <w:hideMark/>
          </w:tcPr>
          <w:p w14:paraId="136C7CE7"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5,1</w:t>
            </w:r>
          </w:p>
        </w:tc>
        <w:tc>
          <w:tcPr>
            <w:tcW w:w="483" w:type="dxa"/>
            <w:tcBorders>
              <w:top w:val="single" w:sz="4" w:space="0" w:color="auto"/>
              <w:left w:val="nil"/>
              <w:bottom w:val="nil"/>
              <w:right w:val="nil"/>
            </w:tcBorders>
            <w:shd w:val="clear" w:color="auto" w:fill="auto"/>
            <w:vAlign w:val="center"/>
            <w:hideMark/>
          </w:tcPr>
          <w:p w14:paraId="44005D8B"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5,3</w:t>
            </w:r>
          </w:p>
        </w:tc>
        <w:tc>
          <w:tcPr>
            <w:tcW w:w="483" w:type="dxa"/>
            <w:tcBorders>
              <w:top w:val="single" w:sz="4" w:space="0" w:color="auto"/>
              <w:left w:val="nil"/>
              <w:bottom w:val="nil"/>
              <w:right w:val="nil"/>
            </w:tcBorders>
            <w:shd w:val="clear" w:color="auto" w:fill="auto"/>
            <w:vAlign w:val="center"/>
            <w:hideMark/>
          </w:tcPr>
          <w:p w14:paraId="5D117D1A"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6,4</w:t>
            </w:r>
          </w:p>
        </w:tc>
        <w:tc>
          <w:tcPr>
            <w:tcW w:w="483" w:type="dxa"/>
            <w:tcBorders>
              <w:top w:val="nil"/>
              <w:left w:val="nil"/>
              <w:bottom w:val="nil"/>
              <w:right w:val="nil"/>
            </w:tcBorders>
            <w:shd w:val="clear" w:color="auto" w:fill="auto"/>
            <w:vAlign w:val="center"/>
            <w:hideMark/>
          </w:tcPr>
          <w:p w14:paraId="02F945F6"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6,7</w:t>
            </w:r>
          </w:p>
        </w:tc>
        <w:tc>
          <w:tcPr>
            <w:tcW w:w="483" w:type="dxa"/>
            <w:tcBorders>
              <w:top w:val="nil"/>
              <w:left w:val="nil"/>
              <w:bottom w:val="nil"/>
              <w:right w:val="nil"/>
            </w:tcBorders>
            <w:shd w:val="clear" w:color="auto" w:fill="auto"/>
            <w:vAlign w:val="center"/>
            <w:hideMark/>
          </w:tcPr>
          <w:p w14:paraId="2FFD96FB"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6,9</w:t>
            </w:r>
          </w:p>
        </w:tc>
        <w:tc>
          <w:tcPr>
            <w:tcW w:w="483" w:type="dxa"/>
            <w:tcBorders>
              <w:top w:val="nil"/>
              <w:left w:val="nil"/>
              <w:bottom w:val="nil"/>
              <w:right w:val="nil"/>
            </w:tcBorders>
            <w:shd w:val="clear" w:color="auto" w:fill="auto"/>
            <w:vAlign w:val="center"/>
          </w:tcPr>
          <w:p w14:paraId="2E95DFE6" w14:textId="77777777" w:rsidR="00AC7707" w:rsidRPr="00181935" w:rsidRDefault="00AC7707" w:rsidP="007E4A2E">
            <w:pPr>
              <w:spacing w:after="0" w:line="240" w:lineRule="auto"/>
              <w:jc w:val="center"/>
              <w:rPr>
                <w:rFonts w:ascii="Arial Narrow" w:hAnsi="Arial Narrow"/>
                <w:color w:val="000000"/>
                <w:sz w:val="20"/>
                <w:szCs w:val="20"/>
              </w:rPr>
            </w:pPr>
            <w:r w:rsidRPr="00412AB0">
              <w:rPr>
                <w:rFonts w:ascii="Arial Narrow" w:hAnsi="Arial Narrow"/>
                <w:color w:val="000000"/>
                <w:sz w:val="20"/>
                <w:szCs w:val="20"/>
                <w:lang w:val="en-US" w:eastAsia="en-US"/>
              </w:rPr>
              <w:t>7,4</w:t>
            </w:r>
          </w:p>
        </w:tc>
        <w:tc>
          <w:tcPr>
            <w:tcW w:w="556" w:type="dxa"/>
            <w:tcBorders>
              <w:top w:val="nil"/>
              <w:left w:val="nil"/>
              <w:bottom w:val="nil"/>
              <w:right w:val="nil"/>
            </w:tcBorders>
            <w:shd w:val="clear" w:color="auto" w:fill="auto"/>
            <w:vAlign w:val="center"/>
            <w:hideMark/>
          </w:tcPr>
          <w:p w14:paraId="46BB3453"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6</w:t>
            </w:r>
          </w:p>
        </w:tc>
      </w:tr>
      <w:tr w:rsidR="00AC7707" w:rsidRPr="00181935" w14:paraId="63857A7D" w14:textId="77777777" w:rsidTr="00E87F25">
        <w:tblPrEx>
          <w:tblCellMar>
            <w:left w:w="70" w:type="dxa"/>
            <w:right w:w="70" w:type="dxa"/>
          </w:tblCellMar>
        </w:tblPrEx>
        <w:trPr>
          <w:trHeight w:val="278"/>
          <w:jc w:val="center"/>
        </w:trPr>
        <w:tc>
          <w:tcPr>
            <w:tcW w:w="3484" w:type="dxa"/>
            <w:tcBorders>
              <w:top w:val="nil"/>
              <w:left w:val="nil"/>
              <w:bottom w:val="single" w:sz="4" w:space="0" w:color="auto"/>
              <w:right w:val="nil"/>
            </w:tcBorders>
            <w:shd w:val="clear" w:color="auto" w:fill="auto"/>
            <w:noWrap/>
            <w:vAlign w:val="center"/>
            <w:hideMark/>
          </w:tcPr>
          <w:p w14:paraId="3EDA57F9" w14:textId="77777777" w:rsidR="00AC7707" w:rsidRPr="00181935" w:rsidRDefault="00AC7707" w:rsidP="007E4A2E">
            <w:pPr>
              <w:spacing w:after="0" w:line="240" w:lineRule="auto"/>
              <w:jc w:val="both"/>
              <w:rPr>
                <w:rFonts w:ascii="Arial Narrow" w:hAnsi="Arial Narrow"/>
                <w:color w:val="000000"/>
                <w:sz w:val="20"/>
                <w:szCs w:val="20"/>
              </w:rPr>
            </w:pPr>
            <w:r w:rsidRPr="00181935">
              <w:rPr>
                <w:rFonts w:ascii="Arial Narrow" w:hAnsi="Arial Narrow"/>
                <w:color w:val="000000"/>
                <w:sz w:val="20"/>
                <w:szCs w:val="20"/>
              </w:rPr>
              <w:t>(% vo vekovej skupine 18 - 24 rokov)</w:t>
            </w:r>
          </w:p>
        </w:tc>
        <w:tc>
          <w:tcPr>
            <w:tcW w:w="670" w:type="dxa"/>
            <w:tcBorders>
              <w:top w:val="nil"/>
              <w:left w:val="nil"/>
              <w:bottom w:val="nil"/>
              <w:right w:val="nil"/>
            </w:tcBorders>
            <w:shd w:val="clear" w:color="auto" w:fill="auto"/>
            <w:noWrap/>
            <w:vAlign w:val="center"/>
            <w:hideMark/>
          </w:tcPr>
          <w:p w14:paraId="596DB2CA" w14:textId="77777777" w:rsidR="00AC7707" w:rsidRPr="00181935" w:rsidRDefault="00AC7707" w:rsidP="007E4A2E">
            <w:pPr>
              <w:spacing w:after="0" w:line="240" w:lineRule="auto"/>
              <w:jc w:val="center"/>
              <w:rPr>
                <w:rFonts w:ascii="Arial Narrow" w:hAnsi="Arial Narrow"/>
                <w:b/>
                <w:bCs/>
                <w:color w:val="000000"/>
                <w:sz w:val="20"/>
                <w:szCs w:val="20"/>
              </w:rPr>
            </w:pPr>
            <w:r w:rsidRPr="00181935">
              <w:rPr>
                <w:rFonts w:ascii="Arial Narrow" w:hAnsi="Arial Narrow"/>
                <w:b/>
                <w:bCs/>
                <w:color w:val="000000"/>
                <w:sz w:val="20"/>
                <w:szCs w:val="20"/>
              </w:rPr>
              <w:t>EÚ</w:t>
            </w:r>
          </w:p>
        </w:tc>
        <w:tc>
          <w:tcPr>
            <w:tcW w:w="483" w:type="dxa"/>
            <w:tcBorders>
              <w:top w:val="nil"/>
              <w:left w:val="nil"/>
              <w:bottom w:val="nil"/>
              <w:right w:val="nil"/>
            </w:tcBorders>
            <w:shd w:val="clear" w:color="auto" w:fill="auto"/>
            <w:vAlign w:val="center"/>
            <w:hideMark/>
          </w:tcPr>
          <w:p w14:paraId="6070C639"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14,2</w:t>
            </w:r>
          </w:p>
        </w:tc>
        <w:tc>
          <w:tcPr>
            <w:tcW w:w="483" w:type="dxa"/>
            <w:tcBorders>
              <w:top w:val="nil"/>
              <w:left w:val="nil"/>
              <w:bottom w:val="nil"/>
              <w:right w:val="nil"/>
            </w:tcBorders>
            <w:shd w:val="clear" w:color="auto" w:fill="auto"/>
            <w:vAlign w:val="center"/>
            <w:hideMark/>
          </w:tcPr>
          <w:p w14:paraId="6171668D"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13,9</w:t>
            </w:r>
          </w:p>
        </w:tc>
        <w:tc>
          <w:tcPr>
            <w:tcW w:w="483" w:type="dxa"/>
            <w:tcBorders>
              <w:top w:val="nil"/>
              <w:left w:val="nil"/>
              <w:bottom w:val="nil"/>
              <w:right w:val="nil"/>
            </w:tcBorders>
            <w:shd w:val="clear" w:color="auto" w:fill="auto"/>
            <w:vAlign w:val="center"/>
            <w:hideMark/>
          </w:tcPr>
          <w:p w14:paraId="56781400"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13,4</w:t>
            </w:r>
          </w:p>
        </w:tc>
        <w:tc>
          <w:tcPr>
            <w:tcW w:w="483" w:type="dxa"/>
            <w:tcBorders>
              <w:top w:val="nil"/>
              <w:left w:val="nil"/>
              <w:bottom w:val="nil"/>
              <w:right w:val="nil"/>
            </w:tcBorders>
            <w:shd w:val="clear" w:color="auto" w:fill="auto"/>
            <w:vAlign w:val="center"/>
            <w:hideMark/>
          </w:tcPr>
          <w:p w14:paraId="57A4299A"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12,7</w:t>
            </w:r>
          </w:p>
        </w:tc>
        <w:tc>
          <w:tcPr>
            <w:tcW w:w="483" w:type="dxa"/>
            <w:tcBorders>
              <w:top w:val="nil"/>
              <w:left w:val="nil"/>
              <w:bottom w:val="nil"/>
              <w:right w:val="nil"/>
            </w:tcBorders>
            <w:shd w:val="clear" w:color="auto" w:fill="auto"/>
            <w:vAlign w:val="center"/>
            <w:hideMark/>
          </w:tcPr>
          <w:p w14:paraId="4FDCDE79"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11,9</w:t>
            </w:r>
          </w:p>
        </w:tc>
        <w:tc>
          <w:tcPr>
            <w:tcW w:w="483" w:type="dxa"/>
            <w:tcBorders>
              <w:top w:val="nil"/>
              <w:left w:val="nil"/>
              <w:bottom w:val="single" w:sz="4" w:space="0" w:color="auto"/>
              <w:right w:val="nil"/>
            </w:tcBorders>
            <w:shd w:val="clear" w:color="auto" w:fill="auto"/>
            <w:vAlign w:val="center"/>
            <w:hideMark/>
          </w:tcPr>
          <w:p w14:paraId="674FA684"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11,2</w:t>
            </w:r>
          </w:p>
        </w:tc>
        <w:tc>
          <w:tcPr>
            <w:tcW w:w="483" w:type="dxa"/>
            <w:tcBorders>
              <w:top w:val="nil"/>
              <w:left w:val="nil"/>
              <w:bottom w:val="single" w:sz="4" w:space="0" w:color="auto"/>
              <w:right w:val="nil"/>
            </w:tcBorders>
            <w:shd w:val="clear" w:color="auto" w:fill="auto"/>
            <w:vAlign w:val="center"/>
            <w:hideMark/>
          </w:tcPr>
          <w:p w14:paraId="75B3F8A1"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11</w:t>
            </w:r>
          </w:p>
        </w:tc>
        <w:tc>
          <w:tcPr>
            <w:tcW w:w="483" w:type="dxa"/>
            <w:tcBorders>
              <w:top w:val="nil"/>
              <w:left w:val="nil"/>
              <w:bottom w:val="single" w:sz="4" w:space="0" w:color="auto"/>
              <w:right w:val="nil"/>
            </w:tcBorders>
            <w:shd w:val="clear" w:color="auto" w:fill="auto"/>
            <w:vAlign w:val="center"/>
          </w:tcPr>
          <w:p w14:paraId="14564129" w14:textId="77777777" w:rsidR="00AC7707" w:rsidRPr="00181935" w:rsidRDefault="00AC7707" w:rsidP="007E4A2E">
            <w:pPr>
              <w:spacing w:after="0" w:line="240" w:lineRule="auto"/>
              <w:jc w:val="center"/>
              <w:rPr>
                <w:rFonts w:ascii="Arial Narrow" w:hAnsi="Arial Narrow"/>
                <w:color w:val="000000"/>
                <w:sz w:val="20"/>
                <w:szCs w:val="20"/>
              </w:rPr>
            </w:pPr>
            <w:r w:rsidRPr="00412AB0">
              <w:rPr>
                <w:rFonts w:ascii="Arial Narrow" w:hAnsi="Arial Narrow"/>
                <w:color w:val="000000"/>
                <w:sz w:val="20"/>
                <w:szCs w:val="20"/>
                <w:lang w:val="en-US" w:eastAsia="en-US"/>
              </w:rPr>
              <w:t>10,7</w:t>
            </w:r>
          </w:p>
        </w:tc>
        <w:tc>
          <w:tcPr>
            <w:tcW w:w="556" w:type="dxa"/>
            <w:tcBorders>
              <w:top w:val="nil"/>
              <w:left w:val="nil"/>
              <w:bottom w:val="single" w:sz="4" w:space="0" w:color="auto"/>
              <w:right w:val="nil"/>
            </w:tcBorders>
            <w:shd w:val="clear" w:color="auto" w:fill="auto"/>
            <w:vAlign w:val="center"/>
            <w:hideMark/>
          </w:tcPr>
          <w:p w14:paraId="4C0E815C"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10</w:t>
            </w:r>
          </w:p>
        </w:tc>
      </w:tr>
      <w:tr w:rsidR="00AC7707" w:rsidRPr="00181935" w14:paraId="0B309B58" w14:textId="77777777" w:rsidTr="00E87F25">
        <w:tblPrEx>
          <w:tblCellMar>
            <w:left w:w="70" w:type="dxa"/>
            <w:right w:w="70" w:type="dxa"/>
          </w:tblCellMar>
        </w:tblPrEx>
        <w:trPr>
          <w:trHeight w:val="278"/>
          <w:jc w:val="center"/>
        </w:trPr>
        <w:tc>
          <w:tcPr>
            <w:tcW w:w="3484" w:type="dxa"/>
            <w:tcBorders>
              <w:top w:val="nil"/>
              <w:left w:val="nil"/>
              <w:bottom w:val="nil"/>
              <w:right w:val="nil"/>
            </w:tcBorders>
            <w:shd w:val="clear" w:color="auto" w:fill="auto"/>
            <w:noWrap/>
            <w:vAlign w:val="center"/>
            <w:hideMark/>
          </w:tcPr>
          <w:p w14:paraId="12B905F9" w14:textId="77777777" w:rsidR="00AC7707" w:rsidRPr="00181935" w:rsidRDefault="00AC7707" w:rsidP="007E4A2E">
            <w:pPr>
              <w:spacing w:after="0" w:line="240" w:lineRule="auto"/>
              <w:rPr>
                <w:rFonts w:ascii="Arial Narrow" w:hAnsi="Arial Narrow"/>
                <w:b/>
                <w:bCs/>
                <w:color w:val="000000"/>
                <w:sz w:val="20"/>
                <w:szCs w:val="20"/>
              </w:rPr>
            </w:pPr>
            <w:r w:rsidRPr="00181935">
              <w:rPr>
                <w:rFonts w:ascii="Arial Narrow" w:hAnsi="Arial Narrow"/>
                <w:b/>
                <w:bCs/>
                <w:color w:val="000000"/>
                <w:sz w:val="20"/>
                <w:szCs w:val="20"/>
              </w:rPr>
              <w:t>Citácie</w:t>
            </w:r>
          </w:p>
        </w:tc>
        <w:tc>
          <w:tcPr>
            <w:tcW w:w="670" w:type="dxa"/>
            <w:tcBorders>
              <w:top w:val="single" w:sz="4" w:space="0" w:color="auto"/>
              <w:left w:val="nil"/>
              <w:bottom w:val="nil"/>
              <w:right w:val="nil"/>
            </w:tcBorders>
            <w:shd w:val="clear" w:color="auto" w:fill="auto"/>
            <w:noWrap/>
            <w:vAlign w:val="center"/>
            <w:hideMark/>
          </w:tcPr>
          <w:p w14:paraId="5F26DEE6" w14:textId="77777777" w:rsidR="00AC7707" w:rsidRPr="00181935" w:rsidRDefault="00AC7707" w:rsidP="007E4A2E">
            <w:pPr>
              <w:spacing w:after="0" w:line="240" w:lineRule="auto"/>
              <w:jc w:val="center"/>
              <w:rPr>
                <w:rFonts w:ascii="Arial Narrow" w:hAnsi="Arial Narrow"/>
                <w:b/>
                <w:bCs/>
                <w:color w:val="000000"/>
                <w:sz w:val="20"/>
                <w:szCs w:val="20"/>
              </w:rPr>
            </w:pPr>
            <w:r w:rsidRPr="00181935">
              <w:rPr>
                <w:rFonts w:ascii="Arial Narrow" w:hAnsi="Arial Narrow"/>
                <w:b/>
                <w:bCs/>
                <w:color w:val="000000"/>
                <w:sz w:val="20"/>
                <w:szCs w:val="20"/>
              </w:rPr>
              <w:t>SK</w:t>
            </w:r>
          </w:p>
        </w:tc>
        <w:tc>
          <w:tcPr>
            <w:tcW w:w="483" w:type="dxa"/>
            <w:tcBorders>
              <w:top w:val="single" w:sz="4" w:space="0" w:color="auto"/>
              <w:left w:val="nil"/>
              <w:bottom w:val="nil"/>
              <w:right w:val="nil"/>
            </w:tcBorders>
            <w:shd w:val="clear" w:color="auto" w:fill="auto"/>
            <w:noWrap/>
            <w:vAlign w:val="center"/>
            <w:hideMark/>
          </w:tcPr>
          <w:p w14:paraId="7141F54B"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35</w:t>
            </w:r>
          </w:p>
        </w:tc>
        <w:tc>
          <w:tcPr>
            <w:tcW w:w="483" w:type="dxa"/>
            <w:tcBorders>
              <w:top w:val="single" w:sz="4" w:space="0" w:color="auto"/>
              <w:left w:val="nil"/>
              <w:bottom w:val="nil"/>
              <w:right w:val="nil"/>
            </w:tcBorders>
            <w:shd w:val="clear" w:color="auto" w:fill="auto"/>
            <w:noWrap/>
            <w:vAlign w:val="center"/>
            <w:hideMark/>
          </w:tcPr>
          <w:p w14:paraId="0A6C32FD"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34</w:t>
            </w:r>
          </w:p>
        </w:tc>
        <w:tc>
          <w:tcPr>
            <w:tcW w:w="483" w:type="dxa"/>
            <w:tcBorders>
              <w:top w:val="single" w:sz="4" w:space="0" w:color="auto"/>
              <w:left w:val="nil"/>
              <w:bottom w:val="nil"/>
              <w:right w:val="nil"/>
            </w:tcBorders>
            <w:shd w:val="clear" w:color="auto" w:fill="auto"/>
            <w:noWrap/>
            <w:vAlign w:val="center"/>
            <w:hideMark/>
          </w:tcPr>
          <w:p w14:paraId="73ECC762"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35</w:t>
            </w:r>
          </w:p>
        </w:tc>
        <w:tc>
          <w:tcPr>
            <w:tcW w:w="483" w:type="dxa"/>
            <w:tcBorders>
              <w:top w:val="single" w:sz="4" w:space="0" w:color="auto"/>
              <w:left w:val="nil"/>
              <w:bottom w:val="nil"/>
              <w:right w:val="nil"/>
            </w:tcBorders>
            <w:shd w:val="clear" w:color="auto" w:fill="auto"/>
            <w:noWrap/>
            <w:vAlign w:val="center"/>
            <w:hideMark/>
          </w:tcPr>
          <w:p w14:paraId="5DA9F2A3"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45</w:t>
            </w:r>
          </w:p>
        </w:tc>
        <w:tc>
          <w:tcPr>
            <w:tcW w:w="483" w:type="dxa"/>
            <w:tcBorders>
              <w:top w:val="single" w:sz="4" w:space="0" w:color="auto"/>
              <w:left w:val="nil"/>
              <w:bottom w:val="nil"/>
              <w:right w:val="nil"/>
            </w:tcBorders>
            <w:shd w:val="clear" w:color="auto" w:fill="auto"/>
            <w:noWrap/>
            <w:vAlign w:val="center"/>
            <w:hideMark/>
          </w:tcPr>
          <w:p w14:paraId="5BCE30C1"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47</w:t>
            </w:r>
          </w:p>
        </w:tc>
        <w:tc>
          <w:tcPr>
            <w:tcW w:w="483" w:type="dxa"/>
            <w:tcBorders>
              <w:top w:val="nil"/>
              <w:left w:val="nil"/>
              <w:bottom w:val="nil"/>
              <w:right w:val="nil"/>
            </w:tcBorders>
            <w:shd w:val="clear" w:color="auto" w:fill="auto"/>
            <w:noWrap/>
            <w:vAlign w:val="center"/>
            <w:hideMark/>
          </w:tcPr>
          <w:p w14:paraId="10313847"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44</w:t>
            </w:r>
          </w:p>
        </w:tc>
        <w:tc>
          <w:tcPr>
            <w:tcW w:w="483" w:type="dxa"/>
            <w:tcBorders>
              <w:top w:val="nil"/>
              <w:left w:val="nil"/>
              <w:bottom w:val="nil"/>
              <w:right w:val="nil"/>
            </w:tcBorders>
            <w:shd w:val="clear" w:color="auto" w:fill="auto"/>
            <w:noWrap/>
            <w:vAlign w:val="center"/>
            <w:hideMark/>
          </w:tcPr>
          <w:p w14:paraId="4B48BF4E"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50</w:t>
            </w:r>
          </w:p>
        </w:tc>
        <w:tc>
          <w:tcPr>
            <w:tcW w:w="483" w:type="dxa"/>
            <w:tcBorders>
              <w:top w:val="nil"/>
              <w:left w:val="nil"/>
              <w:bottom w:val="nil"/>
              <w:right w:val="nil"/>
            </w:tcBorders>
            <w:shd w:val="clear" w:color="auto" w:fill="auto"/>
            <w:noWrap/>
            <w:vAlign w:val="center"/>
          </w:tcPr>
          <w:p w14:paraId="40DFE010" w14:textId="77777777" w:rsidR="00AC7707" w:rsidRPr="00181935" w:rsidRDefault="00AC7707" w:rsidP="007E4A2E">
            <w:pPr>
              <w:spacing w:after="0" w:line="240" w:lineRule="auto"/>
              <w:jc w:val="center"/>
              <w:rPr>
                <w:rFonts w:ascii="Arial Narrow" w:hAnsi="Arial Narrow"/>
                <w:color w:val="000000"/>
                <w:sz w:val="20"/>
                <w:szCs w:val="20"/>
              </w:rPr>
            </w:pPr>
            <w:r w:rsidRPr="00412AB0">
              <w:rPr>
                <w:rFonts w:ascii="Arial Narrow" w:hAnsi="Arial Narrow"/>
                <w:color w:val="000000"/>
                <w:sz w:val="20"/>
                <w:szCs w:val="20"/>
                <w:lang w:val="en-US" w:eastAsia="en-US"/>
              </w:rPr>
              <w:t>55</w:t>
            </w:r>
          </w:p>
        </w:tc>
        <w:tc>
          <w:tcPr>
            <w:tcW w:w="556" w:type="dxa"/>
            <w:tcBorders>
              <w:top w:val="nil"/>
              <w:left w:val="nil"/>
              <w:bottom w:val="nil"/>
              <w:right w:val="nil"/>
            </w:tcBorders>
            <w:shd w:val="clear" w:color="auto" w:fill="auto"/>
            <w:noWrap/>
            <w:vAlign w:val="center"/>
            <w:hideMark/>
          </w:tcPr>
          <w:p w14:paraId="67A39FA6"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70</w:t>
            </w:r>
          </w:p>
        </w:tc>
      </w:tr>
      <w:tr w:rsidR="00AC7707" w:rsidRPr="00181935" w14:paraId="6830FDDC" w14:textId="77777777" w:rsidTr="00E87F25">
        <w:tblPrEx>
          <w:tblCellMar>
            <w:left w:w="70" w:type="dxa"/>
            <w:right w:w="70" w:type="dxa"/>
          </w:tblCellMar>
        </w:tblPrEx>
        <w:trPr>
          <w:trHeight w:val="278"/>
          <w:jc w:val="center"/>
        </w:trPr>
        <w:tc>
          <w:tcPr>
            <w:tcW w:w="3484" w:type="dxa"/>
            <w:tcBorders>
              <w:top w:val="nil"/>
              <w:left w:val="nil"/>
              <w:bottom w:val="single" w:sz="4" w:space="0" w:color="auto"/>
              <w:right w:val="nil"/>
            </w:tcBorders>
            <w:shd w:val="clear" w:color="auto" w:fill="auto"/>
            <w:noWrap/>
            <w:vAlign w:val="center"/>
            <w:hideMark/>
          </w:tcPr>
          <w:p w14:paraId="62C431FE" w14:textId="77777777" w:rsidR="00AC7707" w:rsidRPr="00181935" w:rsidRDefault="00AC7707" w:rsidP="007E4A2E">
            <w:pPr>
              <w:spacing w:after="0" w:line="240" w:lineRule="auto"/>
              <w:jc w:val="both"/>
              <w:rPr>
                <w:rFonts w:ascii="Arial Narrow" w:hAnsi="Arial Narrow"/>
                <w:color w:val="000000"/>
                <w:sz w:val="20"/>
                <w:szCs w:val="20"/>
              </w:rPr>
            </w:pPr>
            <w:r w:rsidRPr="00181935">
              <w:rPr>
                <w:rFonts w:ascii="Arial Narrow" w:hAnsi="Arial Narrow"/>
                <w:color w:val="000000"/>
                <w:sz w:val="20"/>
                <w:szCs w:val="20"/>
              </w:rPr>
              <w:t>(%, 100 = priemer EÚ)</w:t>
            </w:r>
          </w:p>
        </w:tc>
        <w:tc>
          <w:tcPr>
            <w:tcW w:w="670" w:type="dxa"/>
            <w:tcBorders>
              <w:top w:val="nil"/>
              <w:left w:val="nil"/>
              <w:bottom w:val="nil"/>
              <w:right w:val="nil"/>
            </w:tcBorders>
            <w:shd w:val="clear" w:color="auto" w:fill="auto"/>
            <w:noWrap/>
            <w:vAlign w:val="center"/>
            <w:hideMark/>
          </w:tcPr>
          <w:p w14:paraId="1BBED1DD" w14:textId="77777777" w:rsidR="00AC7707" w:rsidRPr="00181935" w:rsidRDefault="00AC7707" w:rsidP="007E4A2E">
            <w:pPr>
              <w:spacing w:after="0" w:line="240" w:lineRule="auto"/>
              <w:jc w:val="center"/>
              <w:rPr>
                <w:rFonts w:ascii="Arial Narrow" w:hAnsi="Arial Narrow"/>
                <w:b/>
                <w:bCs/>
                <w:color w:val="000000"/>
                <w:sz w:val="20"/>
                <w:szCs w:val="20"/>
              </w:rPr>
            </w:pPr>
            <w:r w:rsidRPr="00181935">
              <w:rPr>
                <w:rFonts w:ascii="Arial Narrow" w:hAnsi="Arial Narrow"/>
                <w:b/>
                <w:bCs/>
                <w:color w:val="000000"/>
                <w:sz w:val="20"/>
                <w:szCs w:val="20"/>
              </w:rPr>
              <w:t>EÚ</w:t>
            </w:r>
          </w:p>
        </w:tc>
        <w:tc>
          <w:tcPr>
            <w:tcW w:w="483" w:type="dxa"/>
            <w:tcBorders>
              <w:top w:val="nil"/>
              <w:left w:val="nil"/>
              <w:bottom w:val="nil"/>
              <w:right w:val="nil"/>
            </w:tcBorders>
            <w:shd w:val="clear" w:color="auto" w:fill="auto"/>
            <w:vAlign w:val="center"/>
            <w:hideMark/>
          </w:tcPr>
          <w:p w14:paraId="0285D70B"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w:t>
            </w:r>
          </w:p>
        </w:tc>
        <w:tc>
          <w:tcPr>
            <w:tcW w:w="483" w:type="dxa"/>
            <w:tcBorders>
              <w:top w:val="nil"/>
              <w:left w:val="nil"/>
              <w:bottom w:val="nil"/>
              <w:right w:val="nil"/>
            </w:tcBorders>
            <w:shd w:val="clear" w:color="auto" w:fill="auto"/>
            <w:vAlign w:val="center"/>
            <w:hideMark/>
          </w:tcPr>
          <w:p w14:paraId="6397669C"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w:t>
            </w:r>
          </w:p>
        </w:tc>
        <w:tc>
          <w:tcPr>
            <w:tcW w:w="483" w:type="dxa"/>
            <w:tcBorders>
              <w:top w:val="nil"/>
              <w:left w:val="nil"/>
              <w:bottom w:val="nil"/>
              <w:right w:val="nil"/>
            </w:tcBorders>
            <w:shd w:val="clear" w:color="auto" w:fill="auto"/>
            <w:vAlign w:val="center"/>
            <w:hideMark/>
          </w:tcPr>
          <w:p w14:paraId="42484F8F"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w:t>
            </w:r>
          </w:p>
        </w:tc>
        <w:tc>
          <w:tcPr>
            <w:tcW w:w="483" w:type="dxa"/>
            <w:tcBorders>
              <w:top w:val="nil"/>
              <w:left w:val="nil"/>
              <w:bottom w:val="nil"/>
              <w:right w:val="nil"/>
            </w:tcBorders>
            <w:shd w:val="clear" w:color="auto" w:fill="auto"/>
            <w:vAlign w:val="center"/>
            <w:hideMark/>
          </w:tcPr>
          <w:p w14:paraId="6B20E61B"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 xml:space="preserve"> - </w:t>
            </w:r>
          </w:p>
        </w:tc>
        <w:tc>
          <w:tcPr>
            <w:tcW w:w="483" w:type="dxa"/>
            <w:tcBorders>
              <w:top w:val="nil"/>
              <w:left w:val="nil"/>
              <w:bottom w:val="nil"/>
              <w:right w:val="nil"/>
            </w:tcBorders>
            <w:shd w:val="clear" w:color="auto" w:fill="auto"/>
            <w:vAlign w:val="center"/>
            <w:hideMark/>
          </w:tcPr>
          <w:p w14:paraId="68288CBF"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 xml:space="preserve"> - </w:t>
            </w:r>
          </w:p>
        </w:tc>
        <w:tc>
          <w:tcPr>
            <w:tcW w:w="483" w:type="dxa"/>
            <w:tcBorders>
              <w:top w:val="nil"/>
              <w:left w:val="nil"/>
              <w:bottom w:val="single" w:sz="4" w:space="0" w:color="auto"/>
              <w:right w:val="nil"/>
            </w:tcBorders>
            <w:shd w:val="clear" w:color="auto" w:fill="auto"/>
            <w:vAlign w:val="center"/>
            <w:hideMark/>
          </w:tcPr>
          <w:p w14:paraId="76AC6DCD"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 xml:space="preserve"> - </w:t>
            </w:r>
          </w:p>
        </w:tc>
        <w:tc>
          <w:tcPr>
            <w:tcW w:w="483" w:type="dxa"/>
            <w:tcBorders>
              <w:top w:val="nil"/>
              <w:left w:val="nil"/>
              <w:bottom w:val="single" w:sz="4" w:space="0" w:color="auto"/>
              <w:right w:val="nil"/>
            </w:tcBorders>
            <w:shd w:val="clear" w:color="auto" w:fill="auto"/>
            <w:vAlign w:val="center"/>
            <w:hideMark/>
          </w:tcPr>
          <w:p w14:paraId="4FFD3953"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 xml:space="preserve"> - </w:t>
            </w:r>
          </w:p>
        </w:tc>
        <w:tc>
          <w:tcPr>
            <w:tcW w:w="483" w:type="dxa"/>
            <w:tcBorders>
              <w:top w:val="nil"/>
              <w:left w:val="nil"/>
              <w:bottom w:val="single" w:sz="4" w:space="0" w:color="auto"/>
              <w:right w:val="nil"/>
            </w:tcBorders>
            <w:shd w:val="clear" w:color="auto" w:fill="auto"/>
            <w:vAlign w:val="center"/>
          </w:tcPr>
          <w:p w14:paraId="408CF5B3" w14:textId="77777777" w:rsidR="00AC7707" w:rsidRPr="00181935" w:rsidRDefault="00AC7707" w:rsidP="007E4A2E">
            <w:pPr>
              <w:spacing w:after="0" w:line="240" w:lineRule="auto"/>
              <w:jc w:val="center"/>
              <w:rPr>
                <w:rFonts w:ascii="Arial Narrow" w:hAnsi="Arial Narrow"/>
                <w:color w:val="000000"/>
                <w:sz w:val="20"/>
                <w:szCs w:val="20"/>
              </w:rPr>
            </w:pPr>
            <w:r w:rsidRPr="00412AB0">
              <w:rPr>
                <w:rFonts w:ascii="Arial Narrow" w:hAnsi="Arial Narrow"/>
                <w:color w:val="000000"/>
                <w:sz w:val="20"/>
                <w:szCs w:val="20"/>
                <w:lang w:val="en-US" w:eastAsia="en-US"/>
              </w:rPr>
              <w:t xml:space="preserve"> - </w:t>
            </w:r>
          </w:p>
        </w:tc>
        <w:tc>
          <w:tcPr>
            <w:tcW w:w="556" w:type="dxa"/>
            <w:tcBorders>
              <w:top w:val="nil"/>
              <w:left w:val="nil"/>
              <w:bottom w:val="single" w:sz="4" w:space="0" w:color="auto"/>
              <w:right w:val="nil"/>
            </w:tcBorders>
            <w:shd w:val="clear" w:color="auto" w:fill="auto"/>
            <w:vAlign w:val="center"/>
            <w:hideMark/>
          </w:tcPr>
          <w:p w14:paraId="7ABAB7FA"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w:t>
            </w:r>
          </w:p>
        </w:tc>
      </w:tr>
      <w:tr w:rsidR="00AC7707" w:rsidRPr="00181935" w14:paraId="3126F497" w14:textId="77777777" w:rsidTr="00E87F25">
        <w:tblPrEx>
          <w:tblCellMar>
            <w:left w:w="70" w:type="dxa"/>
            <w:right w:w="70" w:type="dxa"/>
          </w:tblCellMar>
        </w:tblPrEx>
        <w:trPr>
          <w:trHeight w:val="278"/>
          <w:jc w:val="center"/>
        </w:trPr>
        <w:tc>
          <w:tcPr>
            <w:tcW w:w="3484" w:type="dxa"/>
            <w:tcBorders>
              <w:top w:val="nil"/>
              <w:left w:val="nil"/>
              <w:bottom w:val="nil"/>
              <w:right w:val="nil"/>
            </w:tcBorders>
            <w:shd w:val="clear" w:color="auto" w:fill="auto"/>
            <w:noWrap/>
            <w:vAlign w:val="center"/>
            <w:hideMark/>
          </w:tcPr>
          <w:p w14:paraId="3A87CD7E" w14:textId="77777777" w:rsidR="00AC7707" w:rsidRPr="00181935" w:rsidRDefault="00AC7707" w:rsidP="007E4A2E">
            <w:pPr>
              <w:spacing w:after="0" w:line="240" w:lineRule="auto"/>
              <w:rPr>
                <w:rFonts w:ascii="Arial Narrow" w:hAnsi="Arial Narrow"/>
                <w:b/>
                <w:bCs/>
                <w:color w:val="000000"/>
                <w:sz w:val="20"/>
                <w:szCs w:val="20"/>
              </w:rPr>
            </w:pPr>
            <w:r w:rsidRPr="00181935">
              <w:rPr>
                <w:rFonts w:ascii="Arial Narrow" w:hAnsi="Arial Narrow"/>
                <w:b/>
                <w:bCs/>
                <w:color w:val="000000"/>
                <w:sz w:val="20"/>
                <w:szCs w:val="20"/>
              </w:rPr>
              <w:t>Miera vysokoškolsky vzdelanej populácie</w:t>
            </w:r>
          </w:p>
        </w:tc>
        <w:tc>
          <w:tcPr>
            <w:tcW w:w="670" w:type="dxa"/>
            <w:tcBorders>
              <w:top w:val="single" w:sz="4" w:space="0" w:color="auto"/>
              <w:left w:val="nil"/>
              <w:bottom w:val="nil"/>
              <w:right w:val="nil"/>
            </w:tcBorders>
            <w:shd w:val="clear" w:color="auto" w:fill="auto"/>
            <w:noWrap/>
            <w:vAlign w:val="center"/>
            <w:hideMark/>
          </w:tcPr>
          <w:p w14:paraId="06E33C2F" w14:textId="77777777" w:rsidR="00AC7707" w:rsidRPr="00181935" w:rsidRDefault="00AC7707" w:rsidP="007E4A2E">
            <w:pPr>
              <w:spacing w:after="0" w:line="240" w:lineRule="auto"/>
              <w:jc w:val="center"/>
              <w:rPr>
                <w:rFonts w:ascii="Arial Narrow" w:hAnsi="Arial Narrow"/>
                <w:b/>
                <w:bCs/>
                <w:color w:val="000000"/>
                <w:sz w:val="20"/>
                <w:szCs w:val="20"/>
              </w:rPr>
            </w:pPr>
            <w:r w:rsidRPr="00181935">
              <w:rPr>
                <w:rFonts w:ascii="Arial Narrow" w:hAnsi="Arial Narrow"/>
                <w:b/>
                <w:bCs/>
                <w:color w:val="000000"/>
                <w:sz w:val="20"/>
                <w:szCs w:val="20"/>
              </w:rPr>
              <w:t>SK</w:t>
            </w:r>
          </w:p>
        </w:tc>
        <w:tc>
          <w:tcPr>
            <w:tcW w:w="483" w:type="dxa"/>
            <w:tcBorders>
              <w:top w:val="single" w:sz="4" w:space="0" w:color="auto"/>
              <w:left w:val="nil"/>
              <w:bottom w:val="nil"/>
              <w:right w:val="nil"/>
            </w:tcBorders>
            <w:shd w:val="clear" w:color="auto" w:fill="auto"/>
            <w:vAlign w:val="center"/>
            <w:hideMark/>
          </w:tcPr>
          <w:p w14:paraId="56888FA5"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17,6</w:t>
            </w:r>
          </w:p>
        </w:tc>
        <w:tc>
          <w:tcPr>
            <w:tcW w:w="483" w:type="dxa"/>
            <w:tcBorders>
              <w:top w:val="single" w:sz="4" w:space="0" w:color="auto"/>
              <w:left w:val="nil"/>
              <w:bottom w:val="nil"/>
              <w:right w:val="nil"/>
            </w:tcBorders>
            <w:shd w:val="clear" w:color="auto" w:fill="auto"/>
            <w:vAlign w:val="center"/>
            <w:hideMark/>
          </w:tcPr>
          <w:p w14:paraId="4FFB8C1A"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22,1</w:t>
            </w:r>
          </w:p>
        </w:tc>
        <w:tc>
          <w:tcPr>
            <w:tcW w:w="483" w:type="dxa"/>
            <w:tcBorders>
              <w:top w:val="single" w:sz="4" w:space="0" w:color="auto"/>
              <w:left w:val="nil"/>
              <w:bottom w:val="nil"/>
              <w:right w:val="nil"/>
            </w:tcBorders>
            <w:shd w:val="clear" w:color="auto" w:fill="auto"/>
            <w:vAlign w:val="center"/>
            <w:hideMark/>
          </w:tcPr>
          <w:p w14:paraId="003A8F26"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23,2</w:t>
            </w:r>
          </w:p>
        </w:tc>
        <w:tc>
          <w:tcPr>
            <w:tcW w:w="483" w:type="dxa"/>
            <w:tcBorders>
              <w:top w:val="single" w:sz="4" w:space="0" w:color="auto"/>
              <w:left w:val="nil"/>
              <w:bottom w:val="nil"/>
              <w:right w:val="nil"/>
            </w:tcBorders>
            <w:shd w:val="clear" w:color="auto" w:fill="auto"/>
            <w:vAlign w:val="center"/>
            <w:hideMark/>
          </w:tcPr>
          <w:p w14:paraId="61926624"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23,7</w:t>
            </w:r>
          </w:p>
        </w:tc>
        <w:tc>
          <w:tcPr>
            <w:tcW w:w="483" w:type="dxa"/>
            <w:tcBorders>
              <w:top w:val="single" w:sz="4" w:space="0" w:color="auto"/>
              <w:left w:val="nil"/>
              <w:bottom w:val="nil"/>
              <w:right w:val="nil"/>
            </w:tcBorders>
            <w:shd w:val="clear" w:color="auto" w:fill="auto"/>
            <w:vAlign w:val="center"/>
            <w:hideMark/>
          </w:tcPr>
          <w:p w14:paraId="48655BE7"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26,9</w:t>
            </w:r>
          </w:p>
        </w:tc>
        <w:tc>
          <w:tcPr>
            <w:tcW w:w="483" w:type="dxa"/>
            <w:tcBorders>
              <w:top w:val="nil"/>
              <w:left w:val="nil"/>
              <w:bottom w:val="nil"/>
              <w:right w:val="nil"/>
            </w:tcBorders>
            <w:shd w:val="clear" w:color="auto" w:fill="auto"/>
            <w:vAlign w:val="center"/>
            <w:hideMark/>
          </w:tcPr>
          <w:p w14:paraId="73839990"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26,9</w:t>
            </w:r>
          </w:p>
        </w:tc>
        <w:tc>
          <w:tcPr>
            <w:tcW w:w="483" w:type="dxa"/>
            <w:tcBorders>
              <w:top w:val="nil"/>
              <w:left w:val="nil"/>
              <w:bottom w:val="nil"/>
              <w:right w:val="nil"/>
            </w:tcBorders>
            <w:shd w:val="clear" w:color="auto" w:fill="auto"/>
            <w:vAlign w:val="center"/>
            <w:hideMark/>
          </w:tcPr>
          <w:p w14:paraId="1AA711B1"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28,2</w:t>
            </w:r>
          </w:p>
        </w:tc>
        <w:tc>
          <w:tcPr>
            <w:tcW w:w="483" w:type="dxa"/>
            <w:tcBorders>
              <w:top w:val="nil"/>
              <w:left w:val="nil"/>
              <w:bottom w:val="nil"/>
              <w:right w:val="nil"/>
            </w:tcBorders>
            <w:shd w:val="clear" w:color="auto" w:fill="auto"/>
            <w:vAlign w:val="center"/>
          </w:tcPr>
          <w:p w14:paraId="165E67D4" w14:textId="77777777" w:rsidR="00AC7707" w:rsidRPr="00181935" w:rsidRDefault="00AC7707" w:rsidP="007E4A2E">
            <w:pPr>
              <w:spacing w:after="0" w:line="240" w:lineRule="auto"/>
              <w:jc w:val="center"/>
              <w:rPr>
                <w:rFonts w:ascii="Arial Narrow" w:hAnsi="Arial Narrow"/>
                <w:color w:val="000000"/>
                <w:sz w:val="20"/>
                <w:szCs w:val="20"/>
              </w:rPr>
            </w:pPr>
            <w:r w:rsidRPr="00412AB0">
              <w:rPr>
                <w:rFonts w:ascii="Arial Narrow" w:hAnsi="Arial Narrow"/>
                <w:color w:val="000000"/>
                <w:sz w:val="20"/>
                <w:szCs w:val="20"/>
                <w:lang w:val="en-US" w:eastAsia="en-US"/>
              </w:rPr>
              <w:t>31,5</w:t>
            </w:r>
          </w:p>
        </w:tc>
        <w:tc>
          <w:tcPr>
            <w:tcW w:w="556" w:type="dxa"/>
            <w:tcBorders>
              <w:top w:val="nil"/>
              <w:left w:val="nil"/>
              <w:bottom w:val="nil"/>
              <w:right w:val="nil"/>
            </w:tcBorders>
            <w:shd w:val="clear" w:color="auto" w:fill="auto"/>
            <w:vAlign w:val="center"/>
            <w:hideMark/>
          </w:tcPr>
          <w:p w14:paraId="3EC1F028"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40</w:t>
            </w:r>
          </w:p>
        </w:tc>
      </w:tr>
      <w:tr w:rsidR="00AC7707" w:rsidRPr="00181935" w14:paraId="00246951" w14:textId="77777777" w:rsidTr="00E87F25">
        <w:tblPrEx>
          <w:tblCellMar>
            <w:left w:w="70" w:type="dxa"/>
            <w:right w:w="70" w:type="dxa"/>
          </w:tblCellMar>
        </w:tblPrEx>
        <w:trPr>
          <w:trHeight w:val="278"/>
          <w:jc w:val="center"/>
        </w:trPr>
        <w:tc>
          <w:tcPr>
            <w:tcW w:w="3484" w:type="dxa"/>
            <w:tcBorders>
              <w:top w:val="nil"/>
              <w:left w:val="nil"/>
              <w:bottom w:val="single" w:sz="4" w:space="0" w:color="auto"/>
              <w:right w:val="nil"/>
            </w:tcBorders>
            <w:shd w:val="clear" w:color="auto" w:fill="auto"/>
            <w:noWrap/>
            <w:vAlign w:val="center"/>
            <w:hideMark/>
          </w:tcPr>
          <w:p w14:paraId="3E821853" w14:textId="77777777" w:rsidR="00AC7707" w:rsidRPr="00181935" w:rsidRDefault="00AC7707" w:rsidP="007E4A2E">
            <w:pPr>
              <w:spacing w:after="0" w:line="240" w:lineRule="auto"/>
              <w:jc w:val="both"/>
              <w:rPr>
                <w:rFonts w:ascii="Arial Narrow" w:hAnsi="Arial Narrow"/>
                <w:color w:val="000000"/>
                <w:sz w:val="20"/>
                <w:szCs w:val="20"/>
              </w:rPr>
            </w:pPr>
            <w:r w:rsidRPr="00181935">
              <w:rPr>
                <w:rFonts w:ascii="Arial Narrow" w:hAnsi="Arial Narrow"/>
                <w:color w:val="000000"/>
                <w:sz w:val="20"/>
                <w:szCs w:val="20"/>
              </w:rPr>
              <w:t>(% vo vekovej skupine 30 - 34 rokov)</w:t>
            </w:r>
          </w:p>
        </w:tc>
        <w:tc>
          <w:tcPr>
            <w:tcW w:w="670" w:type="dxa"/>
            <w:tcBorders>
              <w:top w:val="nil"/>
              <w:left w:val="nil"/>
              <w:bottom w:val="nil"/>
              <w:right w:val="nil"/>
            </w:tcBorders>
            <w:shd w:val="clear" w:color="auto" w:fill="auto"/>
            <w:noWrap/>
            <w:vAlign w:val="center"/>
            <w:hideMark/>
          </w:tcPr>
          <w:p w14:paraId="1FEC0F55" w14:textId="77777777" w:rsidR="00AC7707" w:rsidRPr="00181935" w:rsidRDefault="00AC7707" w:rsidP="007E4A2E">
            <w:pPr>
              <w:spacing w:after="0" w:line="240" w:lineRule="auto"/>
              <w:jc w:val="center"/>
              <w:rPr>
                <w:rFonts w:ascii="Arial Narrow" w:hAnsi="Arial Narrow"/>
                <w:b/>
                <w:bCs/>
                <w:color w:val="000000"/>
                <w:sz w:val="20"/>
                <w:szCs w:val="20"/>
              </w:rPr>
            </w:pPr>
            <w:r w:rsidRPr="00181935">
              <w:rPr>
                <w:rFonts w:ascii="Arial Narrow" w:hAnsi="Arial Narrow"/>
                <w:b/>
                <w:bCs/>
                <w:color w:val="000000"/>
                <w:sz w:val="20"/>
                <w:szCs w:val="20"/>
              </w:rPr>
              <w:t>EÚ</w:t>
            </w:r>
          </w:p>
        </w:tc>
        <w:tc>
          <w:tcPr>
            <w:tcW w:w="483" w:type="dxa"/>
            <w:tcBorders>
              <w:top w:val="nil"/>
              <w:left w:val="nil"/>
              <w:bottom w:val="nil"/>
              <w:right w:val="nil"/>
            </w:tcBorders>
            <w:shd w:val="clear" w:color="auto" w:fill="auto"/>
            <w:vAlign w:val="center"/>
            <w:hideMark/>
          </w:tcPr>
          <w:p w14:paraId="3E14E7ED"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32,3</w:t>
            </w:r>
          </w:p>
        </w:tc>
        <w:tc>
          <w:tcPr>
            <w:tcW w:w="483" w:type="dxa"/>
            <w:tcBorders>
              <w:top w:val="nil"/>
              <w:left w:val="nil"/>
              <w:bottom w:val="nil"/>
              <w:right w:val="nil"/>
            </w:tcBorders>
            <w:shd w:val="clear" w:color="auto" w:fill="auto"/>
            <w:vAlign w:val="center"/>
            <w:hideMark/>
          </w:tcPr>
          <w:p w14:paraId="431243D7"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33,8</w:t>
            </w:r>
          </w:p>
        </w:tc>
        <w:tc>
          <w:tcPr>
            <w:tcW w:w="483" w:type="dxa"/>
            <w:tcBorders>
              <w:top w:val="nil"/>
              <w:left w:val="nil"/>
              <w:bottom w:val="nil"/>
              <w:right w:val="nil"/>
            </w:tcBorders>
            <w:shd w:val="clear" w:color="auto" w:fill="auto"/>
            <w:vAlign w:val="center"/>
            <w:hideMark/>
          </w:tcPr>
          <w:p w14:paraId="2EC179A8"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34,8</w:t>
            </w:r>
          </w:p>
        </w:tc>
        <w:tc>
          <w:tcPr>
            <w:tcW w:w="483" w:type="dxa"/>
            <w:tcBorders>
              <w:top w:val="nil"/>
              <w:left w:val="nil"/>
              <w:bottom w:val="nil"/>
              <w:right w:val="nil"/>
            </w:tcBorders>
            <w:shd w:val="clear" w:color="auto" w:fill="auto"/>
            <w:vAlign w:val="center"/>
            <w:hideMark/>
          </w:tcPr>
          <w:p w14:paraId="4F64E0BF"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36</w:t>
            </w:r>
          </w:p>
        </w:tc>
        <w:tc>
          <w:tcPr>
            <w:tcW w:w="483" w:type="dxa"/>
            <w:tcBorders>
              <w:top w:val="nil"/>
              <w:left w:val="nil"/>
              <w:bottom w:val="nil"/>
              <w:right w:val="nil"/>
            </w:tcBorders>
            <w:shd w:val="clear" w:color="auto" w:fill="auto"/>
            <w:vAlign w:val="center"/>
            <w:hideMark/>
          </w:tcPr>
          <w:p w14:paraId="6C0EDA7F"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37,1</w:t>
            </w:r>
          </w:p>
        </w:tc>
        <w:tc>
          <w:tcPr>
            <w:tcW w:w="483" w:type="dxa"/>
            <w:tcBorders>
              <w:top w:val="nil"/>
              <w:left w:val="nil"/>
              <w:bottom w:val="single" w:sz="4" w:space="0" w:color="auto"/>
              <w:right w:val="nil"/>
            </w:tcBorders>
            <w:shd w:val="clear" w:color="auto" w:fill="auto"/>
            <w:vAlign w:val="center"/>
            <w:hideMark/>
          </w:tcPr>
          <w:p w14:paraId="10E1358C"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37,9</w:t>
            </w:r>
          </w:p>
        </w:tc>
        <w:tc>
          <w:tcPr>
            <w:tcW w:w="483" w:type="dxa"/>
            <w:tcBorders>
              <w:top w:val="nil"/>
              <w:left w:val="nil"/>
              <w:bottom w:val="single" w:sz="4" w:space="0" w:color="auto"/>
              <w:right w:val="nil"/>
            </w:tcBorders>
            <w:shd w:val="clear" w:color="auto" w:fill="auto"/>
            <w:vAlign w:val="center"/>
            <w:hideMark/>
          </w:tcPr>
          <w:p w14:paraId="2ACFF5A1" w14:textId="77777777" w:rsidR="00AC7707" w:rsidRPr="00181935" w:rsidRDefault="00AC7707" w:rsidP="007E4A2E">
            <w:pPr>
              <w:spacing w:after="0" w:line="240" w:lineRule="auto"/>
              <w:jc w:val="center"/>
              <w:rPr>
                <w:rFonts w:ascii="Arial Narrow" w:hAnsi="Arial Narrow"/>
                <w:color w:val="000000"/>
                <w:sz w:val="20"/>
                <w:szCs w:val="20"/>
              </w:rPr>
            </w:pPr>
            <w:r>
              <w:rPr>
                <w:rFonts w:ascii="Arial Narrow" w:hAnsi="Arial Narrow"/>
                <w:color w:val="000000"/>
                <w:sz w:val="20"/>
                <w:szCs w:val="20"/>
              </w:rPr>
              <w:t>38,7</w:t>
            </w:r>
          </w:p>
        </w:tc>
        <w:tc>
          <w:tcPr>
            <w:tcW w:w="483" w:type="dxa"/>
            <w:tcBorders>
              <w:top w:val="nil"/>
              <w:left w:val="nil"/>
              <w:bottom w:val="single" w:sz="4" w:space="0" w:color="auto"/>
              <w:right w:val="nil"/>
            </w:tcBorders>
            <w:shd w:val="clear" w:color="auto" w:fill="auto"/>
            <w:vAlign w:val="center"/>
          </w:tcPr>
          <w:p w14:paraId="070EFD0E" w14:textId="77777777" w:rsidR="00AC7707" w:rsidRPr="00181935" w:rsidRDefault="00AC7707" w:rsidP="007E4A2E">
            <w:pPr>
              <w:spacing w:after="0" w:line="240" w:lineRule="auto"/>
              <w:jc w:val="center"/>
              <w:rPr>
                <w:rFonts w:ascii="Arial Narrow" w:hAnsi="Arial Narrow"/>
                <w:color w:val="000000"/>
                <w:sz w:val="20"/>
                <w:szCs w:val="20"/>
              </w:rPr>
            </w:pPr>
            <w:r w:rsidRPr="00412AB0">
              <w:rPr>
                <w:rFonts w:ascii="Arial Narrow" w:hAnsi="Arial Narrow"/>
                <w:color w:val="000000"/>
                <w:sz w:val="20"/>
                <w:szCs w:val="20"/>
                <w:lang w:val="en-US" w:eastAsia="en-US"/>
              </w:rPr>
              <w:t>39,1</w:t>
            </w:r>
          </w:p>
        </w:tc>
        <w:tc>
          <w:tcPr>
            <w:tcW w:w="556" w:type="dxa"/>
            <w:tcBorders>
              <w:top w:val="nil"/>
              <w:left w:val="nil"/>
              <w:bottom w:val="single" w:sz="4" w:space="0" w:color="auto"/>
              <w:right w:val="nil"/>
            </w:tcBorders>
            <w:shd w:val="clear" w:color="auto" w:fill="auto"/>
            <w:vAlign w:val="center"/>
            <w:hideMark/>
          </w:tcPr>
          <w:p w14:paraId="650EB436"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40</w:t>
            </w:r>
          </w:p>
        </w:tc>
      </w:tr>
      <w:tr w:rsidR="00AC7707" w:rsidRPr="00181935" w14:paraId="7A8655F3" w14:textId="77777777" w:rsidTr="00E87F25">
        <w:tblPrEx>
          <w:tblCellMar>
            <w:left w:w="70" w:type="dxa"/>
            <w:right w:w="70" w:type="dxa"/>
          </w:tblCellMar>
        </w:tblPrEx>
        <w:trPr>
          <w:trHeight w:val="278"/>
          <w:jc w:val="center"/>
        </w:trPr>
        <w:tc>
          <w:tcPr>
            <w:tcW w:w="3484" w:type="dxa"/>
            <w:tcBorders>
              <w:top w:val="nil"/>
              <w:left w:val="nil"/>
              <w:bottom w:val="nil"/>
              <w:right w:val="nil"/>
            </w:tcBorders>
            <w:shd w:val="clear" w:color="auto" w:fill="auto"/>
            <w:noWrap/>
            <w:vAlign w:val="center"/>
            <w:hideMark/>
          </w:tcPr>
          <w:p w14:paraId="0FE8F8E8" w14:textId="77777777" w:rsidR="00AC7707" w:rsidRPr="00181935" w:rsidRDefault="00AC7707" w:rsidP="007E4A2E">
            <w:pPr>
              <w:spacing w:after="0" w:line="240" w:lineRule="auto"/>
              <w:rPr>
                <w:rFonts w:ascii="Arial Narrow" w:hAnsi="Arial Narrow"/>
                <w:b/>
                <w:bCs/>
                <w:color w:val="000000"/>
                <w:sz w:val="20"/>
                <w:szCs w:val="20"/>
              </w:rPr>
            </w:pPr>
            <w:r>
              <w:rPr>
                <w:rFonts w:ascii="Arial Narrow" w:hAnsi="Arial Narrow"/>
                <w:b/>
                <w:bCs/>
                <w:color w:val="000000"/>
                <w:sz w:val="20"/>
                <w:szCs w:val="20"/>
              </w:rPr>
              <w:t>Výdavky na výskum a vývoj</w:t>
            </w:r>
          </w:p>
        </w:tc>
        <w:tc>
          <w:tcPr>
            <w:tcW w:w="670" w:type="dxa"/>
            <w:tcBorders>
              <w:top w:val="single" w:sz="4" w:space="0" w:color="auto"/>
              <w:left w:val="nil"/>
              <w:bottom w:val="nil"/>
              <w:right w:val="nil"/>
            </w:tcBorders>
            <w:shd w:val="clear" w:color="auto" w:fill="auto"/>
            <w:noWrap/>
            <w:vAlign w:val="center"/>
            <w:hideMark/>
          </w:tcPr>
          <w:p w14:paraId="77A1A3C3" w14:textId="77777777" w:rsidR="00AC7707" w:rsidRPr="00181935" w:rsidRDefault="00AC7707" w:rsidP="007E4A2E">
            <w:pPr>
              <w:spacing w:after="0" w:line="240" w:lineRule="auto"/>
              <w:jc w:val="center"/>
              <w:rPr>
                <w:rFonts w:ascii="Arial Narrow" w:hAnsi="Arial Narrow"/>
                <w:b/>
                <w:bCs/>
                <w:color w:val="000000"/>
                <w:sz w:val="20"/>
                <w:szCs w:val="20"/>
              </w:rPr>
            </w:pPr>
            <w:r w:rsidRPr="00181935">
              <w:rPr>
                <w:rFonts w:ascii="Arial Narrow" w:hAnsi="Arial Narrow"/>
                <w:b/>
                <w:bCs/>
                <w:color w:val="000000"/>
                <w:sz w:val="20"/>
                <w:szCs w:val="20"/>
              </w:rPr>
              <w:t>SK</w:t>
            </w:r>
          </w:p>
        </w:tc>
        <w:tc>
          <w:tcPr>
            <w:tcW w:w="483" w:type="dxa"/>
            <w:tcBorders>
              <w:top w:val="single" w:sz="4" w:space="0" w:color="auto"/>
              <w:left w:val="nil"/>
              <w:bottom w:val="nil"/>
              <w:right w:val="nil"/>
            </w:tcBorders>
            <w:shd w:val="clear" w:color="auto" w:fill="auto"/>
            <w:vAlign w:val="center"/>
            <w:hideMark/>
          </w:tcPr>
          <w:p w14:paraId="0F1462FD"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0,47</w:t>
            </w:r>
          </w:p>
        </w:tc>
        <w:tc>
          <w:tcPr>
            <w:tcW w:w="483" w:type="dxa"/>
            <w:tcBorders>
              <w:top w:val="single" w:sz="4" w:space="0" w:color="auto"/>
              <w:left w:val="nil"/>
              <w:bottom w:val="nil"/>
              <w:right w:val="nil"/>
            </w:tcBorders>
            <w:shd w:val="clear" w:color="auto" w:fill="auto"/>
            <w:vAlign w:val="center"/>
            <w:hideMark/>
          </w:tcPr>
          <w:p w14:paraId="1C264639"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0,62</w:t>
            </w:r>
          </w:p>
        </w:tc>
        <w:tc>
          <w:tcPr>
            <w:tcW w:w="483" w:type="dxa"/>
            <w:tcBorders>
              <w:top w:val="single" w:sz="4" w:space="0" w:color="auto"/>
              <w:left w:val="nil"/>
              <w:bottom w:val="nil"/>
              <w:right w:val="nil"/>
            </w:tcBorders>
            <w:shd w:val="clear" w:color="auto" w:fill="auto"/>
            <w:vAlign w:val="center"/>
            <w:hideMark/>
          </w:tcPr>
          <w:p w14:paraId="0360C909"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0,67</w:t>
            </w:r>
          </w:p>
        </w:tc>
        <w:tc>
          <w:tcPr>
            <w:tcW w:w="483" w:type="dxa"/>
            <w:tcBorders>
              <w:top w:val="single" w:sz="4" w:space="0" w:color="auto"/>
              <w:left w:val="nil"/>
              <w:bottom w:val="nil"/>
              <w:right w:val="nil"/>
            </w:tcBorders>
            <w:shd w:val="clear" w:color="auto" w:fill="auto"/>
            <w:vAlign w:val="center"/>
            <w:hideMark/>
          </w:tcPr>
          <w:p w14:paraId="330D06F5"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0,81</w:t>
            </w:r>
          </w:p>
        </w:tc>
        <w:tc>
          <w:tcPr>
            <w:tcW w:w="483" w:type="dxa"/>
            <w:tcBorders>
              <w:top w:val="single" w:sz="4" w:space="0" w:color="auto"/>
              <w:left w:val="nil"/>
              <w:bottom w:val="nil"/>
              <w:right w:val="nil"/>
            </w:tcBorders>
            <w:shd w:val="clear" w:color="auto" w:fill="auto"/>
            <w:vAlign w:val="center"/>
            <w:hideMark/>
          </w:tcPr>
          <w:p w14:paraId="15D0B0AF"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0,83</w:t>
            </w:r>
          </w:p>
        </w:tc>
        <w:tc>
          <w:tcPr>
            <w:tcW w:w="483" w:type="dxa"/>
            <w:tcBorders>
              <w:top w:val="nil"/>
              <w:left w:val="nil"/>
              <w:bottom w:val="nil"/>
              <w:right w:val="nil"/>
            </w:tcBorders>
            <w:shd w:val="clear" w:color="auto" w:fill="auto"/>
            <w:vAlign w:val="center"/>
            <w:hideMark/>
          </w:tcPr>
          <w:p w14:paraId="0216EE96"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0,89</w:t>
            </w:r>
          </w:p>
        </w:tc>
        <w:tc>
          <w:tcPr>
            <w:tcW w:w="483" w:type="dxa"/>
            <w:tcBorders>
              <w:top w:val="nil"/>
              <w:left w:val="nil"/>
              <w:bottom w:val="nil"/>
              <w:right w:val="nil"/>
            </w:tcBorders>
            <w:shd w:val="clear" w:color="auto" w:fill="auto"/>
            <w:vAlign w:val="center"/>
            <w:hideMark/>
          </w:tcPr>
          <w:p w14:paraId="44CBAF22"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1,18</w:t>
            </w:r>
          </w:p>
        </w:tc>
        <w:tc>
          <w:tcPr>
            <w:tcW w:w="483" w:type="dxa"/>
            <w:tcBorders>
              <w:top w:val="nil"/>
              <w:left w:val="nil"/>
              <w:bottom w:val="nil"/>
              <w:right w:val="nil"/>
            </w:tcBorders>
            <w:shd w:val="clear" w:color="auto" w:fill="auto"/>
            <w:vAlign w:val="center"/>
          </w:tcPr>
          <w:p w14:paraId="550A7F7F" w14:textId="77777777" w:rsidR="00AC7707" w:rsidRPr="00181935" w:rsidRDefault="00AC7707" w:rsidP="007E4A2E">
            <w:pPr>
              <w:spacing w:after="0" w:line="240" w:lineRule="auto"/>
              <w:jc w:val="center"/>
              <w:rPr>
                <w:rFonts w:ascii="Arial Narrow" w:hAnsi="Arial Narrow"/>
                <w:color w:val="000000"/>
                <w:sz w:val="20"/>
                <w:szCs w:val="20"/>
              </w:rPr>
            </w:pPr>
            <w:r w:rsidRPr="00412AB0">
              <w:rPr>
                <w:rFonts w:ascii="Arial Narrow" w:hAnsi="Arial Narrow"/>
                <w:color w:val="000000"/>
                <w:sz w:val="20"/>
                <w:szCs w:val="20"/>
                <w:lang w:val="en-US" w:eastAsia="en-US"/>
              </w:rPr>
              <w:t>0,79</w:t>
            </w:r>
          </w:p>
        </w:tc>
        <w:tc>
          <w:tcPr>
            <w:tcW w:w="556" w:type="dxa"/>
            <w:tcBorders>
              <w:top w:val="nil"/>
              <w:left w:val="nil"/>
              <w:bottom w:val="nil"/>
              <w:right w:val="nil"/>
            </w:tcBorders>
            <w:shd w:val="clear" w:color="auto" w:fill="auto"/>
            <w:vAlign w:val="center"/>
            <w:hideMark/>
          </w:tcPr>
          <w:p w14:paraId="0ECA1B4F"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1,2</w:t>
            </w:r>
          </w:p>
        </w:tc>
      </w:tr>
      <w:tr w:rsidR="00AC7707" w:rsidRPr="00181935" w14:paraId="3B4AB654" w14:textId="77777777" w:rsidTr="00E87F25">
        <w:tblPrEx>
          <w:tblCellMar>
            <w:left w:w="70" w:type="dxa"/>
            <w:right w:w="70" w:type="dxa"/>
          </w:tblCellMar>
        </w:tblPrEx>
        <w:trPr>
          <w:trHeight w:val="278"/>
          <w:jc w:val="center"/>
        </w:trPr>
        <w:tc>
          <w:tcPr>
            <w:tcW w:w="3484" w:type="dxa"/>
            <w:tcBorders>
              <w:top w:val="nil"/>
              <w:left w:val="nil"/>
              <w:bottom w:val="single" w:sz="4" w:space="0" w:color="auto"/>
              <w:right w:val="nil"/>
            </w:tcBorders>
            <w:shd w:val="clear" w:color="auto" w:fill="auto"/>
            <w:noWrap/>
            <w:vAlign w:val="center"/>
            <w:hideMark/>
          </w:tcPr>
          <w:p w14:paraId="0E9C4A95" w14:textId="77777777" w:rsidR="00AC7707" w:rsidRPr="00181935" w:rsidRDefault="00AC7707" w:rsidP="007E4A2E">
            <w:pPr>
              <w:spacing w:after="0" w:line="240" w:lineRule="auto"/>
              <w:jc w:val="both"/>
              <w:rPr>
                <w:rFonts w:ascii="Arial Narrow" w:hAnsi="Arial Narrow"/>
                <w:color w:val="000000"/>
                <w:sz w:val="20"/>
                <w:szCs w:val="20"/>
              </w:rPr>
            </w:pPr>
            <w:r w:rsidRPr="00181935">
              <w:rPr>
                <w:rFonts w:ascii="Arial Narrow" w:hAnsi="Arial Narrow"/>
                <w:color w:val="000000"/>
                <w:sz w:val="20"/>
                <w:szCs w:val="20"/>
              </w:rPr>
              <w:t>(% HDP)</w:t>
            </w:r>
          </w:p>
        </w:tc>
        <w:tc>
          <w:tcPr>
            <w:tcW w:w="670" w:type="dxa"/>
            <w:tcBorders>
              <w:top w:val="nil"/>
              <w:left w:val="nil"/>
              <w:bottom w:val="nil"/>
              <w:right w:val="nil"/>
            </w:tcBorders>
            <w:shd w:val="clear" w:color="auto" w:fill="auto"/>
            <w:noWrap/>
            <w:vAlign w:val="center"/>
            <w:hideMark/>
          </w:tcPr>
          <w:p w14:paraId="1CE600FC" w14:textId="77777777" w:rsidR="00AC7707" w:rsidRPr="00181935" w:rsidRDefault="00AC7707" w:rsidP="007E4A2E">
            <w:pPr>
              <w:spacing w:after="0" w:line="240" w:lineRule="auto"/>
              <w:jc w:val="center"/>
              <w:rPr>
                <w:rFonts w:ascii="Arial Narrow" w:hAnsi="Arial Narrow"/>
                <w:b/>
                <w:bCs/>
                <w:color w:val="000000"/>
                <w:sz w:val="20"/>
                <w:szCs w:val="20"/>
              </w:rPr>
            </w:pPr>
            <w:r w:rsidRPr="00181935">
              <w:rPr>
                <w:rFonts w:ascii="Arial Narrow" w:hAnsi="Arial Narrow"/>
                <w:b/>
                <w:bCs/>
                <w:color w:val="000000"/>
                <w:sz w:val="20"/>
                <w:szCs w:val="20"/>
              </w:rPr>
              <w:t>EÚ</w:t>
            </w:r>
          </w:p>
        </w:tc>
        <w:tc>
          <w:tcPr>
            <w:tcW w:w="483" w:type="dxa"/>
            <w:tcBorders>
              <w:top w:val="nil"/>
              <w:left w:val="nil"/>
              <w:bottom w:val="nil"/>
              <w:right w:val="nil"/>
            </w:tcBorders>
            <w:shd w:val="clear" w:color="auto" w:fill="auto"/>
            <w:vAlign w:val="center"/>
            <w:hideMark/>
          </w:tcPr>
          <w:p w14:paraId="3EC088A2"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1,94</w:t>
            </w:r>
          </w:p>
        </w:tc>
        <w:tc>
          <w:tcPr>
            <w:tcW w:w="483" w:type="dxa"/>
            <w:tcBorders>
              <w:top w:val="nil"/>
              <w:left w:val="nil"/>
              <w:bottom w:val="nil"/>
              <w:right w:val="nil"/>
            </w:tcBorders>
            <w:shd w:val="clear" w:color="auto" w:fill="auto"/>
            <w:vAlign w:val="center"/>
            <w:hideMark/>
          </w:tcPr>
          <w:p w14:paraId="7B467475"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1,93</w:t>
            </w:r>
          </w:p>
        </w:tc>
        <w:tc>
          <w:tcPr>
            <w:tcW w:w="483" w:type="dxa"/>
            <w:tcBorders>
              <w:top w:val="nil"/>
              <w:left w:val="nil"/>
              <w:bottom w:val="nil"/>
              <w:right w:val="nil"/>
            </w:tcBorders>
            <w:shd w:val="clear" w:color="auto" w:fill="auto"/>
            <w:vAlign w:val="center"/>
            <w:hideMark/>
          </w:tcPr>
          <w:p w14:paraId="58EEA2E4"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1,97</w:t>
            </w:r>
          </w:p>
        </w:tc>
        <w:tc>
          <w:tcPr>
            <w:tcW w:w="483" w:type="dxa"/>
            <w:tcBorders>
              <w:top w:val="nil"/>
              <w:left w:val="nil"/>
              <w:bottom w:val="nil"/>
              <w:right w:val="nil"/>
            </w:tcBorders>
            <w:shd w:val="clear" w:color="auto" w:fill="auto"/>
            <w:vAlign w:val="center"/>
            <w:hideMark/>
          </w:tcPr>
          <w:p w14:paraId="55EBDE5E"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2,01</w:t>
            </w:r>
          </w:p>
        </w:tc>
        <w:tc>
          <w:tcPr>
            <w:tcW w:w="483" w:type="dxa"/>
            <w:tcBorders>
              <w:top w:val="nil"/>
              <w:left w:val="nil"/>
              <w:bottom w:val="nil"/>
              <w:right w:val="nil"/>
            </w:tcBorders>
            <w:shd w:val="clear" w:color="auto" w:fill="auto"/>
            <w:vAlign w:val="center"/>
            <w:hideMark/>
          </w:tcPr>
          <w:p w14:paraId="54BE984F"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2,03</w:t>
            </w:r>
          </w:p>
        </w:tc>
        <w:tc>
          <w:tcPr>
            <w:tcW w:w="483" w:type="dxa"/>
            <w:tcBorders>
              <w:top w:val="nil"/>
              <w:left w:val="nil"/>
              <w:bottom w:val="single" w:sz="4" w:space="0" w:color="auto"/>
              <w:right w:val="nil"/>
            </w:tcBorders>
            <w:shd w:val="clear" w:color="auto" w:fill="auto"/>
            <w:vAlign w:val="center"/>
            <w:hideMark/>
          </w:tcPr>
          <w:p w14:paraId="2EE5F893"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2,04</w:t>
            </w:r>
          </w:p>
        </w:tc>
        <w:tc>
          <w:tcPr>
            <w:tcW w:w="483" w:type="dxa"/>
            <w:tcBorders>
              <w:top w:val="nil"/>
              <w:left w:val="nil"/>
              <w:bottom w:val="single" w:sz="4" w:space="0" w:color="auto"/>
              <w:right w:val="nil"/>
            </w:tcBorders>
            <w:shd w:val="clear" w:color="auto" w:fill="auto"/>
            <w:vAlign w:val="center"/>
            <w:hideMark/>
          </w:tcPr>
          <w:p w14:paraId="477DEC21"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2,03</w:t>
            </w:r>
          </w:p>
        </w:tc>
        <w:tc>
          <w:tcPr>
            <w:tcW w:w="483" w:type="dxa"/>
            <w:tcBorders>
              <w:top w:val="nil"/>
              <w:left w:val="nil"/>
              <w:bottom w:val="single" w:sz="4" w:space="0" w:color="auto"/>
              <w:right w:val="nil"/>
            </w:tcBorders>
            <w:shd w:val="clear" w:color="auto" w:fill="auto"/>
            <w:vAlign w:val="center"/>
          </w:tcPr>
          <w:p w14:paraId="44D887D4" w14:textId="77777777" w:rsidR="00AC7707" w:rsidRPr="00181935" w:rsidRDefault="00AC7707" w:rsidP="007E4A2E">
            <w:pPr>
              <w:spacing w:after="0" w:line="240" w:lineRule="auto"/>
              <w:jc w:val="center"/>
              <w:rPr>
                <w:rFonts w:ascii="Arial Narrow" w:hAnsi="Arial Narrow"/>
                <w:color w:val="000000"/>
                <w:sz w:val="20"/>
                <w:szCs w:val="20"/>
              </w:rPr>
            </w:pPr>
            <w:r w:rsidRPr="00412AB0">
              <w:rPr>
                <w:rFonts w:ascii="Arial Narrow" w:hAnsi="Arial Narrow"/>
                <w:color w:val="000000"/>
                <w:sz w:val="20"/>
                <w:szCs w:val="20"/>
                <w:lang w:val="en-US" w:eastAsia="en-US"/>
              </w:rPr>
              <w:t>2,03</w:t>
            </w:r>
          </w:p>
        </w:tc>
        <w:tc>
          <w:tcPr>
            <w:tcW w:w="556" w:type="dxa"/>
            <w:tcBorders>
              <w:top w:val="nil"/>
              <w:left w:val="nil"/>
              <w:bottom w:val="single" w:sz="4" w:space="0" w:color="auto"/>
              <w:right w:val="nil"/>
            </w:tcBorders>
            <w:shd w:val="clear" w:color="auto" w:fill="auto"/>
            <w:vAlign w:val="center"/>
            <w:hideMark/>
          </w:tcPr>
          <w:p w14:paraId="41DFA1B0" w14:textId="77777777" w:rsidR="00AC7707" w:rsidRPr="00181935" w:rsidRDefault="00AC7707" w:rsidP="007E4A2E">
            <w:pPr>
              <w:spacing w:after="0" w:line="240" w:lineRule="auto"/>
              <w:jc w:val="center"/>
              <w:rPr>
                <w:rFonts w:ascii="Arial Narrow" w:hAnsi="Arial Narrow"/>
                <w:color w:val="000000"/>
                <w:sz w:val="20"/>
                <w:szCs w:val="20"/>
              </w:rPr>
            </w:pPr>
            <w:r w:rsidRPr="00181935">
              <w:rPr>
                <w:rFonts w:ascii="Arial Narrow" w:hAnsi="Arial Narrow"/>
                <w:color w:val="000000"/>
                <w:sz w:val="20"/>
                <w:szCs w:val="20"/>
              </w:rPr>
              <w:t>3</w:t>
            </w:r>
          </w:p>
        </w:tc>
      </w:tr>
      <w:tr w:rsidR="00AC7707" w:rsidRPr="00181935" w14:paraId="7CBE7B79" w14:textId="77777777" w:rsidTr="00E87F25">
        <w:tblPrEx>
          <w:tblCellMar>
            <w:left w:w="70" w:type="dxa"/>
            <w:right w:w="70" w:type="dxa"/>
          </w:tblCellMar>
        </w:tblPrEx>
        <w:trPr>
          <w:trHeight w:val="278"/>
          <w:jc w:val="center"/>
        </w:trPr>
        <w:tc>
          <w:tcPr>
            <w:tcW w:w="3484" w:type="dxa"/>
            <w:tcBorders>
              <w:top w:val="nil"/>
              <w:left w:val="nil"/>
              <w:bottom w:val="nil"/>
              <w:right w:val="nil"/>
            </w:tcBorders>
            <w:shd w:val="clear" w:color="auto" w:fill="auto"/>
            <w:noWrap/>
            <w:vAlign w:val="center"/>
            <w:hideMark/>
          </w:tcPr>
          <w:p w14:paraId="3C4182BE" w14:textId="77777777" w:rsidR="00AC7707" w:rsidRPr="00181935" w:rsidRDefault="00AC7707" w:rsidP="007E4A2E">
            <w:pPr>
              <w:spacing w:after="0" w:line="240" w:lineRule="auto"/>
              <w:rPr>
                <w:rFonts w:ascii="Arial Narrow" w:hAnsi="Arial Narrow"/>
                <w:b/>
                <w:bCs/>
                <w:color w:val="000000"/>
                <w:sz w:val="20"/>
                <w:szCs w:val="20"/>
              </w:rPr>
            </w:pPr>
            <w:proofErr w:type="spellStart"/>
            <w:r w:rsidRPr="00181935">
              <w:rPr>
                <w:rFonts w:ascii="Arial Narrow" w:hAnsi="Arial Narrow"/>
                <w:b/>
                <w:bCs/>
                <w:color w:val="000000"/>
                <w:sz w:val="20"/>
                <w:szCs w:val="20"/>
              </w:rPr>
              <w:t>High-tech</w:t>
            </w:r>
            <w:proofErr w:type="spellEnd"/>
            <w:r w:rsidRPr="00181935">
              <w:rPr>
                <w:rFonts w:ascii="Arial Narrow" w:hAnsi="Arial Narrow"/>
                <w:b/>
                <w:bCs/>
                <w:color w:val="000000"/>
                <w:sz w:val="20"/>
                <w:szCs w:val="20"/>
              </w:rPr>
              <w:t xml:space="preserve"> export</w:t>
            </w:r>
          </w:p>
        </w:tc>
        <w:tc>
          <w:tcPr>
            <w:tcW w:w="670" w:type="dxa"/>
            <w:tcBorders>
              <w:top w:val="single" w:sz="4" w:space="0" w:color="auto"/>
              <w:left w:val="nil"/>
              <w:bottom w:val="nil"/>
              <w:right w:val="nil"/>
            </w:tcBorders>
            <w:shd w:val="clear" w:color="auto" w:fill="auto"/>
            <w:noWrap/>
            <w:vAlign w:val="center"/>
            <w:hideMark/>
          </w:tcPr>
          <w:p w14:paraId="38417EC7" w14:textId="77777777" w:rsidR="00AC7707" w:rsidRPr="00181935" w:rsidRDefault="00AC7707" w:rsidP="007E4A2E">
            <w:pPr>
              <w:spacing w:after="0" w:line="240" w:lineRule="auto"/>
              <w:jc w:val="center"/>
              <w:rPr>
                <w:rFonts w:ascii="Arial Narrow" w:hAnsi="Arial Narrow"/>
                <w:b/>
                <w:bCs/>
                <w:color w:val="000000"/>
                <w:sz w:val="20"/>
                <w:szCs w:val="20"/>
              </w:rPr>
            </w:pPr>
            <w:r w:rsidRPr="00181935">
              <w:rPr>
                <w:rFonts w:ascii="Arial Narrow" w:hAnsi="Arial Narrow"/>
                <w:b/>
                <w:bCs/>
                <w:color w:val="000000"/>
                <w:sz w:val="20"/>
                <w:szCs w:val="20"/>
              </w:rPr>
              <w:t>SK</w:t>
            </w:r>
          </w:p>
        </w:tc>
        <w:tc>
          <w:tcPr>
            <w:tcW w:w="483" w:type="dxa"/>
            <w:tcBorders>
              <w:top w:val="single" w:sz="4" w:space="0" w:color="auto"/>
              <w:left w:val="nil"/>
              <w:bottom w:val="nil"/>
              <w:right w:val="nil"/>
            </w:tcBorders>
            <w:shd w:val="clear" w:color="auto" w:fill="auto"/>
            <w:vAlign w:val="center"/>
            <w:hideMark/>
          </w:tcPr>
          <w:p w14:paraId="43A96445" w14:textId="77777777" w:rsidR="00AC7707" w:rsidRPr="00181935" w:rsidRDefault="00AC7707" w:rsidP="007E4A2E">
            <w:pPr>
              <w:spacing w:after="0" w:line="240" w:lineRule="auto"/>
              <w:jc w:val="center"/>
              <w:rPr>
                <w:rFonts w:ascii="Arial Narrow" w:hAnsi="Arial Narrow"/>
                <w:sz w:val="20"/>
                <w:szCs w:val="20"/>
              </w:rPr>
            </w:pPr>
            <w:r w:rsidRPr="00181935">
              <w:rPr>
                <w:rFonts w:ascii="Arial Narrow" w:hAnsi="Arial Narrow"/>
                <w:sz w:val="20"/>
                <w:szCs w:val="20"/>
              </w:rPr>
              <w:t>5,9</w:t>
            </w:r>
          </w:p>
        </w:tc>
        <w:tc>
          <w:tcPr>
            <w:tcW w:w="483" w:type="dxa"/>
            <w:tcBorders>
              <w:top w:val="single" w:sz="4" w:space="0" w:color="auto"/>
              <w:left w:val="nil"/>
              <w:bottom w:val="nil"/>
              <w:right w:val="nil"/>
            </w:tcBorders>
            <w:shd w:val="clear" w:color="auto" w:fill="auto"/>
            <w:vAlign w:val="center"/>
            <w:hideMark/>
          </w:tcPr>
          <w:p w14:paraId="54788BF3" w14:textId="77777777" w:rsidR="00AC7707" w:rsidRPr="00181935" w:rsidRDefault="00AC7707" w:rsidP="007E4A2E">
            <w:pPr>
              <w:spacing w:after="0" w:line="240" w:lineRule="auto"/>
              <w:jc w:val="center"/>
              <w:rPr>
                <w:rFonts w:ascii="Arial Narrow" w:hAnsi="Arial Narrow"/>
                <w:sz w:val="20"/>
                <w:szCs w:val="20"/>
              </w:rPr>
            </w:pPr>
            <w:r w:rsidRPr="00181935">
              <w:rPr>
                <w:rFonts w:ascii="Arial Narrow" w:hAnsi="Arial Narrow"/>
                <w:sz w:val="20"/>
                <w:szCs w:val="20"/>
              </w:rPr>
              <w:t>6,6</w:t>
            </w:r>
          </w:p>
        </w:tc>
        <w:tc>
          <w:tcPr>
            <w:tcW w:w="483" w:type="dxa"/>
            <w:tcBorders>
              <w:top w:val="single" w:sz="4" w:space="0" w:color="auto"/>
              <w:left w:val="nil"/>
              <w:bottom w:val="nil"/>
              <w:right w:val="nil"/>
            </w:tcBorders>
            <w:shd w:val="clear" w:color="auto" w:fill="auto"/>
            <w:vAlign w:val="center"/>
            <w:hideMark/>
          </w:tcPr>
          <w:p w14:paraId="2F9DBDCC" w14:textId="77777777" w:rsidR="00AC7707" w:rsidRPr="00181935" w:rsidRDefault="00AC7707" w:rsidP="007E4A2E">
            <w:pPr>
              <w:spacing w:after="0" w:line="240" w:lineRule="auto"/>
              <w:jc w:val="center"/>
              <w:rPr>
                <w:rFonts w:ascii="Arial Narrow" w:hAnsi="Arial Narrow"/>
                <w:sz w:val="20"/>
                <w:szCs w:val="20"/>
              </w:rPr>
            </w:pPr>
            <w:r w:rsidRPr="00181935">
              <w:rPr>
                <w:rFonts w:ascii="Arial Narrow" w:hAnsi="Arial Narrow"/>
                <w:sz w:val="20"/>
                <w:szCs w:val="20"/>
              </w:rPr>
              <w:t>6,6</w:t>
            </w:r>
          </w:p>
        </w:tc>
        <w:tc>
          <w:tcPr>
            <w:tcW w:w="483" w:type="dxa"/>
            <w:tcBorders>
              <w:top w:val="single" w:sz="4" w:space="0" w:color="auto"/>
              <w:left w:val="nil"/>
              <w:bottom w:val="nil"/>
              <w:right w:val="nil"/>
            </w:tcBorders>
            <w:shd w:val="clear" w:color="auto" w:fill="auto"/>
            <w:vAlign w:val="center"/>
            <w:hideMark/>
          </w:tcPr>
          <w:p w14:paraId="518710C0" w14:textId="77777777" w:rsidR="00AC7707" w:rsidRPr="00181935" w:rsidRDefault="00AC7707" w:rsidP="007E4A2E">
            <w:pPr>
              <w:spacing w:after="0" w:line="240" w:lineRule="auto"/>
              <w:jc w:val="center"/>
              <w:rPr>
                <w:rFonts w:ascii="Arial Narrow" w:hAnsi="Arial Narrow"/>
                <w:sz w:val="20"/>
                <w:szCs w:val="20"/>
              </w:rPr>
            </w:pPr>
            <w:r w:rsidRPr="00181935">
              <w:rPr>
                <w:rFonts w:ascii="Arial Narrow" w:hAnsi="Arial Narrow"/>
                <w:sz w:val="20"/>
                <w:szCs w:val="20"/>
              </w:rPr>
              <w:t>8,2</w:t>
            </w:r>
          </w:p>
        </w:tc>
        <w:tc>
          <w:tcPr>
            <w:tcW w:w="483" w:type="dxa"/>
            <w:tcBorders>
              <w:top w:val="single" w:sz="4" w:space="0" w:color="auto"/>
              <w:left w:val="nil"/>
              <w:bottom w:val="nil"/>
              <w:right w:val="nil"/>
            </w:tcBorders>
            <w:shd w:val="clear" w:color="auto" w:fill="auto"/>
            <w:vAlign w:val="center"/>
            <w:hideMark/>
          </w:tcPr>
          <w:p w14:paraId="459A8731" w14:textId="77777777" w:rsidR="00AC7707" w:rsidRPr="00181935" w:rsidRDefault="00AC7707" w:rsidP="007E4A2E">
            <w:pPr>
              <w:spacing w:after="0" w:line="240" w:lineRule="auto"/>
              <w:jc w:val="center"/>
              <w:rPr>
                <w:rFonts w:ascii="Arial Narrow" w:hAnsi="Arial Narrow"/>
                <w:sz w:val="20"/>
                <w:szCs w:val="20"/>
              </w:rPr>
            </w:pPr>
            <w:r w:rsidRPr="00181935">
              <w:rPr>
                <w:rFonts w:ascii="Arial Narrow" w:hAnsi="Arial Narrow"/>
                <w:sz w:val="20"/>
                <w:szCs w:val="20"/>
              </w:rPr>
              <w:t>9,5</w:t>
            </w:r>
          </w:p>
        </w:tc>
        <w:tc>
          <w:tcPr>
            <w:tcW w:w="483" w:type="dxa"/>
            <w:tcBorders>
              <w:top w:val="nil"/>
              <w:left w:val="nil"/>
              <w:bottom w:val="nil"/>
              <w:right w:val="nil"/>
            </w:tcBorders>
            <w:shd w:val="clear" w:color="auto" w:fill="auto"/>
            <w:vAlign w:val="center"/>
            <w:hideMark/>
          </w:tcPr>
          <w:p w14:paraId="54413CCA" w14:textId="77777777" w:rsidR="00AC7707" w:rsidRPr="00181935" w:rsidRDefault="00AC7707" w:rsidP="007E4A2E">
            <w:pPr>
              <w:spacing w:after="0" w:line="240" w:lineRule="auto"/>
              <w:jc w:val="center"/>
              <w:rPr>
                <w:rFonts w:ascii="Arial Narrow" w:hAnsi="Arial Narrow"/>
                <w:sz w:val="20"/>
                <w:szCs w:val="20"/>
              </w:rPr>
            </w:pPr>
            <w:r w:rsidRPr="00181935">
              <w:rPr>
                <w:rFonts w:ascii="Arial Narrow" w:hAnsi="Arial Narrow"/>
                <w:sz w:val="20"/>
                <w:szCs w:val="20"/>
              </w:rPr>
              <w:t>9,7</w:t>
            </w:r>
          </w:p>
        </w:tc>
        <w:tc>
          <w:tcPr>
            <w:tcW w:w="483" w:type="dxa"/>
            <w:tcBorders>
              <w:top w:val="nil"/>
              <w:left w:val="nil"/>
              <w:bottom w:val="nil"/>
              <w:right w:val="nil"/>
            </w:tcBorders>
            <w:shd w:val="clear" w:color="auto" w:fill="auto"/>
            <w:vAlign w:val="center"/>
            <w:hideMark/>
          </w:tcPr>
          <w:p w14:paraId="65C5F0FD" w14:textId="77777777" w:rsidR="00AC7707" w:rsidRPr="00181935" w:rsidRDefault="00AC7707" w:rsidP="007E4A2E">
            <w:pPr>
              <w:spacing w:after="0" w:line="240" w:lineRule="auto"/>
              <w:jc w:val="center"/>
              <w:rPr>
                <w:rFonts w:ascii="Arial Narrow" w:hAnsi="Arial Narrow"/>
                <w:sz w:val="20"/>
                <w:szCs w:val="20"/>
              </w:rPr>
            </w:pPr>
            <w:r w:rsidRPr="00181935">
              <w:rPr>
                <w:rFonts w:ascii="Arial Narrow" w:hAnsi="Arial Narrow"/>
                <w:sz w:val="20"/>
                <w:szCs w:val="20"/>
              </w:rPr>
              <w:t>9,8</w:t>
            </w:r>
          </w:p>
        </w:tc>
        <w:tc>
          <w:tcPr>
            <w:tcW w:w="483" w:type="dxa"/>
            <w:tcBorders>
              <w:top w:val="nil"/>
              <w:left w:val="nil"/>
              <w:bottom w:val="nil"/>
              <w:right w:val="nil"/>
            </w:tcBorders>
            <w:shd w:val="clear" w:color="auto" w:fill="auto"/>
            <w:vAlign w:val="center"/>
          </w:tcPr>
          <w:p w14:paraId="75BB116B" w14:textId="77777777" w:rsidR="00AC7707" w:rsidRPr="00181935" w:rsidRDefault="00AC7707" w:rsidP="007E4A2E">
            <w:pPr>
              <w:spacing w:after="0" w:line="240" w:lineRule="auto"/>
              <w:jc w:val="center"/>
              <w:rPr>
                <w:rFonts w:ascii="Arial Narrow" w:hAnsi="Arial Narrow"/>
                <w:sz w:val="20"/>
                <w:szCs w:val="20"/>
              </w:rPr>
            </w:pPr>
            <w:r w:rsidRPr="00412AB0">
              <w:rPr>
                <w:rFonts w:ascii="Arial Narrow" w:hAnsi="Arial Narrow"/>
                <w:color w:val="000000"/>
                <w:sz w:val="20"/>
                <w:szCs w:val="20"/>
                <w:lang w:val="en-US" w:eastAsia="en-US"/>
              </w:rPr>
              <w:t xml:space="preserve"> - </w:t>
            </w:r>
          </w:p>
        </w:tc>
        <w:tc>
          <w:tcPr>
            <w:tcW w:w="556" w:type="dxa"/>
            <w:tcBorders>
              <w:top w:val="nil"/>
              <w:left w:val="nil"/>
              <w:bottom w:val="nil"/>
              <w:right w:val="nil"/>
            </w:tcBorders>
            <w:shd w:val="clear" w:color="auto" w:fill="auto"/>
            <w:vAlign w:val="center"/>
            <w:hideMark/>
          </w:tcPr>
          <w:p w14:paraId="24982B36" w14:textId="77777777" w:rsidR="00AC7707" w:rsidRPr="00181935" w:rsidRDefault="00AC7707" w:rsidP="007E4A2E">
            <w:pPr>
              <w:spacing w:after="0" w:line="240" w:lineRule="auto"/>
              <w:jc w:val="center"/>
              <w:rPr>
                <w:rFonts w:ascii="Arial Narrow" w:hAnsi="Arial Narrow"/>
                <w:sz w:val="20"/>
                <w:szCs w:val="20"/>
              </w:rPr>
            </w:pPr>
            <w:r w:rsidRPr="00181935">
              <w:rPr>
                <w:rFonts w:ascii="Arial Narrow" w:hAnsi="Arial Narrow"/>
                <w:sz w:val="20"/>
                <w:szCs w:val="20"/>
              </w:rPr>
              <w:t>14</w:t>
            </w:r>
          </w:p>
        </w:tc>
      </w:tr>
      <w:tr w:rsidR="00AC7707" w:rsidRPr="00181935" w14:paraId="574A730E" w14:textId="77777777" w:rsidTr="00E87F25">
        <w:tblPrEx>
          <w:tblCellMar>
            <w:left w:w="70" w:type="dxa"/>
            <w:right w:w="70" w:type="dxa"/>
          </w:tblCellMar>
        </w:tblPrEx>
        <w:trPr>
          <w:trHeight w:val="278"/>
          <w:jc w:val="center"/>
        </w:trPr>
        <w:tc>
          <w:tcPr>
            <w:tcW w:w="3484" w:type="dxa"/>
            <w:tcBorders>
              <w:top w:val="nil"/>
              <w:left w:val="nil"/>
              <w:bottom w:val="single" w:sz="4" w:space="0" w:color="auto"/>
              <w:right w:val="nil"/>
            </w:tcBorders>
            <w:shd w:val="clear" w:color="auto" w:fill="auto"/>
            <w:noWrap/>
            <w:vAlign w:val="center"/>
            <w:hideMark/>
          </w:tcPr>
          <w:p w14:paraId="3293CE63" w14:textId="77777777" w:rsidR="00AC7707" w:rsidRPr="00181935" w:rsidRDefault="00AC7707" w:rsidP="007E4A2E">
            <w:pPr>
              <w:spacing w:after="0" w:line="240" w:lineRule="auto"/>
              <w:jc w:val="both"/>
              <w:rPr>
                <w:rFonts w:ascii="Arial Narrow" w:hAnsi="Arial Narrow"/>
                <w:color w:val="000000"/>
                <w:sz w:val="20"/>
                <w:szCs w:val="20"/>
              </w:rPr>
            </w:pPr>
            <w:r w:rsidRPr="00181935">
              <w:rPr>
                <w:rFonts w:ascii="Arial Narrow" w:hAnsi="Arial Narrow"/>
                <w:color w:val="000000"/>
                <w:sz w:val="20"/>
                <w:szCs w:val="20"/>
              </w:rPr>
              <w:t>(% na celkovom exporte)</w:t>
            </w:r>
          </w:p>
        </w:tc>
        <w:tc>
          <w:tcPr>
            <w:tcW w:w="670" w:type="dxa"/>
            <w:tcBorders>
              <w:top w:val="nil"/>
              <w:left w:val="nil"/>
              <w:bottom w:val="single" w:sz="4" w:space="0" w:color="auto"/>
              <w:right w:val="nil"/>
            </w:tcBorders>
            <w:shd w:val="clear" w:color="auto" w:fill="auto"/>
            <w:noWrap/>
            <w:vAlign w:val="center"/>
            <w:hideMark/>
          </w:tcPr>
          <w:p w14:paraId="6B618880" w14:textId="77777777" w:rsidR="00AC7707" w:rsidRPr="00181935" w:rsidRDefault="00AC7707" w:rsidP="007E4A2E">
            <w:pPr>
              <w:spacing w:after="0" w:line="240" w:lineRule="auto"/>
              <w:jc w:val="center"/>
              <w:rPr>
                <w:rFonts w:ascii="Arial Narrow" w:hAnsi="Arial Narrow"/>
                <w:b/>
                <w:bCs/>
                <w:color w:val="000000"/>
                <w:sz w:val="20"/>
                <w:szCs w:val="20"/>
              </w:rPr>
            </w:pPr>
            <w:r w:rsidRPr="00181935">
              <w:rPr>
                <w:rFonts w:ascii="Arial Narrow" w:hAnsi="Arial Narrow"/>
                <w:b/>
                <w:bCs/>
                <w:color w:val="000000"/>
                <w:sz w:val="20"/>
                <w:szCs w:val="20"/>
              </w:rPr>
              <w:t>EÚ</w:t>
            </w:r>
          </w:p>
        </w:tc>
        <w:tc>
          <w:tcPr>
            <w:tcW w:w="483" w:type="dxa"/>
            <w:tcBorders>
              <w:top w:val="nil"/>
              <w:left w:val="nil"/>
              <w:bottom w:val="single" w:sz="4" w:space="0" w:color="auto"/>
              <w:right w:val="nil"/>
            </w:tcBorders>
            <w:shd w:val="clear" w:color="auto" w:fill="auto"/>
            <w:vAlign w:val="center"/>
            <w:hideMark/>
          </w:tcPr>
          <w:p w14:paraId="17BE7CDB" w14:textId="77777777" w:rsidR="00AC7707" w:rsidRPr="00181935" w:rsidRDefault="00AC7707" w:rsidP="007E4A2E">
            <w:pPr>
              <w:spacing w:after="0" w:line="240" w:lineRule="auto"/>
              <w:jc w:val="center"/>
              <w:rPr>
                <w:rFonts w:ascii="Arial Narrow" w:hAnsi="Arial Narrow"/>
                <w:sz w:val="20"/>
                <w:szCs w:val="20"/>
              </w:rPr>
            </w:pPr>
            <w:r>
              <w:rPr>
                <w:rFonts w:ascii="Arial Narrow" w:hAnsi="Arial Narrow"/>
                <w:sz w:val="20"/>
                <w:szCs w:val="20"/>
              </w:rPr>
              <w:t>17,1</w:t>
            </w:r>
          </w:p>
        </w:tc>
        <w:tc>
          <w:tcPr>
            <w:tcW w:w="483" w:type="dxa"/>
            <w:tcBorders>
              <w:top w:val="nil"/>
              <w:left w:val="nil"/>
              <w:bottom w:val="single" w:sz="4" w:space="0" w:color="auto"/>
              <w:right w:val="nil"/>
            </w:tcBorders>
            <w:shd w:val="clear" w:color="auto" w:fill="auto"/>
            <w:vAlign w:val="center"/>
            <w:hideMark/>
          </w:tcPr>
          <w:p w14:paraId="01C895D5" w14:textId="77777777" w:rsidR="00AC7707" w:rsidRPr="00181935" w:rsidRDefault="00AC7707" w:rsidP="007E4A2E">
            <w:pPr>
              <w:spacing w:after="0" w:line="240" w:lineRule="auto"/>
              <w:jc w:val="center"/>
              <w:rPr>
                <w:rFonts w:ascii="Arial Narrow" w:hAnsi="Arial Narrow"/>
                <w:sz w:val="20"/>
                <w:szCs w:val="20"/>
              </w:rPr>
            </w:pPr>
            <w:r>
              <w:rPr>
                <w:rFonts w:ascii="Arial Narrow" w:hAnsi="Arial Narrow"/>
                <w:sz w:val="20"/>
                <w:szCs w:val="20"/>
              </w:rPr>
              <w:t>16,1</w:t>
            </w:r>
          </w:p>
        </w:tc>
        <w:tc>
          <w:tcPr>
            <w:tcW w:w="483" w:type="dxa"/>
            <w:tcBorders>
              <w:top w:val="nil"/>
              <w:left w:val="nil"/>
              <w:bottom w:val="single" w:sz="4" w:space="0" w:color="auto"/>
              <w:right w:val="nil"/>
            </w:tcBorders>
            <w:shd w:val="clear" w:color="auto" w:fill="auto"/>
            <w:vAlign w:val="center"/>
            <w:hideMark/>
          </w:tcPr>
          <w:p w14:paraId="0728CFAB" w14:textId="77777777" w:rsidR="00AC7707" w:rsidRPr="00181935" w:rsidRDefault="00AC7707" w:rsidP="007E4A2E">
            <w:pPr>
              <w:spacing w:after="0" w:line="240" w:lineRule="auto"/>
              <w:jc w:val="center"/>
              <w:rPr>
                <w:rFonts w:ascii="Arial Narrow" w:hAnsi="Arial Narrow"/>
                <w:sz w:val="20"/>
                <w:szCs w:val="20"/>
              </w:rPr>
            </w:pPr>
            <w:r>
              <w:rPr>
                <w:rFonts w:ascii="Arial Narrow" w:hAnsi="Arial Narrow"/>
                <w:sz w:val="20"/>
                <w:szCs w:val="20"/>
              </w:rPr>
              <w:t>15,4</w:t>
            </w:r>
          </w:p>
        </w:tc>
        <w:tc>
          <w:tcPr>
            <w:tcW w:w="483" w:type="dxa"/>
            <w:tcBorders>
              <w:top w:val="nil"/>
              <w:left w:val="nil"/>
              <w:bottom w:val="single" w:sz="4" w:space="0" w:color="auto"/>
              <w:right w:val="nil"/>
            </w:tcBorders>
            <w:shd w:val="clear" w:color="auto" w:fill="auto"/>
            <w:vAlign w:val="center"/>
            <w:hideMark/>
          </w:tcPr>
          <w:p w14:paraId="43B38AF2" w14:textId="77777777" w:rsidR="00AC7707" w:rsidRPr="00181935" w:rsidRDefault="00AC7707" w:rsidP="007E4A2E">
            <w:pPr>
              <w:spacing w:after="0" w:line="240" w:lineRule="auto"/>
              <w:jc w:val="center"/>
              <w:rPr>
                <w:rFonts w:ascii="Arial Narrow" w:hAnsi="Arial Narrow"/>
                <w:sz w:val="20"/>
                <w:szCs w:val="20"/>
              </w:rPr>
            </w:pPr>
            <w:r>
              <w:rPr>
                <w:rFonts w:ascii="Arial Narrow" w:hAnsi="Arial Narrow"/>
                <w:sz w:val="20"/>
                <w:szCs w:val="20"/>
              </w:rPr>
              <w:t>15,7</w:t>
            </w:r>
          </w:p>
        </w:tc>
        <w:tc>
          <w:tcPr>
            <w:tcW w:w="483" w:type="dxa"/>
            <w:tcBorders>
              <w:top w:val="nil"/>
              <w:left w:val="nil"/>
              <w:bottom w:val="single" w:sz="4" w:space="0" w:color="auto"/>
              <w:right w:val="nil"/>
            </w:tcBorders>
            <w:shd w:val="clear" w:color="auto" w:fill="auto"/>
            <w:vAlign w:val="center"/>
            <w:hideMark/>
          </w:tcPr>
          <w:p w14:paraId="59E63CBF" w14:textId="77777777" w:rsidR="00AC7707" w:rsidRPr="00181935" w:rsidRDefault="00AC7707" w:rsidP="007E4A2E">
            <w:pPr>
              <w:spacing w:after="0" w:line="240" w:lineRule="auto"/>
              <w:jc w:val="center"/>
              <w:rPr>
                <w:rFonts w:ascii="Arial Narrow" w:hAnsi="Arial Narrow"/>
                <w:sz w:val="20"/>
                <w:szCs w:val="20"/>
              </w:rPr>
            </w:pPr>
            <w:r>
              <w:rPr>
                <w:rFonts w:ascii="Arial Narrow" w:hAnsi="Arial Narrow"/>
                <w:sz w:val="20"/>
                <w:szCs w:val="20"/>
              </w:rPr>
              <w:t>15,3</w:t>
            </w:r>
          </w:p>
        </w:tc>
        <w:tc>
          <w:tcPr>
            <w:tcW w:w="483" w:type="dxa"/>
            <w:tcBorders>
              <w:top w:val="nil"/>
              <w:left w:val="nil"/>
              <w:bottom w:val="single" w:sz="4" w:space="0" w:color="auto"/>
              <w:right w:val="nil"/>
            </w:tcBorders>
            <w:shd w:val="clear" w:color="auto" w:fill="auto"/>
            <w:vAlign w:val="center"/>
            <w:hideMark/>
          </w:tcPr>
          <w:p w14:paraId="70B549F2" w14:textId="77777777" w:rsidR="00AC7707" w:rsidRPr="00181935" w:rsidRDefault="00AC7707" w:rsidP="007E4A2E">
            <w:pPr>
              <w:spacing w:after="0" w:line="240" w:lineRule="auto"/>
              <w:jc w:val="center"/>
              <w:rPr>
                <w:rFonts w:ascii="Arial Narrow" w:hAnsi="Arial Narrow"/>
                <w:sz w:val="20"/>
                <w:szCs w:val="20"/>
              </w:rPr>
            </w:pPr>
            <w:r>
              <w:rPr>
                <w:rFonts w:ascii="Arial Narrow" w:hAnsi="Arial Narrow"/>
                <w:sz w:val="20"/>
                <w:szCs w:val="20"/>
              </w:rPr>
              <w:t>15,7</w:t>
            </w:r>
          </w:p>
        </w:tc>
        <w:tc>
          <w:tcPr>
            <w:tcW w:w="483" w:type="dxa"/>
            <w:tcBorders>
              <w:top w:val="nil"/>
              <w:left w:val="nil"/>
              <w:bottom w:val="single" w:sz="4" w:space="0" w:color="auto"/>
              <w:right w:val="nil"/>
            </w:tcBorders>
            <w:shd w:val="clear" w:color="auto" w:fill="auto"/>
            <w:vAlign w:val="center"/>
            <w:hideMark/>
          </w:tcPr>
          <w:p w14:paraId="75E2AB97" w14:textId="77777777" w:rsidR="00AC7707" w:rsidRPr="00181935" w:rsidRDefault="00AC7707" w:rsidP="007E4A2E">
            <w:pPr>
              <w:spacing w:after="0" w:line="240" w:lineRule="auto"/>
              <w:jc w:val="center"/>
              <w:rPr>
                <w:rFonts w:ascii="Arial Narrow" w:hAnsi="Arial Narrow"/>
                <w:sz w:val="20"/>
                <w:szCs w:val="20"/>
              </w:rPr>
            </w:pPr>
            <w:r>
              <w:rPr>
                <w:rFonts w:ascii="Arial Narrow" w:hAnsi="Arial Narrow"/>
                <w:sz w:val="20"/>
                <w:szCs w:val="20"/>
              </w:rPr>
              <w:t>17</w:t>
            </w:r>
          </w:p>
        </w:tc>
        <w:tc>
          <w:tcPr>
            <w:tcW w:w="483" w:type="dxa"/>
            <w:tcBorders>
              <w:top w:val="nil"/>
              <w:left w:val="nil"/>
              <w:bottom w:val="single" w:sz="4" w:space="0" w:color="auto"/>
              <w:right w:val="nil"/>
            </w:tcBorders>
            <w:shd w:val="clear" w:color="auto" w:fill="auto"/>
            <w:vAlign w:val="center"/>
          </w:tcPr>
          <w:p w14:paraId="13DDC89A" w14:textId="77777777" w:rsidR="00AC7707" w:rsidRPr="00181935" w:rsidRDefault="00AC7707" w:rsidP="007E4A2E">
            <w:pPr>
              <w:spacing w:after="0" w:line="240" w:lineRule="auto"/>
              <w:jc w:val="center"/>
              <w:rPr>
                <w:rFonts w:ascii="Arial Narrow" w:hAnsi="Arial Narrow"/>
                <w:sz w:val="20"/>
                <w:szCs w:val="20"/>
              </w:rPr>
            </w:pPr>
            <w:r w:rsidRPr="00412AB0">
              <w:rPr>
                <w:rFonts w:ascii="Arial Narrow" w:hAnsi="Arial Narrow"/>
                <w:color w:val="000000"/>
                <w:sz w:val="20"/>
                <w:szCs w:val="20"/>
                <w:lang w:val="en-US" w:eastAsia="en-US"/>
              </w:rPr>
              <w:t xml:space="preserve"> - </w:t>
            </w:r>
          </w:p>
        </w:tc>
        <w:tc>
          <w:tcPr>
            <w:tcW w:w="556" w:type="dxa"/>
            <w:tcBorders>
              <w:top w:val="nil"/>
              <w:left w:val="nil"/>
              <w:bottom w:val="single" w:sz="4" w:space="0" w:color="auto"/>
              <w:right w:val="nil"/>
            </w:tcBorders>
            <w:shd w:val="clear" w:color="auto" w:fill="auto"/>
            <w:vAlign w:val="center"/>
            <w:hideMark/>
          </w:tcPr>
          <w:p w14:paraId="3E658274" w14:textId="77777777" w:rsidR="00AC7707" w:rsidRPr="00181935" w:rsidRDefault="00AC7707" w:rsidP="007E4A2E">
            <w:pPr>
              <w:spacing w:after="0" w:line="240" w:lineRule="auto"/>
              <w:jc w:val="center"/>
              <w:rPr>
                <w:rFonts w:ascii="Arial Narrow" w:hAnsi="Arial Narrow"/>
                <w:sz w:val="20"/>
                <w:szCs w:val="20"/>
              </w:rPr>
            </w:pPr>
            <w:r w:rsidRPr="00181935">
              <w:rPr>
                <w:rFonts w:ascii="Arial Narrow" w:hAnsi="Arial Narrow"/>
                <w:sz w:val="20"/>
                <w:szCs w:val="20"/>
              </w:rPr>
              <w:t>-</w:t>
            </w:r>
          </w:p>
        </w:tc>
      </w:tr>
    </w:tbl>
    <w:p w14:paraId="5E2CD4E6" w14:textId="77777777" w:rsidR="00AC7707" w:rsidRDefault="00AC7707" w:rsidP="00AC7707">
      <w:pPr>
        <w:pStyle w:val="Odsekzoznamu"/>
        <w:spacing w:after="0" w:line="240" w:lineRule="auto"/>
        <w:ind w:left="0"/>
        <w:jc w:val="both"/>
        <w:rPr>
          <w:rFonts w:ascii="Arial Narrow" w:hAnsi="Arial Narrow"/>
        </w:rPr>
      </w:pPr>
    </w:p>
    <w:p w14:paraId="78F05C36" w14:textId="77777777" w:rsidR="00AC7707" w:rsidRPr="00256D89" w:rsidRDefault="00C40266" w:rsidP="00AC7707">
      <w:pPr>
        <w:pStyle w:val="Odsekzoznamu"/>
        <w:spacing w:after="0" w:line="240" w:lineRule="auto"/>
        <w:ind w:left="0"/>
        <w:jc w:val="both"/>
        <w:rPr>
          <w:rFonts w:ascii="Arial Narrow" w:hAnsi="Arial Narrow"/>
        </w:rPr>
      </w:pPr>
      <w:r>
        <w:rPr>
          <w:rFonts w:ascii="Arial Narrow" w:hAnsi="Arial Narrow"/>
        </w:rPr>
        <w:t>Výdavky na školstvo</w:t>
      </w:r>
      <w:r w:rsidR="00AC7707" w:rsidRPr="006F50D5">
        <w:rPr>
          <w:rFonts w:ascii="Arial Narrow" w:hAnsi="Arial Narrow"/>
        </w:rPr>
        <w:t xml:space="preserve"> sú v porovnaní s vyspelými krajinami podpriemerné, s najväčším rozdielom pri základnom </w:t>
      </w:r>
      <w:r w:rsidR="00AC7707">
        <w:rPr>
          <w:rFonts w:ascii="Arial Narrow" w:hAnsi="Arial Narrow"/>
        </w:rPr>
        <w:t>a strednom školstve. V roku 2015 celkové výdavky na vedu a výskum</w:t>
      </w:r>
      <w:r w:rsidR="00AC7707" w:rsidRPr="007D09B9">
        <w:rPr>
          <w:rFonts w:ascii="Arial Narrow" w:hAnsi="Arial Narrow"/>
        </w:rPr>
        <w:t xml:space="preserve"> jednorazovo narástli na 1,2 % H</w:t>
      </w:r>
      <w:r w:rsidR="00AC7707">
        <w:rPr>
          <w:rFonts w:ascii="Arial Narrow" w:hAnsi="Arial Narrow"/>
        </w:rPr>
        <w:t>DP vďaka dočerpávaniu EÚ</w:t>
      </w:r>
      <w:r w:rsidR="002B02A0">
        <w:rPr>
          <w:rFonts w:ascii="Arial Narrow" w:hAnsi="Arial Narrow"/>
        </w:rPr>
        <w:t xml:space="preserve"> fondov</w:t>
      </w:r>
      <w:r w:rsidR="00AC7707" w:rsidRPr="007D09B9">
        <w:rPr>
          <w:rFonts w:ascii="Arial Narrow" w:hAnsi="Arial Narrow"/>
        </w:rPr>
        <w:t xml:space="preserve">, </w:t>
      </w:r>
      <w:r w:rsidR="00BA05EC">
        <w:rPr>
          <w:rFonts w:ascii="Arial Narrow" w:hAnsi="Arial Narrow"/>
        </w:rPr>
        <w:t>no</w:t>
      </w:r>
      <w:r w:rsidR="00BA05EC" w:rsidRPr="007D09B9">
        <w:rPr>
          <w:rFonts w:ascii="Arial Narrow" w:hAnsi="Arial Narrow"/>
        </w:rPr>
        <w:t xml:space="preserve"> </w:t>
      </w:r>
      <w:r w:rsidR="00AC7707" w:rsidRPr="007D09B9">
        <w:rPr>
          <w:rFonts w:ascii="Arial Narrow" w:hAnsi="Arial Narrow"/>
        </w:rPr>
        <w:t>v roku 2016 sa vrátili na</w:t>
      </w:r>
      <w:r w:rsidR="00AC7707">
        <w:rPr>
          <w:rFonts w:ascii="Arial Narrow" w:hAnsi="Arial Narrow"/>
        </w:rPr>
        <w:t xml:space="preserve"> predošlú úroveň</w:t>
      </w:r>
      <w:r w:rsidR="00AC7707" w:rsidRPr="007D09B9">
        <w:rPr>
          <w:rFonts w:ascii="Arial Narrow" w:hAnsi="Arial Narrow"/>
        </w:rPr>
        <w:t xml:space="preserve"> 0,8 % HDP</w:t>
      </w:r>
      <w:r w:rsidR="00912BF4">
        <w:rPr>
          <w:rFonts w:ascii="Arial Narrow" w:hAnsi="Arial Narrow"/>
        </w:rPr>
        <w:t>, hlavne z dôvodu n</w:t>
      </w:r>
      <w:r w:rsidR="00912BF4">
        <w:rPr>
          <w:rFonts w:ascii="Arial Narrow" w:hAnsi="Arial Narrow" w:cs="ArialNarrow,BoldItalic"/>
          <w:bCs/>
          <w:iCs/>
          <w:color w:val="000000"/>
        </w:rPr>
        <w:t>edostatočného čerpania zdrojov z OP Výskum a inovácie</w:t>
      </w:r>
      <w:r w:rsidR="00AC7707">
        <w:rPr>
          <w:rFonts w:ascii="Arial Narrow" w:hAnsi="Arial Narrow"/>
        </w:rPr>
        <w:t xml:space="preserve">. Cieľ stratégie Európa 2020 </w:t>
      </w:r>
      <w:r w:rsidR="007E4A2E">
        <w:rPr>
          <w:rFonts w:ascii="Arial Narrow" w:hAnsi="Arial Narrow"/>
        </w:rPr>
        <w:t>je pri</w:t>
      </w:r>
      <w:r w:rsidR="00AC7707">
        <w:rPr>
          <w:rFonts w:ascii="Arial Narrow" w:hAnsi="Arial Narrow"/>
        </w:rPr>
        <w:t>tom 1,</w:t>
      </w:r>
      <w:r w:rsidR="00AC7707" w:rsidRPr="007D09B9">
        <w:rPr>
          <w:rFonts w:ascii="Arial Narrow" w:hAnsi="Arial Narrow"/>
        </w:rPr>
        <w:t xml:space="preserve">2 % HDP. </w:t>
      </w:r>
      <w:r w:rsidR="00AC7707" w:rsidRPr="006F50D5">
        <w:rPr>
          <w:rFonts w:ascii="Arial Narrow" w:hAnsi="Arial Narrow"/>
        </w:rPr>
        <w:t xml:space="preserve">Mzdy pedagógov patria medzi najnižšie v OECD, aj keď rozdiel sa </w:t>
      </w:r>
      <w:r w:rsidR="00AC7707">
        <w:rPr>
          <w:rFonts w:ascii="Arial Narrow" w:hAnsi="Arial Narrow"/>
        </w:rPr>
        <w:t xml:space="preserve">v rokoch 2016 a 2017 </w:t>
      </w:r>
      <w:r w:rsidR="00AC7707" w:rsidRPr="006F50D5">
        <w:rPr>
          <w:rFonts w:ascii="Arial Narrow" w:hAnsi="Arial Narrow"/>
        </w:rPr>
        <w:t>zmiernil zvyšovaním platov učiteľov</w:t>
      </w:r>
      <w:r w:rsidR="00AC7707">
        <w:rPr>
          <w:rFonts w:ascii="Arial Narrow" w:hAnsi="Arial Narrow"/>
        </w:rPr>
        <w:t>.</w:t>
      </w:r>
    </w:p>
    <w:tbl>
      <w:tblPr>
        <w:tblpPr w:leftFromText="141" w:rightFromText="141" w:vertAnchor="text" w:horzAnchor="margin" w:tblpXSpec="center" w:tblpY="109"/>
        <w:tblOverlap w:val="never"/>
        <w:tblW w:w="504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3975"/>
        <w:gridCol w:w="249"/>
        <w:gridCol w:w="4410"/>
      </w:tblGrid>
      <w:tr w:rsidR="00AC7707" w:rsidRPr="00256D89" w14:paraId="2F78A1A0" w14:textId="77777777" w:rsidTr="007E4A2E">
        <w:trPr>
          <w:trHeight w:val="944"/>
        </w:trPr>
        <w:tc>
          <w:tcPr>
            <w:tcW w:w="4216" w:type="dxa"/>
            <w:tcBorders>
              <w:top w:val="nil"/>
              <w:left w:val="nil"/>
              <w:bottom w:val="single" w:sz="4" w:space="0" w:color="auto"/>
              <w:right w:val="nil"/>
            </w:tcBorders>
            <w:vAlign w:val="center"/>
          </w:tcPr>
          <w:p w14:paraId="380E6998" w14:textId="77777777" w:rsidR="00AC7707" w:rsidRPr="00CD4E34" w:rsidRDefault="00AC7707" w:rsidP="007E4A2E">
            <w:pPr>
              <w:pStyle w:val="Popis"/>
              <w:contextualSpacing/>
              <w:rPr>
                <w:rFonts w:cs="Arial"/>
                <w:b w:val="0"/>
              </w:rPr>
            </w:pPr>
            <w:bookmarkStart w:id="27" w:name="_Toc480760500"/>
            <w:bookmarkStart w:id="28" w:name="_Toc509513319"/>
            <w:r w:rsidRPr="00256D89">
              <w:t xml:space="preserve">Graf </w:t>
            </w:r>
            <w:fldSimple w:instr=" SEQ Graf \* ARABIC ">
              <w:r w:rsidR="00EE7207">
                <w:rPr>
                  <w:noProof/>
                </w:rPr>
                <w:t>7</w:t>
              </w:r>
            </w:fldSimple>
            <w:r>
              <w:t>:</w:t>
            </w:r>
            <w:r w:rsidRPr="00256D89">
              <w:rPr>
                <w:rFonts w:cs="Arial"/>
              </w:rPr>
              <w:t xml:space="preserve"> </w:t>
            </w:r>
            <w:r>
              <w:rPr>
                <w:rFonts w:cs="Arial"/>
              </w:rPr>
              <w:t>Verejné v</w:t>
            </w:r>
            <w:r w:rsidRPr="00256D89">
              <w:rPr>
                <w:rFonts w:cs="Arial"/>
              </w:rPr>
              <w:t>ýdavk</w:t>
            </w:r>
            <w:r>
              <w:rPr>
                <w:rFonts w:cs="Arial"/>
              </w:rPr>
              <w:t>y</w:t>
            </w:r>
            <w:r w:rsidRPr="00256D89">
              <w:rPr>
                <w:rFonts w:cs="Arial"/>
              </w:rPr>
              <w:t xml:space="preserve"> na vzdelávanie, 201</w:t>
            </w:r>
            <w:bookmarkEnd w:id="27"/>
            <w:r>
              <w:rPr>
                <w:rFonts w:cs="Arial"/>
              </w:rPr>
              <w:t>4</w:t>
            </w:r>
            <w:bookmarkEnd w:id="28"/>
          </w:p>
        </w:tc>
        <w:tc>
          <w:tcPr>
            <w:tcW w:w="250" w:type="dxa"/>
            <w:tcBorders>
              <w:top w:val="nil"/>
              <w:left w:val="nil"/>
              <w:bottom w:val="nil"/>
              <w:right w:val="nil"/>
            </w:tcBorders>
            <w:vAlign w:val="center"/>
          </w:tcPr>
          <w:p w14:paraId="1BF5CE4D" w14:textId="77777777" w:rsidR="00AC7707" w:rsidRPr="00256D89" w:rsidRDefault="00AC7707" w:rsidP="007E4A2E">
            <w:pPr>
              <w:spacing w:before="40" w:after="40" w:line="240" w:lineRule="auto"/>
              <w:contextualSpacing/>
              <w:jc w:val="center"/>
              <w:rPr>
                <w:rFonts w:ascii="Arial Narrow" w:hAnsi="Arial Narrow" w:cs="Arial"/>
                <w:b/>
                <w:sz w:val="20"/>
                <w:szCs w:val="20"/>
              </w:rPr>
            </w:pPr>
          </w:p>
        </w:tc>
        <w:tc>
          <w:tcPr>
            <w:tcW w:w="4680" w:type="dxa"/>
            <w:tcBorders>
              <w:top w:val="nil"/>
              <w:left w:val="nil"/>
              <w:bottom w:val="single" w:sz="4" w:space="0" w:color="auto"/>
              <w:right w:val="nil"/>
            </w:tcBorders>
            <w:vAlign w:val="center"/>
          </w:tcPr>
          <w:p w14:paraId="3FF830E5" w14:textId="77777777" w:rsidR="00AC7707" w:rsidRDefault="00AC7707" w:rsidP="007E4A2E">
            <w:pPr>
              <w:pStyle w:val="Popis"/>
              <w:contextualSpacing/>
              <w:rPr>
                <w:noProof/>
              </w:rPr>
            </w:pPr>
            <w:bookmarkStart w:id="29" w:name="_Toc480760501"/>
            <w:bookmarkStart w:id="30" w:name="_Toc509513320"/>
            <w:r w:rsidRPr="00CD4E34">
              <w:rPr>
                <w:rFonts w:cs="Arial"/>
              </w:rPr>
              <w:t xml:space="preserve">Graf </w:t>
            </w:r>
            <w:r w:rsidRPr="00CD4E34">
              <w:rPr>
                <w:rFonts w:cs="Arial"/>
              </w:rPr>
              <w:fldChar w:fldCharType="begin"/>
            </w:r>
            <w:r w:rsidRPr="00CD4E34">
              <w:rPr>
                <w:rFonts w:cs="Arial"/>
              </w:rPr>
              <w:instrText xml:space="preserve"> SEQ Graf \* ARABIC </w:instrText>
            </w:r>
            <w:r w:rsidRPr="00CD4E34">
              <w:rPr>
                <w:rFonts w:cs="Arial"/>
              </w:rPr>
              <w:fldChar w:fldCharType="separate"/>
            </w:r>
            <w:r w:rsidR="00EE7207">
              <w:rPr>
                <w:rFonts w:cs="Arial"/>
                <w:noProof/>
              </w:rPr>
              <w:t>8</w:t>
            </w:r>
            <w:r w:rsidRPr="00CD4E34">
              <w:rPr>
                <w:rFonts w:cs="Arial"/>
              </w:rPr>
              <w:fldChar w:fldCharType="end"/>
            </w:r>
            <w:r w:rsidRPr="00CD4E34">
              <w:rPr>
                <w:rFonts w:cs="Arial"/>
              </w:rPr>
              <w:t xml:space="preserve">: </w:t>
            </w:r>
            <w:r>
              <w:rPr>
                <w:rFonts w:cs="Arial"/>
              </w:rPr>
              <w:t>Priemerné platy</w:t>
            </w:r>
            <w:r w:rsidRPr="00CD4E34">
              <w:rPr>
                <w:rFonts w:cs="Arial"/>
              </w:rPr>
              <w:t xml:space="preserve"> pedag</w:t>
            </w:r>
            <w:r>
              <w:rPr>
                <w:rFonts w:cs="Arial"/>
              </w:rPr>
              <w:t>ógov</w:t>
            </w:r>
            <w:r w:rsidRPr="00CD4E34">
              <w:rPr>
                <w:rFonts w:cs="Arial"/>
              </w:rPr>
              <w:t xml:space="preserve"> nižš</w:t>
            </w:r>
            <w:r>
              <w:rPr>
                <w:rFonts w:cs="Arial"/>
              </w:rPr>
              <w:t>ieho sekundárneho vzdelávania v pomere k</w:t>
            </w:r>
            <w:r w:rsidRPr="00CD4E34">
              <w:rPr>
                <w:rFonts w:cs="Arial"/>
              </w:rPr>
              <w:t xml:space="preserve"> </w:t>
            </w:r>
            <w:r>
              <w:rPr>
                <w:rFonts w:cs="Arial"/>
              </w:rPr>
              <w:t xml:space="preserve">platom zamestnancov s VŠ </w:t>
            </w:r>
            <w:r w:rsidRPr="00CD4E34">
              <w:rPr>
                <w:rFonts w:cs="Arial"/>
              </w:rPr>
              <w:t>vzdelaním (</w:t>
            </w:r>
            <w:r>
              <w:rPr>
                <w:rFonts w:cs="Arial"/>
              </w:rPr>
              <w:t>2015</w:t>
            </w:r>
            <w:r w:rsidRPr="00CD4E34">
              <w:rPr>
                <w:rFonts w:cs="Arial"/>
              </w:rPr>
              <w:t>)</w:t>
            </w:r>
            <w:bookmarkEnd w:id="29"/>
            <w:bookmarkEnd w:id="30"/>
          </w:p>
        </w:tc>
      </w:tr>
      <w:tr w:rsidR="00AC7707" w:rsidRPr="00256D89" w14:paraId="547520B3" w14:textId="77777777" w:rsidTr="007E4A2E">
        <w:tblPrEx>
          <w:tblCellMar>
            <w:left w:w="108" w:type="dxa"/>
            <w:right w:w="108" w:type="dxa"/>
          </w:tblCellMar>
        </w:tblPrEx>
        <w:trPr>
          <w:trHeight w:val="944"/>
        </w:trPr>
        <w:tc>
          <w:tcPr>
            <w:tcW w:w="4216" w:type="dxa"/>
            <w:tcBorders>
              <w:top w:val="single" w:sz="4" w:space="0" w:color="auto"/>
              <w:left w:val="nil"/>
              <w:bottom w:val="single" w:sz="4" w:space="0" w:color="auto"/>
              <w:right w:val="nil"/>
            </w:tcBorders>
            <w:vAlign w:val="center"/>
          </w:tcPr>
          <w:p w14:paraId="41DD4833" w14:textId="77777777" w:rsidR="00AC7707" w:rsidRPr="00256D89" w:rsidRDefault="00AC7707" w:rsidP="007E4A2E">
            <w:pPr>
              <w:spacing w:before="40" w:after="40" w:line="240" w:lineRule="auto"/>
              <w:contextualSpacing/>
              <w:jc w:val="center"/>
              <w:rPr>
                <w:rFonts w:ascii="Arial Narrow" w:hAnsi="Arial Narrow" w:cs="Arial"/>
                <w:b/>
                <w:sz w:val="20"/>
                <w:szCs w:val="20"/>
              </w:rPr>
            </w:pPr>
            <w:r>
              <w:rPr>
                <w:noProof/>
                <w:lang w:val="en-US" w:eastAsia="en-US"/>
              </w:rPr>
              <w:drawing>
                <wp:inline distT="0" distB="0" distL="0" distR="0" wp14:anchorId="7155ABA4" wp14:editId="7EA69F5F">
                  <wp:extent cx="2540000" cy="2086610"/>
                  <wp:effectExtent l="0" t="0" r="12700" b="889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250" w:type="dxa"/>
            <w:tcBorders>
              <w:top w:val="nil"/>
              <w:left w:val="nil"/>
              <w:bottom w:val="nil"/>
              <w:right w:val="nil"/>
            </w:tcBorders>
            <w:vAlign w:val="center"/>
          </w:tcPr>
          <w:p w14:paraId="61279488" w14:textId="77777777" w:rsidR="00AC7707" w:rsidRPr="00256D89" w:rsidRDefault="00AC7707" w:rsidP="007E4A2E">
            <w:pPr>
              <w:spacing w:before="40" w:after="40" w:line="240" w:lineRule="auto"/>
              <w:contextualSpacing/>
              <w:jc w:val="center"/>
              <w:rPr>
                <w:rFonts w:ascii="Arial Narrow" w:hAnsi="Arial Narrow" w:cs="Arial"/>
                <w:b/>
                <w:sz w:val="20"/>
                <w:szCs w:val="20"/>
              </w:rPr>
            </w:pPr>
          </w:p>
        </w:tc>
        <w:tc>
          <w:tcPr>
            <w:tcW w:w="4680" w:type="dxa"/>
            <w:tcBorders>
              <w:top w:val="single" w:sz="4" w:space="0" w:color="auto"/>
              <w:left w:val="nil"/>
              <w:bottom w:val="single" w:sz="4" w:space="0" w:color="auto"/>
              <w:right w:val="nil"/>
            </w:tcBorders>
            <w:vAlign w:val="center"/>
          </w:tcPr>
          <w:p w14:paraId="467A149A" w14:textId="77777777" w:rsidR="00AC7707" w:rsidRPr="00256D89" w:rsidRDefault="00AC7707" w:rsidP="00A42B16">
            <w:pPr>
              <w:spacing w:before="40" w:after="40" w:line="240" w:lineRule="auto"/>
              <w:ind w:left="-79" w:right="-121"/>
              <w:contextualSpacing/>
              <w:jc w:val="center"/>
              <w:rPr>
                <w:rFonts w:ascii="Arial Narrow" w:hAnsi="Arial Narrow" w:cs="Arial"/>
                <w:b/>
                <w:sz w:val="20"/>
                <w:szCs w:val="20"/>
              </w:rPr>
            </w:pPr>
            <w:r>
              <w:rPr>
                <w:noProof/>
                <w:lang w:val="en-US" w:eastAsia="en-US"/>
              </w:rPr>
              <w:drawing>
                <wp:inline distT="0" distB="0" distL="0" distR="0" wp14:anchorId="593CF5D3" wp14:editId="12AF724D">
                  <wp:extent cx="2771775" cy="2066925"/>
                  <wp:effectExtent l="0" t="0" r="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AC7707" w:rsidRPr="00256D89" w14:paraId="496A02AA" w14:textId="77777777" w:rsidTr="007E4A2E">
        <w:trPr>
          <w:trHeight w:val="120"/>
        </w:trPr>
        <w:tc>
          <w:tcPr>
            <w:tcW w:w="4216" w:type="dxa"/>
            <w:tcBorders>
              <w:top w:val="single" w:sz="4" w:space="0" w:color="auto"/>
              <w:left w:val="nil"/>
              <w:bottom w:val="nil"/>
              <w:right w:val="nil"/>
            </w:tcBorders>
            <w:vAlign w:val="bottom"/>
          </w:tcPr>
          <w:p w14:paraId="2C745B2E" w14:textId="77777777" w:rsidR="00AC7707" w:rsidRPr="00C83F39" w:rsidRDefault="00AC7707" w:rsidP="006016F5">
            <w:pPr>
              <w:spacing w:line="240" w:lineRule="auto"/>
              <w:contextualSpacing/>
              <w:jc w:val="right"/>
              <w:rPr>
                <w:rFonts w:ascii="Arial Narrow" w:hAnsi="Arial Narrow" w:cs="Arial"/>
                <w:sz w:val="16"/>
                <w:szCs w:val="14"/>
              </w:rPr>
            </w:pPr>
            <w:r w:rsidRPr="00C83F39">
              <w:rPr>
                <w:rFonts w:ascii="Arial Narrow" w:hAnsi="Arial Narrow"/>
                <w:i/>
                <w:iCs/>
                <w:color w:val="000000"/>
                <w:sz w:val="16"/>
                <w:szCs w:val="16"/>
              </w:rPr>
              <w:t>Zdroj: OECD (</w:t>
            </w:r>
            <w:proofErr w:type="spellStart"/>
            <w:r w:rsidRPr="00C83F39">
              <w:rPr>
                <w:rFonts w:ascii="Arial Narrow" w:hAnsi="Arial Narrow"/>
                <w:i/>
                <w:iCs/>
                <w:color w:val="000000"/>
                <w:sz w:val="16"/>
                <w:szCs w:val="16"/>
              </w:rPr>
              <w:t>Education</w:t>
            </w:r>
            <w:proofErr w:type="spellEnd"/>
            <w:r w:rsidRPr="00C83F39">
              <w:rPr>
                <w:rFonts w:ascii="Arial Narrow" w:hAnsi="Arial Narrow"/>
                <w:i/>
                <w:iCs/>
                <w:color w:val="000000"/>
                <w:sz w:val="16"/>
                <w:szCs w:val="16"/>
              </w:rPr>
              <w:t xml:space="preserve"> at a </w:t>
            </w:r>
            <w:proofErr w:type="spellStart"/>
            <w:r w:rsidRPr="00C83F39">
              <w:rPr>
                <w:rFonts w:ascii="Arial Narrow" w:hAnsi="Arial Narrow"/>
                <w:i/>
                <w:iCs/>
                <w:color w:val="000000"/>
                <w:sz w:val="16"/>
                <w:szCs w:val="16"/>
              </w:rPr>
              <w:t>Glace</w:t>
            </w:r>
            <w:proofErr w:type="spellEnd"/>
            <w:r w:rsidRPr="00C83F39">
              <w:rPr>
                <w:rFonts w:ascii="Arial Narrow" w:hAnsi="Arial Narrow"/>
                <w:i/>
                <w:iCs/>
                <w:color w:val="000000"/>
                <w:sz w:val="16"/>
                <w:szCs w:val="16"/>
              </w:rPr>
              <w:t xml:space="preserve"> 201</w:t>
            </w:r>
            <w:r>
              <w:rPr>
                <w:rFonts w:ascii="Arial Narrow" w:hAnsi="Arial Narrow"/>
                <w:i/>
                <w:iCs/>
                <w:color w:val="000000"/>
                <w:sz w:val="16"/>
                <w:szCs w:val="16"/>
              </w:rPr>
              <w:t>7</w:t>
            </w:r>
            <w:r w:rsidR="00C16E35">
              <w:rPr>
                <w:rFonts w:ascii="Arial Narrow" w:hAnsi="Arial Narrow"/>
                <w:i/>
                <w:iCs/>
                <w:color w:val="000000"/>
                <w:sz w:val="16"/>
                <w:szCs w:val="16"/>
              </w:rPr>
              <w:t>,</w:t>
            </w:r>
            <w:r w:rsidR="00C16E35">
              <w:t xml:space="preserve"> </w:t>
            </w:r>
            <w:proofErr w:type="spellStart"/>
            <w:r w:rsidR="00C16E35" w:rsidRPr="00C16E35">
              <w:rPr>
                <w:rFonts w:ascii="Arial Narrow" w:hAnsi="Arial Narrow"/>
                <w:i/>
                <w:iCs/>
                <w:color w:val="000000"/>
                <w:sz w:val="16"/>
                <w:szCs w:val="16"/>
              </w:rPr>
              <w:t>Tab</w:t>
            </w:r>
            <w:proofErr w:type="spellEnd"/>
            <w:r w:rsidR="00C16E35" w:rsidRPr="00C16E35">
              <w:rPr>
                <w:rFonts w:ascii="Arial Narrow" w:hAnsi="Arial Narrow"/>
                <w:i/>
                <w:iCs/>
                <w:color w:val="000000"/>
                <w:sz w:val="16"/>
                <w:szCs w:val="16"/>
              </w:rPr>
              <w:t xml:space="preserve"> B4.1</w:t>
            </w:r>
            <w:r w:rsidRPr="00C83F39">
              <w:rPr>
                <w:rFonts w:ascii="Arial Narrow" w:hAnsi="Arial Narrow"/>
                <w:i/>
                <w:iCs/>
                <w:color w:val="000000"/>
                <w:sz w:val="16"/>
                <w:szCs w:val="16"/>
              </w:rPr>
              <w:t xml:space="preserve">) </w:t>
            </w:r>
          </w:p>
        </w:tc>
        <w:tc>
          <w:tcPr>
            <w:tcW w:w="250" w:type="dxa"/>
            <w:tcBorders>
              <w:top w:val="nil"/>
              <w:left w:val="nil"/>
              <w:bottom w:val="nil"/>
              <w:right w:val="nil"/>
            </w:tcBorders>
            <w:vAlign w:val="bottom"/>
          </w:tcPr>
          <w:p w14:paraId="06DAB99F" w14:textId="77777777" w:rsidR="00AC7707" w:rsidRPr="00C83F39" w:rsidRDefault="00AC7707" w:rsidP="007E4A2E">
            <w:pPr>
              <w:spacing w:line="240" w:lineRule="auto"/>
              <w:contextualSpacing/>
              <w:jc w:val="center"/>
              <w:rPr>
                <w:rFonts w:ascii="Arial Narrow" w:hAnsi="Arial Narrow" w:cs="Arial"/>
                <w:sz w:val="16"/>
                <w:szCs w:val="14"/>
              </w:rPr>
            </w:pPr>
          </w:p>
        </w:tc>
        <w:tc>
          <w:tcPr>
            <w:tcW w:w="4680" w:type="dxa"/>
            <w:tcBorders>
              <w:top w:val="single" w:sz="4" w:space="0" w:color="auto"/>
              <w:left w:val="nil"/>
              <w:bottom w:val="nil"/>
              <w:right w:val="nil"/>
            </w:tcBorders>
            <w:vAlign w:val="bottom"/>
          </w:tcPr>
          <w:p w14:paraId="100FCE4C" w14:textId="77777777" w:rsidR="00AC7707" w:rsidRPr="00C83F39" w:rsidRDefault="00AC7707" w:rsidP="007E4A2E">
            <w:pPr>
              <w:spacing w:line="240" w:lineRule="auto"/>
              <w:contextualSpacing/>
              <w:jc w:val="right"/>
              <w:rPr>
                <w:rFonts w:ascii="Arial Narrow" w:hAnsi="Arial Narrow" w:cs="Arial"/>
                <w:sz w:val="16"/>
                <w:szCs w:val="14"/>
              </w:rPr>
            </w:pPr>
            <w:r w:rsidRPr="00C83F39">
              <w:rPr>
                <w:rFonts w:ascii="Arial Narrow" w:hAnsi="Arial Narrow"/>
                <w:i/>
                <w:iCs/>
                <w:color w:val="000000"/>
                <w:sz w:val="16"/>
                <w:szCs w:val="16"/>
              </w:rPr>
              <w:t>Zdroj: OECD</w:t>
            </w:r>
            <w:r>
              <w:rPr>
                <w:rFonts w:ascii="Arial Narrow" w:hAnsi="Arial Narrow"/>
                <w:i/>
                <w:iCs/>
                <w:color w:val="000000"/>
                <w:sz w:val="16"/>
                <w:szCs w:val="16"/>
              </w:rPr>
              <w:t xml:space="preserve"> </w:t>
            </w:r>
            <w:r w:rsidRPr="00C83F39">
              <w:rPr>
                <w:rFonts w:ascii="Arial Narrow" w:hAnsi="Arial Narrow"/>
                <w:i/>
                <w:iCs/>
                <w:color w:val="000000"/>
                <w:sz w:val="16"/>
                <w:szCs w:val="16"/>
              </w:rPr>
              <w:t>(</w:t>
            </w:r>
            <w:proofErr w:type="spellStart"/>
            <w:r w:rsidRPr="00C83F39">
              <w:rPr>
                <w:rFonts w:ascii="Arial Narrow" w:hAnsi="Arial Narrow"/>
                <w:i/>
                <w:iCs/>
                <w:color w:val="000000"/>
                <w:sz w:val="16"/>
                <w:szCs w:val="16"/>
              </w:rPr>
              <w:t>Education</w:t>
            </w:r>
            <w:proofErr w:type="spellEnd"/>
            <w:r w:rsidRPr="00C83F39">
              <w:rPr>
                <w:rFonts w:ascii="Arial Narrow" w:hAnsi="Arial Narrow"/>
                <w:i/>
                <w:iCs/>
                <w:color w:val="000000"/>
                <w:sz w:val="16"/>
                <w:szCs w:val="16"/>
              </w:rPr>
              <w:t xml:space="preserve"> at a </w:t>
            </w:r>
            <w:proofErr w:type="spellStart"/>
            <w:r w:rsidRPr="00C83F39">
              <w:rPr>
                <w:rFonts w:ascii="Arial Narrow" w:hAnsi="Arial Narrow"/>
                <w:i/>
                <w:iCs/>
                <w:color w:val="000000"/>
                <w:sz w:val="16"/>
                <w:szCs w:val="16"/>
              </w:rPr>
              <w:t>Glance</w:t>
            </w:r>
            <w:proofErr w:type="spellEnd"/>
            <w:r w:rsidRPr="00C83F39">
              <w:rPr>
                <w:rFonts w:ascii="Arial Narrow" w:hAnsi="Arial Narrow"/>
                <w:i/>
                <w:iCs/>
                <w:color w:val="000000"/>
                <w:sz w:val="16"/>
                <w:szCs w:val="16"/>
              </w:rPr>
              <w:t xml:space="preserve"> 201</w:t>
            </w:r>
            <w:r>
              <w:rPr>
                <w:rFonts w:ascii="Arial Narrow" w:hAnsi="Arial Narrow"/>
                <w:i/>
                <w:iCs/>
                <w:color w:val="000000"/>
                <w:sz w:val="16"/>
                <w:szCs w:val="16"/>
              </w:rPr>
              <w:t>7</w:t>
            </w:r>
            <w:r w:rsidR="00013C1A">
              <w:rPr>
                <w:rFonts w:ascii="Arial Narrow" w:hAnsi="Arial Narrow"/>
                <w:i/>
                <w:iCs/>
                <w:color w:val="000000"/>
                <w:sz w:val="16"/>
                <w:szCs w:val="16"/>
              </w:rPr>
              <w:t>,</w:t>
            </w:r>
            <w:r w:rsidR="00010B97">
              <w:rPr>
                <w:rFonts w:ascii="Arial Narrow" w:hAnsi="Arial Narrow"/>
                <w:i/>
                <w:iCs/>
                <w:color w:val="000000"/>
                <w:sz w:val="16"/>
                <w:szCs w:val="16"/>
              </w:rPr>
              <w:t xml:space="preserve"> </w:t>
            </w:r>
            <w:proofErr w:type="spellStart"/>
            <w:r w:rsidR="00013C1A" w:rsidRPr="00013C1A">
              <w:rPr>
                <w:rFonts w:ascii="Arial Narrow" w:hAnsi="Arial Narrow"/>
                <w:i/>
                <w:iCs/>
                <w:color w:val="000000"/>
                <w:sz w:val="16"/>
                <w:szCs w:val="16"/>
              </w:rPr>
              <w:t>Tab</w:t>
            </w:r>
            <w:proofErr w:type="spellEnd"/>
            <w:r w:rsidR="00013C1A" w:rsidRPr="00013C1A">
              <w:rPr>
                <w:rFonts w:ascii="Arial Narrow" w:hAnsi="Arial Narrow"/>
                <w:i/>
                <w:iCs/>
                <w:color w:val="000000"/>
                <w:sz w:val="16"/>
                <w:szCs w:val="16"/>
              </w:rPr>
              <w:t xml:space="preserve"> D3.2</w:t>
            </w:r>
            <w:r w:rsidRPr="00C83F39">
              <w:rPr>
                <w:rFonts w:ascii="Arial Narrow" w:hAnsi="Arial Narrow"/>
                <w:i/>
                <w:iCs/>
                <w:color w:val="000000"/>
                <w:sz w:val="16"/>
                <w:szCs w:val="16"/>
              </w:rPr>
              <w:t>)</w:t>
            </w:r>
          </w:p>
        </w:tc>
      </w:tr>
    </w:tbl>
    <w:p w14:paraId="02F5116C" w14:textId="77777777" w:rsidR="00AC7707" w:rsidRDefault="00AC7707" w:rsidP="00AC7707">
      <w:pPr>
        <w:spacing w:after="0" w:line="240" w:lineRule="auto"/>
        <w:jc w:val="both"/>
        <w:rPr>
          <w:rFonts w:ascii="Arial Narrow" w:hAnsi="Arial Narrow"/>
          <w:b/>
        </w:rPr>
      </w:pPr>
    </w:p>
    <w:p w14:paraId="0EAA11A9" w14:textId="792B4EDA" w:rsidR="00AC7707" w:rsidRDefault="00AC7707" w:rsidP="00AC7707">
      <w:pPr>
        <w:pStyle w:val="Odsekzoznamu"/>
        <w:spacing w:after="0" w:line="240" w:lineRule="auto"/>
        <w:ind w:left="0"/>
        <w:jc w:val="both"/>
        <w:rPr>
          <w:rFonts w:ascii="Arial Narrow" w:hAnsi="Arial Narrow"/>
        </w:rPr>
      </w:pPr>
      <w:r>
        <w:rPr>
          <w:rFonts w:ascii="Arial Narrow" w:hAnsi="Arial Narrow"/>
        </w:rPr>
        <w:lastRenderedPageBreak/>
        <w:t xml:space="preserve">Zvýšené výdavky na </w:t>
      </w:r>
      <w:r w:rsidRPr="000C645C">
        <w:rPr>
          <w:rFonts w:ascii="Arial Narrow" w:hAnsi="Arial Narrow"/>
        </w:rPr>
        <w:t>výskum</w:t>
      </w:r>
      <w:r>
        <w:rPr>
          <w:rFonts w:ascii="Arial Narrow" w:hAnsi="Arial Narrow"/>
        </w:rPr>
        <w:t xml:space="preserve"> a vývoj z</w:t>
      </w:r>
      <w:r w:rsidR="003A5584">
        <w:rPr>
          <w:rFonts w:ascii="Arial Narrow" w:hAnsi="Arial Narrow"/>
        </w:rPr>
        <w:t xml:space="preserve"> </w:t>
      </w:r>
      <w:r>
        <w:rPr>
          <w:rFonts w:ascii="Arial Narrow" w:hAnsi="Arial Narrow"/>
        </w:rPr>
        <w:t xml:space="preserve">EÚ </w:t>
      </w:r>
      <w:r w:rsidR="003A5584">
        <w:rPr>
          <w:rFonts w:ascii="Arial Narrow" w:hAnsi="Arial Narrow"/>
        </w:rPr>
        <w:t xml:space="preserve">fondov </w:t>
      </w:r>
      <w:r w:rsidR="00F036C1">
        <w:rPr>
          <w:rFonts w:ascii="Arial Narrow" w:hAnsi="Arial Narrow"/>
        </w:rPr>
        <w:t xml:space="preserve">z programového obdobia 2007 až </w:t>
      </w:r>
      <w:r>
        <w:rPr>
          <w:rFonts w:ascii="Arial Narrow" w:hAnsi="Arial Narrow"/>
        </w:rPr>
        <w:t>2013 boli investované najmä do infraštruktúry, prístrojov a zariadenia. V</w:t>
      </w:r>
      <w:r w:rsidRPr="000C645C">
        <w:rPr>
          <w:rFonts w:ascii="Arial Narrow" w:hAnsi="Arial Narrow"/>
        </w:rPr>
        <w:t xml:space="preserve">o výsledkoch </w:t>
      </w:r>
      <w:r>
        <w:rPr>
          <w:rFonts w:ascii="Arial Narrow" w:hAnsi="Arial Narrow"/>
        </w:rPr>
        <w:t xml:space="preserve">sa zatiaľ </w:t>
      </w:r>
      <w:r w:rsidRPr="000C645C">
        <w:rPr>
          <w:rFonts w:ascii="Arial Narrow" w:hAnsi="Arial Narrow"/>
        </w:rPr>
        <w:t xml:space="preserve">výraznejšie neprejavili. Klesajúci počet výskumníkov </w:t>
      </w:r>
      <w:r>
        <w:rPr>
          <w:rFonts w:ascii="Arial Narrow" w:hAnsi="Arial Narrow"/>
        </w:rPr>
        <w:t>vy</w:t>
      </w:r>
      <w:r w:rsidRPr="000C645C">
        <w:rPr>
          <w:rFonts w:ascii="Arial Narrow" w:hAnsi="Arial Narrow"/>
        </w:rPr>
        <w:t>produk</w:t>
      </w:r>
      <w:r>
        <w:rPr>
          <w:rFonts w:ascii="Arial Narrow" w:hAnsi="Arial Narrow"/>
        </w:rPr>
        <w:t>oval mierne viac</w:t>
      </w:r>
      <w:r w:rsidRPr="000C645C">
        <w:rPr>
          <w:rFonts w:ascii="Arial Narrow" w:hAnsi="Arial Narrow"/>
        </w:rPr>
        <w:t xml:space="preserve"> publikácií</w:t>
      </w:r>
      <w:r>
        <w:rPr>
          <w:rFonts w:ascii="Arial Narrow" w:hAnsi="Arial Narrow"/>
        </w:rPr>
        <w:t xml:space="preserve"> z mierne nižšou</w:t>
      </w:r>
      <w:r w:rsidRPr="000C645C">
        <w:rPr>
          <w:rFonts w:ascii="Arial Narrow" w:hAnsi="Arial Narrow"/>
        </w:rPr>
        <w:t xml:space="preserve"> </w:t>
      </w:r>
      <w:proofErr w:type="spellStart"/>
      <w:r w:rsidRPr="000C645C">
        <w:rPr>
          <w:rFonts w:ascii="Arial Narrow" w:hAnsi="Arial Narrow"/>
        </w:rPr>
        <w:t>citovanosť</w:t>
      </w:r>
      <w:r>
        <w:rPr>
          <w:rFonts w:ascii="Arial Narrow" w:hAnsi="Arial Narrow"/>
        </w:rPr>
        <w:t>ou</w:t>
      </w:r>
      <w:proofErr w:type="spellEnd"/>
      <w:r w:rsidRPr="000C645C">
        <w:rPr>
          <w:rFonts w:ascii="Arial Narrow" w:hAnsi="Arial Narrow"/>
        </w:rPr>
        <w:t>,</w:t>
      </w:r>
      <w:r>
        <w:rPr>
          <w:rFonts w:ascii="Arial Narrow" w:hAnsi="Arial Narrow"/>
        </w:rPr>
        <w:t xml:space="preserve"> ktorá dlhodobo</w:t>
      </w:r>
      <w:r w:rsidRPr="000C645C">
        <w:rPr>
          <w:rFonts w:ascii="Arial Narrow" w:hAnsi="Arial Narrow"/>
        </w:rPr>
        <w:t xml:space="preserve"> </w:t>
      </w:r>
      <w:r>
        <w:rPr>
          <w:rFonts w:ascii="Arial Narrow" w:hAnsi="Arial Narrow"/>
        </w:rPr>
        <w:t>klesá a je 25 </w:t>
      </w:r>
      <w:r w:rsidRPr="006A19AB">
        <w:rPr>
          <w:rFonts w:ascii="Arial Narrow" w:hAnsi="Arial Narrow"/>
        </w:rPr>
        <w:t>%</w:t>
      </w:r>
      <w:r w:rsidRPr="000C645C">
        <w:rPr>
          <w:rFonts w:ascii="Arial Narrow" w:hAnsi="Arial Narrow"/>
        </w:rPr>
        <w:t xml:space="preserve"> pod priemerom krajín V3. Podiel </w:t>
      </w:r>
      <w:proofErr w:type="spellStart"/>
      <w:r w:rsidRPr="000C645C">
        <w:rPr>
          <w:rFonts w:ascii="Arial Narrow" w:hAnsi="Arial Narrow"/>
        </w:rPr>
        <w:t>high-tech</w:t>
      </w:r>
      <w:proofErr w:type="spellEnd"/>
      <w:r w:rsidRPr="000C645C">
        <w:rPr>
          <w:rFonts w:ascii="Arial Narrow" w:hAnsi="Arial Narrow"/>
        </w:rPr>
        <w:t xml:space="preserve"> exportu sa mierne zvyšuje, </w:t>
      </w:r>
      <w:r w:rsidR="001670D3">
        <w:rPr>
          <w:rFonts w:ascii="Arial Narrow" w:hAnsi="Arial Narrow"/>
        </w:rPr>
        <w:t>no</w:t>
      </w:r>
      <w:r w:rsidR="001670D3" w:rsidRPr="000C645C">
        <w:rPr>
          <w:rFonts w:ascii="Arial Narrow" w:hAnsi="Arial Narrow"/>
        </w:rPr>
        <w:t xml:space="preserve"> </w:t>
      </w:r>
      <w:r w:rsidRPr="000C645C">
        <w:rPr>
          <w:rFonts w:ascii="Arial Narrow" w:hAnsi="Arial Narrow"/>
        </w:rPr>
        <w:t xml:space="preserve">je významne nižší ako priemer EÚ a vzdialený od </w:t>
      </w:r>
      <w:r w:rsidRPr="008F744D">
        <w:rPr>
          <w:rFonts w:ascii="Arial Narrow" w:hAnsi="Arial Narrow"/>
        </w:rPr>
        <w:t>národného cieľa</w:t>
      </w:r>
      <w:r w:rsidRPr="000C645C">
        <w:rPr>
          <w:rFonts w:ascii="Arial Narrow" w:hAnsi="Arial Narrow"/>
        </w:rPr>
        <w:t xml:space="preserve"> </w:t>
      </w:r>
      <w:r w:rsidRPr="008F744D">
        <w:rPr>
          <w:rFonts w:ascii="Arial Narrow" w:hAnsi="Arial Narrow"/>
        </w:rPr>
        <w:t xml:space="preserve">stratégie Európa </w:t>
      </w:r>
      <w:r w:rsidRPr="000C645C">
        <w:rPr>
          <w:rFonts w:ascii="Arial Narrow" w:hAnsi="Arial Narrow"/>
        </w:rPr>
        <w:t>2020.</w:t>
      </w:r>
    </w:p>
    <w:p w14:paraId="2D74476E" w14:textId="77777777" w:rsidR="00AC7707" w:rsidRDefault="00AC7707" w:rsidP="00E87F25">
      <w:pPr>
        <w:pStyle w:val="Odsekzoznamu"/>
        <w:spacing w:after="0" w:line="240" w:lineRule="auto"/>
        <w:ind w:left="0"/>
        <w:contextualSpacing w:val="0"/>
        <w:jc w:val="both"/>
        <w:rPr>
          <w:rFonts w:ascii="Arial Narrow" w:hAnsi="Arial Narrow"/>
        </w:rPr>
      </w:pPr>
      <w:r>
        <w:rPr>
          <w:rFonts w:ascii="Arial Narrow" w:hAnsi="Arial Narrow"/>
        </w:rPr>
        <w:t xml:space="preserve"> </w:t>
      </w:r>
    </w:p>
    <w:tbl>
      <w:tblPr>
        <w:tblpPr w:leftFromText="141" w:rightFromText="141" w:vertAnchor="text" w:horzAnchor="margin" w:tblpXSpec="center" w:tblpY="109"/>
        <w:tblOverlap w:val="neve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240"/>
        <w:gridCol w:w="222"/>
        <w:gridCol w:w="4102"/>
      </w:tblGrid>
      <w:tr w:rsidR="00AC7707" w:rsidRPr="00256D89" w14:paraId="06F12251" w14:textId="77777777" w:rsidTr="005A7BFC">
        <w:trPr>
          <w:trHeight w:val="126"/>
        </w:trPr>
        <w:tc>
          <w:tcPr>
            <w:tcW w:w="4233" w:type="dxa"/>
            <w:tcBorders>
              <w:top w:val="nil"/>
              <w:left w:val="nil"/>
              <w:bottom w:val="single" w:sz="4" w:space="0" w:color="auto"/>
              <w:right w:val="nil"/>
            </w:tcBorders>
            <w:vAlign w:val="center"/>
          </w:tcPr>
          <w:p w14:paraId="60E518EE" w14:textId="77777777" w:rsidR="00AC7707" w:rsidRDefault="00AC7707" w:rsidP="007E4A2E">
            <w:pPr>
              <w:pStyle w:val="Popis"/>
              <w:rPr>
                <w:noProof/>
              </w:rPr>
            </w:pPr>
            <w:bookmarkStart w:id="31" w:name="_Toc480760502"/>
            <w:bookmarkStart w:id="32" w:name="_Toc509513321"/>
            <w:r w:rsidRPr="00256D89">
              <w:t xml:space="preserve">Graf </w:t>
            </w:r>
            <w:fldSimple w:instr=" SEQ Graf \* ARABIC ">
              <w:r w:rsidR="00EE7207">
                <w:rPr>
                  <w:noProof/>
                </w:rPr>
                <w:t>9</w:t>
              </w:r>
            </w:fldSimple>
            <w:r w:rsidRPr="00256D89">
              <w:t xml:space="preserve">: </w:t>
            </w:r>
            <w:r w:rsidRPr="00256D89">
              <w:rPr>
                <w:rFonts w:cs="Arial"/>
                <w:szCs w:val="20"/>
              </w:rPr>
              <w:t xml:space="preserve">Vstupy a výstupy </w:t>
            </w:r>
            <w:r>
              <w:rPr>
                <w:rFonts w:cs="Arial"/>
                <w:szCs w:val="20"/>
              </w:rPr>
              <w:t xml:space="preserve">pre výskum a vývoj </w:t>
            </w:r>
            <w:r w:rsidRPr="00256D89">
              <w:rPr>
                <w:rFonts w:cs="Arial"/>
                <w:szCs w:val="20"/>
              </w:rPr>
              <w:t>ako % priemeru V3</w:t>
            </w:r>
            <w:bookmarkEnd w:id="31"/>
            <w:bookmarkEnd w:id="32"/>
          </w:p>
        </w:tc>
        <w:tc>
          <w:tcPr>
            <w:tcW w:w="222" w:type="dxa"/>
            <w:tcBorders>
              <w:top w:val="nil"/>
              <w:left w:val="nil"/>
              <w:bottom w:val="nil"/>
              <w:right w:val="nil"/>
            </w:tcBorders>
            <w:vAlign w:val="center"/>
          </w:tcPr>
          <w:p w14:paraId="4FFA57B9" w14:textId="77777777" w:rsidR="00AC7707" w:rsidRPr="00256D89" w:rsidRDefault="00AC7707" w:rsidP="007E4A2E">
            <w:pPr>
              <w:spacing w:before="40" w:after="40" w:line="240" w:lineRule="auto"/>
              <w:rPr>
                <w:rFonts w:ascii="Arial Narrow" w:hAnsi="Arial Narrow" w:cs="Arial"/>
                <w:b/>
                <w:sz w:val="20"/>
                <w:szCs w:val="20"/>
              </w:rPr>
            </w:pPr>
          </w:p>
        </w:tc>
        <w:tc>
          <w:tcPr>
            <w:tcW w:w="4109" w:type="dxa"/>
            <w:tcBorders>
              <w:top w:val="nil"/>
              <w:left w:val="nil"/>
              <w:bottom w:val="single" w:sz="4" w:space="0" w:color="auto"/>
              <w:right w:val="nil"/>
            </w:tcBorders>
            <w:vAlign w:val="center"/>
          </w:tcPr>
          <w:p w14:paraId="5204384F" w14:textId="77777777" w:rsidR="00AC7707" w:rsidRDefault="00AC7707" w:rsidP="007E4A2E">
            <w:pPr>
              <w:pStyle w:val="Popis"/>
            </w:pPr>
            <w:bookmarkStart w:id="33" w:name="_Toc480760503"/>
            <w:bookmarkStart w:id="34" w:name="_Toc509513322"/>
            <w:r w:rsidRPr="00256D89">
              <w:t xml:space="preserve">Graf </w:t>
            </w:r>
            <w:fldSimple w:instr=" SEQ Graf \* ARABIC ">
              <w:r w:rsidR="00EE7207">
                <w:rPr>
                  <w:noProof/>
                </w:rPr>
                <w:t>10</w:t>
              </w:r>
            </w:fldSimple>
            <w:r w:rsidRPr="00256D89">
              <w:t xml:space="preserve">: </w:t>
            </w:r>
            <w:r w:rsidRPr="00256D89">
              <w:rPr>
                <w:rFonts w:cs="Arial"/>
                <w:szCs w:val="20"/>
              </w:rPr>
              <w:t>Výsledky testovania PISA (priemer bodov)</w:t>
            </w:r>
            <w:bookmarkEnd w:id="33"/>
            <w:bookmarkEnd w:id="34"/>
          </w:p>
        </w:tc>
      </w:tr>
      <w:tr w:rsidR="00AC7707" w:rsidRPr="00256D89" w14:paraId="73F0143D" w14:textId="77777777" w:rsidTr="005A7BFC">
        <w:tblPrEx>
          <w:tblCellMar>
            <w:left w:w="108" w:type="dxa"/>
            <w:right w:w="108" w:type="dxa"/>
          </w:tblCellMar>
        </w:tblPrEx>
        <w:trPr>
          <w:trHeight w:val="944"/>
        </w:trPr>
        <w:tc>
          <w:tcPr>
            <w:tcW w:w="4233" w:type="dxa"/>
            <w:tcBorders>
              <w:top w:val="single" w:sz="4" w:space="0" w:color="auto"/>
              <w:left w:val="nil"/>
              <w:bottom w:val="single" w:sz="4" w:space="0" w:color="auto"/>
              <w:right w:val="nil"/>
            </w:tcBorders>
            <w:vAlign w:val="center"/>
          </w:tcPr>
          <w:p w14:paraId="6BBE3B50" w14:textId="77777777" w:rsidR="00AC7707" w:rsidRPr="00256D89" w:rsidRDefault="00AC7707" w:rsidP="000413A0">
            <w:pPr>
              <w:spacing w:before="40" w:after="40" w:line="240" w:lineRule="auto"/>
              <w:ind w:left="-108"/>
              <w:jc w:val="center"/>
              <w:rPr>
                <w:rFonts w:ascii="Arial Narrow" w:hAnsi="Arial Narrow" w:cs="Arial"/>
                <w:b/>
                <w:sz w:val="20"/>
                <w:szCs w:val="20"/>
              </w:rPr>
            </w:pPr>
            <w:r>
              <w:rPr>
                <w:noProof/>
                <w:lang w:val="en-US" w:eastAsia="en-US"/>
              </w:rPr>
              <w:drawing>
                <wp:inline distT="0" distB="0" distL="0" distR="0" wp14:anchorId="6FC0B4DC" wp14:editId="4EE7414D">
                  <wp:extent cx="2657475" cy="2238375"/>
                  <wp:effectExtent l="0" t="0" r="0"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222" w:type="dxa"/>
            <w:tcBorders>
              <w:top w:val="nil"/>
              <w:left w:val="nil"/>
              <w:bottom w:val="nil"/>
              <w:right w:val="nil"/>
            </w:tcBorders>
            <w:vAlign w:val="center"/>
          </w:tcPr>
          <w:p w14:paraId="7BF66D9C" w14:textId="77777777" w:rsidR="00AC7707" w:rsidRPr="00256D89" w:rsidRDefault="00AC7707" w:rsidP="007E4A2E">
            <w:pPr>
              <w:spacing w:before="40" w:after="40" w:line="240" w:lineRule="auto"/>
              <w:jc w:val="center"/>
              <w:rPr>
                <w:rFonts w:ascii="Arial Narrow" w:hAnsi="Arial Narrow" w:cs="Arial"/>
                <w:b/>
                <w:sz w:val="20"/>
                <w:szCs w:val="20"/>
              </w:rPr>
            </w:pPr>
          </w:p>
        </w:tc>
        <w:tc>
          <w:tcPr>
            <w:tcW w:w="4109" w:type="dxa"/>
            <w:tcBorders>
              <w:top w:val="single" w:sz="4" w:space="0" w:color="auto"/>
              <w:left w:val="nil"/>
              <w:bottom w:val="single" w:sz="4" w:space="0" w:color="auto"/>
              <w:right w:val="nil"/>
            </w:tcBorders>
            <w:vAlign w:val="center"/>
          </w:tcPr>
          <w:p w14:paraId="37D7FC1F" w14:textId="77777777" w:rsidR="00AC7707" w:rsidRPr="00256D89" w:rsidRDefault="00AC7707" w:rsidP="007E4A2E">
            <w:pPr>
              <w:spacing w:before="40" w:after="40" w:line="240" w:lineRule="auto"/>
              <w:jc w:val="center"/>
              <w:rPr>
                <w:rFonts w:ascii="Arial Narrow" w:hAnsi="Arial Narrow" w:cs="Arial"/>
                <w:b/>
                <w:sz w:val="20"/>
                <w:szCs w:val="20"/>
              </w:rPr>
            </w:pPr>
            <w:r>
              <w:rPr>
                <w:noProof/>
                <w:lang w:val="en-US" w:eastAsia="en-US"/>
              </w:rPr>
              <w:drawing>
                <wp:inline distT="0" distB="0" distL="0" distR="0" wp14:anchorId="18C0F7AC" wp14:editId="3DEA4D03">
                  <wp:extent cx="2501265" cy="2038350"/>
                  <wp:effectExtent l="0" t="0" r="0" b="0"/>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AC7707" w:rsidRPr="00C83F39" w14:paraId="64AB7817" w14:textId="77777777" w:rsidTr="005A7BFC">
        <w:trPr>
          <w:trHeight w:val="120"/>
        </w:trPr>
        <w:tc>
          <w:tcPr>
            <w:tcW w:w="4233" w:type="dxa"/>
            <w:tcBorders>
              <w:top w:val="single" w:sz="4" w:space="0" w:color="auto"/>
              <w:left w:val="nil"/>
              <w:bottom w:val="nil"/>
              <w:right w:val="nil"/>
            </w:tcBorders>
            <w:vAlign w:val="center"/>
          </w:tcPr>
          <w:p w14:paraId="5C456657" w14:textId="77777777" w:rsidR="00AC7707" w:rsidRPr="00C83F39" w:rsidRDefault="00AC7707" w:rsidP="00D56E79">
            <w:pPr>
              <w:spacing w:after="120" w:line="240" w:lineRule="auto"/>
              <w:rPr>
                <w:rFonts w:ascii="Arial Narrow" w:hAnsi="Arial Narrow" w:cs="Arial"/>
                <w:sz w:val="16"/>
                <w:szCs w:val="14"/>
              </w:rPr>
            </w:pPr>
            <w:r w:rsidRPr="00C83F39">
              <w:rPr>
                <w:rFonts w:ascii="Arial Narrow" w:hAnsi="Arial Narrow" w:cs="Arial Narrow"/>
                <w:i/>
                <w:iCs/>
                <w:color w:val="000000"/>
                <w:sz w:val="16"/>
                <w:szCs w:val="16"/>
              </w:rPr>
              <w:t xml:space="preserve">Zdroj: </w:t>
            </w:r>
            <w:proofErr w:type="spellStart"/>
            <w:r w:rsidRPr="00C83F39">
              <w:rPr>
                <w:rFonts w:ascii="Arial Narrow" w:hAnsi="Arial Narrow" w:cs="Arial Narrow"/>
                <w:i/>
                <w:iCs/>
                <w:color w:val="000000"/>
                <w:sz w:val="16"/>
                <w:szCs w:val="16"/>
              </w:rPr>
              <w:t>Eurostat</w:t>
            </w:r>
            <w:proofErr w:type="spellEnd"/>
            <w:r w:rsidR="00E23E16">
              <w:t xml:space="preserve"> </w:t>
            </w:r>
            <w:r w:rsidR="00010B97">
              <w:rPr>
                <w:rFonts w:ascii="Arial Narrow" w:hAnsi="Arial Narrow" w:cs="Arial Narrow"/>
                <w:i/>
                <w:iCs/>
                <w:color w:val="000000"/>
                <w:sz w:val="16"/>
                <w:szCs w:val="16"/>
              </w:rPr>
              <w:t>(</w:t>
            </w:r>
            <w:proofErr w:type="spellStart"/>
            <w:r w:rsidR="00E23E16" w:rsidRPr="00E23E16">
              <w:rPr>
                <w:rFonts w:ascii="Arial Narrow" w:hAnsi="Arial Narrow" w:cs="Arial Narrow"/>
                <w:i/>
                <w:iCs/>
                <w:color w:val="000000"/>
                <w:sz w:val="16"/>
                <w:szCs w:val="16"/>
              </w:rPr>
              <w:t>rd_e_gerdsc</w:t>
            </w:r>
            <w:proofErr w:type="spellEnd"/>
            <w:r w:rsidR="00010B97">
              <w:rPr>
                <w:rFonts w:ascii="Arial Narrow" w:hAnsi="Arial Narrow" w:cs="Arial Narrow"/>
                <w:i/>
                <w:iCs/>
                <w:color w:val="000000"/>
                <w:sz w:val="16"/>
                <w:szCs w:val="16"/>
              </w:rPr>
              <w:t>)</w:t>
            </w:r>
            <w:r w:rsidR="00E23E16">
              <w:rPr>
                <w:rFonts w:ascii="Arial Narrow" w:hAnsi="Arial Narrow" w:cs="Arial Narrow"/>
                <w:i/>
                <w:iCs/>
                <w:color w:val="000000"/>
                <w:sz w:val="16"/>
                <w:szCs w:val="16"/>
              </w:rPr>
              <w:t>,</w:t>
            </w:r>
            <w:r w:rsidR="00E23E16">
              <w:t xml:space="preserve"> </w:t>
            </w:r>
            <w:r w:rsidR="00010B97">
              <w:rPr>
                <w:rFonts w:ascii="Arial Narrow" w:hAnsi="Arial Narrow" w:cs="Arial Narrow"/>
                <w:i/>
                <w:iCs/>
                <w:color w:val="000000"/>
                <w:sz w:val="16"/>
                <w:szCs w:val="16"/>
              </w:rPr>
              <w:t>(</w:t>
            </w:r>
            <w:proofErr w:type="spellStart"/>
            <w:r w:rsidR="00E23E16" w:rsidRPr="00E23E16">
              <w:rPr>
                <w:rFonts w:ascii="Arial Narrow" w:hAnsi="Arial Narrow" w:cs="Arial Narrow"/>
                <w:i/>
                <w:iCs/>
                <w:color w:val="000000"/>
                <w:sz w:val="16"/>
                <w:szCs w:val="16"/>
              </w:rPr>
              <w:t>rd_p_persocc</w:t>
            </w:r>
            <w:proofErr w:type="spellEnd"/>
            <w:r w:rsidR="00010B97">
              <w:rPr>
                <w:rFonts w:ascii="Arial Narrow" w:hAnsi="Arial Narrow" w:cs="Arial Narrow"/>
                <w:i/>
                <w:iCs/>
                <w:color w:val="000000"/>
                <w:sz w:val="16"/>
                <w:szCs w:val="16"/>
              </w:rPr>
              <w:t>)</w:t>
            </w:r>
            <w:r w:rsidR="00E23E16">
              <w:rPr>
                <w:rFonts w:ascii="Arial Narrow" w:hAnsi="Arial Narrow" w:cs="Arial Narrow"/>
                <w:i/>
                <w:iCs/>
                <w:color w:val="000000"/>
                <w:sz w:val="16"/>
                <w:szCs w:val="16"/>
              </w:rPr>
              <w:t>,</w:t>
            </w:r>
            <w:r w:rsidR="00E23E16">
              <w:t xml:space="preserve"> </w:t>
            </w:r>
            <w:r w:rsidR="00010B97">
              <w:rPr>
                <w:rFonts w:ascii="Arial Narrow" w:hAnsi="Arial Narrow" w:cs="Arial Narrow"/>
                <w:i/>
                <w:iCs/>
                <w:color w:val="000000"/>
                <w:sz w:val="16"/>
                <w:szCs w:val="16"/>
              </w:rPr>
              <w:t>(</w:t>
            </w:r>
            <w:r w:rsidR="00E23E16" w:rsidRPr="00E23E16">
              <w:rPr>
                <w:rFonts w:ascii="Arial Narrow" w:hAnsi="Arial Narrow" w:cs="Arial Narrow"/>
                <w:i/>
                <w:iCs/>
                <w:color w:val="000000"/>
                <w:sz w:val="16"/>
                <w:szCs w:val="16"/>
              </w:rPr>
              <w:t>nama_10_pe</w:t>
            </w:r>
            <w:r w:rsidR="00010B97">
              <w:rPr>
                <w:rFonts w:ascii="Arial Narrow" w:hAnsi="Arial Narrow" w:cs="Arial Narrow"/>
                <w:i/>
                <w:iCs/>
                <w:color w:val="000000"/>
                <w:sz w:val="16"/>
                <w:szCs w:val="16"/>
              </w:rPr>
              <w:t>)</w:t>
            </w:r>
            <w:r w:rsidRPr="00C83F39">
              <w:rPr>
                <w:rFonts w:ascii="Arial Narrow" w:hAnsi="Arial Narrow" w:cs="Arial Narrow"/>
                <w:i/>
                <w:iCs/>
                <w:color w:val="000000"/>
                <w:sz w:val="16"/>
                <w:szCs w:val="16"/>
              </w:rPr>
              <w:t xml:space="preserve">, </w:t>
            </w:r>
            <w:proofErr w:type="spellStart"/>
            <w:r w:rsidRPr="00C83F39">
              <w:rPr>
                <w:rFonts w:ascii="Arial Narrow" w:hAnsi="Arial Narrow" w:cs="Arial Narrow"/>
                <w:i/>
                <w:iCs/>
                <w:color w:val="000000"/>
                <w:sz w:val="16"/>
                <w:szCs w:val="16"/>
              </w:rPr>
              <w:t>Scimago</w:t>
            </w:r>
            <w:proofErr w:type="spellEnd"/>
            <w:r w:rsidRPr="00C83F39">
              <w:rPr>
                <w:rFonts w:ascii="Arial Narrow" w:hAnsi="Arial Narrow" w:cs="Arial Narrow"/>
                <w:i/>
                <w:iCs/>
                <w:color w:val="000000"/>
                <w:sz w:val="16"/>
                <w:szCs w:val="16"/>
              </w:rPr>
              <w:t xml:space="preserve"> </w:t>
            </w:r>
            <w:proofErr w:type="spellStart"/>
            <w:r w:rsidR="00E23E16">
              <w:rPr>
                <w:rFonts w:ascii="Arial Narrow" w:hAnsi="Arial Narrow" w:cs="Arial Narrow"/>
                <w:i/>
                <w:iCs/>
                <w:color w:val="000000"/>
                <w:sz w:val="16"/>
                <w:szCs w:val="16"/>
              </w:rPr>
              <w:t>Journal</w:t>
            </w:r>
            <w:proofErr w:type="spellEnd"/>
            <w:r w:rsidR="00E23E16">
              <w:rPr>
                <w:rFonts w:ascii="Arial Narrow" w:hAnsi="Arial Narrow" w:cs="Arial Narrow"/>
                <w:i/>
                <w:iCs/>
                <w:color w:val="000000"/>
                <w:sz w:val="16"/>
                <w:szCs w:val="16"/>
              </w:rPr>
              <w:t xml:space="preserve"> </w:t>
            </w:r>
            <w:proofErr w:type="spellStart"/>
            <w:r w:rsidR="00E23E16">
              <w:rPr>
                <w:rFonts w:ascii="Arial Narrow" w:hAnsi="Arial Narrow" w:cs="Arial Narrow"/>
                <w:i/>
                <w:iCs/>
                <w:color w:val="000000"/>
                <w:sz w:val="16"/>
                <w:szCs w:val="16"/>
              </w:rPr>
              <w:t>Rank</w:t>
            </w:r>
            <w:proofErr w:type="spellEnd"/>
          </w:p>
        </w:tc>
        <w:tc>
          <w:tcPr>
            <w:tcW w:w="222" w:type="dxa"/>
            <w:tcBorders>
              <w:top w:val="nil"/>
              <w:left w:val="nil"/>
              <w:bottom w:val="nil"/>
              <w:right w:val="nil"/>
            </w:tcBorders>
            <w:vAlign w:val="center"/>
          </w:tcPr>
          <w:p w14:paraId="6D73ECF2" w14:textId="77777777" w:rsidR="00AC7707" w:rsidRPr="00C83F39" w:rsidRDefault="00AC7707" w:rsidP="007E4A2E">
            <w:pPr>
              <w:spacing w:after="120" w:line="240" w:lineRule="auto"/>
              <w:jc w:val="center"/>
              <w:rPr>
                <w:rFonts w:ascii="Arial Narrow" w:hAnsi="Arial Narrow" w:cs="Arial"/>
                <w:sz w:val="16"/>
                <w:szCs w:val="14"/>
              </w:rPr>
            </w:pPr>
          </w:p>
        </w:tc>
        <w:tc>
          <w:tcPr>
            <w:tcW w:w="4109" w:type="dxa"/>
            <w:tcBorders>
              <w:top w:val="single" w:sz="4" w:space="0" w:color="auto"/>
              <w:left w:val="nil"/>
              <w:bottom w:val="nil"/>
              <w:right w:val="nil"/>
            </w:tcBorders>
            <w:vAlign w:val="center"/>
          </w:tcPr>
          <w:p w14:paraId="1355FBD9" w14:textId="77777777" w:rsidR="00AC7707" w:rsidRPr="00C83F39" w:rsidRDefault="00AC7707" w:rsidP="007E4A2E">
            <w:pPr>
              <w:spacing w:after="120" w:line="240" w:lineRule="auto"/>
              <w:jc w:val="right"/>
              <w:rPr>
                <w:rFonts w:ascii="Arial Narrow" w:hAnsi="Arial Narrow" w:cs="Arial"/>
                <w:sz w:val="16"/>
                <w:szCs w:val="14"/>
              </w:rPr>
            </w:pPr>
            <w:r w:rsidRPr="00C83F39">
              <w:rPr>
                <w:rFonts w:ascii="Arial Narrow" w:hAnsi="Arial Narrow" w:cs="Arial Narrow"/>
                <w:i/>
                <w:iCs/>
                <w:color w:val="000000"/>
                <w:sz w:val="16"/>
                <w:szCs w:val="16"/>
              </w:rPr>
              <w:t>Zdroj: PISA</w:t>
            </w:r>
            <w:r w:rsidR="00114DC9">
              <w:rPr>
                <w:rFonts w:ascii="Arial Narrow" w:hAnsi="Arial Narrow" w:cs="Arial Narrow"/>
                <w:i/>
                <w:iCs/>
                <w:color w:val="000000"/>
                <w:sz w:val="16"/>
                <w:szCs w:val="16"/>
              </w:rPr>
              <w:t xml:space="preserve"> 2015</w:t>
            </w:r>
            <w:r w:rsidRPr="00C83F39">
              <w:rPr>
                <w:rFonts w:ascii="Arial Narrow" w:hAnsi="Arial Narrow" w:cs="Arial Narrow"/>
                <w:i/>
                <w:iCs/>
                <w:color w:val="000000"/>
                <w:sz w:val="16"/>
                <w:szCs w:val="16"/>
              </w:rPr>
              <w:t xml:space="preserve">, OECD </w:t>
            </w:r>
          </w:p>
        </w:tc>
      </w:tr>
    </w:tbl>
    <w:p w14:paraId="212AF667" w14:textId="77777777" w:rsidR="005A7BFC" w:rsidRDefault="005A7BFC" w:rsidP="005A7BFC">
      <w:pPr>
        <w:spacing w:after="0" w:line="240" w:lineRule="auto"/>
        <w:jc w:val="both"/>
        <w:rPr>
          <w:rFonts w:ascii="Arial Narrow" w:hAnsi="Arial Narrow"/>
          <w:bCs/>
          <w:color w:val="000000"/>
          <w:lang w:eastAsia="en-US"/>
        </w:rPr>
      </w:pPr>
    </w:p>
    <w:p w14:paraId="083BA46A" w14:textId="45C689F4" w:rsidR="005A7BFC" w:rsidRDefault="005A7BFC" w:rsidP="005A7BFC">
      <w:pPr>
        <w:spacing w:after="0" w:line="240" w:lineRule="auto"/>
        <w:jc w:val="both"/>
        <w:rPr>
          <w:rFonts w:ascii="Arial Narrow" w:hAnsi="Arial Narrow"/>
          <w:bCs/>
          <w:color w:val="000000"/>
          <w:lang w:eastAsia="en-US"/>
        </w:rPr>
      </w:pPr>
      <w:r w:rsidRPr="00D40F2E">
        <w:rPr>
          <w:rFonts w:ascii="Arial Narrow" w:hAnsi="Arial Narrow"/>
          <w:bCs/>
          <w:color w:val="000000"/>
          <w:lang w:eastAsia="en-US"/>
        </w:rPr>
        <w:t xml:space="preserve">Prioritou zostáva kvalita vysokého školstva, </w:t>
      </w:r>
      <w:r w:rsidR="00A62A9B">
        <w:rPr>
          <w:rFonts w:ascii="Arial Narrow" w:hAnsi="Arial Narrow"/>
          <w:bCs/>
          <w:color w:val="000000"/>
          <w:lang w:eastAsia="en-US"/>
        </w:rPr>
        <w:t>avšak</w:t>
      </w:r>
      <w:r w:rsidR="00D02D5F">
        <w:rPr>
          <w:rFonts w:ascii="Arial Narrow" w:hAnsi="Arial Narrow"/>
          <w:bCs/>
          <w:color w:val="000000"/>
          <w:lang w:eastAsia="en-US"/>
        </w:rPr>
        <w:t xml:space="preserve"> legislatívny proces</w:t>
      </w:r>
      <w:r w:rsidR="00D02D5F" w:rsidRPr="00D40F2E" w:rsidDel="00A62A9B">
        <w:rPr>
          <w:rFonts w:ascii="Arial Narrow" w:hAnsi="Arial Narrow"/>
          <w:bCs/>
          <w:color w:val="000000"/>
          <w:lang w:eastAsia="en-US"/>
        </w:rPr>
        <w:t xml:space="preserve"> </w:t>
      </w:r>
      <w:r w:rsidR="00D02D5F">
        <w:rPr>
          <w:rFonts w:ascii="Arial Narrow" w:hAnsi="Arial Narrow"/>
          <w:bCs/>
          <w:color w:val="000000"/>
          <w:lang w:eastAsia="en-US"/>
        </w:rPr>
        <w:t xml:space="preserve">týkajúci sa zákonov </w:t>
      </w:r>
      <w:r>
        <w:rPr>
          <w:rFonts w:ascii="Arial Narrow" w:hAnsi="Arial Narrow"/>
          <w:bCs/>
          <w:color w:val="000000"/>
          <w:lang w:eastAsia="en-US"/>
        </w:rPr>
        <w:t>reform</w:t>
      </w:r>
      <w:r w:rsidR="00D02D5F">
        <w:rPr>
          <w:rFonts w:ascii="Arial Narrow" w:hAnsi="Arial Narrow"/>
          <w:bCs/>
          <w:color w:val="000000"/>
          <w:lang w:eastAsia="en-US"/>
        </w:rPr>
        <w:t>ujúcich</w:t>
      </w:r>
      <w:r>
        <w:rPr>
          <w:rFonts w:ascii="Arial Narrow" w:hAnsi="Arial Narrow"/>
          <w:bCs/>
          <w:color w:val="000000"/>
          <w:lang w:eastAsia="en-US"/>
        </w:rPr>
        <w:t xml:space="preserve"> akreditačn</w:t>
      </w:r>
      <w:r w:rsidR="00D02D5F">
        <w:rPr>
          <w:rFonts w:ascii="Arial Narrow" w:hAnsi="Arial Narrow"/>
          <w:bCs/>
          <w:color w:val="000000"/>
          <w:lang w:eastAsia="en-US"/>
        </w:rPr>
        <w:t>ú</w:t>
      </w:r>
      <w:r>
        <w:rPr>
          <w:rFonts w:ascii="Arial Narrow" w:hAnsi="Arial Narrow"/>
          <w:bCs/>
          <w:color w:val="000000"/>
          <w:lang w:eastAsia="en-US"/>
        </w:rPr>
        <w:t xml:space="preserve"> komisi</w:t>
      </w:r>
      <w:r w:rsidR="00D02D5F">
        <w:rPr>
          <w:rFonts w:ascii="Arial Narrow" w:hAnsi="Arial Narrow"/>
          <w:bCs/>
          <w:color w:val="000000"/>
          <w:lang w:eastAsia="en-US"/>
        </w:rPr>
        <w:t>u</w:t>
      </w:r>
      <w:r>
        <w:rPr>
          <w:rFonts w:ascii="Arial Narrow" w:hAnsi="Arial Narrow"/>
          <w:bCs/>
          <w:color w:val="000000"/>
          <w:lang w:eastAsia="en-US"/>
        </w:rPr>
        <w:t>, proces akreditácie a hodnotenia a financovania</w:t>
      </w:r>
      <w:r w:rsidRPr="00D40F2E">
        <w:rPr>
          <w:rFonts w:ascii="Arial Narrow" w:hAnsi="Arial Narrow"/>
          <w:bCs/>
          <w:color w:val="000000"/>
          <w:lang w:eastAsia="en-US"/>
        </w:rPr>
        <w:t xml:space="preserve"> </w:t>
      </w:r>
      <w:r>
        <w:rPr>
          <w:rFonts w:ascii="Arial Narrow" w:hAnsi="Arial Narrow"/>
          <w:bCs/>
          <w:color w:val="000000"/>
          <w:lang w:eastAsia="en-US"/>
        </w:rPr>
        <w:t>tvorivej činnosti</w:t>
      </w:r>
      <w:r w:rsidR="005F5219">
        <w:rPr>
          <w:rFonts w:ascii="Arial Narrow" w:hAnsi="Arial Narrow"/>
          <w:bCs/>
          <w:color w:val="000000"/>
          <w:lang w:eastAsia="en-US"/>
        </w:rPr>
        <w:t xml:space="preserve"> bol prerušený</w:t>
      </w:r>
      <w:r>
        <w:rPr>
          <w:rFonts w:ascii="Arial Narrow" w:hAnsi="Arial Narrow"/>
          <w:bCs/>
          <w:color w:val="000000"/>
          <w:lang w:eastAsia="en-US"/>
        </w:rPr>
        <w:t xml:space="preserve">. </w:t>
      </w:r>
      <w:r w:rsidR="00091329">
        <w:rPr>
          <w:rFonts w:ascii="Arial Narrow" w:hAnsi="Arial Narrow"/>
          <w:bCs/>
          <w:color w:val="000000"/>
          <w:lang w:eastAsia="en-US"/>
        </w:rPr>
        <w:t>Stále pokračuje k</w:t>
      </w:r>
      <w:r w:rsidR="00091329" w:rsidRPr="00091329">
        <w:rPr>
          <w:rFonts w:ascii="Arial Narrow" w:hAnsi="Arial Narrow"/>
          <w:bCs/>
          <w:color w:val="000000"/>
          <w:lang w:eastAsia="en-US"/>
        </w:rPr>
        <w:t>onanie</w:t>
      </w:r>
      <w:r w:rsidR="005F5219">
        <w:rPr>
          <w:rFonts w:ascii="Arial Narrow" w:hAnsi="Arial Narrow"/>
          <w:bCs/>
          <w:color w:val="000000"/>
          <w:lang w:eastAsia="en-US"/>
        </w:rPr>
        <w:t>, ktoré</w:t>
      </w:r>
      <w:r w:rsidR="00091329" w:rsidRPr="00091329">
        <w:rPr>
          <w:rFonts w:ascii="Arial Narrow" w:hAnsi="Arial Narrow"/>
          <w:bCs/>
          <w:color w:val="000000"/>
          <w:lang w:eastAsia="en-US"/>
        </w:rPr>
        <w:t xml:space="preserve"> v roku 2015 spustila Európska komisia proti Slovensku pre systematickú diskrimináciu a segregá</w:t>
      </w:r>
      <w:r w:rsidR="00091329">
        <w:rPr>
          <w:rFonts w:ascii="Arial Narrow" w:hAnsi="Arial Narrow"/>
          <w:bCs/>
          <w:color w:val="000000"/>
          <w:lang w:eastAsia="en-US"/>
        </w:rPr>
        <w:t>ciu rómskych detí vo vzdelávaní</w:t>
      </w:r>
      <w:r w:rsidR="00091329">
        <w:rPr>
          <w:rStyle w:val="Odkaznapoznmkupodiarou"/>
          <w:rFonts w:ascii="Arial Narrow" w:hAnsi="Arial Narrow"/>
          <w:bCs/>
          <w:color w:val="000000"/>
          <w:lang w:eastAsia="en-US"/>
        </w:rPr>
        <w:footnoteReference w:id="26"/>
      </w:r>
      <w:r w:rsidR="00091329" w:rsidRPr="00091329">
        <w:rPr>
          <w:rFonts w:ascii="Arial Narrow" w:hAnsi="Arial Narrow"/>
          <w:bCs/>
          <w:color w:val="000000"/>
          <w:lang w:eastAsia="en-US"/>
        </w:rPr>
        <w:t>.</w:t>
      </w:r>
      <w:r w:rsidR="00091329">
        <w:rPr>
          <w:rFonts w:ascii="Arial Narrow" w:hAnsi="Arial Narrow"/>
          <w:bCs/>
          <w:color w:val="000000"/>
          <w:lang w:eastAsia="en-US"/>
        </w:rPr>
        <w:t xml:space="preserve"> </w:t>
      </w:r>
      <w:r w:rsidR="00D64443" w:rsidRPr="00D64443">
        <w:rPr>
          <w:rFonts w:ascii="Arial Narrow" w:hAnsi="Arial Narrow"/>
          <w:bCs/>
          <w:color w:val="000000"/>
          <w:lang w:eastAsia="en-US"/>
        </w:rPr>
        <w:t xml:space="preserve">V rozpore s odporúčaním revízie výdavkov </w:t>
      </w:r>
      <w:r w:rsidR="00153D27">
        <w:rPr>
          <w:rFonts w:ascii="Arial Narrow" w:hAnsi="Arial Narrow"/>
          <w:bCs/>
          <w:color w:val="000000"/>
          <w:lang w:eastAsia="en-US"/>
        </w:rPr>
        <w:t xml:space="preserve">na vzdelávanie </w:t>
      </w:r>
      <w:r w:rsidR="00D64443" w:rsidRPr="00D64443">
        <w:rPr>
          <w:rFonts w:ascii="Arial Narrow" w:hAnsi="Arial Narrow"/>
          <w:bCs/>
          <w:color w:val="000000"/>
          <w:lang w:eastAsia="en-US"/>
        </w:rPr>
        <w:t>sa javí zmena v oblasti kontinuálneho vzdelávania pedagogických a odborných zamestnancov. Namiesto ukončenia schémy kreditových príplatkov sa naopak pristúpilo k odstráneniu časovej platnosti kreditov (7 rokov). Dochádza tým k zafixovaniu kreditového príplatku na neobmedzený čas</w:t>
      </w:r>
      <w:r w:rsidR="00D64443" w:rsidRPr="00E87F25">
        <w:rPr>
          <w:rStyle w:val="Odkaznapoznmkupodiarou"/>
          <w:rFonts w:ascii="Arial Narrow" w:hAnsi="Arial Narrow"/>
        </w:rPr>
        <w:footnoteReference w:id="27"/>
      </w:r>
      <w:r w:rsidR="00D64443" w:rsidRPr="00D64443">
        <w:rPr>
          <w:rFonts w:ascii="Arial Narrow" w:hAnsi="Arial Narrow"/>
          <w:bCs/>
          <w:color w:val="000000"/>
          <w:lang w:eastAsia="en-US"/>
        </w:rPr>
        <w:t>, navyše be</w:t>
      </w:r>
      <w:r w:rsidR="00D64443">
        <w:rPr>
          <w:rFonts w:ascii="Arial Narrow" w:hAnsi="Arial Narrow"/>
          <w:bCs/>
          <w:color w:val="000000"/>
          <w:lang w:eastAsia="en-US"/>
        </w:rPr>
        <w:t>z nutnosti ďalšieho vzdelávania.</w:t>
      </w:r>
    </w:p>
    <w:p w14:paraId="731F258F" w14:textId="77777777" w:rsidR="005A7BFC" w:rsidRDefault="005A7BFC" w:rsidP="00AC7707">
      <w:pPr>
        <w:pStyle w:val="Default"/>
        <w:jc w:val="both"/>
        <w:rPr>
          <w:rFonts w:ascii="Arial Narrow" w:hAnsi="Arial Narrow"/>
          <w:b/>
          <w:i/>
          <w:sz w:val="22"/>
          <w:szCs w:val="22"/>
        </w:rPr>
      </w:pPr>
    </w:p>
    <w:p w14:paraId="0CF0E1DA" w14:textId="77777777" w:rsidR="00AC7707" w:rsidRPr="00C04304" w:rsidRDefault="00AC7707" w:rsidP="00AC7707">
      <w:pPr>
        <w:pStyle w:val="Default"/>
        <w:jc w:val="both"/>
        <w:rPr>
          <w:rFonts w:ascii="Arial Narrow" w:hAnsi="Arial Narrow"/>
          <w:sz w:val="22"/>
          <w:szCs w:val="22"/>
        </w:rPr>
      </w:pPr>
      <w:r w:rsidRPr="00C04304">
        <w:rPr>
          <w:rFonts w:ascii="Arial Narrow" w:hAnsi="Arial Narrow"/>
          <w:b/>
          <w:i/>
          <w:sz w:val="22"/>
          <w:szCs w:val="22"/>
        </w:rPr>
        <w:t>Národný program rozvoja výchovy a vzdelávania (NPRVV)</w:t>
      </w:r>
      <w:r w:rsidRPr="00C04304">
        <w:rPr>
          <w:rFonts w:ascii="Arial Narrow" w:hAnsi="Arial Narrow"/>
          <w:sz w:val="22"/>
          <w:szCs w:val="22"/>
        </w:rPr>
        <w:t xml:space="preserve"> </w:t>
      </w:r>
    </w:p>
    <w:p w14:paraId="10152843" w14:textId="558DED7B" w:rsidR="00AC7707" w:rsidRDefault="00AC7707" w:rsidP="00AC7707">
      <w:pPr>
        <w:pStyle w:val="Default"/>
        <w:jc w:val="both"/>
        <w:rPr>
          <w:rFonts w:ascii="Arial Narrow" w:hAnsi="Arial Narrow"/>
          <w:sz w:val="22"/>
          <w:szCs w:val="22"/>
        </w:rPr>
      </w:pPr>
      <w:r>
        <w:rPr>
          <w:rFonts w:ascii="Arial Narrow" w:hAnsi="Arial Narrow"/>
          <w:sz w:val="22"/>
          <w:szCs w:val="22"/>
        </w:rPr>
        <w:t>F</w:t>
      </w:r>
      <w:r w:rsidR="0032482E">
        <w:rPr>
          <w:rFonts w:ascii="Arial Narrow" w:hAnsi="Arial Narrow"/>
          <w:sz w:val="22"/>
          <w:szCs w:val="22"/>
        </w:rPr>
        <w:t xml:space="preserve">inálna verzia dokumentu </w:t>
      </w:r>
      <w:hyperlink r:id="rId22" w:history="1">
        <w:r w:rsidRPr="0032482E">
          <w:rPr>
            <w:rStyle w:val="Hypertextovprepojenie"/>
            <w:rFonts w:ascii="Arial Narrow" w:hAnsi="Arial Narrow"/>
            <w:i/>
            <w:color w:val="2C9ADC"/>
            <w:sz w:val="22"/>
            <w:szCs w:val="22"/>
          </w:rPr>
          <w:t>Učiace sa Slovensko</w:t>
        </w:r>
      </w:hyperlink>
      <w:r w:rsidR="006106E7">
        <w:rPr>
          <w:rFonts w:ascii="Arial Narrow" w:hAnsi="Arial Narrow"/>
          <w:sz w:val="22"/>
          <w:szCs w:val="22"/>
        </w:rPr>
        <w:t>,</w:t>
      </w:r>
      <w:r>
        <w:rPr>
          <w:rFonts w:ascii="Arial Narrow" w:hAnsi="Arial Narrow"/>
          <w:sz w:val="22"/>
          <w:szCs w:val="22"/>
        </w:rPr>
        <w:t xml:space="preserve"> </w:t>
      </w:r>
      <w:r w:rsidR="006106E7">
        <w:rPr>
          <w:rFonts w:ascii="Arial Narrow" w:hAnsi="Arial Narrow"/>
          <w:sz w:val="22"/>
          <w:szCs w:val="22"/>
        </w:rPr>
        <w:t>ktorý f</w:t>
      </w:r>
      <w:r w:rsidR="006106E7" w:rsidRPr="006106E7">
        <w:rPr>
          <w:rFonts w:ascii="Arial Narrow" w:hAnsi="Arial Narrow"/>
          <w:sz w:val="22"/>
          <w:szCs w:val="22"/>
        </w:rPr>
        <w:t>ormuluje zásadné systémové zmeny a ciele, ktoré je potrebné naplniť na zvládnutie výziev slovenského školstva</w:t>
      </w:r>
      <w:r w:rsidR="005A1AEA">
        <w:rPr>
          <w:rFonts w:ascii="Arial Narrow" w:hAnsi="Arial Narrow"/>
          <w:sz w:val="22"/>
          <w:szCs w:val="22"/>
        </w:rPr>
        <w:t xml:space="preserve">, </w:t>
      </w:r>
      <w:r>
        <w:rPr>
          <w:rFonts w:ascii="Arial Narrow" w:hAnsi="Arial Narrow"/>
          <w:sz w:val="22"/>
          <w:szCs w:val="22"/>
        </w:rPr>
        <w:t>bude</w:t>
      </w:r>
      <w:r w:rsidRPr="002E1A7C">
        <w:rPr>
          <w:rFonts w:ascii="Arial Narrow" w:hAnsi="Arial Narrow"/>
          <w:sz w:val="22"/>
          <w:szCs w:val="22"/>
        </w:rPr>
        <w:t xml:space="preserve"> </w:t>
      </w:r>
      <w:r w:rsidR="006106E7">
        <w:rPr>
          <w:rFonts w:ascii="Arial Narrow" w:hAnsi="Arial Narrow"/>
          <w:sz w:val="22"/>
          <w:szCs w:val="22"/>
        </w:rPr>
        <w:t xml:space="preserve">po zverejnení v septembri 2017 </w:t>
      </w:r>
      <w:r w:rsidRPr="002E1A7C">
        <w:rPr>
          <w:rFonts w:ascii="Arial Narrow" w:hAnsi="Arial Narrow"/>
          <w:sz w:val="22"/>
          <w:szCs w:val="22"/>
        </w:rPr>
        <w:t xml:space="preserve">východiskom pre </w:t>
      </w:r>
      <w:r w:rsidRPr="0032482E">
        <w:rPr>
          <w:rFonts w:ascii="Arial Narrow" w:hAnsi="Arial Narrow"/>
          <w:b/>
          <w:i/>
          <w:sz w:val="22"/>
          <w:szCs w:val="22"/>
        </w:rPr>
        <w:t>Národný program rozvoja výchovy a vzdelávania</w:t>
      </w:r>
      <w:r w:rsidRPr="002E1A7C">
        <w:rPr>
          <w:rFonts w:ascii="Arial Narrow" w:hAnsi="Arial Narrow"/>
          <w:sz w:val="22"/>
          <w:szCs w:val="22"/>
        </w:rPr>
        <w:t>. Ten bude obsahovať aj dlhodobú koncepciu obsahu výchovy a vzdelávania a bude pokrývať dlhodobé zámery a ciele SR v oblasti výchovy a vzdelávania na obdobie 10 rokov. Dokument bude predložený na rokovanie vlády SR a bude obsahovať aj akčné plány</w:t>
      </w:r>
      <w:r w:rsidR="00324C7C">
        <w:rPr>
          <w:rFonts w:ascii="Arial Narrow" w:hAnsi="Arial Narrow"/>
          <w:sz w:val="22"/>
          <w:szCs w:val="22"/>
        </w:rPr>
        <w:t xml:space="preserve"> </w:t>
      </w:r>
      <w:r w:rsidR="00324C7C" w:rsidRPr="002E1A7C">
        <w:rPr>
          <w:rFonts w:ascii="Arial Narrow" w:hAnsi="Arial Narrow"/>
          <w:sz w:val="22"/>
          <w:szCs w:val="22"/>
        </w:rPr>
        <w:t>a odhad výdavkov na jednotlivé opatrenia.</w:t>
      </w:r>
      <w:r w:rsidR="00324C7C">
        <w:rPr>
          <w:rFonts w:ascii="Arial Narrow" w:hAnsi="Arial Narrow"/>
          <w:sz w:val="22"/>
          <w:szCs w:val="22"/>
        </w:rPr>
        <w:t xml:space="preserve"> Prvý akčný plán bude ku šk</w:t>
      </w:r>
      <w:r w:rsidR="005B4963">
        <w:rPr>
          <w:rFonts w:ascii="Arial Narrow" w:hAnsi="Arial Narrow"/>
          <w:sz w:val="22"/>
          <w:szCs w:val="22"/>
        </w:rPr>
        <w:t>olskému</w:t>
      </w:r>
      <w:r w:rsidR="00324C7C">
        <w:rPr>
          <w:rFonts w:ascii="Arial Narrow" w:hAnsi="Arial Narrow"/>
          <w:sz w:val="22"/>
          <w:szCs w:val="22"/>
        </w:rPr>
        <w:t xml:space="preserve"> roku 2018</w:t>
      </w:r>
      <w:r w:rsidR="00324C7C">
        <w:rPr>
          <w:rFonts w:ascii="Arial Narrow" w:hAnsi="Arial Narrow"/>
          <w:sz w:val="22"/>
          <w:szCs w:val="22"/>
          <w:lang w:val="en-US"/>
        </w:rPr>
        <w:t>/2019</w:t>
      </w:r>
      <w:r w:rsidR="0032482E">
        <w:rPr>
          <w:rFonts w:ascii="Arial Narrow" w:hAnsi="Arial Narrow"/>
          <w:sz w:val="22"/>
          <w:szCs w:val="22"/>
          <w:lang w:val="en-US"/>
        </w:rPr>
        <w:t>.</w:t>
      </w:r>
      <w:r w:rsidRPr="002E1A7C">
        <w:rPr>
          <w:rFonts w:ascii="Arial Narrow" w:hAnsi="Arial Narrow"/>
          <w:sz w:val="22"/>
          <w:szCs w:val="22"/>
        </w:rPr>
        <w:t xml:space="preserve"> </w:t>
      </w:r>
    </w:p>
    <w:p w14:paraId="16B6516F" w14:textId="77777777" w:rsidR="00FA6AED" w:rsidRDefault="00FA6AED" w:rsidP="00AC7707">
      <w:pPr>
        <w:pStyle w:val="Default"/>
        <w:jc w:val="both"/>
        <w:rPr>
          <w:rFonts w:ascii="Arial Narrow" w:hAnsi="Arial Narrow"/>
          <w:sz w:val="22"/>
          <w:szCs w:val="22"/>
        </w:rPr>
      </w:pPr>
    </w:p>
    <w:p w14:paraId="6B5EC08D" w14:textId="77777777" w:rsidR="00AC7707" w:rsidRPr="00C04304" w:rsidRDefault="00AC7707" w:rsidP="00AC7707">
      <w:pPr>
        <w:pStyle w:val="Default"/>
        <w:jc w:val="both"/>
        <w:rPr>
          <w:rFonts w:ascii="Arial Narrow" w:hAnsi="Arial Narrow"/>
          <w:b/>
          <w:i/>
          <w:sz w:val="22"/>
          <w:szCs w:val="22"/>
        </w:rPr>
      </w:pPr>
      <w:r w:rsidRPr="00C04304">
        <w:rPr>
          <w:rFonts w:ascii="Arial Narrow" w:hAnsi="Arial Narrow"/>
          <w:b/>
          <w:i/>
          <w:sz w:val="22"/>
          <w:szCs w:val="22"/>
        </w:rPr>
        <w:t xml:space="preserve">Revízia výdavkov v rámci projektu Hodnota za peniaze </w:t>
      </w:r>
    </w:p>
    <w:p w14:paraId="2D0DC807" w14:textId="492A48B1" w:rsidR="00AC7707" w:rsidRDefault="00AC7707" w:rsidP="00E87F25">
      <w:pPr>
        <w:pStyle w:val="Default"/>
        <w:jc w:val="both"/>
        <w:rPr>
          <w:rFonts w:ascii="Arial Narrow" w:hAnsi="Arial Narrow"/>
          <w:sz w:val="22"/>
          <w:szCs w:val="22"/>
        </w:rPr>
      </w:pPr>
      <w:r>
        <w:rPr>
          <w:rFonts w:ascii="Arial Narrow" w:hAnsi="Arial Narrow"/>
          <w:sz w:val="22"/>
          <w:szCs w:val="22"/>
        </w:rPr>
        <w:t>V roku 2017 prebehla revízia</w:t>
      </w:r>
      <w:r w:rsidRPr="00C04304">
        <w:rPr>
          <w:rFonts w:ascii="Arial Narrow" w:hAnsi="Arial Narrow"/>
          <w:sz w:val="22"/>
          <w:szCs w:val="22"/>
        </w:rPr>
        <w:t xml:space="preserve"> výdavkov </w:t>
      </w:r>
      <w:r w:rsidR="005A1AEA">
        <w:rPr>
          <w:rFonts w:ascii="Arial Narrow" w:hAnsi="Arial Narrow"/>
          <w:sz w:val="22"/>
          <w:szCs w:val="22"/>
        </w:rPr>
        <w:t>na vzdelávanie</w:t>
      </w:r>
      <w:r>
        <w:rPr>
          <w:rFonts w:ascii="Arial Narrow" w:hAnsi="Arial Narrow"/>
          <w:sz w:val="22"/>
          <w:szCs w:val="22"/>
        </w:rPr>
        <w:t>.</w:t>
      </w:r>
      <w:r w:rsidR="005A1AEA">
        <w:t xml:space="preserve"> </w:t>
      </w:r>
      <w:r w:rsidRPr="00E012D5">
        <w:rPr>
          <w:rFonts w:ascii="Arial Narrow" w:hAnsi="Arial Narrow"/>
          <w:sz w:val="22"/>
          <w:szCs w:val="22"/>
        </w:rPr>
        <w:t>V regionálnom školstve sa revízia zamerala najmä na optimalizáciu siete základných škôl, zvýšenie atraktivity povolania učite</w:t>
      </w:r>
      <w:r>
        <w:rPr>
          <w:rFonts w:ascii="Arial Narrow" w:hAnsi="Arial Narrow"/>
          <w:sz w:val="22"/>
          <w:szCs w:val="22"/>
        </w:rPr>
        <w:t>ľa vrátane systému odmeňovania a v</w:t>
      </w:r>
      <w:r w:rsidRPr="00E012D5">
        <w:rPr>
          <w:rFonts w:ascii="Arial Narrow" w:hAnsi="Arial Narrow"/>
          <w:sz w:val="22"/>
          <w:szCs w:val="22"/>
        </w:rPr>
        <w:t>o vysokom školstve sa zamerala najmä na proces akreditácie, financovanie a hodnotenie výsledkov vysokoškolskej vedy.</w:t>
      </w:r>
      <w:r w:rsidRPr="00B747D7">
        <w:rPr>
          <w:rFonts w:ascii="Arial Narrow" w:hAnsi="Arial Narrow"/>
          <w:sz w:val="22"/>
          <w:szCs w:val="22"/>
        </w:rPr>
        <w:t xml:space="preserve"> </w:t>
      </w:r>
      <w:r>
        <w:rPr>
          <w:rFonts w:ascii="Arial Narrow" w:hAnsi="Arial Narrow"/>
          <w:sz w:val="22"/>
          <w:szCs w:val="22"/>
        </w:rPr>
        <w:t>Rezort školstva</w:t>
      </w:r>
      <w:r w:rsidRPr="00E012D5">
        <w:rPr>
          <w:rFonts w:ascii="Arial Narrow" w:hAnsi="Arial Narrow"/>
          <w:sz w:val="22"/>
          <w:szCs w:val="22"/>
        </w:rPr>
        <w:t xml:space="preserve"> bude</w:t>
      </w:r>
      <w:r w:rsidR="00AB7F94">
        <w:rPr>
          <w:rFonts w:ascii="Arial Narrow" w:hAnsi="Arial Narrow"/>
          <w:sz w:val="22"/>
          <w:szCs w:val="22"/>
        </w:rPr>
        <w:t xml:space="preserve"> v rokoch 2018 a 2019</w:t>
      </w:r>
      <w:r w:rsidRPr="00E012D5">
        <w:rPr>
          <w:rFonts w:ascii="Arial Narrow" w:hAnsi="Arial Narrow"/>
          <w:sz w:val="22"/>
          <w:szCs w:val="22"/>
        </w:rPr>
        <w:t xml:space="preserve"> realizovať </w:t>
      </w:r>
      <w:r w:rsidR="00684EAE">
        <w:rPr>
          <w:rFonts w:ascii="Arial Narrow" w:hAnsi="Arial Narrow"/>
          <w:sz w:val="22"/>
          <w:szCs w:val="22"/>
        </w:rPr>
        <w:t>časť</w:t>
      </w:r>
      <w:r w:rsidR="00AE441C">
        <w:rPr>
          <w:rFonts w:ascii="Arial Narrow" w:hAnsi="Arial Narrow"/>
          <w:sz w:val="22"/>
          <w:szCs w:val="22"/>
        </w:rPr>
        <w:t xml:space="preserve"> </w:t>
      </w:r>
      <w:r w:rsidRPr="00E012D5">
        <w:rPr>
          <w:rFonts w:ascii="Arial Narrow" w:hAnsi="Arial Narrow"/>
          <w:sz w:val="22"/>
          <w:szCs w:val="22"/>
        </w:rPr>
        <w:t>opatren</w:t>
      </w:r>
      <w:r w:rsidR="00AE441C">
        <w:rPr>
          <w:rFonts w:ascii="Arial Narrow" w:hAnsi="Arial Narrow"/>
          <w:sz w:val="22"/>
          <w:szCs w:val="22"/>
        </w:rPr>
        <w:t>í</w:t>
      </w:r>
      <w:r>
        <w:rPr>
          <w:rFonts w:ascii="Arial Narrow" w:hAnsi="Arial Narrow"/>
          <w:sz w:val="22"/>
          <w:szCs w:val="22"/>
        </w:rPr>
        <w:t xml:space="preserve"> definovan</w:t>
      </w:r>
      <w:r w:rsidR="00AE441C">
        <w:rPr>
          <w:rFonts w:ascii="Arial Narrow" w:hAnsi="Arial Narrow"/>
          <w:sz w:val="22"/>
          <w:szCs w:val="22"/>
        </w:rPr>
        <w:t>ých</w:t>
      </w:r>
      <w:r>
        <w:rPr>
          <w:rFonts w:ascii="Arial Narrow" w:hAnsi="Arial Narrow"/>
          <w:sz w:val="22"/>
          <w:szCs w:val="22"/>
        </w:rPr>
        <w:t xml:space="preserve"> v záverečnej správe</w:t>
      </w:r>
      <w:r w:rsidRPr="00E012D5">
        <w:rPr>
          <w:rFonts w:ascii="Arial Narrow" w:hAnsi="Arial Narrow"/>
          <w:sz w:val="22"/>
          <w:szCs w:val="22"/>
        </w:rPr>
        <w:t xml:space="preserve"> </w:t>
      </w:r>
      <w:r>
        <w:rPr>
          <w:rFonts w:ascii="Arial Narrow" w:hAnsi="Arial Narrow"/>
          <w:sz w:val="22"/>
          <w:szCs w:val="22"/>
        </w:rPr>
        <w:t>revízie výdavkov.</w:t>
      </w:r>
      <w:r w:rsidR="00AE441C">
        <w:rPr>
          <w:rFonts w:ascii="Arial Narrow" w:hAnsi="Arial Narrow"/>
          <w:sz w:val="22"/>
          <w:szCs w:val="22"/>
        </w:rPr>
        <w:t xml:space="preserve"> Opatrenia s dlhším časovým horizontom realizácie sú: r</w:t>
      </w:r>
      <w:r w:rsidR="00AE441C" w:rsidRPr="00AE441C">
        <w:rPr>
          <w:rFonts w:ascii="Arial Narrow" w:hAnsi="Arial Narrow"/>
          <w:sz w:val="22"/>
          <w:szCs w:val="22"/>
        </w:rPr>
        <w:t>acionalizáci</w:t>
      </w:r>
      <w:r w:rsidR="00AE441C">
        <w:rPr>
          <w:rFonts w:ascii="Arial Narrow" w:hAnsi="Arial Narrow"/>
          <w:sz w:val="22"/>
          <w:szCs w:val="22"/>
        </w:rPr>
        <w:t>a</w:t>
      </w:r>
      <w:r w:rsidR="00AE441C" w:rsidRPr="00AE441C">
        <w:rPr>
          <w:rFonts w:ascii="Arial Narrow" w:hAnsi="Arial Narrow"/>
          <w:sz w:val="22"/>
          <w:szCs w:val="22"/>
        </w:rPr>
        <w:t xml:space="preserve"> siete základných škôl</w:t>
      </w:r>
      <w:r w:rsidR="00AE441C">
        <w:rPr>
          <w:rFonts w:ascii="Arial Narrow" w:hAnsi="Arial Narrow"/>
          <w:sz w:val="22"/>
          <w:szCs w:val="22"/>
        </w:rPr>
        <w:t>, z</w:t>
      </w:r>
      <w:r w:rsidR="00AE441C" w:rsidRPr="00AE441C">
        <w:rPr>
          <w:rFonts w:ascii="Arial Narrow" w:hAnsi="Arial Narrow"/>
          <w:sz w:val="22"/>
          <w:szCs w:val="22"/>
        </w:rPr>
        <w:t>vyšova</w:t>
      </w:r>
      <w:r w:rsidR="00AE441C">
        <w:rPr>
          <w:rFonts w:ascii="Arial Narrow" w:hAnsi="Arial Narrow"/>
          <w:sz w:val="22"/>
          <w:szCs w:val="22"/>
        </w:rPr>
        <w:t>nie priemerných</w:t>
      </w:r>
      <w:r w:rsidR="00AE441C" w:rsidRPr="00AE441C">
        <w:rPr>
          <w:rFonts w:ascii="Arial Narrow" w:hAnsi="Arial Narrow"/>
          <w:sz w:val="22"/>
          <w:szCs w:val="22"/>
        </w:rPr>
        <w:t xml:space="preserve"> plat</w:t>
      </w:r>
      <w:r w:rsidR="00AE441C">
        <w:rPr>
          <w:rFonts w:ascii="Arial Narrow" w:hAnsi="Arial Narrow"/>
          <w:sz w:val="22"/>
          <w:szCs w:val="22"/>
        </w:rPr>
        <w:t>ov</w:t>
      </w:r>
      <w:r w:rsidR="00AE441C" w:rsidRPr="00AE441C">
        <w:rPr>
          <w:rFonts w:ascii="Arial Narrow" w:hAnsi="Arial Narrow"/>
          <w:sz w:val="22"/>
          <w:szCs w:val="22"/>
        </w:rPr>
        <w:t xml:space="preserve"> pedagogických a odborných zamestnancov,</w:t>
      </w:r>
      <w:r w:rsidR="00AE441C" w:rsidRPr="00AE441C">
        <w:t xml:space="preserve"> </w:t>
      </w:r>
      <w:r w:rsidR="00AE441C" w:rsidRPr="00AE441C">
        <w:rPr>
          <w:rFonts w:ascii="Arial Narrow" w:hAnsi="Arial Narrow"/>
          <w:sz w:val="22"/>
          <w:szCs w:val="22"/>
        </w:rPr>
        <w:t>resp. vysokoškolských učiteľov</w:t>
      </w:r>
      <w:r w:rsidR="00AE441C">
        <w:rPr>
          <w:rFonts w:ascii="Arial Narrow" w:hAnsi="Arial Narrow"/>
          <w:sz w:val="22"/>
          <w:szCs w:val="22"/>
        </w:rPr>
        <w:t>,</w:t>
      </w:r>
      <w:r w:rsidR="00AE441C" w:rsidRPr="00AE441C">
        <w:t xml:space="preserve"> </w:t>
      </w:r>
      <w:r w:rsidR="00AE441C">
        <w:rPr>
          <w:rFonts w:ascii="Arial Narrow" w:hAnsi="Arial Narrow"/>
          <w:sz w:val="22"/>
          <w:szCs w:val="22"/>
        </w:rPr>
        <w:t>z</w:t>
      </w:r>
      <w:r w:rsidR="00AE441C" w:rsidRPr="00AE441C">
        <w:rPr>
          <w:rFonts w:ascii="Arial Narrow" w:hAnsi="Arial Narrow"/>
          <w:sz w:val="22"/>
          <w:szCs w:val="22"/>
        </w:rPr>
        <w:t>ave</w:t>
      </w:r>
      <w:r w:rsidR="00AE441C">
        <w:rPr>
          <w:rFonts w:ascii="Arial Narrow" w:hAnsi="Arial Narrow"/>
          <w:sz w:val="22"/>
          <w:szCs w:val="22"/>
        </w:rPr>
        <w:t>denie</w:t>
      </w:r>
      <w:r w:rsidR="006D796A">
        <w:rPr>
          <w:rFonts w:ascii="Arial Narrow" w:hAnsi="Arial Narrow"/>
          <w:sz w:val="22"/>
          <w:szCs w:val="22"/>
        </w:rPr>
        <w:t xml:space="preserve"> tzv. </w:t>
      </w:r>
      <w:proofErr w:type="spellStart"/>
      <w:r w:rsidR="006D796A" w:rsidRPr="006D796A">
        <w:rPr>
          <w:rFonts w:ascii="Arial Narrow" w:hAnsi="Arial Narrow"/>
          <w:i/>
          <w:sz w:val="22"/>
          <w:szCs w:val="22"/>
        </w:rPr>
        <w:t>informed</w:t>
      </w:r>
      <w:proofErr w:type="spellEnd"/>
      <w:r w:rsidR="006D796A" w:rsidRPr="006D796A">
        <w:rPr>
          <w:rFonts w:ascii="Arial Narrow" w:hAnsi="Arial Narrow"/>
          <w:i/>
          <w:sz w:val="22"/>
          <w:szCs w:val="22"/>
        </w:rPr>
        <w:t xml:space="preserve"> </w:t>
      </w:r>
      <w:proofErr w:type="spellStart"/>
      <w:r w:rsidR="006D796A" w:rsidRPr="006D796A">
        <w:rPr>
          <w:rFonts w:ascii="Arial Narrow" w:hAnsi="Arial Narrow"/>
          <w:i/>
          <w:sz w:val="22"/>
          <w:szCs w:val="22"/>
        </w:rPr>
        <w:t>peer</w:t>
      </w:r>
      <w:proofErr w:type="spellEnd"/>
      <w:r w:rsidR="006D796A" w:rsidRPr="006D796A">
        <w:rPr>
          <w:rFonts w:ascii="Arial Narrow" w:hAnsi="Arial Narrow"/>
          <w:i/>
          <w:sz w:val="22"/>
          <w:szCs w:val="22"/>
        </w:rPr>
        <w:t xml:space="preserve"> </w:t>
      </w:r>
      <w:proofErr w:type="spellStart"/>
      <w:r w:rsidR="006D796A" w:rsidRPr="006D796A">
        <w:rPr>
          <w:rFonts w:ascii="Arial Narrow" w:hAnsi="Arial Narrow"/>
          <w:i/>
          <w:sz w:val="22"/>
          <w:szCs w:val="22"/>
        </w:rPr>
        <w:t>review</w:t>
      </w:r>
      <w:proofErr w:type="spellEnd"/>
      <w:r w:rsidR="00AE441C">
        <w:rPr>
          <w:rFonts w:ascii="Arial Narrow" w:hAnsi="Arial Narrow"/>
          <w:sz w:val="22"/>
          <w:szCs w:val="22"/>
        </w:rPr>
        <w:t xml:space="preserve"> hodnotenia</w:t>
      </w:r>
      <w:r w:rsidR="00AE441C" w:rsidRPr="00AE441C">
        <w:rPr>
          <w:rFonts w:ascii="Arial Narrow" w:hAnsi="Arial Narrow"/>
          <w:sz w:val="22"/>
          <w:szCs w:val="22"/>
        </w:rPr>
        <w:t xml:space="preserve"> tvorivej činnosti vysokých škôl</w:t>
      </w:r>
      <w:r w:rsidR="00AE441C">
        <w:rPr>
          <w:rFonts w:ascii="Arial Narrow" w:hAnsi="Arial Narrow"/>
          <w:sz w:val="22"/>
          <w:szCs w:val="22"/>
        </w:rPr>
        <w:t xml:space="preserve"> a členstvo reformovanej akreditačnej autority v ENQA.</w:t>
      </w:r>
    </w:p>
    <w:p w14:paraId="04BF701D" w14:textId="77777777" w:rsidR="00E87F25" w:rsidRDefault="00E87F25" w:rsidP="00E87F25">
      <w:pPr>
        <w:pStyle w:val="Default"/>
        <w:jc w:val="both"/>
        <w:rPr>
          <w:rFonts w:ascii="Arial Narrow" w:hAnsi="Arial Narrow"/>
          <w:sz w:val="22"/>
          <w:szCs w:val="22"/>
        </w:rPr>
      </w:pPr>
    </w:p>
    <w:p w14:paraId="3F3CCB85" w14:textId="77777777" w:rsidR="00AC7707" w:rsidRDefault="00AC7707" w:rsidP="00AC7707">
      <w:pPr>
        <w:pStyle w:val="Default"/>
        <w:jc w:val="both"/>
        <w:rPr>
          <w:rFonts w:ascii="Arial Narrow" w:hAnsi="Arial Narrow"/>
          <w:sz w:val="22"/>
          <w:szCs w:val="22"/>
        </w:rPr>
      </w:pPr>
    </w:p>
    <w:p w14:paraId="1A5895FE" w14:textId="77777777" w:rsidR="007D2366" w:rsidRDefault="007D2366" w:rsidP="007D2366">
      <w:pPr>
        <w:pStyle w:val="Nadpis2"/>
        <w:numPr>
          <w:ilvl w:val="2"/>
          <w:numId w:val="1"/>
        </w:numPr>
        <w:spacing w:after="240" w:line="240" w:lineRule="auto"/>
        <w:ind w:left="720"/>
        <w:jc w:val="both"/>
        <w:rPr>
          <w:rFonts w:ascii="Arial Narrow" w:hAnsi="Arial Narrow"/>
          <w:color w:val="2C9ADC"/>
          <w:sz w:val="28"/>
          <w:szCs w:val="28"/>
        </w:rPr>
      </w:pPr>
      <w:bookmarkStart w:id="35" w:name="_Toc480749806"/>
      <w:bookmarkStart w:id="36" w:name="_Toc508039578"/>
      <w:r w:rsidRPr="00256D89">
        <w:rPr>
          <w:rFonts w:ascii="Arial Narrow" w:hAnsi="Arial Narrow"/>
          <w:color w:val="2C9ADC"/>
          <w:sz w:val="28"/>
          <w:szCs w:val="28"/>
        </w:rPr>
        <w:t>Regionálne školstvo</w:t>
      </w:r>
      <w:bookmarkEnd w:id="35"/>
      <w:bookmarkEnd w:id="36"/>
      <w:r w:rsidRPr="00256D89">
        <w:rPr>
          <w:rFonts w:ascii="Arial Narrow" w:hAnsi="Arial Narrow"/>
          <w:color w:val="2C9ADC"/>
          <w:sz w:val="28"/>
          <w:szCs w:val="28"/>
        </w:rPr>
        <w:t xml:space="preserve"> </w:t>
      </w:r>
    </w:p>
    <w:p w14:paraId="537F0199" w14:textId="77777777" w:rsidR="00AC7707" w:rsidRDefault="00AC7707" w:rsidP="00AC7707">
      <w:pPr>
        <w:pStyle w:val="Default"/>
        <w:jc w:val="both"/>
        <w:rPr>
          <w:rFonts w:ascii="Arial Narrow" w:hAnsi="Arial Narrow"/>
          <w:b/>
          <w:i/>
          <w:sz w:val="22"/>
          <w:szCs w:val="22"/>
        </w:rPr>
      </w:pPr>
      <w:r w:rsidRPr="004C6FB0">
        <w:rPr>
          <w:rFonts w:ascii="Arial Narrow" w:hAnsi="Arial Narrow"/>
          <w:b/>
          <w:i/>
          <w:sz w:val="22"/>
          <w:szCs w:val="22"/>
        </w:rPr>
        <w:t>Vyššia kvalita a lepšia podpora učiteľov</w:t>
      </w:r>
    </w:p>
    <w:p w14:paraId="4A6D19A2" w14:textId="32E09468" w:rsidR="00AC7707" w:rsidRDefault="00AC7707" w:rsidP="00E87F25">
      <w:pPr>
        <w:spacing w:after="0" w:line="240" w:lineRule="auto"/>
        <w:jc w:val="both"/>
        <w:rPr>
          <w:rFonts w:ascii="Arial Narrow" w:hAnsi="Arial Narrow"/>
        </w:rPr>
      </w:pPr>
      <w:r w:rsidRPr="007433DC">
        <w:rPr>
          <w:rFonts w:ascii="Arial Narrow" w:hAnsi="Arial Narrow"/>
        </w:rPr>
        <w:t>Pedagogickým a odborným zamestnancom v regionálnom školstve budú zvý</w:t>
      </w:r>
      <w:r w:rsidR="005A1AEA">
        <w:rPr>
          <w:rFonts w:ascii="Arial Narrow" w:hAnsi="Arial Narrow"/>
        </w:rPr>
        <w:t>šené platové tarify v súlade s P</w:t>
      </w:r>
      <w:r w:rsidRPr="007433DC">
        <w:rPr>
          <w:rFonts w:ascii="Arial Narrow" w:hAnsi="Arial Narrow"/>
        </w:rPr>
        <w:t xml:space="preserve">rogramovým vyhlásením vlády SR, čím sa bude zvyšovať </w:t>
      </w:r>
      <w:r w:rsidRPr="007433DC">
        <w:rPr>
          <w:rFonts w:ascii="Arial Narrow" w:hAnsi="Arial Narrow"/>
          <w:b/>
        </w:rPr>
        <w:t>atraktívnosť povolania učiteľa</w:t>
      </w:r>
      <w:r w:rsidRPr="007433DC">
        <w:rPr>
          <w:rFonts w:ascii="Arial Narrow" w:hAnsi="Arial Narrow"/>
        </w:rPr>
        <w:t xml:space="preserve">. </w:t>
      </w:r>
      <w:r w:rsidRPr="007433DC">
        <w:rPr>
          <w:rFonts w:ascii="Arial Narrow" w:hAnsi="Arial Narrow"/>
          <w:bCs/>
          <w:color w:val="000000"/>
          <w:lang w:eastAsia="en-US"/>
        </w:rPr>
        <w:t xml:space="preserve">Od januára 2019 sa bude pri prideľovaní prostriedkov školám na osobné </w:t>
      </w:r>
      <w:r w:rsidR="00294971">
        <w:rPr>
          <w:rFonts w:ascii="Arial Narrow" w:hAnsi="Arial Narrow"/>
          <w:bCs/>
          <w:color w:val="000000"/>
          <w:lang w:eastAsia="en-US"/>
        </w:rPr>
        <w:t>výdavky</w:t>
      </w:r>
      <w:r w:rsidRPr="007433DC">
        <w:rPr>
          <w:rFonts w:ascii="Arial Narrow" w:hAnsi="Arial Narrow"/>
          <w:bCs/>
          <w:color w:val="000000"/>
          <w:lang w:eastAsia="en-US"/>
        </w:rPr>
        <w:t xml:space="preserve"> zohľadňovať počet rokov praxe pedagogických zamestnancov, čím sa presnejšie zohľadnia náklady škôl.</w:t>
      </w:r>
      <w:r>
        <w:rPr>
          <w:rFonts w:ascii="Arial Narrow" w:hAnsi="Arial Narrow"/>
          <w:bCs/>
          <w:color w:val="000000"/>
          <w:lang w:eastAsia="en-US"/>
        </w:rPr>
        <w:t xml:space="preserve"> </w:t>
      </w:r>
      <w:r w:rsidR="00D05C94" w:rsidRPr="00D05C94">
        <w:rPr>
          <w:rFonts w:ascii="Arial Narrow" w:hAnsi="Arial Narrow"/>
        </w:rPr>
        <w:t>V rámci plánovaného zvyšovania platov bude prebiehať diskusia o podpore rýchlejšieho rastu v prípade začínajúcich učiteľov</w:t>
      </w:r>
      <w:r w:rsidRPr="00E87F25">
        <w:rPr>
          <w:rFonts w:ascii="Arial Narrow" w:hAnsi="Arial Narrow"/>
        </w:rPr>
        <w:t>, aby sa zvýšila atraktívnosť učiteľskej profesie</w:t>
      </w:r>
      <w:r w:rsidR="00D433C1">
        <w:rPr>
          <w:rFonts w:ascii="Arial Narrow" w:hAnsi="Arial Narrow"/>
        </w:rPr>
        <w:t>.</w:t>
      </w:r>
    </w:p>
    <w:p w14:paraId="567D2787" w14:textId="77777777" w:rsidR="00E87F25" w:rsidRPr="00E87F25" w:rsidRDefault="00E87F25" w:rsidP="00E87F25">
      <w:pPr>
        <w:spacing w:after="0" w:line="240" w:lineRule="auto"/>
        <w:jc w:val="both"/>
        <w:rPr>
          <w:rFonts w:ascii="Arial Narrow" w:hAnsi="Arial Narrow"/>
        </w:rPr>
      </w:pPr>
    </w:p>
    <w:p w14:paraId="1A62516B" w14:textId="77777777" w:rsidR="00E87F25" w:rsidRPr="00E87F25" w:rsidRDefault="00AC7707" w:rsidP="00E87F25">
      <w:pPr>
        <w:pStyle w:val="Default"/>
        <w:jc w:val="both"/>
        <w:rPr>
          <w:rFonts w:ascii="Arial Narrow" w:hAnsi="Arial Narrow"/>
          <w:sz w:val="22"/>
          <w:szCs w:val="22"/>
        </w:rPr>
      </w:pPr>
      <w:r w:rsidRPr="00E87F25">
        <w:rPr>
          <w:rFonts w:ascii="Arial Narrow" w:hAnsi="Arial Narrow"/>
          <w:sz w:val="22"/>
          <w:szCs w:val="22"/>
        </w:rPr>
        <w:t xml:space="preserve">V rámci pripravovaného zákona o pedagogických zamestnancoch sa </w:t>
      </w:r>
      <w:r w:rsidRPr="00E87F25">
        <w:rPr>
          <w:rFonts w:ascii="Arial Narrow" w:hAnsi="Arial Narrow"/>
          <w:b/>
          <w:sz w:val="22"/>
          <w:szCs w:val="22"/>
        </w:rPr>
        <w:t>zlepší väzba medzi odmeňovaním a kvalitou pedagogických a odborných zamestnancov</w:t>
      </w:r>
      <w:r w:rsidRPr="00E87F25">
        <w:rPr>
          <w:rFonts w:ascii="Arial Narrow" w:hAnsi="Arial Narrow"/>
          <w:sz w:val="22"/>
          <w:szCs w:val="22"/>
        </w:rPr>
        <w:t xml:space="preserve">. Pripravia sa zmeny vo výkone atestácií, ktoré budú lepšie rozlišovať úroveň profesijných kompetencií pri prechode pedagogických a odborných zamestnancov na vyšší </w:t>
      </w:r>
      <w:proofErr w:type="spellStart"/>
      <w:r w:rsidRPr="00E87F25">
        <w:rPr>
          <w:rFonts w:ascii="Arial Narrow" w:hAnsi="Arial Narrow"/>
          <w:sz w:val="22"/>
          <w:szCs w:val="22"/>
        </w:rPr>
        <w:t>kariérový</w:t>
      </w:r>
      <w:proofErr w:type="spellEnd"/>
      <w:r w:rsidRPr="00E87F25">
        <w:rPr>
          <w:rFonts w:ascii="Arial Narrow" w:hAnsi="Arial Narrow"/>
          <w:sz w:val="22"/>
          <w:szCs w:val="22"/>
        </w:rPr>
        <w:t xml:space="preserve"> stupeň, ktorý je spojený s vyšším ohodnotením.</w:t>
      </w:r>
    </w:p>
    <w:p w14:paraId="48DA3483" w14:textId="77777777" w:rsidR="00E87F25" w:rsidRPr="00E87F25" w:rsidRDefault="00E87F25" w:rsidP="00E87F25">
      <w:pPr>
        <w:pStyle w:val="Default"/>
        <w:jc w:val="both"/>
        <w:rPr>
          <w:rFonts w:ascii="Arial Narrow" w:hAnsi="Arial Narrow"/>
          <w:sz w:val="22"/>
          <w:szCs w:val="22"/>
        </w:rPr>
      </w:pPr>
    </w:p>
    <w:p w14:paraId="761D59BB" w14:textId="77777777" w:rsidR="00AC7707" w:rsidRDefault="00AC7707" w:rsidP="00E87F25">
      <w:pPr>
        <w:pStyle w:val="Default"/>
        <w:jc w:val="both"/>
        <w:rPr>
          <w:rFonts w:ascii="Arial Narrow" w:hAnsi="Arial Narrow"/>
          <w:sz w:val="22"/>
          <w:szCs w:val="22"/>
        </w:rPr>
      </w:pPr>
      <w:r w:rsidRPr="00E87F25">
        <w:rPr>
          <w:rFonts w:ascii="Arial Narrow" w:hAnsi="Arial Narrow"/>
          <w:sz w:val="22"/>
          <w:szCs w:val="22"/>
        </w:rPr>
        <w:t xml:space="preserve">Zavedie sa </w:t>
      </w:r>
      <w:r w:rsidRPr="00E87F25">
        <w:rPr>
          <w:rFonts w:ascii="Arial Narrow" w:hAnsi="Arial Narrow"/>
          <w:b/>
          <w:sz w:val="22"/>
          <w:szCs w:val="22"/>
        </w:rPr>
        <w:t>akreditácia poskytovateľov kontinuálneho vzdelávania</w:t>
      </w:r>
      <w:r w:rsidRPr="00E87F25">
        <w:rPr>
          <w:rFonts w:ascii="Arial Narrow" w:hAnsi="Arial Narrow"/>
          <w:sz w:val="22"/>
          <w:szCs w:val="22"/>
        </w:rPr>
        <w:t xml:space="preserve"> na základe ich výsledkov. Uskutočnia sa zmeny v obsahu prípravy a v hodnotení vedúcich pedagogických zamestnancov a vedúcich odborných zamestnancov.</w:t>
      </w:r>
    </w:p>
    <w:p w14:paraId="5F085A76" w14:textId="77777777" w:rsidR="00E87F25" w:rsidRPr="00E87F25" w:rsidRDefault="00E87F25" w:rsidP="00E87F25">
      <w:pPr>
        <w:pStyle w:val="Default"/>
        <w:jc w:val="both"/>
        <w:rPr>
          <w:rFonts w:ascii="Arial Narrow" w:hAnsi="Arial Narrow"/>
          <w:sz w:val="22"/>
          <w:szCs w:val="22"/>
        </w:rPr>
      </w:pPr>
    </w:p>
    <w:p w14:paraId="5E8340B3" w14:textId="77777777" w:rsidR="00AC7707" w:rsidRPr="00E87F25" w:rsidRDefault="00AC7707" w:rsidP="00AC7707">
      <w:pPr>
        <w:pStyle w:val="Default"/>
        <w:spacing w:after="240"/>
        <w:jc w:val="both"/>
        <w:rPr>
          <w:rFonts w:ascii="Arial Narrow" w:hAnsi="Arial Narrow"/>
          <w:sz w:val="22"/>
          <w:szCs w:val="22"/>
        </w:rPr>
      </w:pPr>
      <w:r w:rsidRPr="00E87F25">
        <w:rPr>
          <w:rFonts w:ascii="Arial Narrow" w:hAnsi="Arial Narrow"/>
          <w:sz w:val="22"/>
          <w:szCs w:val="22"/>
        </w:rPr>
        <w:t xml:space="preserve">Posilní sa </w:t>
      </w:r>
      <w:r w:rsidRPr="00E87F25">
        <w:rPr>
          <w:rFonts w:ascii="Arial Narrow" w:hAnsi="Arial Narrow"/>
          <w:b/>
          <w:sz w:val="22"/>
          <w:szCs w:val="22"/>
        </w:rPr>
        <w:t>stavovské postavenie učiteľov</w:t>
      </w:r>
      <w:r w:rsidRPr="00E87F25">
        <w:rPr>
          <w:rFonts w:ascii="Arial Narrow" w:hAnsi="Arial Narrow"/>
          <w:sz w:val="22"/>
          <w:szCs w:val="22"/>
        </w:rPr>
        <w:t xml:space="preserve"> cez zriadenie Slovenskej komory pedagogických zamestnancov a odborných zamestnancov. Zámerom je aj upraviť požiadavky na etický výkon pedagogickej a odbornej činnosti, zaviesť ochranu zamestnancov pred sociálno-patologickými prejavmi a posilniť ich stavovské postavenie.</w:t>
      </w:r>
    </w:p>
    <w:p w14:paraId="6C55F914" w14:textId="77777777" w:rsidR="00AC7707" w:rsidRPr="00E87F25" w:rsidRDefault="00AC7707" w:rsidP="00AC7707">
      <w:pPr>
        <w:spacing w:after="0" w:line="240" w:lineRule="auto"/>
        <w:jc w:val="both"/>
        <w:rPr>
          <w:rFonts w:ascii="Arial Narrow" w:hAnsi="Arial Narrow"/>
        </w:rPr>
      </w:pPr>
      <w:r w:rsidRPr="00E87F25">
        <w:rPr>
          <w:rFonts w:ascii="Arial Narrow" w:hAnsi="Arial Narrow"/>
          <w:b/>
          <w:i/>
        </w:rPr>
        <w:t>Prepojenie vzdelávania a potrieb trhu práce</w:t>
      </w:r>
    </w:p>
    <w:p w14:paraId="39415D3E" w14:textId="77777777" w:rsidR="00AC7707" w:rsidRPr="00E87F25" w:rsidRDefault="00AC7707" w:rsidP="00AC7707">
      <w:pPr>
        <w:pStyle w:val="default0"/>
        <w:shd w:val="clear" w:color="auto" w:fill="FFFFFF"/>
        <w:spacing w:after="120"/>
        <w:jc w:val="both"/>
        <w:rPr>
          <w:rFonts w:ascii="Arial Narrow" w:hAnsi="Arial Narrow"/>
          <w:color w:val="auto"/>
          <w:sz w:val="22"/>
          <w:szCs w:val="22"/>
        </w:rPr>
      </w:pPr>
      <w:r w:rsidRPr="00E87F25">
        <w:rPr>
          <w:rFonts w:ascii="Arial Narrow" w:hAnsi="Arial Narrow"/>
          <w:color w:val="auto"/>
          <w:sz w:val="22"/>
          <w:szCs w:val="22"/>
        </w:rPr>
        <w:t xml:space="preserve">Zjednotí a zobjektivizuje sa metodický prístup pri </w:t>
      </w:r>
      <w:r w:rsidRPr="00E87F25">
        <w:rPr>
          <w:rFonts w:ascii="Arial Narrow" w:hAnsi="Arial Narrow"/>
          <w:b/>
          <w:color w:val="auto"/>
          <w:sz w:val="22"/>
          <w:szCs w:val="22"/>
        </w:rPr>
        <w:t>regulácií stredných škôl v závislosti od potrieb trhu práce</w:t>
      </w:r>
      <w:r w:rsidRPr="00E87F25">
        <w:rPr>
          <w:rFonts w:ascii="Arial Narrow" w:hAnsi="Arial Narrow"/>
          <w:color w:val="auto"/>
          <w:sz w:val="22"/>
          <w:szCs w:val="22"/>
        </w:rPr>
        <w:t xml:space="preserve">. Vypracujú sa záväzné kritériá pre určovanie najvyššieho počtu žiakov prvých ročníkov študijných odborov a učebných odborov stredných škôl v územnej pôsobnosti samosprávnych krajov. </w:t>
      </w:r>
    </w:p>
    <w:p w14:paraId="1BA2D96F" w14:textId="3AD18F50" w:rsidR="00AC7707" w:rsidRPr="00E87F25" w:rsidRDefault="00AC7707" w:rsidP="00AC7707">
      <w:pPr>
        <w:spacing w:line="240" w:lineRule="auto"/>
        <w:jc w:val="both"/>
        <w:rPr>
          <w:rFonts w:ascii="Arial Narrow" w:hAnsi="Arial Narrow"/>
        </w:rPr>
      </w:pPr>
      <w:r w:rsidRPr="00E87F25">
        <w:rPr>
          <w:rFonts w:ascii="Arial Narrow" w:hAnsi="Arial Narrow"/>
        </w:rPr>
        <w:t xml:space="preserve">Do </w:t>
      </w:r>
      <w:r w:rsidRPr="00E87F25">
        <w:rPr>
          <w:rFonts w:ascii="Arial Narrow" w:hAnsi="Arial Narrow"/>
          <w:b/>
        </w:rPr>
        <w:t>duálneho vzdelávania</w:t>
      </w:r>
      <w:r w:rsidRPr="00E87F25">
        <w:rPr>
          <w:rFonts w:ascii="Arial Narrow" w:hAnsi="Arial Narrow"/>
        </w:rPr>
        <w:t xml:space="preserve"> </w:t>
      </w:r>
      <w:r w:rsidR="00656289">
        <w:rPr>
          <w:rFonts w:ascii="Arial Narrow" w:hAnsi="Arial Narrow"/>
        </w:rPr>
        <w:t>sa v treťom</w:t>
      </w:r>
      <w:r w:rsidRPr="00E87F25">
        <w:rPr>
          <w:rFonts w:ascii="Arial Narrow" w:hAnsi="Arial Narrow"/>
        </w:rPr>
        <w:t xml:space="preserve"> roku fungovania zapoj</w:t>
      </w:r>
      <w:r w:rsidR="00656289">
        <w:rPr>
          <w:rFonts w:ascii="Arial Narrow" w:hAnsi="Arial Narrow"/>
        </w:rPr>
        <w:t>il</w:t>
      </w:r>
      <w:r w:rsidR="00F61CD4">
        <w:rPr>
          <w:rFonts w:ascii="Arial Narrow" w:hAnsi="Arial Narrow"/>
        </w:rPr>
        <w:t>i</w:t>
      </w:r>
      <w:r w:rsidRPr="00E87F25">
        <w:rPr>
          <w:rFonts w:ascii="Arial Narrow" w:hAnsi="Arial Narrow"/>
        </w:rPr>
        <w:t xml:space="preserve"> </w:t>
      </w:r>
      <w:r w:rsidRPr="00E87F25">
        <w:rPr>
          <w:rFonts w:ascii="Arial Narrow" w:hAnsi="Arial Narrow"/>
          <w:b/>
        </w:rPr>
        <w:t xml:space="preserve">len </w:t>
      </w:r>
      <w:r w:rsidR="00656289">
        <w:rPr>
          <w:rFonts w:ascii="Arial Narrow" w:hAnsi="Arial Narrow"/>
          <w:b/>
        </w:rPr>
        <w:t>necelé 4</w:t>
      </w:r>
      <w:r w:rsidRPr="00E87F25">
        <w:rPr>
          <w:rFonts w:ascii="Arial Narrow" w:hAnsi="Arial Narrow"/>
          <w:b/>
        </w:rPr>
        <w:t xml:space="preserve"> % </w:t>
      </w:r>
      <w:r w:rsidR="00656289">
        <w:rPr>
          <w:rFonts w:ascii="Arial Narrow" w:hAnsi="Arial Narrow"/>
          <w:b/>
        </w:rPr>
        <w:t>prvákov na</w:t>
      </w:r>
      <w:r w:rsidRPr="00E87F25">
        <w:rPr>
          <w:rFonts w:ascii="Arial Narrow" w:hAnsi="Arial Narrow"/>
          <w:b/>
        </w:rPr>
        <w:t xml:space="preserve"> SOŠ</w:t>
      </w:r>
      <w:r w:rsidRPr="00E87F25">
        <w:rPr>
          <w:rFonts w:ascii="Arial Narrow" w:hAnsi="Arial Narrow"/>
        </w:rPr>
        <w:t xml:space="preserve">, slabý záujem škôl ovplyvňuje aj finančná </w:t>
      </w:r>
      <w:proofErr w:type="spellStart"/>
      <w:r w:rsidRPr="00E87F25">
        <w:rPr>
          <w:rFonts w:ascii="Arial Narrow" w:hAnsi="Arial Narrow"/>
        </w:rPr>
        <w:t>demotivácia</w:t>
      </w:r>
      <w:proofErr w:type="spellEnd"/>
      <w:r w:rsidRPr="00E87F25">
        <w:rPr>
          <w:rFonts w:ascii="Arial Narrow" w:hAnsi="Arial Narrow"/>
        </w:rPr>
        <w:t xml:space="preserve"> v podobe krátenia finančných normatívov. V pripravovanej novele zákona o odbornom vzdelávaní sa podporí vstup malých a stredných podnikov do systému duálneho vzdelávania, zjednoduší sa postup pri overovaní zamestnávateľov a ich spôsobilosti poskytovať praktické vyučovanie a zavedie sa možnosť absolvovať praktické vyučovanie mimo vlastných kapacít zamestnávateľa. </w:t>
      </w:r>
      <w:r w:rsidR="009526D1">
        <w:rPr>
          <w:rFonts w:ascii="Arial Narrow" w:hAnsi="Arial Narrow"/>
        </w:rPr>
        <w:t>Navrhujú sa f</w:t>
      </w:r>
      <w:r w:rsidRPr="00E87F25">
        <w:rPr>
          <w:rFonts w:ascii="Arial Narrow" w:hAnsi="Arial Narrow"/>
        </w:rPr>
        <w:t>inančné stimuly</w:t>
      </w:r>
      <w:r w:rsidR="009526D1">
        <w:rPr>
          <w:rFonts w:ascii="Arial Narrow" w:hAnsi="Arial Narrow"/>
        </w:rPr>
        <w:t>, ktoré by</w:t>
      </w:r>
      <w:r w:rsidRPr="00E87F25">
        <w:rPr>
          <w:rFonts w:ascii="Arial Narrow" w:hAnsi="Arial Narrow"/>
        </w:rPr>
        <w:t xml:space="preserve"> efektívnejšie motivova</w:t>
      </w:r>
      <w:r w:rsidR="009526D1">
        <w:rPr>
          <w:rFonts w:ascii="Arial Narrow" w:hAnsi="Arial Narrow"/>
        </w:rPr>
        <w:t>li</w:t>
      </w:r>
      <w:r w:rsidRPr="00E87F25">
        <w:rPr>
          <w:rFonts w:ascii="Arial Narrow" w:hAnsi="Arial Narrow"/>
        </w:rPr>
        <w:t xml:space="preserve"> vstup zamestnávateľov do systému. </w:t>
      </w:r>
      <w:r w:rsidR="009526D1">
        <w:rPr>
          <w:rFonts w:ascii="Arial Narrow" w:hAnsi="Arial Narrow"/>
        </w:rPr>
        <w:t>Návrh ráta aj s</w:t>
      </w:r>
      <w:r w:rsidRPr="00E87F25">
        <w:rPr>
          <w:rFonts w:ascii="Arial Narrow" w:hAnsi="Arial Narrow"/>
        </w:rPr>
        <w:t xml:space="preserve"> odstrán</w:t>
      </w:r>
      <w:r w:rsidR="009526D1">
        <w:rPr>
          <w:rFonts w:ascii="Arial Narrow" w:hAnsi="Arial Narrow"/>
        </w:rPr>
        <w:t>ením</w:t>
      </w:r>
      <w:r w:rsidRPr="00E87F25">
        <w:rPr>
          <w:rFonts w:ascii="Arial Narrow" w:hAnsi="Arial Narrow"/>
        </w:rPr>
        <w:t xml:space="preserve"> finančn</w:t>
      </w:r>
      <w:r w:rsidR="009526D1">
        <w:rPr>
          <w:rFonts w:ascii="Arial Narrow" w:hAnsi="Arial Narrow"/>
        </w:rPr>
        <w:t>ých</w:t>
      </w:r>
      <w:r w:rsidRPr="00E87F25">
        <w:rPr>
          <w:rFonts w:ascii="Arial Narrow" w:hAnsi="Arial Narrow"/>
        </w:rPr>
        <w:t xml:space="preserve"> bariér stredných odborných škôl, ktoré ich v súčasnosti odrádzajú od vstupu do systému.</w:t>
      </w:r>
    </w:p>
    <w:p w14:paraId="517C3CDB" w14:textId="77777777" w:rsidR="00AC7707" w:rsidRDefault="00AC7707" w:rsidP="00370FB9">
      <w:pPr>
        <w:pStyle w:val="default0"/>
        <w:shd w:val="clear" w:color="auto" w:fill="FFFFFF"/>
        <w:jc w:val="both"/>
        <w:rPr>
          <w:rFonts w:ascii="Arial Narrow" w:hAnsi="Arial Narrow"/>
          <w:color w:val="auto"/>
          <w:sz w:val="22"/>
          <w:szCs w:val="22"/>
        </w:rPr>
      </w:pPr>
      <w:r w:rsidRPr="00E87F25">
        <w:rPr>
          <w:rFonts w:ascii="Arial Narrow" w:hAnsi="Arial Narrow"/>
          <w:color w:val="auto"/>
          <w:sz w:val="22"/>
          <w:szCs w:val="22"/>
        </w:rPr>
        <w:t xml:space="preserve">Pre pokrytie aktivít a náplne </w:t>
      </w:r>
      <w:r w:rsidRPr="00370FB9">
        <w:rPr>
          <w:rFonts w:ascii="Arial Narrow" w:hAnsi="Arial Narrow"/>
          <w:b/>
          <w:color w:val="auto"/>
          <w:sz w:val="22"/>
          <w:szCs w:val="22"/>
        </w:rPr>
        <w:t>kariér</w:t>
      </w:r>
      <w:r w:rsidR="00370FB9" w:rsidRPr="00370FB9">
        <w:rPr>
          <w:rFonts w:ascii="Arial Narrow" w:hAnsi="Arial Narrow"/>
          <w:b/>
          <w:color w:val="auto"/>
          <w:sz w:val="22"/>
          <w:szCs w:val="22"/>
        </w:rPr>
        <w:t>neho</w:t>
      </w:r>
      <w:r w:rsidRPr="00370FB9">
        <w:rPr>
          <w:rFonts w:ascii="Arial Narrow" w:hAnsi="Arial Narrow"/>
          <w:b/>
          <w:color w:val="auto"/>
          <w:sz w:val="22"/>
          <w:szCs w:val="22"/>
        </w:rPr>
        <w:t xml:space="preserve"> poradenstva pre študentov</w:t>
      </w:r>
      <w:r w:rsidRPr="00E87F25">
        <w:rPr>
          <w:rFonts w:ascii="Arial Narrow" w:hAnsi="Arial Narrow"/>
          <w:color w:val="auto"/>
          <w:sz w:val="22"/>
          <w:szCs w:val="22"/>
        </w:rPr>
        <w:t xml:space="preserve"> sa zavedie špecifická kategória kariér</w:t>
      </w:r>
      <w:r w:rsidR="00370FB9">
        <w:rPr>
          <w:rFonts w:ascii="Arial Narrow" w:hAnsi="Arial Narrow"/>
          <w:color w:val="auto"/>
          <w:sz w:val="22"/>
          <w:szCs w:val="22"/>
        </w:rPr>
        <w:t>neho</w:t>
      </w:r>
      <w:r w:rsidRPr="00E87F25">
        <w:rPr>
          <w:rFonts w:ascii="Arial Narrow" w:hAnsi="Arial Narrow"/>
          <w:color w:val="auto"/>
          <w:sz w:val="22"/>
          <w:szCs w:val="22"/>
        </w:rPr>
        <w:t xml:space="preserve"> poradcu ako odborného zamestnanca.</w:t>
      </w:r>
    </w:p>
    <w:p w14:paraId="26378CFB" w14:textId="77777777" w:rsidR="00370FB9" w:rsidRPr="00E87F25" w:rsidRDefault="00370FB9" w:rsidP="00370FB9">
      <w:pPr>
        <w:pStyle w:val="default0"/>
        <w:shd w:val="clear" w:color="auto" w:fill="FFFFFF"/>
        <w:jc w:val="both"/>
        <w:rPr>
          <w:rFonts w:ascii="Arial Narrow" w:hAnsi="Arial Narrow"/>
          <w:color w:val="auto"/>
          <w:sz w:val="22"/>
          <w:szCs w:val="22"/>
        </w:rPr>
      </w:pPr>
    </w:p>
    <w:p w14:paraId="3C28307B" w14:textId="5578A480" w:rsidR="00AC7707" w:rsidRDefault="00AC7707" w:rsidP="00370FB9">
      <w:pPr>
        <w:pStyle w:val="default0"/>
        <w:shd w:val="clear" w:color="auto" w:fill="FFFFFF"/>
        <w:jc w:val="both"/>
        <w:rPr>
          <w:rFonts w:ascii="Arial Narrow" w:hAnsi="Arial Narrow"/>
          <w:color w:val="auto"/>
          <w:sz w:val="22"/>
          <w:szCs w:val="22"/>
        </w:rPr>
      </w:pPr>
      <w:r w:rsidRPr="00E87F25">
        <w:rPr>
          <w:rFonts w:ascii="Arial Narrow" w:hAnsi="Arial Narrow"/>
          <w:color w:val="auto"/>
          <w:sz w:val="22"/>
          <w:szCs w:val="22"/>
        </w:rPr>
        <w:t xml:space="preserve">Pre </w:t>
      </w:r>
      <w:r w:rsidRPr="00E87F25">
        <w:rPr>
          <w:rFonts w:ascii="Arial Narrow" w:hAnsi="Arial Narrow"/>
          <w:b/>
          <w:color w:val="auto"/>
          <w:sz w:val="22"/>
          <w:szCs w:val="22"/>
        </w:rPr>
        <w:t>objektívnejšie sledovanie uplatnenia absolventov na trhu práce</w:t>
      </w:r>
      <w:r w:rsidRPr="00E87F25">
        <w:rPr>
          <w:rFonts w:ascii="Arial Narrow" w:hAnsi="Arial Narrow"/>
          <w:color w:val="auto"/>
          <w:sz w:val="22"/>
          <w:szCs w:val="22"/>
        </w:rPr>
        <w:t xml:space="preserve"> je potrebné prepojiť administratívne databáz</w:t>
      </w:r>
      <w:r w:rsidR="00E87F25" w:rsidRPr="00E87F25">
        <w:rPr>
          <w:rFonts w:ascii="Arial Narrow" w:hAnsi="Arial Narrow"/>
          <w:color w:val="auto"/>
          <w:sz w:val="22"/>
          <w:szCs w:val="22"/>
        </w:rPr>
        <w:t>y</w:t>
      </w:r>
      <w:r w:rsidRPr="00E87F25">
        <w:rPr>
          <w:rFonts w:ascii="Arial Narrow" w:hAnsi="Arial Narrow"/>
          <w:color w:val="auto"/>
          <w:sz w:val="22"/>
          <w:szCs w:val="22"/>
        </w:rPr>
        <w:t xml:space="preserve"> Sociálnej poisťovne SR a dát MŠVVaŠ SR</w:t>
      </w:r>
      <w:r w:rsidR="00446C5D">
        <w:rPr>
          <w:rFonts w:ascii="Arial Narrow" w:hAnsi="Arial Narrow"/>
          <w:color w:val="auto"/>
          <w:sz w:val="22"/>
          <w:szCs w:val="22"/>
        </w:rPr>
        <w:t>. Je nevyhnutné, aby na základe administratívnych dát</w:t>
      </w:r>
      <w:r w:rsidR="00324C7C">
        <w:rPr>
          <w:rFonts w:ascii="Arial Narrow" w:hAnsi="Arial Narrow"/>
          <w:color w:val="auto"/>
          <w:sz w:val="22"/>
          <w:szCs w:val="22"/>
        </w:rPr>
        <w:t xml:space="preserve"> bolo možné </w:t>
      </w:r>
      <w:r w:rsidR="005A1AEA">
        <w:rPr>
          <w:rFonts w:ascii="Arial Narrow" w:hAnsi="Arial Narrow"/>
          <w:color w:val="auto"/>
          <w:sz w:val="22"/>
          <w:szCs w:val="22"/>
        </w:rPr>
        <w:t xml:space="preserve">sledovať a </w:t>
      </w:r>
      <w:r w:rsidR="00324C7C" w:rsidRPr="00324C7C">
        <w:rPr>
          <w:rFonts w:ascii="Arial Narrow" w:hAnsi="Arial Narrow"/>
          <w:color w:val="auto"/>
          <w:sz w:val="22"/>
          <w:szCs w:val="22"/>
        </w:rPr>
        <w:t xml:space="preserve">zhodnotiť uplatnenie absolventov na trhu práce. </w:t>
      </w:r>
      <w:r w:rsidRPr="00E87F25">
        <w:rPr>
          <w:rFonts w:ascii="Arial Narrow" w:hAnsi="Arial Narrow"/>
          <w:color w:val="auto"/>
          <w:sz w:val="22"/>
          <w:szCs w:val="22"/>
        </w:rPr>
        <w:t>Dáta budú využité pre lepšie nastavenie rozhodovacích procesov (regulácia, tvorba vzdelávacích politík) ako aj znižovaní informačnej asymetrie pri rozhodovaní uc</w:t>
      </w:r>
      <w:r w:rsidR="005A1AEA">
        <w:rPr>
          <w:rFonts w:ascii="Arial Narrow" w:hAnsi="Arial Narrow"/>
          <w:color w:val="auto"/>
          <w:sz w:val="22"/>
          <w:szCs w:val="22"/>
        </w:rPr>
        <w:t xml:space="preserve">hádzačov o štúdium na stredných, </w:t>
      </w:r>
      <w:r w:rsidRPr="00E87F25">
        <w:rPr>
          <w:rFonts w:ascii="Arial Narrow" w:hAnsi="Arial Narrow"/>
          <w:color w:val="auto"/>
          <w:sz w:val="22"/>
          <w:szCs w:val="22"/>
        </w:rPr>
        <w:t>ale aj vysokých školách.</w:t>
      </w:r>
    </w:p>
    <w:p w14:paraId="6CD8BA78" w14:textId="77777777" w:rsidR="00370FB9" w:rsidRPr="00E87F25" w:rsidRDefault="00370FB9" w:rsidP="00370FB9">
      <w:pPr>
        <w:pStyle w:val="default0"/>
        <w:shd w:val="clear" w:color="auto" w:fill="FFFFFF"/>
        <w:jc w:val="both"/>
        <w:rPr>
          <w:rFonts w:ascii="Arial Narrow" w:hAnsi="Arial Narrow"/>
          <w:color w:val="auto"/>
          <w:sz w:val="22"/>
          <w:szCs w:val="22"/>
        </w:rPr>
      </w:pPr>
    </w:p>
    <w:p w14:paraId="51767AFD" w14:textId="19A139E0" w:rsidR="00AC7707" w:rsidRPr="00E87F25" w:rsidRDefault="00E87F25" w:rsidP="009D1400">
      <w:pPr>
        <w:pStyle w:val="default0"/>
        <w:shd w:val="clear" w:color="auto" w:fill="FFFFFF"/>
        <w:jc w:val="both"/>
        <w:rPr>
          <w:rFonts w:ascii="Arial Narrow" w:hAnsi="Arial Narrow"/>
          <w:color w:val="auto"/>
          <w:sz w:val="22"/>
          <w:szCs w:val="22"/>
        </w:rPr>
      </w:pPr>
      <w:r w:rsidRPr="00E87F25">
        <w:rPr>
          <w:rFonts w:ascii="Arial Narrow" w:hAnsi="Arial Narrow"/>
          <w:color w:val="auto"/>
          <w:sz w:val="22"/>
          <w:szCs w:val="22"/>
        </w:rPr>
        <w:t xml:space="preserve">MŠVVŠ SR </w:t>
      </w:r>
      <w:r w:rsidR="00AC7707" w:rsidRPr="00E87F25">
        <w:rPr>
          <w:rFonts w:ascii="Arial Narrow" w:hAnsi="Arial Narrow"/>
          <w:color w:val="auto"/>
          <w:sz w:val="22"/>
          <w:szCs w:val="22"/>
        </w:rPr>
        <w:t>plánuje spustiť projekt s Európskou výskumnou agentúrou pre rozvoj odborného vzd</w:t>
      </w:r>
      <w:r w:rsidRPr="00E87F25">
        <w:rPr>
          <w:rFonts w:ascii="Arial Narrow" w:hAnsi="Arial Narrow"/>
          <w:color w:val="auto"/>
          <w:sz w:val="22"/>
          <w:szCs w:val="22"/>
        </w:rPr>
        <w:t>elávania a prípravy (</w:t>
      </w:r>
      <w:proofErr w:type="spellStart"/>
      <w:r w:rsidRPr="00E87F25">
        <w:rPr>
          <w:rFonts w:ascii="Arial Narrow" w:hAnsi="Arial Narrow"/>
          <w:color w:val="auto"/>
          <w:sz w:val="22"/>
          <w:szCs w:val="22"/>
        </w:rPr>
        <w:t>Cedefop</w:t>
      </w:r>
      <w:proofErr w:type="spellEnd"/>
      <w:r w:rsidRPr="00E87F25">
        <w:rPr>
          <w:rFonts w:ascii="Arial Narrow" w:hAnsi="Arial Narrow"/>
          <w:color w:val="auto"/>
          <w:sz w:val="22"/>
          <w:szCs w:val="22"/>
        </w:rPr>
        <w:t xml:space="preserve">) o </w:t>
      </w:r>
      <w:r w:rsidR="00AC7707" w:rsidRPr="00E87F25">
        <w:rPr>
          <w:rFonts w:ascii="Arial Narrow" w:hAnsi="Arial Narrow"/>
          <w:color w:val="auto"/>
          <w:sz w:val="22"/>
          <w:szCs w:val="22"/>
        </w:rPr>
        <w:t>prehľade schém učňovskej prípravy na Slovensku. Cieľom projektu je zhodnotiť schémy učňovskej prípravy v rámci formálneho i neformálneho vzdelávania, nastaviť systém koordinácie riadenia, prepojenie medzi počiatočným a ďalším odborným vzdelávaním a</w:t>
      </w:r>
      <w:r w:rsidR="00A072FB">
        <w:rPr>
          <w:rFonts w:ascii="Arial Narrow" w:hAnsi="Arial Narrow"/>
          <w:color w:val="auto"/>
          <w:sz w:val="22"/>
          <w:szCs w:val="22"/>
        </w:rPr>
        <w:t>ko aj príklady dobrej praxe zo </w:t>
      </w:r>
      <w:r w:rsidR="00AC7707" w:rsidRPr="00E87F25">
        <w:rPr>
          <w:rFonts w:ascii="Arial Narrow" w:hAnsi="Arial Narrow"/>
          <w:color w:val="auto"/>
          <w:sz w:val="22"/>
          <w:szCs w:val="22"/>
        </w:rPr>
        <w:t xml:space="preserve">zahraničia. </w:t>
      </w:r>
    </w:p>
    <w:p w14:paraId="49591D3E" w14:textId="77777777" w:rsidR="00AC7707" w:rsidRDefault="00AC7707" w:rsidP="00AC7707">
      <w:pPr>
        <w:spacing w:after="0" w:line="240" w:lineRule="auto"/>
        <w:jc w:val="both"/>
        <w:rPr>
          <w:rFonts w:ascii="Arial Narrow" w:hAnsi="Arial Narrow"/>
          <w:szCs w:val="28"/>
        </w:rPr>
      </w:pPr>
    </w:p>
    <w:p w14:paraId="7AC3AB7C" w14:textId="77777777" w:rsidR="00AC7707" w:rsidRPr="00A969B4" w:rsidRDefault="00AC7707" w:rsidP="00AC7707">
      <w:pPr>
        <w:pStyle w:val="Default"/>
        <w:jc w:val="both"/>
        <w:rPr>
          <w:rFonts w:ascii="Arial Narrow" w:hAnsi="Arial Narrow"/>
          <w:b/>
          <w:i/>
          <w:sz w:val="22"/>
          <w:szCs w:val="22"/>
        </w:rPr>
      </w:pPr>
      <w:proofErr w:type="spellStart"/>
      <w:r w:rsidRPr="00A969B4">
        <w:rPr>
          <w:rFonts w:ascii="Arial Narrow" w:hAnsi="Arial Narrow"/>
          <w:b/>
          <w:i/>
          <w:sz w:val="22"/>
          <w:szCs w:val="22"/>
        </w:rPr>
        <w:lastRenderedPageBreak/>
        <w:t>Inkluzívne</w:t>
      </w:r>
      <w:proofErr w:type="spellEnd"/>
      <w:r w:rsidRPr="00A969B4">
        <w:rPr>
          <w:rFonts w:ascii="Arial Narrow" w:hAnsi="Arial Narrow"/>
          <w:b/>
          <w:i/>
          <w:sz w:val="22"/>
          <w:szCs w:val="22"/>
        </w:rPr>
        <w:t xml:space="preserve"> vzdelávanie</w:t>
      </w:r>
    </w:p>
    <w:p w14:paraId="3F96BDB1" w14:textId="168337FE" w:rsidR="00AC7707" w:rsidRPr="002B50ED" w:rsidRDefault="00AC7707" w:rsidP="00AC7707">
      <w:pPr>
        <w:spacing w:line="240" w:lineRule="auto"/>
        <w:jc w:val="both"/>
        <w:rPr>
          <w:rFonts w:ascii="Arial Narrow" w:hAnsi="Arial Narrow"/>
        </w:rPr>
      </w:pPr>
      <w:r>
        <w:rPr>
          <w:rFonts w:ascii="Arial Narrow" w:hAnsi="Arial Narrow"/>
        </w:rPr>
        <w:t xml:space="preserve">Naďalej ostáva prioritou </w:t>
      </w:r>
      <w:r w:rsidRPr="00655894">
        <w:rPr>
          <w:rFonts w:ascii="Arial Narrow" w:hAnsi="Arial Narrow"/>
          <w:b/>
        </w:rPr>
        <w:t>zlepšovanie inklúzie žiakov zo sociálne znevýhodneného prostredia</w:t>
      </w:r>
      <w:r>
        <w:rPr>
          <w:rFonts w:ascii="Arial Narrow" w:hAnsi="Arial Narrow"/>
        </w:rPr>
        <w:t xml:space="preserve">. </w:t>
      </w:r>
      <w:r w:rsidRPr="002B50ED">
        <w:rPr>
          <w:rFonts w:ascii="Arial Narrow" w:hAnsi="Arial Narrow"/>
        </w:rPr>
        <w:t>Bude sa pokračovať v im</w:t>
      </w:r>
      <w:r>
        <w:rPr>
          <w:rFonts w:ascii="Arial Narrow" w:hAnsi="Arial Narrow"/>
        </w:rPr>
        <w:t xml:space="preserve">plementácií národného projektu </w:t>
      </w:r>
      <w:r>
        <w:rPr>
          <w:rFonts w:ascii="Arial Narrow" w:hAnsi="Arial Narrow"/>
          <w:i/>
        </w:rPr>
        <w:t>Škola otvorená všetkým</w:t>
      </w:r>
      <w:r w:rsidRPr="002B50ED">
        <w:rPr>
          <w:rFonts w:ascii="Arial Narrow" w:hAnsi="Arial Narrow"/>
        </w:rPr>
        <w:t xml:space="preserve"> </w:t>
      </w:r>
      <w:r w:rsidRPr="00A969B4">
        <w:rPr>
          <w:rFonts w:ascii="Arial Narrow" w:hAnsi="Arial Narrow"/>
          <w:bCs/>
          <w:lang w:eastAsia="en-US"/>
        </w:rPr>
        <w:t xml:space="preserve">s alokáciou 25 mil. eur </w:t>
      </w:r>
      <w:r>
        <w:rPr>
          <w:rFonts w:ascii="Arial Narrow" w:hAnsi="Arial Narrow"/>
          <w:bCs/>
          <w:lang w:eastAsia="en-US"/>
        </w:rPr>
        <w:t xml:space="preserve">z ESF </w:t>
      </w:r>
      <w:r w:rsidRPr="002B50ED">
        <w:rPr>
          <w:rFonts w:ascii="Arial Narrow" w:hAnsi="Arial Narrow"/>
        </w:rPr>
        <w:t xml:space="preserve">a dopytovo orientovanej výzvy </w:t>
      </w:r>
      <w:r>
        <w:rPr>
          <w:rFonts w:ascii="Arial Narrow" w:hAnsi="Arial Narrow"/>
          <w:i/>
        </w:rPr>
        <w:t>V základnej škole úspešnejší</w:t>
      </w:r>
      <w:r>
        <w:rPr>
          <w:rFonts w:ascii="Arial Narrow" w:hAnsi="Arial Narrow"/>
        </w:rPr>
        <w:t xml:space="preserve"> </w:t>
      </w:r>
      <w:r w:rsidRPr="00A969B4">
        <w:rPr>
          <w:rFonts w:ascii="Arial Narrow" w:hAnsi="Arial Narrow"/>
          <w:bCs/>
          <w:color w:val="000000"/>
          <w:lang w:eastAsia="en-US"/>
        </w:rPr>
        <w:t>s</w:t>
      </w:r>
      <w:r>
        <w:rPr>
          <w:rFonts w:ascii="Arial Narrow" w:hAnsi="Arial Narrow"/>
          <w:bCs/>
          <w:color w:val="000000"/>
          <w:lang w:eastAsia="en-US"/>
        </w:rPr>
        <w:t xml:space="preserve"> </w:t>
      </w:r>
      <w:r w:rsidRPr="00A969B4">
        <w:rPr>
          <w:rFonts w:ascii="Arial Narrow" w:hAnsi="Arial Narrow"/>
          <w:bCs/>
          <w:color w:val="000000"/>
          <w:lang w:eastAsia="en-US"/>
        </w:rPr>
        <w:t>alokáciou</w:t>
      </w:r>
      <w:r>
        <w:rPr>
          <w:rFonts w:ascii="Arial Narrow" w:hAnsi="Arial Narrow"/>
          <w:bCs/>
          <w:lang w:eastAsia="en-US"/>
        </w:rPr>
        <w:t xml:space="preserve"> 50 mil. eur z ESF.</w:t>
      </w:r>
      <w:r w:rsidRPr="002B50ED">
        <w:rPr>
          <w:rFonts w:ascii="Arial Narrow" w:hAnsi="Arial Narrow"/>
        </w:rPr>
        <w:t xml:space="preserve"> Ich spoločným cieľom je zvýšiť </w:t>
      </w:r>
      <w:proofErr w:type="spellStart"/>
      <w:r w:rsidRPr="002B50ED">
        <w:rPr>
          <w:rFonts w:ascii="Arial Narrow" w:hAnsi="Arial Narrow"/>
        </w:rPr>
        <w:t>inkluzívnosť</w:t>
      </w:r>
      <w:proofErr w:type="spellEnd"/>
      <w:r w:rsidRPr="002B50ED">
        <w:rPr>
          <w:rFonts w:ascii="Arial Narrow" w:hAnsi="Arial Narrow"/>
        </w:rPr>
        <w:t xml:space="preserve"> a rovnaký prístup ku kvalitnému vzdelávaniu a zlepšiť výsledky a </w:t>
      </w:r>
      <w:r w:rsidR="00A072FB">
        <w:rPr>
          <w:rFonts w:ascii="Arial Narrow" w:hAnsi="Arial Narrow"/>
        </w:rPr>
        <w:t xml:space="preserve">kompetencie detí a žiakov zo sociálne znevýhodneného prostredia alebo MRK </w:t>
      </w:r>
      <w:r w:rsidRPr="002B50ED">
        <w:rPr>
          <w:rFonts w:ascii="Arial Narrow" w:hAnsi="Arial Narrow"/>
        </w:rPr>
        <w:t>a žiakov so zdravotným znevýhodnením.</w:t>
      </w:r>
    </w:p>
    <w:p w14:paraId="14F7FCB4" w14:textId="77777777" w:rsidR="00AC7707" w:rsidRDefault="00AC7707" w:rsidP="00AC7707">
      <w:pPr>
        <w:spacing w:line="240" w:lineRule="auto"/>
        <w:jc w:val="both"/>
        <w:rPr>
          <w:rFonts w:ascii="Arial Narrow" w:hAnsi="Arial Narrow"/>
        </w:rPr>
      </w:pPr>
      <w:r>
        <w:rPr>
          <w:rFonts w:ascii="Arial Narrow" w:hAnsi="Arial Narrow"/>
        </w:rPr>
        <w:t>Rezort školstva</w:t>
      </w:r>
      <w:r w:rsidRPr="002B50ED">
        <w:rPr>
          <w:rFonts w:ascii="Arial Narrow" w:hAnsi="Arial Narrow"/>
        </w:rPr>
        <w:t xml:space="preserve"> pripraví transparentnejší, objektívnejší a spravodlivejší postup prideľovania finančných prostriedkov na asistentov učiteľa pre žiakov so zdravotným znevýhodnením. </w:t>
      </w:r>
    </w:p>
    <w:p w14:paraId="08A65139" w14:textId="2CB434B3" w:rsidR="00AC7707" w:rsidRPr="002B50ED" w:rsidRDefault="00FC4086" w:rsidP="00AC7707">
      <w:pPr>
        <w:spacing w:line="240" w:lineRule="auto"/>
        <w:jc w:val="both"/>
        <w:rPr>
          <w:rFonts w:ascii="Arial Narrow" w:hAnsi="Arial Narrow"/>
        </w:rPr>
      </w:pPr>
      <w:r>
        <w:rPr>
          <w:rFonts w:ascii="Arial Narrow" w:hAnsi="Arial Narrow"/>
        </w:rPr>
        <w:t>Plánuje sa z</w:t>
      </w:r>
      <w:r w:rsidR="00AC7707" w:rsidRPr="002B50ED">
        <w:rPr>
          <w:rFonts w:ascii="Arial Narrow" w:hAnsi="Arial Narrow"/>
        </w:rPr>
        <w:t>efektívn</w:t>
      </w:r>
      <w:r w:rsidR="00876518">
        <w:rPr>
          <w:rFonts w:ascii="Arial Narrow" w:hAnsi="Arial Narrow"/>
        </w:rPr>
        <w:t>enie</w:t>
      </w:r>
      <w:r>
        <w:rPr>
          <w:rFonts w:ascii="Arial Narrow" w:hAnsi="Arial Narrow"/>
        </w:rPr>
        <w:t xml:space="preserve"> </w:t>
      </w:r>
      <w:r w:rsidR="00AC7707">
        <w:rPr>
          <w:rFonts w:ascii="Arial Narrow" w:hAnsi="Arial Narrow"/>
        </w:rPr>
        <w:t>a</w:t>
      </w:r>
      <w:r>
        <w:rPr>
          <w:rFonts w:ascii="Arial Narrow" w:hAnsi="Arial Narrow"/>
        </w:rPr>
        <w:t> </w:t>
      </w:r>
      <w:r w:rsidR="00AC7707">
        <w:rPr>
          <w:rFonts w:ascii="Arial Narrow" w:hAnsi="Arial Narrow"/>
        </w:rPr>
        <w:t>skvalitn</w:t>
      </w:r>
      <w:r w:rsidR="00876518">
        <w:rPr>
          <w:rFonts w:ascii="Arial Narrow" w:hAnsi="Arial Narrow"/>
        </w:rPr>
        <w:t>enie</w:t>
      </w:r>
      <w:r>
        <w:rPr>
          <w:rFonts w:ascii="Arial Narrow" w:hAnsi="Arial Narrow"/>
        </w:rPr>
        <w:t xml:space="preserve"> </w:t>
      </w:r>
      <w:r w:rsidR="00AC7707" w:rsidRPr="00370FB9">
        <w:rPr>
          <w:rFonts w:ascii="Arial Narrow" w:hAnsi="Arial Narrow"/>
          <w:b/>
        </w:rPr>
        <w:t>systém</w:t>
      </w:r>
      <w:r w:rsidR="00876518">
        <w:rPr>
          <w:rFonts w:ascii="Arial Narrow" w:hAnsi="Arial Narrow"/>
          <w:b/>
        </w:rPr>
        <w:t>u</w:t>
      </w:r>
      <w:r w:rsidR="00AC7707" w:rsidRPr="00370FB9">
        <w:rPr>
          <w:rFonts w:ascii="Arial Narrow" w:hAnsi="Arial Narrow"/>
          <w:b/>
        </w:rPr>
        <w:t xml:space="preserve"> pedagogicko-psychologického</w:t>
      </w:r>
      <w:r w:rsidR="00AC7707" w:rsidRPr="002B50ED">
        <w:rPr>
          <w:rFonts w:ascii="Arial Narrow" w:hAnsi="Arial Narrow"/>
        </w:rPr>
        <w:t xml:space="preserve"> a </w:t>
      </w:r>
      <w:r w:rsidR="00AC7707" w:rsidRPr="00370FB9">
        <w:rPr>
          <w:rFonts w:ascii="Arial Narrow" w:hAnsi="Arial Narrow"/>
          <w:b/>
        </w:rPr>
        <w:t>špeciálno-pedagogického poradenstva</w:t>
      </w:r>
      <w:r w:rsidR="00AC7707" w:rsidRPr="002B50ED">
        <w:rPr>
          <w:rFonts w:ascii="Arial Narrow" w:hAnsi="Arial Narrow"/>
        </w:rPr>
        <w:t xml:space="preserve">. Upravia sa podmienky zaraďovania neštátnych poradenských zariadení do siete tak, aby sa zosúladila ponuka poskytovaných služieb s dopytom v jednotlivých mestách a regiónoch. Pre zaradenie neštátneho zariadenia do siete bude potrebné vyjadrenie okresného úradu v sídle kraja. Nasledovať bude diskusia o možných úpravách systému financovania štátnych a neštátnych zariadení. </w:t>
      </w:r>
    </w:p>
    <w:p w14:paraId="6F86A449" w14:textId="77777777" w:rsidR="00AC7707" w:rsidRDefault="0053260C" w:rsidP="00AC7707">
      <w:pPr>
        <w:spacing w:line="240" w:lineRule="auto"/>
        <w:jc w:val="both"/>
        <w:rPr>
          <w:rFonts w:ascii="Arial Narrow" w:hAnsi="Arial Narrow"/>
        </w:rPr>
      </w:pPr>
      <w:r>
        <w:rPr>
          <w:rFonts w:ascii="Arial Narrow" w:hAnsi="Arial Narrow"/>
        </w:rPr>
        <w:t>Aby sa p</w:t>
      </w:r>
      <w:r w:rsidRPr="002B50ED">
        <w:rPr>
          <w:rFonts w:ascii="Arial Narrow" w:hAnsi="Arial Narrow"/>
        </w:rPr>
        <w:t>redchádza</w:t>
      </w:r>
      <w:r>
        <w:rPr>
          <w:rFonts w:ascii="Arial Narrow" w:hAnsi="Arial Narrow"/>
        </w:rPr>
        <w:t>lo</w:t>
      </w:r>
      <w:r w:rsidRPr="002B50ED">
        <w:rPr>
          <w:rFonts w:ascii="Arial Narrow" w:hAnsi="Arial Narrow"/>
        </w:rPr>
        <w:t xml:space="preserve"> </w:t>
      </w:r>
      <w:r w:rsidRPr="00D56E79">
        <w:rPr>
          <w:rFonts w:ascii="Arial Narrow" w:hAnsi="Arial Narrow"/>
          <w:b/>
        </w:rPr>
        <w:t>neželaným motiváciám pri diagnostike špeciálnych výchovnovzdelávacích potrieb žiakov</w:t>
      </w:r>
      <w:r>
        <w:rPr>
          <w:rFonts w:ascii="Arial Narrow" w:hAnsi="Arial Narrow"/>
        </w:rPr>
        <w:t>, z</w:t>
      </w:r>
      <w:r w:rsidR="00AC7707" w:rsidRPr="002B50ED">
        <w:rPr>
          <w:rFonts w:ascii="Arial Narrow" w:hAnsi="Arial Narrow"/>
        </w:rPr>
        <w:t xml:space="preserve">abezpečí </w:t>
      </w:r>
      <w:r w:rsidR="00CA6D88">
        <w:rPr>
          <w:rFonts w:ascii="Arial Narrow" w:hAnsi="Arial Narrow"/>
        </w:rPr>
        <w:t xml:space="preserve">sa </w:t>
      </w:r>
      <w:r w:rsidR="00AC7707" w:rsidRPr="002B50ED">
        <w:rPr>
          <w:rFonts w:ascii="Arial Narrow" w:hAnsi="Arial Narrow"/>
        </w:rPr>
        <w:t>nezávislosť CŠPP</w:t>
      </w:r>
      <w:r w:rsidR="00AC7707">
        <w:rPr>
          <w:rStyle w:val="Odkaznapoznmkupodiarou"/>
          <w:rFonts w:ascii="Arial Narrow" w:hAnsi="Arial Narrow"/>
        </w:rPr>
        <w:footnoteReference w:id="28"/>
      </w:r>
      <w:r w:rsidR="00AC7707">
        <w:rPr>
          <w:rFonts w:ascii="Arial Narrow" w:hAnsi="Arial Narrow"/>
        </w:rPr>
        <w:t xml:space="preserve"> </w:t>
      </w:r>
      <w:r w:rsidR="00AC7707" w:rsidRPr="002B50ED">
        <w:rPr>
          <w:rFonts w:ascii="Arial Narrow" w:hAnsi="Arial Narrow"/>
        </w:rPr>
        <w:t xml:space="preserve">od špeciálnych škôl, ktoré budú zriadené ako dva samostatné subjekty. Štátne a súkromné </w:t>
      </w:r>
      <w:proofErr w:type="spellStart"/>
      <w:r w:rsidR="00AC7707" w:rsidRPr="002B50ED">
        <w:rPr>
          <w:rFonts w:ascii="Arial Narrow" w:hAnsi="Arial Narrow"/>
        </w:rPr>
        <w:t>CPPPaP</w:t>
      </w:r>
      <w:proofErr w:type="spellEnd"/>
      <w:r w:rsidR="00AC7707">
        <w:rPr>
          <w:rStyle w:val="Odkaznapoznmkupodiarou"/>
          <w:rFonts w:ascii="Arial Narrow" w:hAnsi="Arial Narrow"/>
        </w:rPr>
        <w:footnoteReference w:id="29"/>
      </w:r>
      <w:r w:rsidR="00AC7707" w:rsidRPr="002B50ED">
        <w:rPr>
          <w:rFonts w:ascii="Arial Narrow" w:hAnsi="Arial Narrow"/>
        </w:rPr>
        <w:t xml:space="preserve"> a CŠPP budú taktiež jednotne metodicky usmerňované prostredníctvom Výskumného ústavu detskej psychológie a patopsychológie.</w:t>
      </w:r>
    </w:p>
    <w:p w14:paraId="1B5987A6" w14:textId="77777777" w:rsidR="00AC7707" w:rsidRPr="00226ED2" w:rsidRDefault="00AC7707" w:rsidP="00AC7707">
      <w:pPr>
        <w:pStyle w:val="Default"/>
        <w:jc w:val="both"/>
        <w:rPr>
          <w:rFonts w:ascii="Arial Narrow" w:hAnsi="Arial Narrow"/>
          <w:b/>
          <w:i/>
          <w:sz w:val="22"/>
          <w:szCs w:val="22"/>
        </w:rPr>
      </w:pPr>
      <w:r w:rsidRPr="00226ED2">
        <w:rPr>
          <w:rFonts w:ascii="Arial Narrow" w:hAnsi="Arial Narrow"/>
          <w:b/>
          <w:i/>
          <w:sz w:val="22"/>
          <w:szCs w:val="22"/>
        </w:rPr>
        <w:t xml:space="preserve">Podpora vzdelávania národnostných menších </w:t>
      </w:r>
    </w:p>
    <w:p w14:paraId="54B599FC" w14:textId="77777777" w:rsidR="00AC7707" w:rsidRPr="00226ED2" w:rsidRDefault="00AC7707" w:rsidP="00AC7707">
      <w:pPr>
        <w:pStyle w:val="Default"/>
        <w:jc w:val="both"/>
        <w:rPr>
          <w:rFonts w:ascii="Arial Narrow" w:hAnsi="Arial Narrow"/>
          <w:sz w:val="22"/>
          <w:szCs w:val="22"/>
        </w:rPr>
      </w:pPr>
      <w:r w:rsidRPr="00226ED2">
        <w:rPr>
          <w:rFonts w:ascii="Arial Narrow" w:hAnsi="Arial Narrow"/>
          <w:sz w:val="22"/>
          <w:szCs w:val="22"/>
        </w:rPr>
        <w:t>Podporí sa vzdelávanie žiakov v materinskom jazyku. Zvýši sa normatívny príspevok pre žiakov základnej školy, ktorí sa učia jazyk národnostnej menšiny alebo ktorí sa vzdelávajú v jazyku národnostnej menšiny.</w:t>
      </w:r>
      <w:r>
        <w:rPr>
          <w:rFonts w:ascii="Arial Narrow" w:hAnsi="Arial Narrow"/>
          <w:sz w:val="22"/>
          <w:szCs w:val="22"/>
        </w:rPr>
        <w:t xml:space="preserve"> Podporí sa zmena</w:t>
      </w:r>
      <w:r w:rsidRPr="00226ED2">
        <w:rPr>
          <w:rFonts w:ascii="Arial Narrow" w:hAnsi="Arial Narrow"/>
          <w:sz w:val="22"/>
          <w:szCs w:val="22"/>
        </w:rPr>
        <w:t xml:space="preserve"> metodiky výučby slovenského jazyka na menšinových školách v </w:t>
      </w:r>
      <w:r>
        <w:rPr>
          <w:rFonts w:ascii="Arial Narrow" w:hAnsi="Arial Narrow"/>
          <w:sz w:val="22"/>
          <w:szCs w:val="22"/>
        </w:rPr>
        <w:t>záujme jeho lepšieho ovládania.</w:t>
      </w:r>
    </w:p>
    <w:p w14:paraId="0483386A" w14:textId="77777777" w:rsidR="003E31A0" w:rsidRDefault="003E31A0" w:rsidP="007D2366">
      <w:pPr>
        <w:spacing w:after="0" w:line="240" w:lineRule="auto"/>
        <w:jc w:val="both"/>
        <w:rPr>
          <w:rFonts w:ascii="Arial Narrow" w:hAnsi="Arial Narrow"/>
          <w:bCs/>
          <w:color w:val="000000"/>
          <w:lang w:eastAsia="en-US"/>
        </w:rPr>
      </w:pPr>
    </w:p>
    <w:p w14:paraId="3C4566E7" w14:textId="77777777" w:rsidR="007D2366" w:rsidRDefault="007D2366" w:rsidP="007D2366">
      <w:pPr>
        <w:pStyle w:val="Nadpis2"/>
        <w:numPr>
          <w:ilvl w:val="2"/>
          <w:numId w:val="1"/>
        </w:numPr>
        <w:spacing w:after="240" w:line="240" w:lineRule="auto"/>
        <w:ind w:left="720"/>
        <w:jc w:val="both"/>
        <w:rPr>
          <w:rFonts w:ascii="Arial Narrow" w:hAnsi="Arial Narrow"/>
          <w:color w:val="2C9ADC"/>
          <w:sz w:val="28"/>
          <w:szCs w:val="28"/>
        </w:rPr>
      </w:pPr>
      <w:bookmarkStart w:id="37" w:name="_Toc480749807"/>
      <w:bookmarkStart w:id="38" w:name="_Toc508039579"/>
      <w:r w:rsidRPr="00256D89">
        <w:rPr>
          <w:rFonts w:ascii="Arial Narrow" w:hAnsi="Arial Narrow"/>
          <w:color w:val="2C9ADC"/>
          <w:sz w:val="28"/>
          <w:szCs w:val="28"/>
        </w:rPr>
        <w:t xml:space="preserve">Vysoké </w:t>
      </w:r>
      <w:r w:rsidRPr="00B14DD0">
        <w:rPr>
          <w:rFonts w:ascii="Arial Narrow" w:hAnsi="Arial Narrow"/>
          <w:color w:val="2C9ADC"/>
          <w:sz w:val="28"/>
          <w:szCs w:val="28"/>
        </w:rPr>
        <w:t>školstvo</w:t>
      </w:r>
      <w:bookmarkEnd w:id="37"/>
      <w:bookmarkEnd w:id="38"/>
    </w:p>
    <w:p w14:paraId="4D898887" w14:textId="77777777" w:rsidR="00AF41A5" w:rsidRPr="00064F06" w:rsidRDefault="00AF41A5" w:rsidP="00AF41A5">
      <w:pPr>
        <w:spacing w:after="0" w:line="240" w:lineRule="auto"/>
        <w:jc w:val="both"/>
        <w:rPr>
          <w:rFonts w:ascii="Arial Narrow" w:hAnsi="Arial Narrow"/>
          <w:b/>
          <w:bCs/>
          <w:i/>
          <w:color w:val="000000"/>
          <w:lang w:eastAsia="en-US"/>
        </w:rPr>
      </w:pPr>
      <w:r w:rsidRPr="00064F06">
        <w:rPr>
          <w:rFonts w:ascii="Arial Narrow" w:hAnsi="Arial Narrow"/>
          <w:b/>
          <w:bCs/>
          <w:i/>
          <w:color w:val="000000"/>
          <w:lang w:eastAsia="en-US"/>
        </w:rPr>
        <w:t xml:space="preserve">Reforma akreditačnej komisie a procesu akreditácie </w:t>
      </w:r>
    </w:p>
    <w:p w14:paraId="3047905D" w14:textId="2679086D" w:rsidR="00AF41A5" w:rsidRDefault="00AF41A5" w:rsidP="00AF41A5">
      <w:pPr>
        <w:spacing w:after="0" w:line="240" w:lineRule="auto"/>
        <w:jc w:val="both"/>
        <w:rPr>
          <w:rFonts w:ascii="Arial Narrow" w:hAnsi="Arial Narrow"/>
          <w:bCs/>
          <w:color w:val="000000"/>
          <w:lang w:eastAsia="en-US"/>
        </w:rPr>
      </w:pPr>
      <w:r w:rsidRPr="00FD28F4">
        <w:rPr>
          <w:rFonts w:ascii="Arial Narrow" w:hAnsi="Arial Narrow"/>
          <w:bCs/>
          <w:color w:val="000000"/>
          <w:lang w:eastAsia="en-US"/>
        </w:rPr>
        <w:t xml:space="preserve">V apríli 2017 boli predložené návrhy zákonov zameraných na </w:t>
      </w:r>
      <w:r w:rsidRPr="00370FB9">
        <w:rPr>
          <w:rFonts w:ascii="Arial Narrow" w:hAnsi="Arial Narrow"/>
          <w:b/>
          <w:bCs/>
          <w:color w:val="000000"/>
          <w:lang w:eastAsia="en-US"/>
        </w:rPr>
        <w:t>reformu Akreditačnej komisie</w:t>
      </w:r>
      <w:r w:rsidRPr="00BE1798">
        <w:rPr>
          <w:rStyle w:val="Odkaznapoznmkupodiarou"/>
          <w:rFonts w:ascii="Arial Narrow" w:hAnsi="Arial Narrow"/>
          <w:bCs/>
          <w:color w:val="000000"/>
          <w:lang w:eastAsia="en-US"/>
        </w:rPr>
        <w:footnoteReference w:id="30"/>
      </w:r>
      <w:r w:rsidRPr="00FD28F4">
        <w:rPr>
          <w:rFonts w:ascii="Arial Narrow" w:hAnsi="Arial Narrow"/>
          <w:bCs/>
          <w:color w:val="000000"/>
          <w:lang w:eastAsia="en-US"/>
        </w:rPr>
        <w:t xml:space="preserve"> a </w:t>
      </w:r>
      <w:r w:rsidRPr="00370FB9">
        <w:rPr>
          <w:rFonts w:ascii="Arial Narrow" w:hAnsi="Arial Narrow"/>
          <w:b/>
          <w:bCs/>
          <w:color w:val="000000"/>
          <w:lang w:eastAsia="en-US"/>
        </w:rPr>
        <w:t>procesu akreditácie</w:t>
      </w:r>
      <w:r w:rsidRPr="00FD28F4">
        <w:rPr>
          <w:rFonts w:ascii="Arial Narrow" w:hAnsi="Arial Narrow"/>
          <w:bCs/>
          <w:color w:val="000000"/>
          <w:lang w:eastAsia="en-US"/>
        </w:rPr>
        <w:t xml:space="preserve">. </w:t>
      </w:r>
      <w:r w:rsidRPr="009043B8">
        <w:rPr>
          <w:rFonts w:ascii="Arial Narrow" w:hAnsi="Arial Narrow"/>
          <w:bCs/>
          <w:color w:val="000000"/>
          <w:lang w:eastAsia="en-US"/>
        </w:rPr>
        <w:t>Návrhy zákonov menili inštitucionálne postavenie A</w:t>
      </w:r>
      <w:r>
        <w:rPr>
          <w:rFonts w:ascii="Arial Narrow" w:hAnsi="Arial Narrow"/>
          <w:bCs/>
          <w:color w:val="000000"/>
          <w:lang w:eastAsia="en-US"/>
        </w:rPr>
        <w:t xml:space="preserve">kreditačnej komisie </w:t>
      </w:r>
      <w:r w:rsidRPr="009043B8">
        <w:rPr>
          <w:rFonts w:ascii="Arial Narrow" w:hAnsi="Arial Narrow"/>
          <w:bCs/>
          <w:color w:val="000000"/>
          <w:lang w:eastAsia="en-US"/>
        </w:rPr>
        <w:t>z poradného orgánu vlády SR n</w:t>
      </w:r>
      <w:r>
        <w:rPr>
          <w:rFonts w:ascii="Arial Narrow" w:hAnsi="Arial Narrow"/>
          <w:bCs/>
          <w:color w:val="000000"/>
          <w:lang w:eastAsia="en-US"/>
        </w:rPr>
        <w:t>a samostatnú nezávislú agentúru</w:t>
      </w:r>
      <w:r w:rsidRPr="009043B8">
        <w:rPr>
          <w:rFonts w:ascii="Arial Narrow" w:hAnsi="Arial Narrow"/>
          <w:bCs/>
          <w:color w:val="000000"/>
          <w:lang w:eastAsia="en-US"/>
        </w:rPr>
        <w:t>, dávali dôraz</w:t>
      </w:r>
      <w:r w:rsidR="00582B6B">
        <w:rPr>
          <w:rFonts w:ascii="Arial Narrow" w:hAnsi="Arial Narrow"/>
          <w:bCs/>
          <w:color w:val="000000"/>
          <w:lang w:eastAsia="en-US"/>
        </w:rPr>
        <w:t xml:space="preserve"> na implementáciu štandardov a </w:t>
      </w:r>
      <w:r w:rsidRPr="009043B8">
        <w:rPr>
          <w:rFonts w:ascii="Arial Narrow" w:hAnsi="Arial Narrow"/>
          <w:bCs/>
          <w:color w:val="000000"/>
          <w:lang w:eastAsia="en-US"/>
        </w:rPr>
        <w:t>o</w:t>
      </w:r>
      <w:r w:rsidR="00582B6B">
        <w:rPr>
          <w:rFonts w:ascii="Arial Narrow" w:hAnsi="Arial Narrow"/>
          <w:bCs/>
          <w:color w:val="000000"/>
          <w:lang w:eastAsia="en-US"/>
        </w:rPr>
        <w:t>d</w:t>
      </w:r>
      <w:r w:rsidRPr="009043B8">
        <w:rPr>
          <w:rFonts w:ascii="Arial Narrow" w:hAnsi="Arial Narrow"/>
          <w:bCs/>
          <w:color w:val="000000"/>
          <w:lang w:eastAsia="en-US"/>
        </w:rPr>
        <w:t>porúčaní ESG 2015 a nahrádzali akreditáciu študijných programov formou inštitucionálnej akreditácie.</w:t>
      </w:r>
      <w:r>
        <w:rPr>
          <w:rFonts w:ascii="Arial Narrow" w:hAnsi="Arial Narrow"/>
          <w:bCs/>
          <w:color w:val="000000"/>
          <w:lang w:eastAsia="en-US"/>
        </w:rPr>
        <w:t xml:space="preserve"> </w:t>
      </w:r>
      <w:r w:rsidRPr="00FD28F4">
        <w:rPr>
          <w:rFonts w:ascii="Arial Narrow" w:hAnsi="Arial Narrow"/>
          <w:bCs/>
          <w:color w:val="000000"/>
          <w:lang w:eastAsia="en-US"/>
        </w:rPr>
        <w:t>Legislatívny proces bol však prerušený, jeho pokračovanie</w:t>
      </w:r>
      <w:r>
        <w:rPr>
          <w:rFonts w:ascii="Arial Narrow" w:hAnsi="Arial Narrow"/>
          <w:bCs/>
          <w:color w:val="000000"/>
          <w:lang w:eastAsia="en-US"/>
        </w:rPr>
        <w:t xml:space="preserve"> </w:t>
      </w:r>
      <w:r w:rsidRPr="00FD28F4">
        <w:rPr>
          <w:rFonts w:ascii="Arial Narrow" w:hAnsi="Arial Narrow"/>
          <w:bCs/>
          <w:color w:val="000000"/>
          <w:lang w:eastAsia="en-US"/>
        </w:rPr>
        <w:t>sa predpokladá v roku 2018.</w:t>
      </w:r>
    </w:p>
    <w:p w14:paraId="447A1A26" w14:textId="01D10F8A" w:rsidR="00AF41A5" w:rsidRDefault="00AF41A5" w:rsidP="00AF41A5">
      <w:pPr>
        <w:spacing w:after="0" w:line="240" w:lineRule="auto"/>
        <w:jc w:val="both"/>
        <w:rPr>
          <w:rFonts w:ascii="Arial Narrow" w:hAnsi="Arial Narrow"/>
          <w:b/>
          <w:bCs/>
          <w:i/>
          <w:color w:val="000000"/>
          <w:lang w:eastAsia="en-US"/>
        </w:rPr>
      </w:pPr>
      <w:r w:rsidRPr="00FD28F4">
        <w:rPr>
          <w:rFonts w:ascii="Arial Narrow" w:hAnsi="Arial Narrow"/>
          <w:b/>
          <w:bCs/>
          <w:color w:val="000000"/>
          <w:lang w:eastAsia="en-US"/>
        </w:rPr>
        <w:t xml:space="preserve"> </w:t>
      </w:r>
      <w:r>
        <w:rPr>
          <w:rFonts w:ascii="Arial Narrow" w:hAnsi="Arial Narrow"/>
          <w:b/>
          <w:bCs/>
          <w:color w:val="000000"/>
          <w:lang w:eastAsia="en-US"/>
        </w:rPr>
        <w:br/>
      </w:r>
      <w:r>
        <w:rPr>
          <w:rFonts w:ascii="Arial Narrow" w:hAnsi="Arial Narrow"/>
          <w:b/>
          <w:bCs/>
          <w:i/>
          <w:color w:val="000000"/>
          <w:lang w:eastAsia="en-US"/>
        </w:rPr>
        <w:t>Kvalita a dostupnosť vysok</w:t>
      </w:r>
      <w:r w:rsidR="000424E1">
        <w:rPr>
          <w:rFonts w:ascii="Arial Narrow" w:hAnsi="Arial Narrow"/>
          <w:b/>
          <w:bCs/>
          <w:i/>
          <w:color w:val="000000"/>
          <w:lang w:eastAsia="en-US"/>
        </w:rPr>
        <w:t>oškolského vzdelávania</w:t>
      </w:r>
    </w:p>
    <w:p w14:paraId="1B49FFE5" w14:textId="618BCEB7" w:rsidR="00AF41A5" w:rsidRDefault="00AF41A5" w:rsidP="00370FB9">
      <w:pPr>
        <w:spacing w:after="0" w:line="240" w:lineRule="auto"/>
        <w:jc w:val="both"/>
        <w:rPr>
          <w:rFonts w:ascii="Arial Narrow" w:hAnsi="Arial Narrow"/>
          <w:bCs/>
          <w:color w:val="000000"/>
          <w:lang w:eastAsia="en-US"/>
        </w:rPr>
      </w:pPr>
      <w:r w:rsidRPr="0091000B">
        <w:rPr>
          <w:rFonts w:ascii="Arial Narrow" w:hAnsi="Arial Narrow"/>
          <w:bCs/>
          <w:color w:val="000000"/>
          <w:lang w:eastAsia="en-US"/>
        </w:rPr>
        <w:t>Aj v</w:t>
      </w:r>
      <w:r>
        <w:rPr>
          <w:rFonts w:ascii="Arial Narrow" w:hAnsi="Arial Narrow"/>
          <w:bCs/>
          <w:color w:val="000000"/>
          <w:lang w:eastAsia="en-US"/>
        </w:rPr>
        <w:t>ysokoškolským pedagógom budú zvy</w:t>
      </w:r>
      <w:r w:rsidRPr="0091000B">
        <w:rPr>
          <w:rFonts w:ascii="Arial Narrow" w:hAnsi="Arial Narrow"/>
          <w:bCs/>
          <w:color w:val="000000"/>
          <w:lang w:eastAsia="en-US"/>
        </w:rPr>
        <w:t>š</w:t>
      </w:r>
      <w:r>
        <w:rPr>
          <w:rFonts w:ascii="Arial Narrow" w:hAnsi="Arial Narrow"/>
          <w:bCs/>
          <w:color w:val="000000"/>
          <w:lang w:eastAsia="en-US"/>
        </w:rPr>
        <w:t>ované</w:t>
      </w:r>
      <w:r w:rsidRPr="0091000B">
        <w:rPr>
          <w:rFonts w:ascii="Arial Narrow" w:hAnsi="Arial Narrow"/>
          <w:bCs/>
          <w:color w:val="000000"/>
          <w:lang w:eastAsia="en-US"/>
        </w:rPr>
        <w:t xml:space="preserve"> platové tarify </w:t>
      </w:r>
      <w:r w:rsidR="000424E1">
        <w:rPr>
          <w:rFonts w:ascii="Arial Narrow" w:hAnsi="Arial Narrow"/>
        </w:rPr>
        <w:t>v súlade s P</w:t>
      </w:r>
      <w:r>
        <w:rPr>
          <w:rFonts w:ascii="Arial Narrow" w:hAnsi="Arial Narrow"/>
        </w:rPr>
        <w:t>rogramovým vyhlásením vlády SR</w:t>
      </w:r>
      <w:r w:rsidRPr="0091000B">
        <w:rPr>
          <w:rFonts w:ascii="Arial Narrow" w:hAnsi="Arial Narrow"/>
          <w:bCs/>
          <w:color w:val="000000"/>
          <w:lang w:eastAsia="en-US"/>
        </w:rPr>
        <w:t>.</w:t>
      </w:r>
      <w:r>
        <w:rPr>
          <w:rFonts w:ascii="Arial Narrow" w:hAnsi="Arial Narrow"/>
          <w:bCs/>
          <w:color w:val="000000"/>
          <w:lang w:eastAsia="en-US"/>
        </w:rPr>
        <w:t xml:space="preserve"> </w:t>
      </w:r>
      <w:r w:rsidRPr="00794CC4">
        <w:rPr>
          <w:rFonts w:ascii="Arial Narrow" w:hAnsi="Arial Narrow"/>
          <w:bCs/>
          <w:color w:val="000000"/>
          <w:lang w:eastAsia="en-US"/>
        </w:rPr>
        <w:t xml:space="preserve">Na odbornú diskusiu budú predložené návrhy na </w:t>
      </w:r>
      <w:r w:rsidRPr="00A80414">
        <w:rPr>
          <w:rFonts w:ascii="Arial Narrow" w:hAnsi="Arial Narrow"/>
          <w:b/>
          <w:bCs/>
          <w:color w:val="000000"/>
          <w:lang w:eastAsia="en-US"/>
        </w:rPr>
        <w:t>úpravu vnútorného riadenia verejných vysokých škôl</w:t>
      </w:r>
      <w:r w:rsidRPr="00794CC4">
        <w:rPr>
          <w:rFonts w:ascii="Arial Narrow" w:hAnsi="Arial Narrow"/>
          <w:bCs/>
          <w:color w:val="000000"/>
          <w:lang w:eastAsia="en-US"/>
        </w:rPr>
        <w:t xml:space="preserve">. Návrhy budú pripravené na základe konzultačného procesu v spolupráci s Európskou komisiou a </w:t>
      </w:r>
      <w:r>
        <w:rPr>
          <w:rFonts w:ascii="Arial Narrow" w:hAnsi="Arial Narrow"/>
          <w:bCs/>
          <w:color w:val="000000"/>
          <w:lang w:eastAsia="en-US"/>
        </w:rPr>
        <w:t>inšpirované</w:t>
      </w:r>
      <w:r w:rsidRPr="00794CC4">
        <w:rPr>
          <w:rFonts w:ascii="Arial Narrow" w:hAnsi="Arial Narrow"/>
          <w:bCs/>
          <w:color w:val="000000"/>
          <w:lang w:eastAsia="en-US"/>
        </w:rPr>
        <w:t xml:space="preserve"> príklad</w:t>
      </w:r>
      <w:r>
        <w:rPr>
          <w:rFonts w:ascii="Arial Narrow" w:hAnsi="Arial Narrow"/>
          <w:bCs/>
          <w:color w:val="000000"/>
          <w:lang w:eastAsia="en-US"/>
        </w:rPr>
        <w:t>mi</w:t>
      </w:r>
      <w:r w:rsidRPr="00794CC4">
        <w:rPr>
          <w:rFonts w:ascii="Arial Narrow" w:hAnsi="Arial Narrow"/>
          <w:bCs/>
          <w:color w:val="000000"/>
          <w:lang w:eastAsia="en-US"/>
        </w:rPr>
        <w:t xml:space="preserve"> </w:t>
      </w:r>
      <w:r>
        <w:rPr>
          <w:rFonts w:ascii="Arial Narrow" w:hAnsi="Arial Narrow"/>
          <w:bCs/>
          <w:color w:val="000000"/>
          <w:lang w:eastAsia="en-US"/>
        </w:rPr>
        <w:t>dobrej</w:t>
      </w:r>
      <w:r w:rsidRPr="00794CC4">
        <w:rPr>
          <w:rFonts w:ascii="Arial Narrow" w:hAnsi="Arial Narrow"/>
          <w:bCs/>
          <w:color w:val="000000"/>
          <w:lang w:eastAsia="en-US"/>
        </w:rPr>
        <w:t xml:space="preserve"> praxe </w:t>
      </w:r>
      <w:r>
        <w:rPr>
          <w:rFonts w:ascii="Arial Narrow" w:hAnsi="Arial Narrow"/>
          <w:bCs/>
          <w:color w:val="000000"/>
          <w:lang w:eastAsia="en-US"/>
        </w:rPr>
        <w:t>vo</w:t>
      </w:r>
      <w:r w:rsidRPr="00794CC4">
        <w:rPr>
          <w:rFonts w:ascii="Arial Narrow" w:hAnsi="Arial Narrow"/>
          <w:bCs/>
          <w:color w:val="000000"/>
          <w:lang w:eastAsia="en-US"/>
        </w:rPr>
        <w:t xml:space="preserve"> vybraných členských štátoch. Konzultácia prebehne v rámci tzv. </w:t>
      </w:r>
      <w:proofErr w:type="spellStart"/>
      <w:r w:rsidRPr="008D5D56">
        <w:rPr>
          <w:rFonts w:ascii="Arial Narrow" w:hAnsi="Arial Narrow"/>
          <w:bCs/>
          <w:i/>
          <w:color w:val="000000"/>
          <w:lang w:eastAsia="en-US"/>
        </w:rPr>
        <w:t>Peer</w:t>
      </w:r>
      <w:proofErr w:type="spellEnd"/>
      <w:r w:rsidRPr="008D5D56">
        <w:rPr>
          <w:rFonts w:ascii="Arial Narrow" w:hAnsi="Arial Narrow"/>
          <w:bCs/>
          <w:i/>
          <w:color w:val="000000"/>
          <w:lang w:eastAsia="en-US"/>
        </w:rPr>
        <w:t xml:space="preserve"> </w:t>
      </w:r>
      <w:proofErr w:type="spellStart"/>
      <w:r w:rsidRPr="008D5D56">
        <w:rPr>
          <w:rFonts w:ascii="Arial Narrow" w:hAnsi="Arial Narrow"/>
          <w:bCs/>
          <w:i/>
          <w:color w:val="000000"/>
          <w:lang w:eastAsia="en-US"/>
        </w:rPr>
        <w:t>Counselling</w:t>
      </w:r>
      <w:proofErr w:type="spellEnd"/>
      <w:r w:rsidR="000424E1">
        <w:rPr>
          <w:rFonts w:ascii="Arial Narrow" w:hAnsi="Arial Narrow"/>
          <w:bCs/>
          <w:color w:val="000000"/>
          <w:lang w:eastAsia="en-US"/>
        </w:rPr>
        <w:t xml:space="preserve"> procesu, ktorý je </w:t>
      </w:r>
      <w:r w:rsidRPr="00794CC4">
        <w:rPr>
          <w:rFonts w:ascii="Arial Narrow" w:hAnsi="Arial Narrow"/>
          <w:bCs/>
          <w:color w:val="000000"/>
          <w:lang w:eastAsia="en-US"/>
        </w:rPr>
        <w:t>nástrojom Európskej komisie určeným na asistenciu členským štátom pri tvo</w:t>
      </w:r>
      <w:r>
        <w:rPr>
          <w:rFonts w:ascii="Arial Narrow" w:hAnsi="Arial Narrow"/>
          <w:bCs/>
          <w:color w:val="000000"/>
          <w:lang w:eastAsia="en-US"/>
        </w:rPr>
        <w:t>rbe a zavádzaní nových politík.</w:t>
      </w:r>
    </w:p>
    <w:p w14:paraId="00EAB0BD" w14:textId="77777777" w:rsidR="00370FB9" w:rsidRPr="00794CC4" w:rsidRDefault="00370FB9" w:rsidP="00370FB9">
      <w:pPr>
        <w:spacing w:after="0" w:line="240" w:lineRule="auto"/>
        <w:jc w:val="both"/>
        <w:rPr>
          <w:rFonts w:ascii="Arial Narrow" w:hAnsi="Arial Narrow"/>
          <w:bCs/>
          <w:color w:val="000000"/>
          <w:lang w:eastAsia="en-US"/>
        </w:rPr>
      </w:pPr>
    </w:p>
    <w:p w14:paraId="468AED25" w14:textId="62C679E3" w:rsidR="00AF41A5" w:rsidRDefault="00AF41A5" w:rsidP="00370FB9">
      <w:pPr>
        <w:spacing w:after="0" w:line="240" w:lineRule="auto"/>
        <w:jc w:val="both"/>
        <w:rPr>
          <w:rFonts w:ascii="Arial Narrow" w:hAnsi="Arial Narrow"/>
          <w:bCs/>
          <w:color w:val="000000"/>
          <w:lang w:eastAsia="en-US"/>
        </w:rPr>
      </w:pPr>
      <w:r w:rsidRPr="00794CC4">
        <w:rPr>
          <w:rFonts w:ascii="Arial Narrow" w:hAnsi="Arial Narrow"/>
          <w:bCs/>
          <w:color w:val="000000"/>
          <w:lang w:eastAsia="en-US"/>
        </w:rPr>
        <w:t xml:space="preserve">V rámci podpory vytvárania </w:t>
      </w:r>
      <w:r w:rsidRPr="008D5D56">
        <w:rPr>
          <w:rFonts w:ascii="Arial Narrow" w:hAnsi="Arial Narrow"/>
          <w:b/>
          <w:bCs/>
          <w:color w:val="000000"/>
          <w:lang w:eastAsia="en-US"/>
        </w:rPr>
        <w:t>profesijne orientovaných bakalárskych študijných programov</w:t>
      </w:r>
      <w:r w:rsidRPr="00794CC4">
        <w:rPr>
          <w:rFonts w:ascii="Arial Narrow" w:hAnsi="Arial Narrow"/>
          <w:bCs/>
          <w:color w:val="000000"/>
          <w:lang w:eastAsia="en-US"/>
        </w:rPr>
        <w:t xml:space="preserve"> </w:t>
      </w:r>
      <w:r>
        <w:rPr>
          <w:rFonts w:ascii="Arial Narrow" w:hAnsi="Arial Narrow"/>
          <w:bCs/>
          <w:color w:val="000000"/>
          <w:lang w:eastAsia="en-US"/>
        </w:rPr>
        <w:t>sa</w:t>
      </w:r>
      <w:r w:rsidRPr="00794CC4">
        <w:rPr>
          <w:rFonts w:ascii="Arial Narrow" w:hAnsi="Arial Narrow"/>
          <w:bCs/>
          <w:color w:val="000000"/>
          <w:lang w:eastAsia="en-US"/>
        </w:rPr>
        <w:t xml:space="preserve"> </w:t>
      </w:r>
      <w:r w:rsidR="00892E71">
        <w:rPr>
          <w:rFonts w:ascii="Arial Narrow" w:hAnsi="Arial Narrow"/>
          <w:bCs/>
          <w:color w:val="000000"/>
          <w:lang w:eastAsia="en-US"/>
        </w:rPr>
        <w:t>schválili</w:t>
      </w:r>
      <w:r w:rsidRPr="00794CC4">
        <w:rPr>
          <w:rFonts w:ascii="Arial Narrow" w:hAnsi="Arial Narrow"/>
          <w:bCs/>
          <w:color w:val="000000"/>
          <w:lang w:eastAsia="en-US"/>
        </w:rPr>
        <w:t xml:space="preserve"> osobitn</w:t>
      </w:r>
      <w:r w:rsidR="00892E71">
        <w:rPr>
          <w:rFonts w:ascii="Arial Narrow" w:hAnsi="Arial Narrow"/>
          <w:bCs/>
          <w:color w:val="000000"/>
          <w:lang w:eastAsia="en-US"/>
        </w:rPr>
        <w:t>é</w:t>
      </w:r>
      <w:r w:rsidRPr="00794CC4">
        <w:rPr>
          <w:rFonts w:ascii="Arial Narrow" w:hAnsi="Arial Narrow"/>
          <w:bCs/>
          <w:color w:val="000000"/>
          <w:lang w:eastAsia="en-US"/>
        </w:rPr>
        <w:t xml:space="preserve"> kri</w:t>
      </w:r>
      <w:r>
        <w:rPr>
          <w:rFonts w:ascii="Arial Narrow" w:hAnsi="Arial Narrow"/>
          <w:bCs/>
          <w:color w:val="000000"/>
          <w:lang w:eastAsia="en-US"/>
        </w:rPr>
        <w:t>téri</w:t>
      </w:r>
      <w:r w:rsidR="00892E71">
        <w:rPr>
          <w:rFonts w:ascii="Arial Narrow" w:hAnsi="Arial Narrow"/>
          <w:bCs/>
          <w:color w:val="000000"/>
          <w:lang w:eastAsia="en-US"/>
        </w:rPr>
        <w:t>á</w:t>
      </w:r>
      <w:r>
        <w:rPr>
          <w:rFonts w:ascii="Arial Narrow" w:hAnsi="Arial Narrow"/>
          <w:bCs/>
          <w:color w:val="000000"/>
          <w:lang w:eastAsia="en-US"/>
        </w:rPr>
        <w:t xml:space="preserve"> na ich akreditáciu. P</w:t>
      </w:r>
      <w:r w:rsidRPr="00794CC4">
        <w:rPr>
          <w:rFonts w:ascii="Arial Narrow" w:hAnsi="Arial Narrow"/>
          <w:bCs/>
          <w:color w:val="000000"/>
          <w:lang w:eastAsia="en-US"/>
        </w:rPr>
        <w:t>rehodnot</w:t>
      </w:r>
      <w:r>
        <w:rPr>
          <w:rFonts w:ascii="Arial Narrow" w:hAnsi="Arial Narrow"/>
          <w:bCs/>
          <w:color w:val="000000"/>
          <w:lang w:eastAsia="en-US"/>
        </w:rPr>
        <w:t>ia sa</w:t>
      </w:r>
      <w:r w:rsidRPr="00794CC4">
        <w:rPr>
          <w:rFonts w:ascii="Arial Narrow" w:hAnsi="Arial Narrow"/>
          <w:bCs/>
          <w:color w:val="000000"/>
          <w:lang w:eastAsia="en-US"/>
        </w:rPr>
        <w:t xml:space="preserve"> možnosti ako podporiť tieto študijné programy prostredníctvom štrukturálnych fondov EÚ. Rezort školstva bude tiež pokračovať v diskusii o vhodnej štruktúre absolventov vysokých škôl a možných nástrojoch na dosiahnutie takejto štruktúry, s možnými presahmi na systém financovania.</w:t>
      </w:r>
    </w:p>
    <w:p w14:paraId="5AB87DE8" w14:textId="77777777" w:rsidR="00370FB9" w:rsidRDefault="00370FB9" w:rsidP="00370FB9">
      <w:pPr>
        <w:spacing w:after="0" w:line="240" w:lineRule="auto"/>
        <w:jc w:val="both"/>
        <w:rPr>
          <w:rFonts w:ascii="Arial Narrow" w:hAnsi="Arial Narrow"/>
          <w:bCs/>
          <w:color w:val="000000"/>
          <w:lang w:eastAsia="en-US"/>
        </w:rPr>
      </w:pPr>
    </w:p>
    <w:p w14:paraId="65F7CF61" w14:textId="77777777" w:rsidR="003E31A0" w:rsidRDefault="003E31A0">
      <w:pPr>
        <w:spacing w:after="0" w:line="240" w:lineRule="auto"/>
        <w:rPr>
          <w:rFonts w:ascii="Arial Narrow" w:hAnsi="Arial Narrow"/>
          <w:b/>
          <w:bCs/>
          <w:i/>
          <w:color w:val="000000"/>
          <w:lang w:eastAsia="en-US"/>
        </w:rPr>
      </w:pPr>
      <w:r>
        <w:rPr>
          <w:rFonts w:ascii="Arial Narrow" w:hAnsi="Arial Narrow"/>
          <w:b/>
          <w:bCs/>
          <w:i/>
          <w:color w:val="000000"/>
          <w:lang w:eastAsia="en-US"/>
        </w:rPr>
        <w:br w:type="page"/>
      </w:r>
    </w:p>
    <w:p w14:paraId="72C30DF0" w14:textId="3917ED4F" w:rsidR="00AF41A5" w:rsidRDefault="00AF41A5" w:rsidP="00AF41A5">
      <w:pPr>
        <w:spacing w:after="0" w:line="240" w:lineRule="auto"/>
        <w:jc w:val="both"/>
        <w:rPr>
          <w:rFonts w:ascii="Arial Narrow" w:hAnsi="Arial Narrow"/>
          <w:bCs/>
          <w:color w:val="000000"/>
          <w:lang w:eastAsia="en-US"/>
        </w:rPr>
      </w:pPr>
      <w:r>
        <w:rPr>
          <w:rFonts w:ascii="Arial Narrow" w:hAnsi="Arial Narrow"/>
          <w:b/>
          <w:bCs/>
          <w:i/>
          <w:color w:val="000000"/>
          <w:lang w:eastAsia="en-US"/>
        </w:rPr>
        <w:lastRenderedPageBreak/>
        <w:t>Celoživotné vzdelávanie</w:t>
      </w:r>
    </w:p>
    <w:p w14:paraId="3FFA962A" w14:textId="77777777" w:rsidR="00AF41A5" w:rsidRDefault="00AF41A5" w:rsidP="00AF41A5">
      <w:pPr>
        <w:spacing w:line="240" w:lineRule="auto"/>
        <w:jc w:val="both"/>
        <w:rPr>
          <w:rFonts w:ascii="Arial Narrow" w:hAnsi="Arial Narrow"/>
          <w:bCs/>
          <w:color w:val="000000"/>
          <w:lang w:eastAsia="en-US"/>
        </w:rPr>
      </w:pPr>
      <w:r>
        <w:rPr>
          <w:rFonts w:ascii="Arial Narrow" w:hAnsi="Arial Narrow"/>
          <w:bCs/>
          <w:color w:val="000000"/>
          <w:lang w:eastAsia="en-US"/>
        </w:rPr>
        <w:t>P</w:t>
      </w:r>
      <w:r w:rsidRPr="00516645">
        <w:rPr>
          <w:rFonts w:ascii="Arial Narrow" w:hAnsi="Arial Narrow"/>
          <w:bCs/>
          <w:color w:val="000000"/>
          <w:lang w:eastAsia="en-US"/>
        </w:rPr>
        <w:t>ripravovan</w:t>
      </w:r>
      <w:r>
        <w:rPr>
          <w:rFonts w:ascii="Arial Narrow" w:hAnsi="Arial Narrow"/>
          <w:bCs/>
          <w:color w:val="000000"/>
          <w:lang w:eastAsia="en-US"/>
        </w:rPr>
        <w:t>ý</w:t>
      </w:r>
      <w:r w:rsidRPr="00516645">
        <w:rPr>
          <w:rFonts w:ascii="Arial Narrow" w:hAnsi="Arial Narrow"/>
          <w:bCs/>
          <w:color w:val="000000"/>
          <w:lang w:eastAsia="en-US"/>
        </w:rPr>
        <w:t xml:space="preserve"> </w:t>
      </w:r>
      <w:r>
        <w:rPr>
          <w:rFonts w:ascii="Arial Narrow" w:hAnsi="Arial Narrow"/>
          <w:bCs/>
          <w:color w:val="000000"/>
          <w:lang w:eastAsia="en-US"/>
        </w:rPr>
        <w:t>n</w:t>
      </w:r>
      <w:r w:rsidRPr="00516645">
        <w:rPr>
          <w:rFonts w:ascii="Arial Narrow" w:hAnsi="Arial Narrow"/>
          <w:bCs/>
          <w:color w:val="000000"/>
          <w:lang w:eastAsia="en-US"/>
        </w:rPr>
        <w:t>árodn</w:t>
      </w:r>
      <w:r>
        <w:rPr>
          <w:rFonts w:ascii="Arial Narrow" w:hAnsi="Arial Narrow"/>
          <w:bCs/>
          <w:color w:val="000000"/>
          <w:lang w:eastAsia="en-US"/>
        </w:rPr>
        <w:t>ý</w:t>
      </w:r>
      <w:r w:rsidRPr="00516645">
        <w:rPr>
          <w:rFonts w:ascii="Arial Narrow" w:hAnsi="Arial Narrow"/>
          <w:bCs/>
          <w:color w:val="000000"/>
          <w:lang w:eastAsia="en-US"/>
        </w:rPr>
        <w:t xml:space="preserve"> projekt </w:t>
      </w:r>
      <w:r w:rsidRPr="00615E38">
        <w:rPr>
          <w:rFonts w:ascii="Arial Narrow" w:hAnsi="Arial Narrow"/>
          <w:bCs/>
          <w:i/>
          <w:color w:val="000000"/>
          <w:lang w:eastAsia="en-US"/>
        </w:rPr>
        <w:t>Systém uznávania kvalifikácií</w:t>
      </w:r>
      <w:r>
        <w:rPr>
          <w:rFonts w:ascii="Arial Narrow" w:hAnsi="Arial Narrow"/>
          <w:bCs/>
          <w:i/>
          <w:color w:val="000000"/>
          <w:lang w:eastAsia="en-US"/>
        </w:rPr>
        <w:t xml:space="preserve"> </w:t>
      </w:r>
      <w:r>
        <w:rPr>
          <w:rFonts w:ascii="Arial Narrow" w:hAnsi="Arial Narrow"/>
          <w:bCs/>
          <w:color w:val="000000"/>
          <w:lang w:eastAsia="en-US"/>
        </w:rPr>
        <w:t>po</w:t>
      </w:r>
      <w:r w:rsidRPr="009D2906">
        <w:rPr>
          <w:rFonts w:ascii="Arial Narrow" w:hAnsi="Arial Narrow"/>
          <w:bCs/>
          <w:color w:val="000000"/>
          <w:lang w:eastAsia="en-US"/>
        </w:rPr>
        <w:t xml:space="preserve">dporí systém validácie výsledkov neformálneho vzdelávania a </w:t>
      </w:r>
      <w:proofErr w:type="spellStart"/>
      <w:r w:rsidRPr="009D2906">
        <w:rPr>
          <w:rFonts w:ascii="Arial Narrow" w:hAnsi="Arial Narrow"/>
          <w:bCs/>
          <w:color w:val="000000"/>
          <w:lang w:eastAsia="en-US"/>
        </w:rPr>
        <w:t>informálneho</w:t>
      </w:r>
      <w:proofErr w:type="spellEnd"/>
      <w:r w:rsidRPr="009D2906">
        <w:rPr>
          <w:rFonts w:ascii="Arial Narrow" w:hAnsi="Arial Narrow"/>
          <w:bCs/>
          <w:color w:val="000000"/>
          <w:lang w:eastAsia="en-US"/>
        </w:rPr>
        <w:t xml:space="preserve"> učenia sa</w:t>
      </w:r>
      <w:r>
        <w:rPr>
          <w:rFonts w:ascii="Arial Narrow" w:hAnsi="Arial Narrow"/>
          <w:bCs/>
          <w:color w:val="000000"/>
          <w:lang w:eastAsia="en-US"/>
        </w:rPr>
        <w:t>.</w:t>
      </w:r>
      <w:r w:rsidRPr="009D2906">
        <w:rPr>
          <w:rFonts w:ascii="Arial Narrow" w:hAnsi="Arial Narrow"/>
          <w:bCs/>
          <w:color w:val="000000"/>
          <w:lang w:eastAsia="en-US"/>
        </w:rPr>
        <w:t xml:space="preserve"> </w:t>
      </w:r>
      <w:r w:rsidRPr="00516645">
        <w:rPr>
          <w:rFonts w:ascii="Arial Narrow" w:hAnsi="Arial Narrow"/>
          <w:bCs/>
          <w:color w:val="000000"/>
          <w:lang w:eastAsia="en-US"/>
        </w:rPr>
        <w:t>Cieľom je urýchliť a zjednodušiť cestu k nadobudnutiu kvalifikácie pre tých jednotlivcov, ktorí už danými zručnosťami disponujú.</w:t>
      </w:r>
    </w:p>
    <w:p w14:paraId="0B5FAB58" w14:textId="77777777" w:rsidR="00AF41A5" w:rsidRPr="00370FB9" w:rsidRDefault="00AF41A5" w:rsidP="00370FB9">
      <w:pPr>
        <w:pStyle w:val="Default"/>
        <w:spacing w:after="120"/>
        <w:jc w:val="both"/>
        <w:rPr>
          <w:rFonts w:ascii="Arial Narrow" w:hAnsi="Arial Narrow"/>
          <w:sz w:val="22"/>
          <w:szCs w:val="22"/>
        </w:rPr>
      </w:pPr>
      <w:r w:rsidRPr="00F654E2">
        <w:rPr>
          <w:rFonts w:ascii="Arial Narrow" w:hAnsi="Arial Narrow"/>
          <w:sz w:val="22"/>
          <w:szCs w:val="22"/>
        </w:rPr>
        <w:t>V rámci optimalizácie priamo riadených organizácií ministerstva sa postupne zruší Národný ústav celoživotného vzdelávania</w:t>
      </w:r>
      <w:r w:rsidR="00757D91">
        <w:rPr>
          <w:rFonts w:ascii="Arial Narrow" w:hAnsi="Arial Narrow"/>
          <w:sz w:val="22"/>
          <w:szCs w:val="22"/>
        </w:rPr>
        <w:t xml:space="preserve"> a jeho pôvodná agenda sa</w:t>
      </w:r>
      <w:r w:rsidRPr="00F654E2">
        <w:rPr>
          <w:rFonts w:ascii="Arial Narrow" w:hAnsi="Arial Narrow"/>
          <w:sz w:val="22"/>
          <w:szCs w:val="22"/>
        </w:rPr>
        <w:t xml:space="preserve"> </w:t>
      </w:r>
      <w:r w:rsidR="00757D91">
        <w:rPr>
          <w:rFonts w:ascii="Arial Narrow" w:hAnsi="Arial Narrow"/>
          <w:sz w:val="22"/>
          <w:szCs w:val="22"/>
        </w:rPr>
        <w:t xml:space="preserve">prenesie na </w:t>
      </w:r>
      <w:r w:rsidR="00757D91" w:rsidRPr="00F654E2">
        <w:rPr>
          <w:rFonts w:ascii="Arial Narrow" w:hAnsi="Arial Narrow"/>
          <w:sz w:val="22"/>
          <w:szCs w:val="22"/>
        </w:rPr>
        <w:t>samotné ministerstvo v</w:t>
      </w:r>
      <w:r w:rsidR="00757D91">
        <w:rPr>
          <w:rFonts w:ascii="Arial Narrow" w:hAnsi="Arial Narrow"/>
          <w:sz w:val="22"/>
          <w:szCs w:val="22"/>
        </w:rPr>
        <w:t> rámci svojho centrálneho úradu, ktorý ho bude riešiť</w:t>
      </w:r>
      <w:r w:rsidRPr="00F654E2">
        <w:rPr>
          <w:rFonts w:ascii="Arial Narrow" w:hAnsi="Arial Narrow"/>
          <w:sz w:val="22"/>
          <w:szCs w:val="22"/>
        </w:rPr>
        <w:t xml:space="preserve"> efektívnejšie</w:t>
      </w:r>
      <w:r w:rsidR="00757D91">
        <w:rPr>
          <w:rFonts w:ascii="Arial Narrow" w:hAnsi="Arial Narrow"/>
          <w:sz w:val="22"/>
          <w:szCs w:val="22"/>
        </w:rPr>
        <w:t>.</w:t>
      </w:r>
      <w:r w:rsidR="00370FB9">
        <w:rPr>
          <w:rFonts w:ascii="Arial Narrow" w:hAnsi="Arial Narrow"/>
          <w:sz w:val="22"/>
          <w:szCs w:val="22"/>
        </w:rPr>
        <w:t xml:space="preserve"> </w:t>
      </w:r>
    </w:p>
    <w:p w14:paraId="703CF987" w14:textId="77777777" w:rsidR="007D2366" w:rsidRDefault="007D2366" w:rsidP="007D2366">
      <w:pPr>
        <w:spacing w:after="0" w:line="240" w:lineRule="auto"/>
        <w:jc w:val="both"/>
        <w:rPr>
          <w:rFonts w:ascii="Arial Narrow" w:hAnsi="Arial Narrow"/>
          <w:bCs/>
          <w:color w:val="000000"/>
          <w:lang w:eastAsia="en-US"/>
        </w:rPr>
      </w:pPr>
    </w:p>
    <w:p w14:paraId="6E3D9079" w14:textId="77777777" w:rsidR="007D2366" w:rsidRDefault="007D2366" w:rsidP="007D2366">
      <w:pPr>
        <w:pStyle w:val="Nadpis2"/>
        <w:numPr>
          <w:ilvl w:val="2"/>
          <w:numId w:val="1"/>
        </w:numPr>
        <w:spacing w:after="240" w:line="240" w:lineRule="auto"/>
        <w:ind w:left="720"/>
        <w:jc w:val="both"/>
        <w:rPr>
          <w:rFonts w:ascii="Arial Narrow" w:hAnsi="Arial Narrow"/>
          <w:color w:val="2C9ADC"/>
          <w:sz w:val="28"/>
          <w:szCs w:val="28"/>
        </w:rPr>
      </w:pPr>
      <w:bookmarkStart w:id="39" w:name="_Toc480749808"/>
      <w:bookmarkStart w:id="40" w:name="_Toc508039580"/>
      <w:r w:rsidRPr="00256D89">
        <w:rPr>
          <w:rFonts w:ascii="Arial Narrow" w:hAnsi="Arial Narrow"/>
          <w:color w:val="2C9ADC"/>
          <w:sz w:val="28"/>
          <w:szCs w:val="28"/>
        </w:rPr>
        <w:t>V</w:t>
      </w:r>
      <w:r>
        <w:rPr>
          <w:rFonts w:ascii="Arial Narrow" w:hAnsi="Arial Narrow"/>
          <w:color w:val="2C9ADC"/>
          <w:sz w:val="28"/>
          <w:szCs w:val="28"/>
        </w:rPr>
        <w:t>eda a výskum</w:t>
      </w:r>
      <w:bookmarkEnd w:id="39"/>
      <w:bookmarkEnd w:id="40"/>
    </w:p>
    <w:p w14:paraId="4ADC6978" w14:textId="77777777" w:rsidR="00AF41A5" w:rsidRDefault="00AF41A5" w:rsidP="00AF41A5">
      <w:pPr>
        <w:spacing w:after="0" w:line="240" w:lineRule="auto"/>
        <w:jc w:val="both"/>
        <w:rPr>
          <w:rFonts w:ascii="Arial Narrow" w:hAnsi="Arial Narrow"/>
          <w:b/>
          <w:bCs/>
          <w:i/>
          <w:color w:val="000000"/>
          <w:lang w:eastAsia="en-US"/>
        </w:rPr>
      </w:pPr>
      <w:r w:rsidRPr="00353068">
        <w:rPr>
          <w:rFonts w:ascii="Arial Narrow" w:hAnsi="Arial Narrow"/>
          <w:b/>
          <w:bCs/>
          <w:i/>
          <w:color w:val="000000"/>
          <w:lang w:eastAsia="en-US"/>
        </w:rPr>
        <w:t>Podpora vedy, výskumu a inovácií</w:t>
      </w:r>
    </w:p>
    <w:p w14:paraId="3BC09674" w14:textId="77777777" w:rsidR="00F023DA" w:rsidRDefault="00AF41A5" w:rsidP="00F023DA">
      <w:pPr>
        <w:spacing w:after="0" w:line="240" w:lineRule="auto"/>
        <w:jc w:val="both"/>
        <w:rPr>
          <w:rFonts w:ascii="Arial Narrow" w:hAnsi="Arial Narrow"/>
        </w:rPr>
      </w:pPr>
      <w:r>
        <w:rPr>
          <w:rFonts w:ascii="Arial Narrow" w:hAnsi="Arial Narrow"/>
        </w:rPr>
        <w:t>Cez</w:t>
      </w:r>
      <w:r w:rsidRPr="009F743B">
        <w:rPr>
          <w:rFonts w:ascii="Arial Narrow" w:hAnsi="Arial Narrow"/>
        </w:rPr>
        <w:t xml:space="preserve"> </w:t>
      </w:r>
      <w:r>
        <w:rPr>
          <w:rFonts w:ascii="Arial Narrow" w:hAnsi="Arial Narrow"/>
        </w:rPr>
        <w:t>O</w:t>
      </w:r>
      <w:r w:rsidRPr="009F743B">
        <w:rPr>
          <w:rFonts w:ascii="Arial Narrow" w:hAnsi="Arial Narrow"/>
        </w:rPr>
        <w:t>peračn</w:t>
      </w:r>
      <w:r>
        <w:rPr>
          <w:rFonts w:ascii="Arial Narrow" w:hAnsi="Arial Narrow"/>
        </w:rPr>
        <w:t>ý</w:t>
      </w:r>
      <w:r w:rsidRPr="009F743B">
        <w:rPr>
          <w:rFonts w:ascii="Arial Narrow" w:hAnsi="Arial Narrow"/>
        </w:rPr>
        <w:t xml:space="preserve"> program Výskum a</w:t>
      </w:r>
      <w:r>
        <w:rPr>
          <w:rFonts w:ascii="Arial Narrow" w:hAnsi="Arial Narrow"/>
        </w:rPr>
        <w:t> </w:t>
      </w:r>
      <w:r w:rsidRPr="009F743B">
        <w:rPr>
          <w:rFonts w:ascii="Arial Narrow" w:hAnsi="Arial Narrow"/>
        </w:rPr>
        <w:t>inovácie</w:t>
      </w:r>
      <w:r>
        <w:rPr>
          <w:rFonts w:ascii="Arial Narrow" w:hAnsi="Arial Narrow"/>
        </w:rPr>
        <w:t xml:space="preserve"> (OP </w:t>
      </w:r>
      <w:proofErr w:type="spellStart"/>
      <w:r>
        <w:rPr>
          <w:rFonts w:ascii="Arial Narrow" w:hAnsi="Arial Narrow"/>
        </w:rPr>
        <w:t>VaI</w:t>
      </w:r>
      <w:proofErr w:type="spellEnd"/>
      <w:r>
        <w:rPr>
          <w:rFonts w:ascii="Arial Narrow" w:hAnsi="Arial Narrow"/>
        </w:rPr>
        <w:t>)</w:t>
      </w:r>
      <w:r w:rsidRPr="009F743B">
        <w:rPr>
          <w:rFonts w:ascii="Arial Narrow" w:hAnsi="Arial Narrow"/>
        </w:rPr>
        <w:t xml:space="preserve"> sa </w:t>
      </w:r>
      <w:r w:rsidR="008F23DA">
        <w:rPr>
          <w:rFonts w:ascii="Arial Narrow" w:hAnsi="Arial Narrow"/>
        </w:rPr>
        <w:t>zvýši</w:t>
      </w:r>
      <w:r w:rsidR="008F23DA" w:rsidRPr="008F23DA">
        <w:rPr>
          <w:rFonts w:ascii="Arial Narrow" w:hAnsi="Arial Narrow"/>
        </w:rPr>
        <w:t xml:space="preserve"> podpora cieleného výskumu, ktorá prepojí podnikateľský, akademický a vysokoškolský sektor.</w:t>
      </w:r>
      <w:r w:rsidRPr="009F743B">
        <w:rPr>
          <w:rFonts w:ascii="Arial Narrow" w:hAnsi="Arial Narrow"/>
        </w:rPr>
        <w:t xml:space="preserve"> </w:t>
      </w:r>
    </w:p>
    <w:p w14:paraId="72BB0B44" w14:textId="77777777" w:rsidR="00F023DA" w:rsidRPr="008F643C" w:rsidRDefault="00F023DA" w:rsidP="00F023DA">
      <w:pPr>
        <w:spacing w:after="0" w:line="240" w:lineRule="auto"/>
        <w:jc w:val="both"/>
        <w:rPr>
          <w:rFonts w:ascii="Arial Narrow" w:hAnsi="Arial Narrow"/>
        </w:rPr>
      </w:pPr>
    </w:p>
    <w:p w14:paraId="0F4DEE6D" w14:textId="33B2827D" w:rsidR="00F023DA" w:rsidRPr="00F023DA" w:rsidRDefault="00F023DA" w:rsidP="00F023DA">
      <w:pPr>
        <w:spacing w:line="240" w:lineRule="auto"/>
        <w:jc w:val="both"/>
        <w:rPr>
          <w:rFonts w:ascii="Arial Narrow" w:hAnsi="Arial Narrow"/>
        </w:rPr>
      </w:pPr>
      <w:r w:rsidRPr="00F023DA">
        <w:rPr>
          <w:rFonts w:ascii="Arial Narrow" w:hAnsi="Arial Narrow"/>
        </w:rPr>
        <w:t xml:space="preserve">Zrealizuje sa medzinárodný audit budúcej štátnej vednej politiky, ktorého výstupy sa spolu s relevantnými súvisiacimi politikami a podpornými dokumentmi zakomponujú do rámcového dokumentu pre prípravu štátnej vednej politiky. Na základe štátnej vednej politiky sa pripravia a spustia </w:t>
      </w:r>
      <w:r w:rsidRPr="00F023DA">
        <w:rPr>
          <w:rFonts w:ascii="Arial Narrow" w:hAnsi="Arial Narrow"/>
          <w:i/>
        </w:rPr>
        <w:t>Štátne programy výskumu a vývoja</w:t>
      </w:r>
      <w:r w:rsidRPr="00F023DA">
        <w:rPr>
          <w:rFonts w:ascii="Arial Narrow" w:hAnsi="Arial Narrow"/>
        </w:rPr>
        <w:t xml:space="preserve">. </w:t>
      </w:r>
    </w:p>
    <w:p w14:paraId="66BC338E" w14:textId="315F6223" w:rsidR="00400DA9" w:rsidRPr="00E17711" w:rsidRDefault="00AF41A5" w:rsidP="00632906">
      <w:pPr>
        <w:spacing w:after="0" w:line="240" w:lineRule="auto"/>
        <w:jc w:val="both"/>
        <w:rPr>
          <w:rFonts w:ascii="Arial Narrow" w:hAnsi="Arial Narrow"/>
          <w:b/>
          <w:i/>
        </w:rPr>
      </w:pPr>
      <w:r w:rsidRPr="00E17711">
        <w:rPr>
          <w:rFonts w:ascii="Arial Narrow" w:hAnsi="Arial Narrow"/>
          <w:b/>
          <w:i/>
        </w:rPr>
        <w:t>Medzinárodná spolupráca</w:t>
      </w:r>
    </w:p>
    <w:p w14:paraId="792890C4" w14:textId="6941357D" w:rsidR="00AF41A5" w:rsidRDefault="00AF41A5" w:rsidP="00632906">
      <w:pPr>
        <w:spacing w:line="240" w:lineRule="auto"/>
        <w:jc w:val="both"/>
        <w:rPr>
          <w:rFonts w:ascii="Arial Narrow" w:hAnsi="Arial Narrow"/>
        </w:rPr>
      </w:pPr>
      <w:r w:rsidRPr="009F743B">
        <w:rPr>
          <w:rFonts w:ascii="Arial Narrow" w:hAnsi="Arial Narrow"/>
        </w:rPr>
        <w:t>Zintenzívni sa podpora stážových pobytov v európskych a medzinárodn</w:t>
      </w:r>
      <w:r w:rsidR="002B394A">
        <w:rPr>
          <w:rFonts w:ascii="Arial Narrow" w:hAnsi="Arial Narrow"/>
        </w:rPr>
        <w:t xml:space="preserve">ých výskumných infraštruktúrach,                   </w:t>
      </w:r>
      <w:r w:rsidRPr="009F743B">
        <w:rPr>
          <w:rFonts w:ascii="Arial Narrow" w:hAnsi="Arial Narrow"/>
        </w:rPr>
        <w:t>v ktorých je SR zapojená. Prostredníctvom programov APVV sa podpor</w:t>
      </w:r>
      <w:r>
        <w:rPr>
          <w:rFonts w:ascii="Arial Narrow" w:hAnsi="Arial Narrow"/>
        </w:rPr>
        <w:t>ia spoločné</w:t>
      </w:r>
      <w:r w:rsidRPr="009F743B">
        <w:rPr>
          <w:rFonts w:ascii="Arial Narrow" w:hAnsi="Arial Narrow"/>
        </w:rPr>
        <w:t xml:space="preserve"> medzinárodné</w:t>
      </w:r>
      <w:r>
        <w:rPr>
          <w:rFonts w:ascii="Arial Narrow" w:hAnsi="Arial Narrow"/>
        </w:rPr>
        <w:t xml:space="preserve"> výskumné</w:t>
      </w:r>
      <w:r w:rsidR="002B394A">
        <w:rPr>
          <w:rFonts w:ascii="Arial Narrow" w:hAnsi="Arial Narrow"/>
        </w:rPr>
        <w:t xml:space="preserve"> projekty a </w:t>
      </w:r>
      <w:r w:rsidRPr="009F743B">
        <w:rPr>
          <w:rFonts w:ascii="Arial Narrow" w:hAnsi="Arial Narrow"/>
        </w:rPr>
        <w:t>vytváranie vlastných výskumných tímov. Za</w:t>
      </w:r>
      <w:r>
        <w:rPr>
          <w:rFonts w:ascii="Arial Narrow" w:hAnsi="Arial Narrow"/>
        </w:rPr>
        <w:t>vedie sa</w:t>
      </w:r>
      <w:r w:rsidRPr="009F743B">
        <w:rPr>
          <w:rFonts w:ascii="Arial Narrow" w:hAnsi="Arial Narrow"/>
        </w:rPr>
        <w:t xml:space="preserve"> register verejných výskumných inštitúcií.</w:t>
      </w:r>
    </w:p>
    <w:p w14:paraId="1667AF3E" w14:textId="05A19C15" w:rsidR="007D2366" w:rsidRPr="001B45C6" w:rsidRDefault="00673764" w:rsidP="001B45C6">
      <w:pPr>
        <w:spacing w:after="0" w:line="240" w:lineRule="auto"/>
        <w:jc w:val="both"/>
        <w:rPr>
          <w:rFonts w:ascii="Arial Narrow" w:hAnsi="Arial Narrow"/>
        </w:rPr>
      </w:pPr>
      <w:r>
        <w:rPr>
          <w:rFonts w:ascii="Arial Narrow" w:hAnsi="Arial Narrow"/>
        </w:rPr>
        <w:t>Podporí sa</w:t>
      </w:r>
      <w:r w:rsidR="00AF41A5" w:rsidRPr="009F743B">
        <w:rPr>
          <w:rFonts w:ascii="Arial Narrow" w:hAnsi="Arial Narrow"/>
        </w:rPr>
        <w:t xml:space="preserve"> medzinárodné sieťovani</w:t>
      </w:r>
      <w:r>
        <w:rPr>
          <w:rFonts w:ascii="Arial Narrow" w:hAnsi="Arial Narrow"/>
        </w:rPr>
        <w:t>e</w:t>
      </w:r>
      <w:r w:rsidR="00AF41A5" w:rsidRPr="009F743B">
        <w:rPr>
          <w:rFonts w:ascii="Arial Narrow" w:hAnsi="Arial Narrow"/>
        </w:rPr>
        <w:t xml:space="preserve"> národných platforiem tvorených subjektmi akademickej, výskumnej a hospodárskej sféry do európskych štruktúr. Rozvíjať sa bude najmä zapájanie sa do výskumných infraštruktúr v rámci ESFRI. Pri budovaní platforiem sa využije potenciál univerzitných vedeckých parkov a výskumných centier, budovaných z</w:t>
      </w:r>
      <w:r w:rsidR="00C53683">
        <w:rPr>
          <w:rFonts w:ascii="Arial Narrow" w:hAnsi="Arial Narrow"/>
        </w:rPr>
        <w:t> </w:t>
      </w:r>
      <w:r w:rsidR="00AF41A5" w:rsidRPr="009F743B">
        <w:rPr>
          <w:rFonts w:ascii="Arial Narrow" w:hAnsi="Arial Narrow"/>
        </w:rPr>
        <w:t>prostriedkov</w:t>
      </w:r>
      <w:r w:rsidR="00C53683">
        <w:rPr>
          <w:rFonts w:ascii="Arial Narrow" w:hAnsi="Arial Narrow"/>
        </w:rPr>
        <w:t xml:space="preserve"> štrukturálnych</w:t>
      </w:r>
      <w:r>
        <w:rPr>
          <w:rFonts w:ascii="Arial Narrow" w:hAnsi="Arial Narrow"/>
        </w:rPr>
        <w:t xml:space="preserve"> fondov</w:t>
      </w:r>
      <w:r w:rsidR="00AF41A5" w:rsidRPr="009F743B">
        <w:rPr>
          <w:rFonts w:ascii="Arial Narrow" w:hAnsi="Arial Narrow"/>
        </w:rPr>
        <w:t xml:space="preserve"> EÚ.</w:t>
      </w:r>
    </w:p>
    <w:p w14:paraId="22BA96D8" w14:textId="77777777" w:rsidR="007D2366" w:rsidRPr="00E42F87" w:rsidRDefault="007D2366" w:rsidP="00E42F87">
      <w:pPr>
        <w:pStyle w:val="Nadpis2"/>
        <w:numPr>
          <w:ilvl w:val="1"/>
          <w:numId w:val="1"/>
        </w:numPr>
        <w:spacing w:after="240" w:line="240" w:lineRule="auto"/>
        <w:jc w:val="both"/>
        <w:rPr>
          <w:rFonts w:ascii="Arial Narrow" w:hAnsi="Arial Narrow"/>
          <w:color w:val="2C9ADC"/>
          <w:sz w:val="32"/>
          <w:szCs w:val="28"/>
        </w:rPr>
      </w:pPr>
      <w:r>
        <w:rPr>
          <w:rFonts w:ascii="Arial Narrow" w:hAnsi="Arial Narrow"/>
          <w:bCs w:val="0"/>
          <w:color w:val="000000"/>
          <w:lang w:eastAsia="en-US"/>
        </w:rPr>
        <w:br w:type="page"/>
      </w:r>
      <w:bookmarkStart w:id="41" w:name="_Toc480749809"/>
      <w:bookmarkStart w:id="42" w:name="_Toc508039581"/>
      <w:r w:rsidRPr="00E42F87">
        <w:rPr>
          <w:rFonts w:ascii="Arial Narrow" w:hAnsi="Arial Narrow"/>
          <w:color w:val="2C9ADC"/>
          <w:sz w:val="32"/>
          <w:szCs w:val="28"/>
        </w:rPr>
        <w:lastRenderedPageBreak/>
        <w:t>Zamestnanosť</w:t>
      </w:r>
      <w:r w:rsidR="005A22CF" w:rsidRPr="00E42F87">
        <w:rPr>
          <w:rFonts w:ascii="Arial Narrow" w:hAnsi="Arial Narrow"/>
          <w:color w:val="2C9ADC"/>
          <w:sz w:val="32"/>
          <w:szCs w:val="28"/>
        </w:rPr>
        <w:t>, penzijný systém</w:t>
      </w:r>
      <w:r w:rsidRPr="00E42F87">
        <w:rPr>
          <w:rFonts w:ascii="Arial Narrow" w:hAnsi="Arial Narrow"/>
          <w:color w:val="2C9ADC"/>
          <w:sz w:val="32"/>
          <w:szCs w:val="28"/>
        </w:rPr>
        <w:t xml:space="preserve"> a sociálna inklúzia</w:t>
      </w:r>
      <w:bookmarkEnd w:id="41"/>
      <w:bookmarkEnd w:id="42"/>
    </w:p>
    <w:p w14:paraId="6B39B495" w14:textId="70A4E5A0" w:rsidR="007D2366" w:rsidRPr="002F6048" w:rsidRDefault="007D2366" w:rsidP="0074167E">
      <w:pPr>
        <w:pStyle w:val="Odsekzoznamu"/>
        <w:tabs>
          <w:tab w:val="left" w:pos="426"/>
        </w:tabs>
        <w:spacing w:after="0" w:line="240" w:lineRule="auto"/>
        <w:ind w:left="0"/>
        <w:contextualSpacing w:val="0"/>
        <w:jc w:val="both"/>
        <w:rPr>
          <w:rFonts w:ascii="Arial Narrow" w:hAnsi="Arial Narrow"/>
          <w:i/>
        </w:rPr>
      </w:pPr>
      <w:r>
        <w:rPr>
          <w:rFonts w:ascii="Arial Narrow" w:hAnsi="Arial Narrow"/>
          <w:i/>
        </w:rPr>
        <w:t>V roku 201</w:t>
      </w:r>
      <w:r w:rsidR="0074167E">
        <w:rPr>
          <w:rFonts w:ascii="Arial Narrow" w:hAnsi="Arial Narrow"/>
          <w:i/>
        </w:rPr>
        <w:t>7 sa vytvorilo 51</w:t>
      </w:r>
      <w:r>
        <w:rPr>
          <w:rFonts w:ascii="Arial Narrow" w:hAnsi="Arial Narrow"/>
          <w:i/>
        </w:rPr>
        <w:t xml:space="preserve"> tisíc </w:t>
      </w:r>
      <w:r w:rsidR="0074167E">
        <w:rPr>
          <w:rFonts w:ascii="Arial Narrow" w:hAnsi="Arial Narrow"/>
          <w:i/>
        </w:rPr>
        <w:t xml:space="preserve">nových pracovných miest </w:t>
      </w:r>
      <w:r w:rsidRPr="007421DC">
        <w:rPr>
          <w:rFonts w:ascii="Arial Narrow" w:hAnsi="Arial Narrow"/>
          <w:i/>
        </w:rPr>
        <w:t xml:space="preserve">a miera nezamestnanosti poklesla na najnižšiu úroveň </w:t>
      </w:r>
      <w:r w:rsidR="0074167E">
        <w:rPr>
          <w:rFonts w:ascii="Arial Narrow" w:hAnsi="Arial Narrow"/>
          <w:i/>
        </w:rPr>
        <w:t>od roku 1993</w:t>
      </w:r>
      <w:r>
        <w:rPr>
          <w:rFonts w:ascii="Arial Narrow" w:hAnsi="Arial Narrow"/>
          <w:i/>
        </w:rPr>
        <w:t xml:space="preserve">. Vo </w:t>
      </w:r>
      <w:r w:rsidR="0074167E">
        <w:rPr>
          <w:rFonts w:ascii="Arial Narrow" w:hAnsi="Arial Narrow"/>
          <w:i/>
        </w:rPr>
        <w:t>štvrtom kvartáli 2017 dosiahla úroveň 7,</w:t>
      </w:r>
      <w:r w:rsidR="00B46E52">
        <w:rPr>
          <w:rFonts w:ascii="Arial Narrow" w:hAnsi="Arial Narrow"/>
          <w:i/>
        </w:rPr>
        <w:t>7</w:t>
      </w:r>
      <w:r w:rsidR="0074167E">
        <w:rPr>
          <w:rFonts w:ascii="Arial Narrow" w:hAnsi="Arial Narrow"/>
          <w:i/>
        </w:rPr>
        <w:t xml:space="preserve"> %</w:t>
      </w:r>
      <w:r w:rsidR="00896919">
        <w:rPr>
          <w:rFonts w:ascii="Arial Narrow" w:hAnsi="Arial Narrow"/>
          <w:i/>
        </w:rPr>
        <w:t xml:space="preserve">. </w:t>
      </w:r>
      <w:r w:rsidR="0074167E">
        <w:rPr>
          <w:rFonts w:ascii="Arial Narrow" w:hAnsi="Arial Narrow"/>
          <w:i/>
        </w:rPr>
        <w:t xml:space="preserve">Naďalej bude pokračovať implementácia opatrení na integráciu prioritnej skupiny dlhodobo nezamestnaných. Podporí sa rekvalifikácia a vzdelávanie zamestnancov a </w:t>
      </w:r>
      <w:proofErr w:type="spellStart"/>
      <w:r w:rsidR="0074167E">
        <w:rPr>
          <w:rFonts w:ascii="Arial Narrow" w:hAnsi="Arial Narrow"/>
          <w:i/>
        </w:rPr>
        <w:t>UoZ</w:t>
      </w:r>
      <w:proofErr w:type="spellEnd"/>
      <w:r w:rsidR="0074167E">
        <w:rPr>
          <w:rFonts w:ascii="Arial Narrow" w:hAnsi="Arial Narrow"/>
          <w:i/>
        </w:rPr>
        <w:t xml:space="preserve"> na základe potrieb zamestnávateľov vo vybraných sektoroch. </w:t>
      </w:r>
      <w:r>
        <w:rPr>
          <w:rFonts w:ascii="Arial Narrow" w:hAnsi="Arial Narrow"/>
          <w:i/>
        </w:rPr>
        <w:t>Podporí sa budovanie kapacít zariadení starostlivosti o deti do troch rokov</w:t>
      </w:r>
      <w:r w:rsidR="0074167E">
        <w:rPr>
          <w:rFonts w:ascii="Arial Narrow" w:hAnsi="Arial Narrow"/>
          <w:i/>
        </w:rPr>
        <w:t xml:space="preserve">. </w:t>
      </w:r>
      <w:r>
        <w:rPr>
          <w:rFonts w:ascii="Arial Narrow" w:hAnsi="Arial Narrow"/>
          <w:i/>
        </w:rPr>
        <w:t xml:space="preserve">V priebehu roka </w:t>
      </w:r>
      <w:r w:rsidR="0074167E">
        <w:rPr>
          <w:rFonts w:ascii="Arial Narrow" w:hAnsi="Arial Narrow"/>
          <w:i/>
        </w:rPr>
        <w:t xml:space="preserve">2018 </w:t>
      </w:r>
      <w:r>
        <w:rPr>
          <w:rFonts w:ascii="Arial Narrow" w:hAnsi="Arial Narrow"/>
          <w:i/>
        </w:rPr>
        <w:t xml:space="preserve">sa vyhlásia </w:t>
      </w:r>
      <w:r w:rsidR="0074167E">
        <w:rPr>
          <w:rFonts w:ascii="Arial Narrow" w:hAnsi="Arial Narrow"/>
          <w:i/>
        </w:rPr>
        <w:t xml:space="preserve">nové </w:t>
      </w:r>
      <w:r>
        <w:rPr>
          <w:rFonts w:ascii="Arial Narrow" w:hAnsi="Arial Narrow"/>
          <w:i/>
        </w:rPr>
        <w:t>projektové výzvy na podporu integrácie MRK</w:t>
      </w:r>
      <w:r w:rsidR="0074167E">
        <w:rPr>
          <w:rFonts w:ascii="Arial Narrow" w:hAnsi="Arial Narrow"/>
          <w:i/>
        </w:rPr>
        <w:t>.</w:t>
      </w:r>
    </w:p>
    <w:p w14:paraId="1FD1A959" w14:textId="77777777" w:rsidR="002F6048" w:rsidRDefault="002F6048" w:rsidP="007D2366">
      <w:pPr>
        <w:spacing w:after="0" w:line="240" w:lineRule="auto"/>
        <w:contextualSpacing/>
        <w:jc w:val="both"/>
        <w:rPr>
          <w:rFonts w:ascii="Arial Narrow" w:hAnsi="Arial Narrow"/>
        </w:rPr>
      </w:pPr>
    </w:p>
    <w:tbl>
      <w:tblPr>
        <w:tblW w:w="8848" w:type="dxa"/>
        <w:jc w:val="center"/>
        <w:tblLayout w:type="fixed"/>
        <w:tblCellMar>
          <w:left w:w="70" w:type="dxa"/>
          <w:right w:w="70" w:type="dxa"/>
        </w:tblCellMar>
        <w:tblLook w:val="04A0" w:firstRow="1" w:lastRow="0" w:firstColumn="1" w:lastColumn="0" w:noHBand="0" w:noVBand="1"/>
      </w:tblPr>
      <w:tblGrid>
        <w:gridCol w:w="2816"/>
        <w:gridCol w:w="594"/>
        <w:gridCol w:w="548"/>
        <w:gridCol w:w="548"/>
        <w:gridCol w:w="548"/>
        <w:gridCol w:w="548"/>
        <w:gridCol w:w="548"/>
        <w:gridCol w:w="548"/>
        <w:gridCol w:w="548"/>
        <w:gridCol w:w="548"/>
        <w:gridCol w:w="549"/>
        <w:gridCol w:w="505"/>
      </w:tblGrid>
      <w:tr w:rsidR="0074167E" w:rsidRPr="006F2C23" w14:paraId="7584E5D9" w14:textId="77777777" w:rsidTr="0027447E">
        <w:trPr>
          <w:trHeight w:val="507"/>
          <w:jc w:val="center"/>
        </w:trPr>
        <w:tc>
          <w:tcPr>
            <w:tcW w:w="2816" w:type="dxa"/>
            <w:tcBorders>
              <w:top w:val="nil"/>
              <w:left w:val="nil"/>
              <w:bottom w:val="single" w:sz="4" w:space="0" w:color="auto"/>
              <w:right w:val="nil"/>
            </w:tcBorders>
            <w:shd w:val="clear" w:color="auto" w:fill="auto"/>
            <w:noWrap/>
            <w:vAlign w:val="center"/>
            <w:hideMark/>
          </w:tcPr>
          <w:p w14:paraId="495A807E" w14:textId="77777777" w:rsidR="0074167E" w:rsidRPr="006F2C23" w:rsidRDefault="0074167E" w:rsidP="002F6048">
            <w:pPr>
              <w:spacing w:after="0" w:line="240" w:lineRule="auto"/>
              <w:rPr>
                <w:rFonts w:ascii="Arial Narrow" w:hAnsi="Arial Narrow"/>
                <w:b/>
                <w:bCs/>
                <w:sz w:val="20"/>
                <w:szCs w:val="20"/>
              </w:rPr>
            </w:pPr>
            <w:r w:rsidRPr="006F2C23">
              <w:rPr>
                <w:rFonts w:ascii="Arial Narrow" w:hAnsi="Arial Narrow"/>
                <w:b/>
                <w:bCs/>
                <w:sz w:val="20"/>
                <w:szCs w:val="20"/>
              </w:rPr>
              <w:t> </w:t>
            </w:r>
          </w:p>
        </w:tc>
        <w:tc>
          <w:tcPr>
            <w:tcW w:w="594" w:type="dxa"/>
            <w:tcBorders>
              <w:top w:val="nil"/>
              <w:left w:val="nil"/>
              <w:bottom w:val="single" w:sz="4" w:space="0" w:color="auto"/>
              <w:right w:val="nil"/>
            </w:tcBorders>
            <w:shd w:val="clear" w:color="auto" w:fill="auto"/>
            <w:noWrap/>
            <w:vAlign w:val="center"/>
            <w:hideMark/>
          </w:tcPr>
          <w:p w14:paraId="30002E5A" w14:textId="77777777" w:rsidR="0074167E" w:rsidRPr="006F2C23" w:rsidRDefault="0074167E" w:rsidP="002F6048">
            <w:pPr>
              <w:spacing w:after="0" w:line="240" w:lineRule="auto"/>
              <w:rPr>
                <w:rFonts w:ascii="Arial Narrow" w:hAnsi="Arial Narrow"/>
                <w:b/>
                <w:bCs/>
                <w:sz w:val="20"/>
                <w:szCs w:val="20"/>
              </w:rPr>
            </w:pPr>
            <w:r w:rsidRPr="006F2C23">
              <w:rPr>
                <w:rFonts w:ascii="Arial Narrow" w:hAnsi="Arial Narrow"/>
                <w:b/>
                <w:bCs/>
                <w:sz w:val="20"/>
                <w:szCs w:val="20"/>
              </w:rPr>
              <w:t> </w:t>
            </w:r>
          </w:p>
        </w:tc>
        <w:tc>
          <w:tcPr>
            <w:tcW w:w="548" w:type="dxa"/>
            <w:tcBorders>
              <w:top w:val="nil"/>
              <w:left w:val="nil"/>
              <w:bottom w:val="single" w:sz="4" w:space="0" w:color="auto"/>
              <w:right w:val="nil"/>
            </w:tcBorders>
            <w:shd w:val="clear" w:color="auto" w:fill="auto"/>
            <w:vAlign w:val="center"/>
            <w:hideMark/>
          </w:tcPr>
          <w:p w14:paraId="11FEFE9A" w14:textId="77777777" w:rsidR="0074167E" w:rsidRPr="006F2C23" w:rsidRDefault="0074167E" w:rsidP="002F6048">
            <w:pPr>
              <w:spacing w:after="0" w:line="240" w:lineRule="auto"/>
              <w:jc w:val="center"/>
              <w:rPr>
                <w:rFonts w:ascii="Arial Narrow" w:hAnsi="Arial Narrow"/>
                <w:b/>
                <w:bCs/>
                <w:sz w:val="20"/>
                <w:szCs w:val="20"/>
              </w:rPr>
            </w:pPr>
            <w:r>
              <w:rPr>
                <w:rFonts w:ascii="Arial Narrow" w:hAnsi="Arial Narrow"/>
                <w:b/>
                <w:bCs/>
                <w:sz w:val="20"/>
                <w:szCs w:val="20"/>
              </w:rPr>
              <w:t>2009</w:t>
            </w:r>
          </w:p>
        </w:tc>
        <w:tc>
          <w:tcPr>
            <w:tcW w:w="548" w:type="dxa"/>
            <w:tcBorders>
              <w:top w:val="nil"/>
              <w:left w:val="nil"/>
              <w:bottom w:val="single" w:sz="4" w:space="0" w:color="auto"/>
              <w:right w:val="nil"/>
            </w:tcBorders>
            <w:shd w:val="clear" w:color="auto" w:fill="auto"/>
            <w:vAlign w:val="center"/>
            <w:hideMark/>
          </w:tcPr>
          <w:p w14:paraId="7E7A0D7E" w14:textId="77777777" w:rsidR="0074167E" w:rsidRPr="006F2C23" w:rsidRDefault="0074167E" w:rsidP="002F6048">
            <w:pPr>
              <w:spacing w:after="0" w:line="240" w:lineRule="auto"/>
              <w:jc w:val="center"/>
              <w:rPr>
                <w:rFonts w:ascii="Arial Narrow" w:hAnsi="Arial Narrow"/>
                <w:b/>
                <w:bCs/>
                <w:sz w:val="20"/>
                <w:szCs w:val="20"/>
              </w:rPr>
            </w:pPr>
            <w:r>
              <w:rPr>
                <w:rFonts w:ascii="Arial Narrow" w:hAnsi="Arial Narrow"/>
                <w:b/>
                <w:bCs/>
                <w:sz w:val="20"/>
                <w:szCs w:val="20"/>
              </w:rPr>
              <w:t>2010</w:t>
            </w:r>
          </w:p>
        </w:tc>
        <w:tc>
          <w:tcPr>
            <w:tcW w:w="548" w:type="dxa"/>
            <w:tcBorders>
              <w:top w:val="nil"/>
              <w:left w:val="nil"/>
              <w:bottom w:val="single" w:sz="4" w:space="0" w:color="auto"/>
              <w:right w:val="nil"/>
            </w:tcBorders>
            <w:shd w:val="clear" w:color="auto" w:fill="auto"/>
            <w:vAlign w:val="center"/>
            <w:hideMark/>
          </w:tcPr>
          <w:p w14:paraId="2B6499C7" w14:textId="77777777" w:rsidR="0074167E" w:rsidRPr="006F2C23" w:rsidRDefault="0074167E" w:rsidP="002F6048">
            <w:pPr>
              <w:spacing w:after="0" w:line="240" w:lineRule="auto"/>
              <w:jc w:val="center"/>
              <w:rPr>
                <w:rFonts w:ascii="Arial Narrow" w:hAnsi="Arial Narrow"/>
                <w:b/>
                <w:bCs/>
                <w:sz w:val="20"/>
                <w:szCs w:val="20"/>
              </w:rPr>
            </w:pPr>
            <w:r>
              <w:rPr>
                <w:rFonts w:ascii="Arial Narrow" w:hAnsi="Arial Narrow"/>
                <w:b/>
                <w:bCs/>
                <w:sz w:val="20"/>
                <w:szCs w:val="20"/>
              </w:rPr>
              <w:t>2011</w:t>
            </w:r>
          </w:p>
        </w:tc>
        <w:tc>
          <w:tcPr>
            <w:tcW w:w="548" w:type="dxa"/>
            <w:tcBorders>
              <w:top w:val="nil"/>
              <w:left w:val="nil"/>
              <w:bottom w:val="single" w:sz="4" w:space="0" w:color="auto"/>
              <w:right w:val="nil"/>
            </w:tcBorders>
            <w:shd w:val="clear" w:color="auto" w:fill="auto"/>
            <w:vAlign w:val="center"/>
            <w:hideMark/>
          </w:tcPr>
          <w:p w14:paraId="4D6C3CA3" w14:textId="77777777" w:rsidR="0074167E" w:rsidRPr="006F2C23" w:rsidRDefault="0074167E" w:rsidP="002F6048">
            <w:pPr>
              <w:spacing w:after="0" w:line="240" w:lineRule="auto"/>
              <w:jc w:val="center"/>
              <w:rPr>
                <w:rFonts w:ascii="Arial Narrow" w:hAnsi="Arial Narrow"/>
                <w:b/>
                <w:bCs/>
                <w:sz w:val="20"/>
                <w:szCs w:val="20"/>
              </w:rPr>
            </w:pPr>
            <w:r w:rsidRPr="006F2C23">
              <w:rPr>
                <w:rFonts w:ascii="Arial Narrow" w:hAnsi="Arial Narrow"/>
                <w:b/>
                <w:bCs/>
                <w:sz w:val="20"/>
                <w:szCs w:val="20"/>
              </w:rPr>
              <w:t>2</w:t>
            </w:r>
            <w:r>
              <w:rPr>
                <w:rFonts w:ascii="Arial Narrow" w:hAnsi="Arial Narrow"/>
                <w:b/>
                <w:bCs/>
                <w:sz w:val="20"/>
                <w:szCs w:val="20"/>
              </w:rPr>
              <w:t>012</w:t>
            </w:r>
          </w:p>
        </w:tc>
        <w:tc>
          <w:tcPr>
            <w:tcW w:w="548" w:type="dxa"/>
            <w:tcBorders>
              <w:top w:val="nil"/>
              <w:left w:val="nil"/>
              <w:bottom w:val="single" w:sz="4" w:space="0" w:color="auto"/>
              <w:right w:val="nil"/>
            </w:tcBorders>
            <w:shd w:val="clear" w:color="auto" w:fill="auto"/>
            <w:vAlign w:val="center"/>
            <w:hideMark/>
          </w:tcPr>
          <w:p w14:paraId="4C5F0EC8" w14:textId="77777777" w:rsidR="0074167E" w:rsidRPr="006F2C23" w:rsidRDefault="0074167E" w:rsidP="002F6048">
            <w:pPr>
              <w:spacing w:after="0" w:line="240" w:lineRule="auto"/>
              <w:jc w:val="center"/>
              <w:rPr>
                <w:rFonts w:ascii="Arial Narrow" w:hAnsi="Arial Narrow"/>
                <w:b/>
                <w:bCs/>
                <w:sz w:val="20"/>
                <w:szCs w:val="20"/>
              </w:rPr>
            </w:pPr>
            <w:r>
              <w:rPr>
                <w:rFonts w:ascii="Arial Narrow" w:hAnsi="Arial Narrow"/>
                <w:b/>
                <w:bCs/>
                <w:sz w:val="20"/>
                <w:szCs w:val="20"/>
              </w:rPr>
              <w:t>2013</w:t>
            </w:r>
          </w:p>
        </w:tc>
        <w:tc>
          <w:tcPr>
            <w:tcW w:w="548" w:type="dxa"/>
            <w:tcBorders>
              <w:top w:val="nil"/>
              <w:left w:val="nil"/>
              <w:bottom w:val="single" w:sz="4" w:space="0" w:color="auto"/>
              <w:right w:val="nil"/>
            </w:tcBorders>
            <w:shd w:val="clear" w:color="auto" w:fill="auto"/>
            <w:vAlign w:val="center"/>
            <w:hideMark/>
          </w:tcPr>
          <w:p w14:paraId="75C6F920" w14:textId="77777777" w:rsidR="0074167E" w:rsidRPr="006F2C23" w:rsidRDefault="0074167E" w:rsidP="002F6048">
            <w:pPr>
              <w:spacing w:after="0" w:line="240" w:lineRule="auto"/>
              <w:jc w:val="center"/>
              <w:rPr>
                <w:rFonts w:ascii="Arial Narrow" w:hAnsi="Arial Narrow"/>
                <w:b/>
                <w:bCs/>
                <w:sz w:val="20"/>
                <w:szCs w:val="20"/>
              </w:rPr>
            </w:pPr>
            <w:r>
              <w:rPr>
                <w:rFonts w:ascii="Arial Narrow" w:hAnsi="Arial Narrow"/>
                <w:b/>
                <w:bCs/>
                <w:sz w:val="20"/>
                <w:szCs w:val="20"/>
              </w:rPr>
              <w:t>2014</w:t>
            </w:r>
          </w:p>
        </w:tc>
        <w:tc>
          <w:tcPr>
            <w:tcW w:w="548" w:type="dxa"/>
            <w:tcBorders>
              <w:top w:val="nil"/>
              <w:left w:val="nil"/>
              <w:bottom w:val="single" w:sz="4" w:space="0" w:color="auto"/>
              <w:right w:val="nil"/>
            </w:tcBorders>
            <w:shd w:val="clear" w:color="auto" w:fill="auto"/>
            <w:vAlign w:val="center"/>
            <w:hideMark/>
          </w:tcPr>
          <w:p w14:paraId="6D504519" w14:textId="77777777" w:rsidR="0074167E" w:rsidRPr="006F2C23" w:rsidRDefault="0074167E" w:rsidP="002F6048">
            <w:pPr>
              <w:spacing w:after="0" w:line="240" w:lineRule="auto"/>
              <w:jc w:val="center"/>
              <w:rPr>
                <w:rFonts w:ascii="Arial Narrow" w:hAnsi="Arial Narrow"/>
                <w:b/>
                <w:bCs/>
                <w:sz w:val="20"/>
                <w:szCs w:val="20"/>
              </w:rPr>
            </w:pPr>
            <w:r>
              <w:rPr>
                <w:rFonts w:ascii="Arial Narrow" w:hAnsi="Arial Narrow"/>
                <w:b/>
                <w:bCs/>
                <w:sz w:val="20"/>
                <w:szCs w:val="20"/>
              </w:rPr>
              <w:t>2015</w:t>
            </w:r>
          </w:p>
        </w:tc>
        <w:tc>
          <w:tcPr>
            <w:tcW w:w="548" w:type="dxa"/>
            <w:tcBorders>
              <w:top w:val="nil"/>
              <w:left w:val="nil"/>
              <w:bottom w:val="single" w:sz="4" w:space="0" w:color="auto"/>
              <w:right w:val="nil"/>
            </w:tcBorders>
            <w:vAlign w:val="center"/>
          </w:tcPr>
          <w:p w14:paraId="3B77AF51" w14:textId="77777777" w:rsidR="0074167E" w:rsidRPr="006F2C23" w:rsidRDefault="0074167E" w:rsidP="002F6048">
            <w:pPr>
              <w:spacing w:after="0" w:line="240" w:lineRule="auto"/>
              <w:rPr>
                <w:rFonts w:ascii="Arial Narrow" w:hAnsi="Arial Narrow"/>
                <w:b/>
                <w:bCs/>
                <w:sz w:val="20"/>
                <w:szCs w:val="20"/>
              </w:rPr>
            </w:pPr>
            <w:r>
              <w:rPr>
                <w:rFonts w:ascii="Arial Narrow" w:hAnsi="Arial Narrow"/>
                <w:b/>
                <w:bCs/>
                <w:sz w:val="20"/>
                <w:szCs w:val="20"/>
              </w:rPr>
              <w:t>2016</w:t>
            </w:r>
          </w:p>
        </w:tc>
        <w:tc>
          <w:tcPr>
            <w:tcW w:w="549" w:type="dxa"/>
            <w:tcBorders>
              <w:top w:val="nil"/>
              <w:left w:val="nil"/>
              <w:bottom w:val="single" w:sz="4" w:space="0" w:color="auto"/>
              <w:right w:val="nil"/>
            </w:tcBorders>
            <w:vAlign w:val="center"/>
          </w:tcPr>
          <w:p w14:paraId="798D8B2B" w14:textId="77777777" w:rsidR="0074167E" w:rsidRPr="006F2C23" w:rsidRDefault="0074167E" w:rsidP="002F6048">
            <w:pPr>
              <w:spacing w:after="0" w:line="240" w:lineRule="auto"/>
              <w:rPr>
                <w:rFonts w:ascii="Arial Narrow" w:hAnsi="Arial Narrow"/>
                <w:b/>
                <w:bCs/>
                <w:sz w:val="20"/>
                <w:szCs w:val="20"/>
              </w:rPr>
            </w:pPr>
            <w:r>
              <w:rPr>
                <w:rFonts w:ascii="Arial Narrow" w:hAnsi="Arial Narrow"/>
                <w:b/>
                <w:bCs/>
                <w:sz w:val="20"/>
                <w:szCs w:val="20"/>
              </w:rPr>
              <w:t>2017</w:t>
            </w:r>
          </w:p>
        </w:tc>
        <w:tc>
          <w:tcPr>
            <w:tcW w:w="505" w:type="dxa"/>
            <w:tcBorders>
              <w:top w:val="nil"/>
              <w:left w:val="nil"/>
              <w:bottom w:val="single" w:sz="4" w:space="0" w:color="auto"/>
              <w:right w:val="nil"/>
            </w:tcBorders>
            <w:shd w:val="clear" w:color="auto" w:fill="auto"/>
            <w:vAlign w:val="center"/>
            <w:hideMark/>
          </w:tcPr>
          <w:p w14:paraId="4620DB2B" w14:textId="77777777" w:rsidR="0074167E" w:rsidRPr="006F2C23" w:rsidRDefault="0074167E" w:rsidP="002F6048">
            <w:pPr>
              <w:spacing w:after="0" w:line="240" w:lineRule="auto"/>
              <w:rPr>
                <w:rFonts w:ascii="Arial Narrow" w:hAnsi="Arial Narrow"/>
                <w:b/>
                <w:bCs/>
                <w:sz w:val="20"/>
                <w:szCs w:val="20"/>
              </w:rPr>
            </w:pPr>
            <w:r w:rsidRPr="006F2C23">
              <w:rPr>
                <w:rFonts w:ascii="Arial Narrow" w:hAnsi="Arial Narrow"/>
                <w:b/>
                <w:bCs/>
                <w:sz w:val="20"/>
                <w:szCs w:val="20"/>
              </w:rPr>
              <w:t>Cieľ 2020</w:t>
            </w:r>
          </w:p>
        </w:tc>
      </w:tr>
      <w:tr w:rsidR="0074167E" w:rsidRPr="006F2C23" w14:paraId="7618CD0B" w14:textId="77777777" w:rsidTr="0027447E">
        <w:trPr>
          <w:trHeight w:val="282"/>
          <w:jc w:val="center"/>
        </w:trPr>
        <w:tc>
          <w:tcPr>
            <w:tcW w:w="2816" w:type="dxa"/>
            <w:tcBorders>
              <w:top w:val="nil"/>
              <w:left w:val="nil"/>
              <w:bottom w:val="nil"/>
              <w:right w:val="nil"/>
            </w:tcBorders>
            <w:shd w:val="clear" w:color="auto" w:fill="auto"/>
            <w:noWrap/>
            <w:vAlign w:val="center"/>
            <w:hideMark/>
          </w:tcPr>
          <w:p w14:paraId="06729EE3" w14:textId="77777777" w:rsidR="0074167E" w:rsidRPr="006F2C23" w:rsidRDefault="0074167E" w:rsidP="002F6048">
            <w:pPr>
              <w:spacing w:after="0" w:line="240" w:lineRule="auto"/>
              <w:jc w:val="both"/>
              <w:rPr>
                <w:rFonts w:ascii="Arial Narrow" w:hAnsi="Arial Narrow"/>
                <w:b/>
                <w:bCs/>
                <w:color w:val="000000"/>
                <w:sz w:val="20"/>
                <w:szCs w:val="20"/>
              </w:rPr>
            </w:pPr>
            <w:r w:rsidRPr="006F2C23">
              <w:rPr>
                <w:rFonts w:ascii="Arial Narrow" w:hAnsi="Arial Narrow"/>
                <w:b/>
                <w:bCs/>
                <w:color w:val="000000"/>
                <w:sz w:val="20"/>
                <w:szCs w:val="20"/>
              </w:rPr>
              <w:t>Miera dlhodobej nezamestnanosti</w:t>
            </w:r>
          </w:p>
        </w:tc>
        <w:tc>
          <w:tcPr>
            <w:tcW w:w="594" w:type="dxa"/>
            <w:tcBorders>
              <w:top w:val="nil"/>
              <w:left w:val="nil"/>
              <w:bottom w:val="nil"/>
              <w:right w:val="nil"/>
            </w:tcBorders>
            <w:shd w:val="clear" w:color="auto" w:fill="auto"/>
            <w:noWrap/>
            <w:vAlign w:val="center"/>
            <w:hideMark/>
          </w:tcPr>
          <w:p w14:paraId="7646110D" w14:textId="77777777" w:rsidR="0074167E" w:rsidRPr="006F2C23" w:rsidRDefault="0074167E" w:rsidP="002F6048">
            <w:pPr>
              <w:spacing w:after="0" w:line="240" w:lineRule="auto"/>
              <w:jc w:val="center"/>
              <w:rPr>
                <w:rFonts w:ascii="Arial Narrow" w:hAnsi="Arial Narrow"/>
                <w:b/>
                <w:bCs/>
                <w:color w:val="000000"/>
                <w:sz w:val="20"/>
                <w:szCs w:val="20"/>
              </w:rPr>
            </w:pPr>
            <w:r w:rsidRPr="006F2C23">
              <w:rPr>
                <w:rFonts w:ascii="Arial Narrow" w:hAnsi="Arial Narrow"/>
                <w:b/>
                <w:bCs/>
                <w:color w:val="000000"/>
                <w:sz w:val="20"/>
                <w:szCs w:val="20"/>
              </w:rPr>
              <w:t>SK</w:t>
            </w:r>
          </w:p>
        </w:tc>
        <w:tc>
          <w:tcPr>
            <w:tcW w:w="548" w:type="dxa"/>
            <w:tcBorders>
              <w:top w:val="nil"/>
              <w:left w:val="nil"/>
              <w:bottom w:val="nil"/>
              <w:right w:val="nil"/>
            </w:tcBorders>
            <w:shd w:val="clear" w:color="auto" w:fill="auto"/>
            <w:vAlign w:val="center"/>
            <w:hideMark/>
          </w:tcPr>
          <w:p w14:paraId="79090E77" w14:textId="77777777" w:rsidR="0074167E" w:rsidRPr="006F2C23" w:rsidRDefault="0074167E" w:rsidP="002F6048">
            <w:pPr>
              <w:spacing w:after="0" w:line="240" w:lineRule="auto"/>
              <w:jc w:val="center"/>
              <w:rPr>
                <w:rFonts w:ascii="Arial Narrow" w:hAnsi="Arial Narrow"/>
                <w:sz w:val="20"/>
                <w:szCs w:val="20"/>
              </w:rPr>
            </w:pPr>
            <w:r>
              <w:rPr>
                <w:rFonts w:ascii="Arial Narrow" w:hAnsi="Arial Narrow"/>
                <w:sz w:val="20"/>
                <w:szCs w:val="20"/>
              </w:rPr>
              <w:t>6,5</w:t>
            </w:r>
          </w:p>
        </w:tc>
        <w:tc>
          <w:tcPr>
            <w:tcW w:w="548" w:type="dxa"/>
            <w:tcBorders>
              <w:top w:val="nil"/>
              <w:left w:val="nil"/>
              <w:bottom w:val="nil"/>
              <w:right w:val="nil"/>
            </w:tcBorders>
            <w:shd w:val="clear" w:color="auto" w:fill="auto"/>
            <w:vAlign w:val="center"/>
            <w:hideMark/>
          </w:tcPr>
          <w:p w14:paraId="6B7CD70D" w14:textId="77777777" w:rsidR="0074167E" w:rsidRPr="006F2C23" w:rsidRDefault="0074167E" w:rsidP="002F6048">
            <w:pPr>
              <w:spacing w:after="0" w:line="240" w:lineRule="auto"/>
              <w:jc w:val="center"/>
              <w:rPr>
                <w:rFonts w:ascii="Arial Narrow" w:hAnsi="Arial Narrow"/>
                <w:sz w:val="20"/>
                <w:szCs w:val="20"/>
              </w:rPr>
            </w:pPr>
            <w:r>
              <w:rPr>
                <w:rFonts w:ascii="Arial Narrow" w:hAnsi="Arial Narrow"/>
                <w:sz w:val="20"/>
                <w:szCs w:val="20"/>
              </w:rPr>
              <w:t>9,2</w:t>
            </w:r>
          </w:p>
        </w:tc>
        <w:tc>
          <w:tcPr>
            <w:tcW w:w="548" w:type="dxa"/>
            <w:tcBorders>
              <w:top w:val="nil"/>
              <w:left w:val="nil"/>
              <w:bottom w:val="nil"/>
              <w:right w:val="nil"/>
            </w:tcBorders>
            <w:shd w:val="clear" w:color="auto" w:fill="auto"/>
            <w:vAlign w:val="center"/>
            <w:hideMark/>
          </w:tcPr>
          <w:p w14:paraId="2F52F640" w14:textId="77777777" w:rsidR="0074167E" w:rsidRPr="006F2C23" w:rsidRDefault="0074167E" w:rsidP="002F6048">
            <w:pPr>
              <w:spacing w:after="0" w:line="240" w:lineRule="auto"/>
              <w:jc w:val="center"/>
              <w:rPr>
                <w:rFonts w:ascii="Arial Narrow" w:hAnsi="Arial Narrow"/>
                <w:sz w:val="20"/>
                <w:szCs w:val="20"/>
              </w:rPr>
            </w:pPr>
            <w:r>
              <w:rPr>
                <w:rFonts w:ascii="Arial Narrow" w:hAnsi="Arial Narrow"/>
                <w:sz w:val="20"/>
                <w:szCs w:val="20"/>
              </w:rPr>
              <w:t>9,2</w:t>
            </w:r>
          </w:p>
        </w:tc>
        <w:tc>
          <w:tcPr>
            <w:tcW w:w="548" w:type="dxa"/>
            <w:tcBorders>
              <w:top w:val="nil"/>
              <w:left w:val="nil"/>
              <w:bottom w:val="nil"/>
              <w:right w:val="nil"/>
            </w:tcBorders>
            <w:shd w:val="clear" w:color="auto" w:fill="auto"/>
            <w:vAlign w:val="center"/>
            <w:hideMark/>
          </w:tcPr>
          <w:p w14:paraId="1CBDB7B7" w14:textId="77777777" w:rsidR="0074167E" w:rsidRPr="006F2C23" w:rsidRDefault="0074167E" w:rsidP="002F6048">
            <w:pPr>
              <w:spacing w:after="0" w:line="240" w:lineRule="auto"/>
              <w:jc w:val="center"/>
              <w:rPr>
                <w:rFonts w:ascii="Arial Narrow" w:hAnsi="Arial Narrow"/>
                <w:sz w:val="20"/>
                <w:szCs w:val="20"/>
              </w:rPr>
            </w:pPr>
            <w:r w:rsidRPr="006F2C23">
              <w:rPr>
                <w:rFonts w:ascii="Arial Narrow" w:hAnsi="Arial Narrow"/>
                <w:sz w:val="20"/>
                <w:szCs w:val="20"/>
              </w:rPr>
              <w:t>9,4</w:t>
            </w:r>
          </w:p>
        </w:tc>
        <w:tc>
          <w:tcPr>
            <w:tcW w:w="548" w:type="dxa"/>
            <w:tcBorders>
              <w:top w:val="nil"/>
              <w:left w:val="nil"/>
              <w:bottom w:val="nil"/>
              <w:right w:val="nil"/>
            </w:tcBorders>
            <w:shd w:val="clear" w:color="auto" w:fill="auto"/>
            <w:vAlign w:val="center"/>
            <w:hideMark/>
          </w:tcPr>
          <w:p w14:paraId="353D9F61" w14:textId="77777777" w:rsidR="0074167E" w:rsidRPr="006F2C23" w:rsidRDefault="0074167E" w:rsidP="002F6048">
            <w:pPr>
              <w:spacing w:after="0" w:line="240" w:lineRule="auto"/>
              <w:jc w:val="center"/>
              <w:rPr>
                <w:rFonts w:ascii="Arial Narrow" w:hAnsi="Arial Narrow"/>
                <w:sz w:val="20"/>
                <w:szCs w:val="20"/>
              </w:rPr>
            </w:pPr>
            <w:r w:rsidRPr="006F2C23">
              <w:rPr>
                <w:rFonts w:ascii="Arial Narrow" w:hAnsi="Arial Narrow"/>
                <w:sz w:val="20"/>
                <w:szCs w:val="20"/>
              </w:rPr>
              <w:t>10,0</w:t>
            </w:r>
          </w:p>
        </w:tc>
        <w:tc>
          <w:tcPr>
            <w:tcW w:w="548" w:type="dxa"/>
            <w:tcBorders>
              <w:top w:val="nil"/>
              <w:left w:val="nil"/>
              <w:bottom w:val="nil"/>
              <w:right w:val="nil"/>
            </w:tcBorders>
            <w:shd w:val="clear" w:color="auto" w:fill="auto"/>
            <w:vAlign w:val="center"/>
            <w:hideMark/>
          </w:tcPr>
          <w:p w14:paraId="1818130C" w14:textId="77777777" w:rsidR="0074167E" w:rsidRPr="006F2C23" w:rsidRDefault="0074167E" w:rsidP="002F6048">
            <w:pPr>
              <w:spacing w:after="0" w:line="240" w:lineRule="auto"/>
              <w:jc w:val="center"/>
              <w:rPr>
                <w:rFonts w:ascii="Arial Narrow" w:hAnsi="Arial Narrow"/>
                <w:sz w:val="20"/>
                <w:szCs w:val="20"/>
              </w:rPr>
            </w:pPr>
            <w:r w:rsidRPr="006F2C23">
              <w:rPr>
                <w:rFonts w:ascii="Arial Narrow" w:hAnsi="Arial Narrow"/>
                <w:sz w:val="20"/>
                <w:szCs w:val="20"/>
              </w:rPr>
              <w:t xml:space="preserve"> </w:t>
            </w:r>
            <w:r>
              <w:rPr>
                <w:rFonts w:ascii="Arial Narrow" w:hAnsi="Arial Narrow"/>
                <w:sz w:val="20"/>
                <w:szCs w:val="20"/>
              </w:rPr>
              <w:t>9,3</w:t>
            </w:r>
          </w:p>
        </w:tc>
        <w:tc>
          <w:tcPr>
            <w:tcW w:w="548" w:type="dxa"/>
            <w:tcBorders>
              <w:top w:val="nil"/>
              <w:left w:val="nil"/>
              <w:bottom w:val="nil"/>
              <w:right w:val="nil"/>
            </w:tcBorders>
            <w:shd w:val="clear" w:color="auto" w:fill="auto"/>
            <w:vAlign w:val="center"/>
            <w:hideMark/>
          </w:tcPr>
          <w:p w14:paraId="6E9F7FC9" w14:textId="77777777" w:rsidR="0074167E" w:rsidRPr="006F2C23" w:rsidRDefault="0074167E" w:rsidP="002F6048">
            <w:pPr>
              <w:spacing w:after="0" w:line="240" w:lineRule="auto"/>
              <w:jc w:val="center"/>
              <w:rPr>
                <w:rFonts w:ascii="Arial Narrow" w:hAnsi="Arial Narrow"/>
                <w:sz w:val="20"/>
                <w:szCs w:val="20"/>
              </w:rPr>
            </w:pPr>
            <w:r>
              <w:rPr>
                <w:rFonts w:ascii="Arial Narrow" w:hAnsi="Arial Narrow"/>
                <w:sz w:val="20"/>
                <w:szCs w:val="20"/>
              </w:rPr>
              <w:t>7,6</w:t>
            </w:r>
          </w:p>
        </w:tc>
        <w:tc>
          <w:tcPr>
            <w:tcW w:w="548" w:type="dxa"/>
            <w:tcBorders>
              <w:top w:val="nil"/>
              <w:left w:val="nil"/>
              <w:bottom w:val="nil"/>
              <w:right w:val="nil"/>
            </w:tcBorders>
            <w:vAlign w:val="center"/>
          </w:tcPr>
          <w:p w14:paraId="77F62658" w14:textId="77777777" w:rsidR="0074167E" w:rsidRPr="006F2C23" w:rsidRDefault="0074167E" w:rsidP="002F6048">
            <w:pPr>
              <w:spacing w:after="0" w:line="240" w:lineRule="auto"/>
              <w:jc w:val="center"/>
              <w:rPr>
                <w:rFonts w:ascii="Arial Narrow" w:hAnsi="Arial Narrow"/>
                <w:sz w:val="20"/>
                <w:szCs w:val="20"/>
              </w:rPr>
            </w:pPr>
            <w:r>
              <w:rPr>
                <w:rFonts w:ascii="Arial Narrow" w:hAnsi="Arial Narrow"/>
                <w:sz w:val="20"/>
                <w:szCs w:val="20"/>
              </w:rPr>
              <w:t>5,8</w:t>
            </w:r>
          </w:p>
        </w:tc>
        <w:tc>
          <w:tcPr>
            <w:tcW w:w="549" w:type="dxa"/>
            <w:tcBorders>
              <w:top w:val="nil"/>
              <w:left w:val="nil"/>
              <w:bottom w:val="nil"/>
              <w:right w:val="nil"/>
            </w:tcBorders>
            <w:vAlign w:val="center"/>
          </w:tcPr>
          <w:p w14:paraId="392A0690" w14:textId="77777777" w:rsidR="0074167E" w:rsidRPr="006F2C23" w:rsidRDefault="0074167E" w:rsidP="002F6048">
            <w:pPr>
              <w:spacing w:after="0" w:line="240" w:lineRule="auto"/>
              <w:jc w:val="center"/>
              <w:rPr>
                <w:rFonts w:ascii="Arial Narrow" w:hAnsi="Arial Narrow"/>
                <w:sz w:val="20"/>
                <w:szCs w:val="20"/>
              </w:rPr>
            </w:pPr>
          </w:p>
        </w:tc>
        <w:tc>
          <w:tcPr>
            <w:tcW w:w="505" w:type="dxa"/>
            <w:tcBorders>
              <w:top w:val="nil"/>
              <w:left w:val="nil"/>
              <w:bottom w:val="nil"/>
              <w:right w:val="nil"/>
            </w:tcBorders>
            <w:shd w:val="clear" w:color="auto" w:fill="auto"/>
            <w:vAlign w:val="center"/>
            <w:hideMark/>
          </w:tcPr>
          <w:p w14:paraId="1C4AA140" w14:textId="77777777" w:rsidR="0074167E" w:rsidRPr="006F2C23" w:rsidRDefault="0074167E" w:rsidP="002F6048">
            <w:pPr>
              <w:spacing w:after="0" w:line="240" w:lineRule="auto"/>
              <w:jc w:val="center"/>
              <w:rPr>
                <w:rFonts w:ascii="Arial Narrow" w:hAnsi="Arial Narrow"/>
                <w:sz w:val="20"/>
                <w:szCs w:val="20"/>
              </w:rPr>
            </w:pPr>
            <w:r w:rsidRPr="006F2C23">
              <w:rPr>
                <w:rFonts w:ascii="Arial Narrow" w:hAnsi="Arial Narrow"/>
                <w:sz w:val="20"/>
                <w:szCs w:val="20"/>
              </w:rPr>
              <w:t>3,0</w:t>
            </w:r>
          </w:p>
        </w:tc>
      </w:tr>
      <w:tr w:rsidR="0074167E" w:rsidRPr="006F2C23" w14:paraId="429E2B7D" w14:textId="77777777" w:rsidTr="0027447E">
        <w:trPr>
          <w:trHeight w:val="282"/>
          <w:jc w:val="center"/>
        </w:trPr>
        <w:tc>
          <w:tcPr>
            <w:tcW w:w="2816" w:type="dxa"/>
            <w:tcBorders>
              <w:top w:val="nil"/>
              <w:left w:val="nil"/>
              <w:bottom w:val="single" w:sz="4" w:space="0" w:color="auto"/>
              <w:right w:val="nil"/>
            </w:tcBorders>
            <w:shd w:val="clear" w:color="auto" w:fill="auto"/>
            <w:noWrap/>
            <w:vAlign w:val="center"/>
            <w:hideMark/>
          </w:tcPr>
          <w:p w14:paraId="307F1310" w14:textId="77777777" w:rsidR="0074167E" w:rsidRPr="006F2C23" w:rsidRDefault="0074167E" w:rsidP="002F6048">
            <w:pPr>
              <w:spacing w:after="0" w:line="240" w:lineRule="auto"/>
              <w:jc w:val="both"/>
              <w:rPr>
                <w:rFonts w:ascii="Arial Narrow" w:hAnsi="Arial Narrow"/>
                <w:color w:val="000000"/>
                <w:sz w:val="20"/>
                <w:szCs w:val="20"/>
              </w:rPr>
            </w:pPr>
            <w:r w:rsidRPr="006F2C23">
              <w:rPr>
                <w:rFonts w:ascii="Arial Narrow" w:hAnsi="Arial Narrow"/>
                <w:color w:val="000000"/>
                <w:sz w:val="20"/>
                <w:szCs w:val="20"/>
              </w:rPr>
              <w:t>(% aktívneho obyvateľstva nad 15 rokov)</w:t>
            </w:r>
          </w:p>
        </w:tc>
        <w:tc>
          <w:tcPr>
            <w:tcW w:w="594" w:type="dxa"/>
            <w:tcBorders>
              <w:top w:val="nil"/>
              <w:left w:val="nil"/>
              <w:bottom w:val="single" w:sz="4" w:space="0" w:color="auto"/>
              <w:right w:val="nil"/>
            </w:tcBorders>
            <w:shd w:val="clear" w:color="auto" w:fill="auto"/>
            <w:noWrap/>
            <w:vAlign w:val="center"/>
            <w:hideMark/>
          </w:tcPr>
          <w:p w14:paraId="160B0E3A" w14:textId="77777777" w:rsidR="0074167E" w:rsidRPr="006F2C23" w:rsidRDefault="0074167E" w:rsidP="002F6048">
            <w:pPr>
              <w:spacing w:after="0" w:line="240" w:lineRule="auto"/>
              <w:jc w:val="center"/>
              <w:rPr>
                <w:rFonts w:ascii="Arial Narrow" w:hAnsi="Arial Narrow"/>
                <w:b/>
                <w:bCs/>
                <w:color w:val="000000"/>
                <w:sz w:val="20"/>
                <w:szCs w:val="20"/>
              </w:rPr>
            </w:pPr>
            <w:r w:rsidRPr="006F2C23">
              <w:rPr>
                <w:rFonts w:ascii="Arial Narrow" w:hAnsi="Arial Narrow"/>
                <w:b/>
                <w:bCs/>
                <w:color w:val="000000"/>
                <w:sz w:val="20"/>
                <w:szCs w:val="20"/>
              </w:rPr>
              <w:t>EÚ</w:t>
            </w:r>
          </w:p>
        </w:tc>
        <w:tc>
          <w:tcPr>
            <w:tcW w:w="548" w:type="dxa"/>
            <w:tcBorders>
              <w:top w:val="nil"/>
              <w:left w:val="nil"/>
              <w:bottom w:val="single" w:sz="4" w:space="0" w:color="auto"/>
              <w:right w:val="nil"/>
            </w:tcBorders>
            <w:shd w:val="clear" w:color="auto" w:fill="auto"/>
            <w:vAlign w:val="center"/>
            <w:hideMark/>
          </w:tcPr>
          <w:p w14:paraId="412D9080" w14:textId="77777777" w:rsidR="0074167E" w:rsidRPr="00975D00" w:rsidRDefault="0074167E" w:rsidP="002F6048">
            <w:pPr>
              <w:spacing w:after="0" w:line="240" w:lineRule="auto"/>
              <w:jc w:val="center"/>
              <w:rPr>
                <w:rFonts w:ascii="Arial Narrow" w:hAnsi="Arial Narrow"/>
                <w:sz w:val="20"/>
                <w:szCs w:val="20"/>
              </w:rPr>
            </w:pPr>
            <w:r>
              <w:rPr>
                <w:rFonts w:ascii="Arial Narrow" w:hAnsi="Arial Narrow"/>
                <w:sz w:val="20"/>
                <w:szCs w:val="20"/>
              </w:rPr>
              <w:t>2,9</w:t>
            </w:r>
          </w:p>
        </w:tc>
        <w:tc>
          <w:tcPr>
            <w:tcW w:w="548" w:type="dxa"/>
            <w:tcBorders>
              <w:top w:val="nil"/>
              <w:left w:val="nil"/>
              <w:bottom w:val="single" w:sz="4" w:space="0" w:color="auto"/>
              <w:right w:val="nil"/>
            </w:tcBorders>
            <w:shd w:val="clear" w:color="auto" w:fill="auto"/>
            <w:vAlign w:val="center"/>
            <w:hideMark/>
          </w:tcPr>
          <w:p w14:paraId="0C0D58A4" w14:textId="77777777" w:rsidR="0074167E" w:rsidRPr="00975D00" w:rsidRDefault="0074167E" w:rsidP="002F6048">
            <w:pPr>
              <w:spacing w:after="0" w:line="240" w:lineRule="auto"/>
              <w:jc w:val="center"/>
              <w:rPr>
                <w:rFonts w:ascii="Arial Narrow" w:hAnsi="Arial Narrow"/>
                <w:sz w:val="20"/>
                <w:szCs w:val="20"/>
              </w:rPr>
            </w:pPr>
            <w:r w:rsidRPr="00975D00">
              <w:rPr>
                <w:rFonts w:ascii="Arial Narrow" w:hAnsi="Arial Narrow"/>
                <w:sz w:val="20"/>
                <w:szCs w:val="20"/>
              </w:rPr>
              <w:t>3,</w:t>
            </w:r>
            <w:r>
              <w:rPr>
                <w:rFonts w:ascii="Arial Narrow" w:hAnsi="Arial Narrow"/>
                <w:sz w:val="20"/>
                <w:szCs w:val="20"/>
              </w:rPr>
              <w:t>8</w:t>
            </w:r>
          </w:p>
        </w:tc>
        <w:tc>
          <w:tcPr>
            <w:tcW w:w="548" w:type="dxa"/>
            <w:tcBorders>
              <w:top w:val="nil"/>
              <w:left w:val="nil"/>
              <w:bottom w:val="single" w:sz="4" w:space="0" w:color="auto"/>
              <w:right w:val="nil"/>
            </w:tcBorders>
            <w:shd w:val="clear" w:color="auto" w:fill="auto"/>
            <w:vAlign w:val="center"/>
            <w:hideMark/>
          </w:tcPr>
          <w:p w14:paraId="770E52C2" w14:textId="77777777" w:rsidR="0074167E" w:rsidRPr="00975D00" w:rsidRDefault="0074167E" w:rsidP="002F6048">
            <w:pPr>
              <w:spacing w:after="0" w:line="240" w:lineRule="auto"/>
              <w:jc w:val="center"/>
              <w:rPr>
                <w:rFonts w:ascii="Arial Narrow" w:hAnsi="Arial Narrow"/>
                <w:sz w:val="20"/>
                <w:szCs w:val="20"/>
              </w:rPr>
            </w:pPr>
            <w:r w:rsidRPr="00975D00">
              <w:rPr>
                <w:rFonts w:ascii="Arial Narrow" w:hAnsi="Arial Narrow"/>
                <w:sz w:val="20"/>
                <w:szCs w:val="20"/>
              </w:rPr>
              <w:t>4,</w:t>
            </w:r>
            <w:r>
              <w:rPr>
                <w:rFonts w:ascii="Arial Narrow" w:hAnsi="Arial Narrow"/>
                <w:sz w:val="20"/>
                <w:szCs w:val="20"/>
              </w:rPr>
              <w:t>1</w:t>
            </w:r>
          </w:p>
        </w:tc>
        <w:tc>
          <w:tcPr>
            <w:tcW w:w="548" w:type="dxa"/>
            <w:tcBorders>
              <w:top w:val="nil"/>
              <w:left w:val="nil"/>
              <w:bottom w:val="single" w:sz="4" w:space="0" w:color="auto"/>
              <w:right w:val="nil"/>
            </w:tcBorders>
            <w:shd w:val="clear" w:color="auto" w:fill="auto"/>
            <w:vAlign w:val="center"/>
            <w:hideMark/>
          </w:tcPr>
          <w:p w14:paraId="7B89CBBE" w14:textId="77777777" w:rsidR="0074167E" w:rsidRPr="00975D00" w:rsidRDefault="0074167E" w:rsidP="002F6048">
            <w:pPr>
              <w:spacing w:after="0" w:line="240" w:lineRule="auto"/>
              <w:jc w:val="center"/>
              <w:rPr>
                <w:rFonts w:ascii="Arial Narrow" w:hAnsi="Arial Narrow"/>
                <w:sz w:val="20"/>
                <w:szCs w:val="20"/>
              </w:rPr>
            </w:pPr>
            <w:r>
              <w:rPr>
                <w:rFonts w:ascii="Arial Narrow" w:hAnsi="Arial Narrow"/>
                <w:sz w:val="20"/>
                <w:szCs w:val="20"/>
              </w:rPr>
              <w:t>4,6</w:t>
            </w:r>
          </w:p>
        </w:tc>
        <w:tc>
          <w:tcPr>
            <w:tcW w:w="548" w:type="dxa"/>
            <w:tcBorders>
              <w:top w:val="nil"/>
              <w:left w:val="nil"/>
              <w:bottom w:val="single" w:sz="4" w:space="0" w:color="auto"/>
              <w:right w:val="nil"/>
            </w:tcBorders>
            <w:shd w:val="clear" w:color="auto" w:fill="auto"/>
            <w:vAlign w:val="center"/>
            <w:hideMark/>
          </w:tcPr>
          <w:p w14:paraId="705A2E2F" w14:textId="77777777" w:rsidR="0074167E" w:rsidRPr="00975D00" w:rsidRDefault="0074167E" w:rsidP="002F6048">
            <w:pPr>
              <w:spacing w:after="0" w:line="240" w:lineRule="auto"/>
              <w:jc w:val="center"/>
              <w:rPr>
                <w:rFonts w:ascii="Arial Narrow" w:hAnsi="Arial Narrow"/>
                <w:sz w:val="20"/>
                <w:szCs w:val="20"/>
              </w:rPr>
            </w:pPr>
            <w:r>
              <w:rPr>
                <w:rFonts w:ascii="Arial Narrow" w:hAnsi="Arial Narrow"/>
                <w:sz w:val="20"/>
                <w:szCs w:val="20"/>
              </w:rPr>
              <w:t xml:space="preserve"> </w:t>
            </w:r>
            <w:r w:rsidRPr="00975D00">
              <w:rPr>
                <w:rFonts w:ascii="Arial Narrow" w:hAnsi="Arial Narrow"/>
                <w:sz w:val="20"/>
                <w:szCs w:val="20"/>
              </w:rPr>
              <w:t>5,</w:t>
            </w:r>
            <w:r>
              <w:rPr>
                <w:rFonts w:ascii="Arial Narrow" w:hAnsi="Arial Narrow"/>
                <w:sz w:val="20"/>
                <w:szCs w:val="20"/>
              </w:rPr>
              <w:t>1</w:t>
            </w:r>
          </w:p>
        </w:tc>
        <w:tc>
          <w:tcPr>
            <w:tcW w:w="548" w:type="dxa"/>
            <w:tcBorders>
              <w:top w:val="nil"/>
              <w:left w:val="nil"/>
              <w:bottom w:val="single" w:sz="4" w:space="0" w:color="auto"/>
              <w:right w:val="nil"/>
            </w:tcBorders>
            <w:shd w:val="clear" w:color="auto" w:fill="auto"/>
            <w:vAlign w:val="center"/>
            <w:hideMark/>
          </w:tcPr>
          <w:p w14:paraId="4EAAAC25" w14:textId="77777777" w:rsidR="0074167E" w:rsidRPr="00975D00" w:rsidRDefault="0074167E" w:rsidP="002F6048">
            <w:pPr>
              <w:spacing w:after="0" w:line="240" w:lineRule="auto"/>
              <w:jc w:val="center"/>
              <w:rPr>
                <w:rFonts w:ascii="Arial Narrow" w:hAnsi="Arial Narrow"/>
                <w:sz w:val="20"/>
                <w:szCs w:val="20"/>
              </w:rPr>
            </w:pPr>
            <w:r>
              <w:rPr>
                <w:rFonts w:ascii="Arial Narrow" w:hAnsi="Arial Narrow"/>
                <w:sz w:val="20"/>
                <w:szCs w:val="20"/>
              </w:rPr>
              <w:t xml:space="preserve"> 5,0</w:t>
            </w:r>
          </w:p>
        </w:tc>
        <w:tc>
          <w:tcPr>
            <w:tcW w:w="548" w:type="dxa"/>
            <w:tcBorders>
              <w:top w:val="nil"/>
              <w:left w:val="nil"/>
              <w:bottom w:val="single" w:sz="4" w:space="0" w:color="auto"/>
              <w:right w:val="nil"/>
            </w:tcBorders>
            <w:shd w:val="clear" w:color="auto" w:fill="auto"/>
            <w:vAlign w:val="center"/>
            <w:hideMark/>
          </w:tcPr>
          <w:p w14:paraId="049AF703" w14:textId="77777777" w:rsidR="0074167E" w:rsidRPr="00975D00" w:rsidRDefault="0074167E" w:rsidP="002F6048">
            <w:pPr>
              <w:spacing w:after="0" w:line="240" w:lineRule="auto"/>
              <w:jc w:val="center"/>
              <w:rPr>
                <w:rFonts w:ascii="Arial Narrow" w:hAnsi="Arial Narrow"/>
                <w:sz w:val="20"/>
                <w:szCs w:val="20"/>
              </w:rPr>
            </w:pPr>
            <w:r>
              <w:rPr>
                <w:rFonts w:ascii="Arial Narrow" w:hAnsi="Arial Narrow"/>
                <w:sz w:val="20"/>
                <w:szCs w:val="20"/>
              </w:rPr>
              <w:t>4,5</w:t>
            </w:r>
          </w:p>
        </w:tc>
        <w:tc>
          <w:tcPr>
            <w:tcW w:w="548" w:type="dxa"/>
            <w:tcBorders>
              <w:top w:val="nil"/>
              <w:left w:val="nil"/>
              <w:bottom w:val="single" w:sz="4" w:space="0" w:color="auto"/>
              <w:right w:val="nil"/>
            </w:tcBorders>
            <w:vAlign w:val="center"/>
          </w:tcPr>
          <w:p w14:paraId="4802F353" w14:textId="77777777" w:rsidR="0074167E" w:rsidRPr="006F2C23" w:rsidRDefault="0074167E" w:rsidP="002F6048">
            <w:pPr>
              <w:spacing w:after="0" w:line="240" w:lineRule="auto"/>
              <w:jc w:val="center"/>
              <w:rPr>
                <w:rFonts w:ascii="Arial Narrow" w:hAnsi="Arial Narrow"/>
                <w:sz w:val="20"/>
                <w:szCs w:val="20"/>
              </w:rPr>
            </w:pPr>
            <w:r>
              <w:rPr>
                <w:rFonts w:ascii="Arial Narrow" w:hAnsi="Arial Narrow"/>
                <w:sz w:val="20"/>
                <w:szCs w:val="20"/>
              </w:rPr>
              <w:t>4,0</w:t>
            </w:r>
          </w:p>
        </w:tc>
        <w:tc>
          <w:tcPr>
            <w:tcW w:w="549" w:type="dxa"/>
            <w:tcBorders>
              <w:top w:val="nil"/>
              <w:left w:val="nil"/>
              <w:bottom w:val="single" w:sz="4" w:space="0" w:color="auto"/>
              <w:right w:val="nil"/>
            </w:tcBorders>
            <w:vAlign w:val="center"/>
          </w:tcPr>
          <w:p w14:paraId="343D8AB3" w14:textId="77777777" w:rsidR="0074167E" w:rsidRPr="006F2C23" w:rsidRDefault="0074167E" w:rsidP="002F6048">
            <w:pPr>
              <w:spacing w:after="0" w:line="240" w:lineRule="auto"/>
              <w:jc w:val="center"/>
              <w:rPr>
                <w:rFonts w:ascii="Arial Narrow" w:hAnsi="Arial Narrow"/>
                <w:sz w:val="20"/>
                <w:szCs w:val="20"/>
              </w:rPr>
            </w:pPr>
          </w:p>
        </w:tc>
        <w:tc>
          <w:tcPr>
            <w:tcW w:w="505" w:type="dxa"/>
            <w:tcBorders>
              <w:top w:val="nil"/>
              <w:left w:val="nil"/>
              <w:bottom w:val="single" w:sz="4" w:space="0" w:color="auto"/>
              <w:right w:val="nil"/>
            </w:tcBorders>
            <w:shd w:val="clear" w:color="auto" w:fill="auto"/>
            <w:vAlign w:val="center"/>
            <w:hideMark/>
          </w:tcPr>
          <w:p w14:paraId="37FEBCCF" w14:textId="77777777" w:rsidR="0074167E" w:rsidRPr="006F2C23" w:rsidRDefault="0074167E" w:rsidP="002F6048">
            <w:pPr>
              <w:spacing w:after="0" w:line="240" w:lineRule="auto"/>
              <w:jc w:val="center"/>
              <w:rPr>
                <w:rFonts w:ascii="Arial Narrow" w:hAnsi="Arial Narrow"/>
                <w:sz w:val="20"/>
                <w:szCs w:val="20"/>
              </w:rPr>
            </w:pPr>
            <w:r w:rsidRPr="006F2C23">
              <w:rPr>
                <w:rFonts w:ascii="Arial Narrow" w:hAnsi="Arial Narrow"/>
                <w:sz w:val="20"/>
                <w:szCs w:val="20"/>
              </w:rPr>
              <w:t>-</w:t>
            </w:r>
          </w:p>
        </w:tc>
      </w:tr>
      <w:tr w:rsidR="0074167E" w:rsidRPr="006F2C23" w14:paraId="0B56780F" w14:textId="77777777" w:rsidTr="0027447E">
        <w:trPr>
          <w:trHeight w:val="282"/>
          <w:jc w:val="center"/>
        </w:trPr>
        <w:tc>
          <w:tcPr>
            <w:tcW w:w="2816" w:type="dxa"/>
            <w:tcBorders>
              <w:top w:val="nil"/>
              <w:left w:val="nil"/>
              <w:bottom w:val="nil"/>
              <w:right w:val="nil"/>
            </w:tcBorders>
            <w:shd w:val="clear" w:color="auto" w:fill="auto"/>
            <w:noWrap/>
            <w:vAlign w:val="center"/>
            <w:hideMark/>
          </w:tcPr>
          <w:p w14:paraId="48F72F87" w14:textId="77777777" w:rsidR="0074167E" w:rsidRPr="00BF0187" w:rsidRDefault="0074167E" w:rsidP="002F6048">
            <w:pPr>
              <w:spacing w:after="0" w:line="240" w:lineRule="auto"/>
              <w:rPr>
                <w:rFonts w:ascii="Arial Narrow" w:hAnsi="Arial Narrow"/>
                <w:b/>
                <w:bCs/>
                <w:color w:val="000000"/>
                <w:sz w:val="20"/>
                <w:szCs w:val="20"/>
              </w:rPr>
            </w:pPr>
            <w:r w:rsidRPr="00BF0187">
              <w:rPr>
                <w:rFonts w:ascii="Arial Narrow" w:hAnsi="Arial Narrow"/>
                <w:b/>
                <w:bCs/>
                <w:color w:val="000000"/>
                <w:sz w:val="20"/>
                <w:szCs w:val="20"/>
              </w:rPr>
              <w:t>Miera zamestnanosti</w:t>
            </w:r>
          </w:p>
        </w:tc>
        <w:tc>
          <w:tcPr>
            <w:tcW w:w="594" w:type="dxa"/>
            <w:tcBorders>
              <w:top w:val="nil"/>
              <w:left w:val="nil"/>
              <w:bottom w:val="nil"/>
              <w:right w:val="nil"/>
            </w:tcBorders>
            <w:shd w:val="clear" w:color="auto" w:fill="auto"/>
            <w:noWrap/>
            <w:vAlign w:val="center"/>
            <w:hideMark/>
          </w:tcPr>
          <w:p w14:paraId="4DE73512" w14:textId="77777777" w:rsidR="0074167E" w:rsidRPr="00BF0187" w:rsidRDefault="0074167E" w:rsidP="002F6048">
            <w:pPr>
              <w:spacing w:after="0" w:line="240" w:lineRule="auto"/>
              <w:jc w:val="center"/>
              <w:rPr>
                <w:rFonts w:ascii="Arial Narrow" w:hAnsi="Arial Narrow"/>
                <w:b/>
                <w:bCs/>
                <w:color w:val="000000"/>
                <w:sz w:val="20"/>
                <w:szCs w:val="20"/>
              </w:rPr>
            </w:pPr>
            <w:r w:rsidRPr="00BF0187">
              <w:rPr>
                <w:rFonts w:ascii="Arial Narrow" w:hAnsi="Arial Narrow"/>
                <w:b/>
                <w:bCs/>
                <w:color w:val="000000"/>
                <w:sz w:val="20"/>
                <w:szCs w:val="20"/>
              </w:rPr>
              <w:t>SK</w:t>
            </w:r>
          </w:p>
        </w:tc>
        <w:tc>
          <w:tcPr>
            <w:tcW w:w="548" w:type="dxa"/>
            <w:tcBorders>
              <w:top w:val="nil"/>
              <w:left w:val="nil"/>
              <w:bottom w:val="nil"/>
              <w:right w:val="nil"/>
            </w:tcBorders>
            <w:shd w:val="clear" w:color="auto" w:fill="auto"/>
            <w:vAlign w:val="center"/>
            <w:hideMark/>
          </w:tcPr>
          <w:p w14:paraId="39EBC403" w14:textId="77777777" w:rsidR="0074167E" w:rsidRPr="00BF0187" w:rsidRDefault="0074167E" w:rsidP="002F6048">
            <w:pPr>
              <w:spacing w:after="0" w:line="240" w:lineRule="auto"/>
              <w:jc w:val="center"/>
              <w:rPr>
                <w:rFonts w:ascii="Arial Narrow" w:hAnsi="Arial Narrow"/>
                <w:sz w:val="20"/>
                <w:szCs w:val="20"/>
              </w:rPr>
            </w:pPr>
            <w:r w:rsidRPr="00BF0187">
              <w:rPr>
                <w:rFonts w:ascii="Arial Narrow" w:hAnsi="Arial Narrow"/>
                <w:sz w:val="20"/>
                <w:szCs w:val="20"/>
              </w:rPr>
              <w:t>66,4</w:t>
            </w:r>
          </w:p>
        </w:tc>
        <w:tc>
          <w:tcPr>
            <w:tcW w:w="548" w:type="dxa"/>
            <w:tcBorders>
              <w:top w:val="nil"/>
              <w:left w:val="nil"/>
              <w:bottom w:val="nil"/>
              <w:right w:val="nil"/>
            </w:tcBorders>
            <w:shd w:val="clear" w:color="auto" w:fill="auto"/>
            <w:vAlign w:val="center"/>
            <w:hideMark/>
          </w:tcPr>
          <w:p w14:paraId="24CB8414" w14:textId="77777777" w:rsidR="0074167E" w:rsidRPr="00BF0187" w:rsidRDefault="0074167E" w:rsidP="002F6048">
            <w:pPr>
              <w:spacing w:after="0" w:line="240" w:lineRule="auto"/>
              <w:jc w:val="center"/>
              <w:rPr>
                <w:rFonts w:ascii="Arial Narrow" w:hAnsi="Arial Narrow"/>
                <w:sz w:val="20"/>
                <w:szCs w:val="20"/>
              </w:rPr>
            </w:pPr>
            <w:r w:rsidRPr="00BF0187">
              <w:rPr>
                <w:rFonts w:ascii="Arial Narrow" w:hAnsi="Arial Narrow"/>
                <w:sz w:val="20"/>
                <w:szCs w:val="20"/>
              </w:rPr>
              <w:t>64,6</w:t>
            </w:r>
          </w:p>
        </w:tc>
        <w:tc>
          <w:tcPr>
            <w:tcW w:w="548" w:type="dxa"/>
            <w:tcBorders>
              <w:top w:val="nil"/>
              <w:left w:val="nil"/>
              <w:bottom w:val="nil"/>
              <w:right w:val="nil"/>
            </w:tcBorders>
            <w:shd w:val="clear" w:color="auto" w:fill="auto"/>
            <w:vAlign w:val="center"/>
            <w:hideMark/>
          </w:tcPr>
          <w:p w14:paraId="2E96B6B4" w14:textId="77777777" w:rsidR="0074167E" w:rsidRPr="00BF0187" w:rsidRDefault="0074167E" w:rsidP="002F6048">
            <w:pPr>
              <w:spacing w:after="0" w:line="240" w:lineRule="auto"/>
              <w:jc w:val="center"/>
              <w:rPr>
                <w:rFonts w:ascii="Arial Narrow" w:hAnsi="Arial Narrow"/>
                <w:sz w:val="20"/>
                <w:szCs w:val="20"/>
              </w:rPr>
            </w:pPr>
            <w:r w:rsidRPr="00BF0187">
              <w:rPr>
                <w:rFonts w:ascii="Arial Narrow" w:hAnsi="Arial Narrow"/>
                <w:sz w:val="20"/>
                <w:szCs w:val="20"/>
              </w:rPr>
              <w:t>65,0</w:t>
            </w:r>
          </w:p>
        </w:tc>
        <w:tc>
          <w:tcPr>
            <w:tcW w:w="548" w:type="dxa"/>
            <w:tcBorders>
              <w:top w:val="nil"/>
              <w:left w:val="nil"/>
              <w:bottom w:val="nil"/>
              <w:right w:val="nil"/>
            </w:tcBorders>
            <w:shd w:val="clear" w:color="auto" w:fill="auto"/>
            <w:vAlign w:val="center"/>
            <w:hideMark/>
          </w:tcPr>
          <w:p w14:paraId="66EBDD26" w14:textId="77777777" w:rsidR="0074167E" w:rsidRPr="00BF0187" w:rsidRDefault="0074167E" w:rsidP="002F6048">
            <w:pPr>
              <w:spacing w:after="0" w:line="240" w:lineRule="auto"/>
              <w:jc w:val="center"/>
              <w:rPr>
                <w:rFonts w:ascii="Arial Narrow" w:hAnsi="Arial Narrow"/>
                <w:sz w:val="20"/>
                <w:szCs w:val="20"/>
              </w:rPr>
            </w:pPr>
            <w:r w:rsidRPr="00BF0187">
              <w:rPr>
                <w:rFonts w:ascii="Arial Narrow" w:hAnsi="Arial Narrow"/>
                <w:sz w:val="20"/>
                <w:szCs w:val="20"/>
              </w:rPr>
              <w:t>65,1</w:t>
            </w:r>
          </w:p>
        </w:tc>
        <w:tc>
          <w:tcPr>
            <w:tcW w:w="548" w:type="dxa"/>
            <w:tcBorders>
              <w:top w:val="nil"/>
              <w:left w:val="nil"/>
              <w:bottom w:val="nil"/>
              <w:right w:val="nil"/>
            </w:tcBorders>
            <w:shd w:val="clear" w:color="auto" w:fill="auto"/>
            <w:vAlign w:val="center"/>
            <w:hideMark/>
          </w:tcPr>
          <w:p w14:paraId="018FD8C5" w14:textId="77777777" w:rsidR="0074167E" w:rsidRPr="00BF0187" w:rsidRDefault="0074167E" w:rsidP="002F6048">
            <w:pPr>
              <w:spacing w:after="0" w:line="240" w:lineRule="auto"/>
              <w:jc w:val="center"/>
              <w:rPr>
                <w:rFonts w:ascii="Arial Narrow" w:hAnsi="Arial Narrow"/>
                <w:sz w:val="20"/>
                <w:szCs w:val="20"/>
              </w:rPr>
            </w:pPr>
            <w:r w:rsidRPr="00BF0187">
              <w:rPr>
                <w:rFonts w:ascii="Arial Narrow" w:hAnsi="Arial Narrow"/>
                <w:sz w:val="20"/>
                <w:szCs w:val="20"/>
              </w:rPr>
              <w:t>65,0</w:t>
            </w:r>
          </w:p>
        </w:tc>
        <w:tc>
          <w:tcPr>
            <w:tcW w:w="548" w:type="dxa"/>
            <w:tcBorders>
              <w:top w:val="nil"/>
              <w:left w:val="nil"/>
              <w:bottom w:val="nil"/>
              <w:right w:val="nil"/>
            </w:tcBorders>
            <w:shd w:val="clear" w:color="auto" w:fill="auto"/>
            <w:vAlign w:val="center"/>
            <w:hideMark/>
          </w:tcPr>
          <w:p w14:paraId="067BA881" w14:textId="77777777" w:rsidR="0074167E" w:rsidRPr="00BF0187" w:rsidRDefault="0074167E" w:rsidP="002F6048">
            <w:pPr>
              <w:spacing w:after="0" w:line="240" w:lineRule="auto"/>
              <w:jc w:val="center"/>
              <w:rPr>
                <w:rFonts w:ascii="Arial Narrow" w:hAnsi="Arial Narrow"/>
                <w:sz w:val="20"/>
                <w:szCs w:val="20"/>
              </w:rPr>
            </w:pPr>
            <w:r w:rsidRPr="00BF0187">
              <w:rPr>
                <w:rFonts w:ascii="Arial Narrow" w:hAnsi="Arial Narrow"/>
                <w:sz w:val="20"/>
                <w:szCs w:val="20"/>
              </w:rPr>
              <w:t xml:space="preserve">65,9 </w:t>
            </w:r>
          </w:p>
        </w:tc>
        <w:tc>
          <w:tcPr>
            <w:tcW w:w="548" w:type="dxa"/>
            <w:tcBorders>
              <w:top w:val="nil"/>
              <w:left w:val="nil"/>
              <w:bottom w:val="nil"/>
              <w:right w:val="nil"/>
            </w:tcBorders>
            <w:shd w:val="clear" w:color="auto" w:fill="auto"/>
            <w:vAlign w:val="center"/>
            <w:hideMark/>
          </w:tcPr>
          <w:p w14:paraId="50FC1369" w14:textId="77777777" w:rsidR="0074167E" w:rsidRPr="00BF0187" w:rsidRDefault="0074167E" w:rsidP="002F6048">
            <w:pPr>
              <w:spacing w:after="0" w:line="240" w:lineRule="auto"/>
              <w:jc w:val="center"/>
              <w:rPr>
                <w:rFonts w:ascii="Arial Narrow" w:hAnsi="Arial Narrow"/>
                <w:sz w:val="20"/>
                <w:szCs w:val="20"/>
              </w:rPr>
            </w:pPr>
            <w:r w:rsidRPr="00BF0187">
              <w:rPr>
                <w:rFonts w:ascii="Arial Narrow" w:hAnsi="Arial Narrow"/>
                <w:sz w:val="20"/>
                <w:szCs w:val="20"/>
              </w:rPr>
              <w:t>67,7</w:t>
            </w:r>
          </w:p>
        </w:tc>
        <w:tc>
          <w:tcPr>
            <w:tcW w:w="548" w:type="dxa"/>
            <w:tcBorders>
              <w:top w:val="nil"/>
              <w:left w:val="nil"/>
              <w:bottom w:val="nil"/>
              <w:right w:val="nil"/>
            </w:tcBorders>
            <w:vAlign w:val="center"/>
          </w:tcPr>
          <w:p w14:paraId="71819178" w14:textId="77777777" w:rsidR="0074167E" w:rsidRPr="00BF0187" w:rsidRDefault="0074167E" w:rsidP="002F6048">
            <w:pPr>
              <w:spacing w:after="0" w:line="240" w:lineRule="auto"/>
              <w:jc w:val="center"/>
              <w:rPr>
                <w:rFonts w:ascii="Arial Narrow" w:hAnsi="Arial Narrow"/>
                <w:sz w:val="20"/>
                <w:szCs w:val="20"/>
              </w:rPr>
            </w:pPr>
            <w:r>
              <w:rPr>
                <w:rFonts w:ascii="Arial Narrow" w:hAnsi="Arial Narrow"/>
                <w:sz w:val="20"/>
                <w:szCs w:val="20"/>
              </w:rPr>
              <w:t>69,8</w:t>
            </w:r>
          </w:p>
        </w:tc>
        <w:tc>
          <w:tcPr>
            <w:tcW w:w="549" w:type="dxa"/>
            <w:tcBorders>
              <w:top w:val="nil"/>
              <w:left w:val="nil"/>
              <w:bottom w:val="nil"/>
              <w:right w:val="nil"/>
            </w:tcBorders>
            <w:vAlign w:val="center"/>
          </w:tcPr>
          <w:p w14:paraId="12B69FE2" w14:textId="77777777" w:rsidR="0074167E" w:rsidRPr="00BF0187" w:rsidRDefault="0074167E" w:rsidP="002F6048">
            <w:pPr>
              <w:spacing w:after="0" w:line="240" w:lineRule="auto"/>
              <w:jc w:val="center"/>
              <w:rPr>
                <w:rFonts w:ascii="Arial Narrow" w:hAnsi="Arial Narrow"/>
                <w:sz w:val="20"/>
                <w:szCs w:val="20"/>
              </w:rPr>
            </w:pPr>
          </w:p>
        </w:tc>
        <w:tc>
          <w:tcPr>
            <w:tcW w:w="505" w:type="dxa"/>
            <w:tcBorders>
              <w:top w:val="nil"/>
              <w:left w:val="nil"/>
              <w:bottom w:val="nil"/>
              <w:right w:val="nil"/>
            </w:tcBorders>
            <w:shd w:val="clear" w:color="auto" w:fill="auto"/>
            <w:vAlign w:val="center"/>
            <w:hideMark/>
          </w:tcPr>
          <w:p w14:paraId="03205B2D" w14:textId="77777777" w:rsidR="0074167E" w:rsidRPr="00BF0187" w:rsidRDefault="0074167E" w:rsidP="002F6048">
            <w:pPr>
              <w:spacing w:after="0" w:line="240" w:lineRule="auto"/>
              <w:jc w:val="center"/>
              <w:rPr>
                <w:rFonts w:ascii="Arial Narrow" w:hAnsi="Arial Narrow"/>
                <w:sz w:val="20"/>
                <w:szCs w:val="20"/>
              </w:rPr>
            </w:pPr>
            <w:r w:rsidRPr="00BF0187">
              <w:rPr>
                <w:rFonts w:ascii="Arial Narrow" w:hAnsi="Arial Narrow"/>
                <w:sz w:val="20"/>
                <w:szCs w:val="20"/>
              </w:rPr>
              <w:t>72,0</w:t>
            </w:r>
          </w:p>
        </w:tc>
      </w:tr>
      <w:tr w:rsidR="0074167E" w:rsidRPr="006F2C23" w14:paraId="0D341621" w14:textId="77777777" w:rsidTr="0027447E">
        <w:trPr>
          <w:trHeight w:val="282"/>
          <w:jc w:val="center"/>
        </w:trPr>
        <w:tc>
          <w:tcPr>
            <w:tcW w:w="2816" w:type="dxa"/>
            <w:tcBorders>
              <w:top w:val="nil"/>
              <w:left w:val="nil"/>
              <w:bottom w:val="single" w:sz="4" w:space="0" w:color="auto"/>
              <w:right w:val="nil"/>
            </w:tcBorders>
            <w:shd w:val="clear" w:color="auto" w:fill="auto"/>
            <w:noWrap/>
            <w:vAlign w:val="center"/>
            <w:hideMark/>
          </w:tcPr>
          <w:p w14:paraId="0F489F76" w14:textId="77777777" w:rsidR="0074167E" w:rsidRPr="00BF0187" w:rsidRDefault="0074167E" w:rsidP="002F6048">
            <w:pPr>
              <w:spacing w:after="0" w:line="240" w:lineRule="auto"/>
              <w:jc w:val="both"/>
              <w:rPr>
                <w:rFonts w:ascii="Arial Narrow" w:hAnsi="Arial Narrow"/>
                <w:color w:val="000000"/>
                <w:sz w:val="20"/>
                <w:szCs w:val="20"/>
              </w:rPr>
            </w:pPr>
            <w:r w:rsidRPr="00BF0187">
              <w:rPr>
                <w:rFonts w:ascii="Arial Narrow" w:hAnsi="Arial Narrow"/>
                <w:color w:val="000000"/>
                <w:sz w:val="20"/>
                <w:szCs w:val="20"/>
              </w:rPr>
              <w:t>(% vo vekovej skupine 20 - 64 rokov)</w:t>
            </w:r>
          </w:p>
        </w:tc>
        <w:tc>
          <w:tcPr>
            <w:tcW w:w="594" w:type="dxa"/>
            <w:tcBorders>
              <w:top w:val="nil"/>
              <w:left w:val="nil"/>
              <w:bottom w:val="single" w:sz="4" w:space="0" w:color="auto"/>
              <w:right w:val="nil"/>
            </w:tcBorders>
            <w:shd w:val="clear" w:color="auto" w:fill="auto"/>
            <w:noWrap/>
            <w:vAlign w:val="center"/>
            <w:hideMark/>
          </w:tcPr>
          <w:p w14:paraId="701A2B53" w14:textId="77777777" w:rsidR="0074167E" w:rsidRPr="00BF0187" w:rsidRDefault="0074167E" w:rsidP="002F6048">
            <w:pPr>
              <w:spacing w:after="0" w:line="240" w:lineRule="auto"/>
              <w:jc w:val="center"/>
              <w:rPr>
                <w:rFonts w:ascii="Arial Narrow" w:hAnsi="Arial Narrow"/>
                <w:b/>
                <w:bCs/>
                <w:color w:val="000000"/>
                <w:sz w:val="20"/>
                <w:szCs w:val="20"/>
              </w:rPr>
            </w:pPr>
            <w:r w:rsidRPr="00BF0187">
              <w:rPr>
                <w:rFonts w:ascii="Arial Narrow" w:hAnsi="Arial Narrow"/>
                <w:b/>
                <w:bCs/>
                <w:color w:val="000000"/>
                <w:sz w:val="20"/>
                <w:szCs w:val="20"/>
              </w:rPr>
              <w:t>EÚ</w:t>
            </w:r>
          </w:p>
        </w:tc>
        <w:tc>
          <w:tcPr>
            <w:tcW w:w="548" w:type="dxa"/>
            <w:tcBorders>
              <w:top w:val="nil"/>
              <w:left w:val="nil"/>
              <w:bottom w:val="single" w:sz="4" w:space="0" w:color="auto"/>
              <w:right w:val="nil"/>
            </w:tcBorders>
            <w:shd w:val="clear" w:color="auto" w:fill="auto"/>
            <w:vAlign w:val="center"/>
            <w:hideMark/>
          </w:tcPr>
          <w:p w14:paraId="36FD0C52" w14:textId="77777777" w:rsidR="0074167E" w:rsidRPr="00BF0187" w:rsidRDefault="0074167E" w:rsidP="002F6048">
            <w:pPr>
              <w:spacing w:after="0" w:line="240" w:lineRule="auto"/>
              <w:jc w:val="center"/>
              <w:rPr>
                <w:rFonts w:ascii="Arial Narrow" w:hAnsi="Arial Narrow"/>
                <w:sz w:val="20"/>
                <w:szCs w:val="20"/>
              </w:rPr>
            </w:pPr>
            <w:r w:rsidRPr="00BF0187">
              <w:rPr>
                <w:rFonts w:ascii="Arial Narrow" w:hAnsi="Arial Narrow"/>
                <w:sz w:val="20"/>
                <w:szCs w:val="20"/>
              </w:rPr>
              <w:t>69</w:t>
            </w:r>
          </w:p>
        </w:tc>
        <w:tc>
          <w:tcPr>
            <w:tcW w:w="548" w:type="dxa"/>
            <w:tcBorders>
              <w:top w:val="nil"/>
              <w:left w:val="nil"/>
              <w:bottom w:val="single" w:sz="4" w:space="0" w:color="auto"/>
              <w:right w:val="nil"/>
            </w:tcBorders>
            <w:shd w:val="clear" w:color="auto" w:fill="auto"/>
            <w:vAlign w:val="center"/>
            <w:hideMark/>
          </w:tcPr>
          <w:p w14:paraId="24CE7D15" w14:textId="77777777" w:rsidR="0074167E" w:rsidRPr="00BF0187" w:rsidRDefault="0074167E" w:rsidP="002F6048">
            <w:pPr>
              <w:spacing w:after="0" w:line="240" w:lineRule="auto"/>
              <w:jc w:val="center"/>
              <w:rPr>
                <w:rFonts w:ascii="Arial Narrow" w:hAnsi="Arial Narrow"/>
                <w:sz w:val="20"/>
                <w:szCs w:val="20"/>
              </w:rPr>
            </w:pPr>
            <w:r w:rsidRPr="00BF0187">
              <w:rPr>
                <w:rFonts w:ascii="Arial Narrow" w:hAnsi="Arial Narrow"/>
                <w:sz w:val="20"/>
                <w:szCs w:val="20"/>
              </w:rPr>
              <w:t>68,6</w:t>
            </w:r>
          </w:p>
        </w:tc>
        <w:tc>
          <w:tcPr>
            <w:tcW w:w="548" w:type="dxa"/>
            <w:tcBorders>
              <w:top w:val="nil"/>
              <w:left w:val="nil"/>
              <w:bottom w:val="single" w:sz="4" w:space="0" w:color="auto"/>
              <w:right w:val="nil"/>
            </w:tcBorders>
            <w:shd w:val="clear" w:color="auto" w:fill="auto"/>
            <w:vAlign w:val="center"/>
            <w:hideMark/>
          </w:tcPr>
          <w:p w14:paraId="20A1598F" w14:textId="77777777" w:rsidR="0074167E" w:rsidRPr="00BF0187" w:rsidRDefault="0074167E" w:rsidP="002F6048">
            <w:pPr>
              <w:spacing w:after="0" w:line="240" w:lineRule="auto"/>
              <w:jc w:val="center"/>
              <w:rPr>
                <w:rFonts w:ascii="Arial Narrow" w:hAnsi="Arial Narrow"/>
                <w:sz w:val="20"/>
                <w:szCs w:val="20"/>
              </w:rPr>
            </w:pPr>
            <w:r w:rsidRPr="00BF0187">
              <w:rPr>
                <w:rFonts w:ascii="Arial Narrow" w:hAnsi="Arial Narrow"/>
                <w:sz w:val="20"/>
                <w:szCs w:val="20"/>
              </w:rPr>
              <w:t>68,6</w:t>
            </w:r>
          </w:p>
        </w:tc>
        <w:tc>
          <w:tcPr>
            <w:tcW w:w="548" w:type="dxa"/>
            <w:tcBorders>
              <w:top w:val="nil"/>
              <w:left w:val="nil"/>
              <w:bottom w:val="single" w:sz="4" w:space="0" w:color="auto"/>
              <w:right w:val="nil"/>
            </w:tcBorders>
            <w:shd w:val="clear" w:color="auto" w:fill="auto"/>
            <w:vAlign w:val="center"/>
            <w:hideMark/>
          </w:tcPr>
          <w:p w14:paraId="68F58F00" w14:textId="77777777" w:rsidR="0074167E" w:rsidRPr="00BF0187" w:rsidRDefault="0074167E" w:rsidP="002F6048">
            <w:pPr>
              <w:spacing w:after="0" w:line="240" w:lineRule="auto"/>
              <w:jc w:val="center"/>
              <w:rPr>
                <w:rFonts w:ascii="Arial Narrow" w:hAnsi="Arial Narrow"/>
                <w:sz w:val="20"/>
                <w:szCs w:val="20"/>
              </w:rPr>
            </w:pPr>
            <w:r w:rsidRPr="00BF0187">
              <w:rPr>
                <w:rFonts w:ascii="Arial Narrow" w:hAnsi="Arial Narrow"/>
                <w:sz w:val="20"/>
                <w:szCs w:val="20"/>
              </w:rPr>
              <w:t>68,4</w:t>
            </w:r>
          </w:p>
        </w:tc>
        <w:tc>
          <w:tcPr>
            <w:tcW w:w="548" w:type="dxa"/>
            <w:tcBorders>
              <w:top w:val="nil"/>
              <w:left w:val="nil"/>
              <w:bottom w:val="single" w:sz="4" w:space="0" w:color="auto"/>
              <w:right w:val="nil"/>
            </w:tcBorders>
            <w:shd w:val="clear" w:color="auto" w:fill="auto"/>
            <w:vAlign w:val="center"/>
            <w:hideMark/>
          </w:tcPr>
          <w:p w14:paraId="2F7BDADA" w14:textId="77777777" w:rsidR="0074167E" w:rsidRPr="00BF0187" w:rsidRDefault="0074167E" w:rsidP="002F6048">
            <w:pPr>
              <w:spacing w:after="0" w:line="240" w:lineRule="auto"/>
              <w:jc w:val="center"/>
              <w:rPr>
                <w:rFonts w:ascii="Arial Narrow" w:hAnsi="Arial Narrow"/>
                <w:sz w:val="20"/>
                <w:szCs w:val="20"/>
              </w:rPr>
            </w:pPr>
            <w:r w:rsidRPr="00BF0187">
              <w:rPr>
                <w:rFonts w:ascii="Arial Narrow" w:hAnsi="Arial Narrow"/>
                <w:sz w:val="20"/>
                <w:szCs w:val="20"/>
              </w:rPr>
              <w:t>68,4</w:t>
            </w:r>
          </w:p>
        </w:tc>
        <w:tc>
          <w:tcPr>
            <w:tcW w:w="548" w:type="dxa"/>
            <w:tcBorders>
              <w:top w:val="nil"/>
              <w:left w:val="nil"/>
              <w:bottom w:val="single" w:sz="4" w:space="0" w:color="auto"/>
              <w:right w:val="nil"/>
            </w:tcBorders>
            <w:shd w:val="clear" w:color="auto" w:fill="auto"/>
            <w:vAlign w:val="center"/>
            <w:hideMark/>
          </w:tcPr>
          <w:p w14:paraId="3D87AD98" w14:textId="77777777" w:rsidR="0074167E" w:rsidRPr="00BF0187" w:rsidRDefault="0074167E" w:rsidP="002F6048">
            <w:pPr>
              <w:spacing w:after="0" w:line="240" w:lineRule="auto"/>
              <w:jc w:val="center"/>
              <w:rPr>
                <w:rFonts w:ascii="Arial Narrow" w:hAnsi="Arial Narrow"/>
                <w:sz w:val="20"/>
                <w:szCs w:val="20"/>
              </w:rPr>
            </w:pPr>
            <w:r w:rsidRPr="00BF0187">
              <w:rPr>
                <w:rFonts w:ascii="Arial Narrow" w:hAnsi="Arial Narrow"/>
                <w:sz w:val="20"/>
                <w:szCs w:val="20"/>
              </w:rPr>
              <w:t>69,2</w:t>
            </w:r>
          </w:p>
        </w:tc>
        <w:tc>
          <w:tcPr>
            <w:tcW w:w="548" w:type="dxa"/>
            <w:tcBorders>
              <w:top w:val="nil"/>
              <w:left w:val="nil"/>
              <w:bottom w:val="single" w:sz="4" w:space="0" w:color="auto"/>
              <w:right w:val="nil"/>
            </w:tcBorders>
            <w:shd w:val="clear" w:color="auto" w:fill="auto"/>
            <w:vAlign w:val="center"/>
            <w:hideMark/>
          </w:tcPr>
          <w:p w14:paraId="191B763D" w14:textId="77777777" w:rsidR="0074167E" w:rsidRPr="00BF0187" w:rsidRDefault="0074167E" w:rsidP="002F6048">
            <w:pPr>
              <w:spacing w:after="0" w:line="240" w:lineRule="auto"/>
              <w:jc w:val="center"/>
              <w:rPr>
                <w:rFonts w:ascii="Arial Narrow" w:hAnsi="Arial Narrow"/>
                <w:sz w:val="20"/>
                <w:szCs w:val="20"/>
              </w:rPr>
            </w:pPr>
            <w:r w:rsidRPr="00BF0187">
              <w:rPr>
                <w:rFonts w:ascii="Arial Narrow" w:hAnsi="Arial Narrow"/>
                <w:sz w:val="20"/>
                <w:szCs w:val="20"/>
              </w:rPr>
              <w:t>70,1</w:t>
            </w:r>
          </w:p>
        </w:tc>
        <w:tc>
          <w:tcPr>
            <w:tcW w:w="548" w:type="dxa"/>
            <w:tcBorders>
              <w:top w:val="nil"/>
              <w:left w:val="nil"/>
              <w:bottom w:val="single" w:sz="4" w:space="0" w:color="auto"/>
              <w:right w:val="nil"/>
            </w:tcBorders>
            <w:vAlign w:val="center"/>
          </w:tcPr>
          <w:p w14:paraId="4D93C9B7" w14:textId="77777777" w:rsidR="0074167E" w:rsidRPr="00BF0187" w:rsidRDefault="0074167E" w:rsidP="002F6048">
            <w:pPr>
              <w:spacing w:after="0" w:line="240" w:lineRule="auto"/>
              <w:jc w:val="center"/>
              <w:rPr>
                <w:rFonts w:ascii="Arial Narrow" w:hAnsi="Arial Narrow"/>
                <w:sz w:val="20"/>
                <w:szCs w:val="20"/>
              </w:rPr>
            </w:pPr>
            <w:r>
              <w:rPr>
                <w:rFonts w:ascii="Arial Narrow" w:hAnsi="Arial Narrow"/>
                <w:sz w:val="20"/>
                <w:szCs w:val="20"/>
              </w:rPr>
              <w:t>71,1</w:t>
            </w:r>
          </w:p>
        </w:tc>
        <w:tc>
          <w:tcPr>
            <w:tcW w:w="549" w:type="dxa"/>
            <w:tcBorders>
              <w:top w:val="nil"/>
              <w:left w:val="nil"/>
              <w:bottom w:val="single" w:sz="4" w:space="0" w:color="auto"/>
              <w:right w:val="nil"/>
            </w:tcBorders>
            <w:vAlign w:val="center"/>
          </w:tcPr>
          <w:p w14:paraId="39AE5D3A" w14:textId="77777777" w:rsidR="0074167E" w:rsidRPr="00BF0187" w:rsidRDefault="0074167E" w:rsidP="002F6048">
            <w:pPr>
              <w:spacing w:after="0" w:line="240" w:lineRule="auto"/>
              <w:jc w:val="center"/>
              <w:rPr>
                <w:rFonts w:ascii="Arial Narrow" w:hAnsi="Arial Narrow"/>
                <w:sz w:val="20"/>
                <w:szCs w:val="20"/>
              </w:rPr>
            </w:pPr>
          </w:p>
        </w:tc>
        <w:tc>
          <w:tcPr>
            <w:tcW w:w="505" w:type="dxa"/>
            <w:tcBorders>
              <w:top w:val="nil"/>
              <w:left w:val="nil"/>
              <w:bottom w:val="single" w:sz="4" w:space="0" w:color="auto"/>
              <w:right w:val="nil"/>
            </w:tcBorders>
            <w:shd w:val="clear" w:color="auto" w:fill="auto"/>
            <w:vAlign w:val="center"/>
            <w:hideMark/>
          </w:tcPr>
          <w:p w14:paraId="713B5B8D" w14:textId="77777777" w:rsidR="0074167E" w:rsidRPr="00BF0187" w:rsidRDefault="0074167E" w:rsidP="002F6048">
            <w:pPr>
              <w:spacing w:after="0" w:line="240" w:lineRule="auto"/>
              <w:jc w:val="center"/>
              <w:rPr>
                <w:rFonts w:ascii="Arial Narrow" w:hAnsi="Arial Narrow"/>
                <w:sz w:val="20"/>
                <w:szCs w:val="20"/>
              </w:rPr>
            </w:pPr>
            <w:r w:rsidRPr="00BF0187">
              <w:rPr>
                <w:rFonts w:ascii="Arial Narrow" w:hAnsi="Arial Narrow"/>
                <w:sz w:val="20"/>
                <w:szCs w:val="20"/>
              </w:rPr>
              <w:t>75,0</w:t>
            </w:r>
          </w:p>
        </w:tc>
      </w:tr>
      <w:tr w:rsidR="0074167E" w:rsidRPr="006F2C23" w14:paraId="7240F8A6" w14:textId="77777777" w:rsidTr="0027447E">
        <w:trPr>
          <w:trHeight w:val="282"/>
          <w:jc w:val="center"/>
        </w:trPr>
        <w:tc>
          <w:tcPr>
            <w:tcW w:w="2816" w:type="dxa"/>
            <w:tcBorders>
              <w:top w:val="nil"/>
              <w:left w:val="nil"/>
              <w:right w:val="nil"/>
            </w:tcBorders>
            <w:shd w:val="clear" w:color="auto" w:fill="auto"/>
            <w:vAlign w:val="center"/>
            <w:hideMark/>
          </w:tcPr>
          <w:p w14:paraId="2241A4AA" w14:textId="77777777" w:rsidR="0074167E" w:rsidRPr="006F2C23" w:rsidRDefault="0074167E" w:rsidP="002F6048">
            <w:pPr>
              <w:spacing w:after="0" w:line="240" w:lineRule="auto"/>
              <w:rPr>
                <w:rFonts w:ascii="Arial Narrow" w:hAnsi="Arial Narrow"/>
                <w:b/>
                <w:bCs/>
                <w:color w:val="000000"/>
                <w:sz w:val="20"/>
                <w:szCs w:val="20"/>
              </w:rPr>
            </w:pPr>
            <w:r w:rsidRPr="006F2C23">
              <w:rPr>
                <w:rFonts w:ascii="Arial Narrow" w:hAnsi="Arial Narrow"/>
                <w:b/>
                <w:bCs/>
                <w:color w:val="000000"/>
                <w:sz w:val="20"/>
                <w:szCs w:val="20"/>
              </w:rPr>
              <w:t xml:space="preserve">Populácia ohrozená chudobou a </w:t>
            </w:r>
            <w:r w:rsidRPr="006F2C23">
              <w:rPr>
                <w:rFonts w:ascii="Arial Narrow" w:hAnsi="Arial Narrow"/>
                <w:b/>
                <w:bCs/>
                <w:color w:val="000000"/>
                <w:sz w:val="20"/>
                <w:szCs w:val="20"/>
              </w:rPr>
              <w:br/>
              <w:t>sociálnym vylúčením</w:t>
            </w:r>
          </w:p>
        </w:tc>
        <w:tc>
          <w:tcPr>
            <w:tcW w:w="594" w:type="dxa"/>
            <w:tcBorders>
              <w:top w:val="nil"/>
              <w:left w:val="nil"/>
              <w:right w:val="nil"/>
            </w:tcBorders>
            <w:shd w:val="clear" w:color="auto" w:fill="auto"/>
            <w:noWrap/>
            <w:vAlign w:val="center"/>
            <w:hideMark/>
          </w:tcPr>
          <w:p w14:paraId="4B56DBD5" w14:textId="77777777" w:rsidR="0074167E" w:rsidRPr="006F2C23" w:rsidRDefault="0074167E" w:rsidP="002F6048">
            <w:pPr>
              <w:spacing w:after="0" w:line="240" w:lineRule="auto"/>
              <w:jc w:val="center"/>
              <w:rPr>
                <w:rFonts w:ascii="Arial Narrow" w:hAnsi="Arial Narrow"/>
                <w:b/>
                <w:bCs/>
                <w:color w:val="000000"/>
                <w:sz w:val="20"/>
                <w:szCs w:val="20"/>
              </w:rPr>
            </w:pPr>
            <w:r w:rsidRPr="006F2C23">
              <w:rPr>
                <w:rFonts w:ascii="Arial Narrow" w:hAnsi="Arial Narrow"/>
                <w:b/>
                <w:bCs/>
                <w:color w:val="000000"/>
                <w:sz w:val="20"/>
                <w:szCs w:val="20"/>
              </w:rPr>
              <w:t>SK</w:t>
            </w:r>
          </w:p>
        </w:tc>
        <w:tc>
          <w:tcPr>
            <w:tcW w:w="548" w:type="dxa"/>
            <w:tcBorders>
              <w:top w:val="nil"/>
              <w:left w:val="nil"/>
              <w:right w:val="nil"/>
            </w:tcBorders>
            <w:shd w:val="clear" w:color="auto" w:fill="auto"/>
            <w:vAlign w:val="center"/>
            <w:hideMark/>
          </w:tcPr>
          <w:p w14:paraId="5E3C5E8E" w14:textId="77777777" w:rsidR="0074167E" w:rsidRPr="006F2C23" w:rsidRDefault="0074167E" w:rsidP="002F6048">
            <w:pPr>
              <w:spacing w:after="0" w:line="240" w:lineRule="auto"/>
              <w:jc w:val="center"/>
              <w:rPr>
                <w:rFonts w:ascii="Arial Narrow" w:hAnsi="Arial Narrow"/>
                <w:sz w:val="20"/>
                <w:szCs w:val="20"/>
              </w:rPr>
            </w:pPr>
            <w:r w:rsidRPr="006F2C23">
              <w:rPr>
                <w:rFonts w:ascii="Arial Narrow" w:hAnsi="Arial Narrow"/>
                <w:sz w:val="20"/>
                <w:szCs w:val="20"/>
              </w:rPr>
              <w:t>19,6</w:t>
            </w:r>
          </w:p>
        </w:tc>
        <w:tc>
          <w:tcPr>
            <w:tcW w:w="548" w:type="dxa"/>
            <w:tcBorders>
              <w:top w:val="nil"/>
              <w:left w:val="nil"/>
              <w:right w:val="nil"/>
            </w:tcBorders>
            <w:shd w:val="clear" w:color="auto" w:fill="auto"/>
            <w:vAlign w:val="center"/>
            <w:hideMark/>
          </w:tcPr>
          <w:p w14:paraId="4D04682B" w14:textId="77777777" w:rsidR="0074167E" w:rsidRPr="006F2C23" w:rsidRDefault="0074167E" w:rsidP="002F6048">
            <w:pPr>
              <w:spacing w:after="0" w:line="240" w:lineRule="auto"/>
              <w:jc w:val="center"/>
              <w:rPr>
                <w:rFonts w:ascii="Arial Narrow" w:hAnsi="Arial Narrow"/>
                <w:sz w:val="20"/>
                <w:szCs w:val="20"/>
              </w:rPr>
            </w:pPr>
            <w:r w:rsidRPr="006F2C23">
              <w:rPr>
                <w:rFonts w:ascii="Arial Narrow" w:hAnsi="Arial Narrow"/>
                <w:sz w:val="20"/>
                <w:szCs w:val="20"/>
              </w:rPr>
              <w:t>20,6</w:t>
            </w:r>
          </w:p>
        </w:tc>
        <w:tc>
          <w:tcPr>
            <w:tcW w:w="548" w:type="dxa"/>
            <w:tcBorders>
              <w:top w:val="nil"/>
              <w:left w:val="nil"/>
              <w:right w:val="nil"/>
            </w:tcBorders>
            <w:shd w:val="clear" w:color="auto" w:fill="auto"/>
            <w:vAlign w:val="center"/>
            <w:hideMark/>
          </w:tcPr>
          <w:p w14:paraId="3D1D19C1" w14:textId="77777777" w:rsidR="0074167E" w:rsidRPr="006F2C23" w:rsidRDefault="0074167E" w:rsidP="002F6048">
            <w:pPr>
              <w:spacing w:after="0" w:line="240" w:lineRule="auto"/>
              <w:jc w:val="center"/>
              <w:rPr>
                <w:rFonts w:ascii="Arial Narrow" w:hAnsi="Arial Narrow"/>
                <w:sz w:val="20"/>
                <w:szCs w:val="20"/>
              </w:rPr>
            </w:pPr>
            <w:r w:rsidRPr="006F2C23">
              <w:rPr>
                <w:rFonts w:ascii="Arial Narrow" w:hAnsi="Arial Narrow"/>
                <w:sz w:val="20"/>
                <w:szCs w:val="20"/>
              </w:rPr>
              <w:t>20,6</w:t>
            </w:r>
          </w:p>
        </w:tc>
        <w:tc>
          <w:tcPr>
            <w:tcW w:w="548" w:type="dxa"/>
            <w:tcBorders>
              <w:top w:val="nil"/>
              <w:left w:val="nil"/>
              <w:right w:val="nil"/>
            </w:tcBorders>
            <w:shd w:val="clear" w:color="auto" w:fill="auto"/>
            <w:vAlign w:val="center"/>
            <w:hideMark/>
          </w:tcPr>
          <w:p w14:paraId="2071DCAE" w14:textId="77777777" w:rsidR="0074167E" w:rsidRPr="006F2C23" w:rsidRDefault="0074167E" w:rsidP="002F6048">
            <w:pPr>
              <w:spacing w:after="0" w:line="240" w:lineRule="auto"/>
              <w:jc w:val="center"/>
              <w:rPr>
                <w:rFonts w:ascii="Arial Narrow" w:hAnsi="Arial Narrow"/>
                <w:sz w:val="20"/>
                <w:szCs w:val="20"/>
              </w:rPr>
            </w:pPr>
            <w:r w:rsidRPr="006F2C23">
              <w:rPr>
                <w:rFonts w:ascii="Arial Narrow" w:hAnsi="Arial Narrow"/>
                <w:sz w:val="20"/>
                <w:szCs w:val="20"/>
              </w:rPr>
              <w:t>20,5</w:t>
            </w:r>
          </w:p>
        </w:tc>
        <w:tc>
          <w:tcPr>
            <w:tcW w:w="548" w:type="dxa"/>
            <w:tcBorders>
              <w:top w:val="nil"/>
              <w:left w:val="nil"/>
              <w:right w:val="nil"/>
            </w:tcBorders>
            <w:shd w:val="clear" w:color="auto" w:fill="auto"/>
            <w:vAlign w:val="center"/>
            <w:hideMark/>
          </w:tcPr>
          <w:p w14:paraId="4B2BB156" w14:textId="77777777" w:rsidR="0074167E" w:rsidRPr="006F2C23" w:rsidRDefault="0074167E" w:rsidP="002F6048">
            <w:pPr>
              <w:spacing w:after="0" w:line="240" w:lineRule="auto"/>
              <w:jc w:val="center"/>
              <w:rPr>
                <w:rFonts w:ascii="Arial Narrow" w:hAnsi="Arial Narrow"/>
                <w:sz w:val="20"/>
                <w:szCs w:val="20"/>
              </w:rPr>
            </w:pPr>
            <w:r w:rsidRPr="006F2C23">
              <w:rPr>
                <w:rFonts w:ascii="Arial Narrow" w:hAnsi="Arial Narrow"/>
                <w:sz w:val="20"/>
                <w:szCs w:val="20"/>
              </w:rPr>
              <w:t>19,8</w:t>
            </w:r>
          </w:p>
        </w:tc>
        <w:tc>
          <w:tcPr>
            <w:tcW w:w="548" w:type="dxa"/>
            <w:tcBorders>
              <w:top w:val="nil"/>
              <w:left w:val="nil"/>
              <w:right w:val="nil"/>
            </w:tcBorders>
            <w:shd w:val="clear" w:color="auto" w:fill="auto"/>
            <w:vAlign w:val="center"/>
            <w:hideMark/>
          </w:tcPr>
          <w:p w14:paraId="663F1DEF" w14:textId="77777777" w:rsidR="0074167E" w:rsidRPr="006F2C23" w:rsidRDefault="0074167E" w:rsidP="002F6048">
            <w:pPr>
              <w:spacing w:after="0" w:line="240" w:lineRule="auto"/>
              <w:jc w:val="center"/>
              <w:rPr>
                <w:rFonts w:ascii="Arial Narrow" w:hAnsi="Arial Narrow"/>
                <w:sz w:val="20"/>
                <w:szCs w:val="20"/>
              </w:rPr>
            </w:pPr>
            <w:r w:rsidRPr="006F2C23">
              <w:rPr>
                <w:rFonts w:ascii="Arial Narrow" w:hAnsi="Arial Narrow"/>
                <w:sz w:val="20"/>
                <w:szCs w:val="20"/>
              </w:rPr>
              <w:t xml:space="preserve"> </w:t>
            </w:r>
            <w:r>
              <w:rPr>
                <w:rFonts w:ascii="Arial Narrow" w:hAnsi="Arial Narrow"/>
                <w:sz w:val="20"/>
                <w:szCs w:val="20"/>
              </w:rPr>
              <w:t>18,4</w:t>
            </w:r>
          </w:p>
        </w:tc>
        <w:tc>
          <w:tcPr>
            <w:tcW w:w="548" w:type="dxa"/>
            <w:tcBorders>
              <w:top w:val="nil"/>
              <w:left w:val="nil"/>
              <w:right w:val="nil"/>
            </w:tcBorders>
            <w:shd w:val="clear" w:color="auto" w:fill="auto"/>
            <w:vAlign w:val="center"/>
            <w:hideMark/>
          </w:tcPr>
          <w:p w14:paraId="1E6C5708" w14:textId="77777777" w:rsidR="0074167E" w:rsidRPr="006F2C23" w:rsidRDefault="0074167E" w:rsidP="002F6048">
            <w:pPr>
              <w:spacing w:after="0" w:line="240" w:lineRule="auto"/>
              <w:jc w:val="center"/>
              <w:rPr>
                <w:rFonts w:ascii="Arial Narrow" w:hAnsi="Arial Narrow"/>
                <w:sz w:val="20"/>
                <w:szCs w:val="20"/>
              </w:rPr>
            </w:pPr>
            <w:r>
              <w:rPr>
                <w:rFonts w:ascii="Arial Narrow" w:hAnsi="Arial Narrow"/>
                <w:sz w:val="20"/>
                <w:szCs w:val="20"/>
              </w:rPr>
              <w:t>18,4</w:t>
            </w:r>
          </w:p>
        </w:tc>
        <w:tc>
          <w:tcPr>
            <w:tcW w:w="548" w:type="dxa"/>
            <w:tcBorders>
              <w:top w:val="nil"/>
              <w:left w:val="nil"/>
              <w:right w:val="nil"/>
            </w:tcBorders>
            <w:vAlign w:val="center"/>
          </w:tcPr>
          <w:p w14:paraId="3D539563" w14:textId="77777777" w:rsidR="0074167E" w:rsidRPr="006F2C23" w:rsidRDefault="0074167E" w:rsidP="002F6048">
            <w:pPr>
              <w:spacing w:after="0" w:line="240" w:lineRule="auto"/>
              <w:jc w:val="center"/>
              <w:rPr>
                <w:rFonts w:ascii="Arial Narrow" w:hAnsi="Arial Narrow"/>
                <w:sz w:val="20"/>
                <w:szCs w:val="20"/>
              </w:rPr>
            </w:pPr>
            <w:r>
              <w:rPr>
                <w:rFonts w:ascii="Arial Narrow" w:hAnsi="Arial Narrow"/>
                <w:sz w:val="20"/>
                <w:szCs w:val="20"/>
              </w:rPr>
              <w:t>18,1</w:t>
            </w:r>
          </w:p>
        </w:tc>
        <w:tc>
          <w:tcPr>
            <w:tcW w:w="549" w:type="dxa"/>
            <w:tcBorders>
              <w:top w:val="nil"/>
              <w:left w:val="nil"/>
              <w:right w:val="nil"/>
            </w:tcBorders>
            <w:vAlign w:val="center"/>
          </w:tcPr>
          <w:p w14:paraId="4A96DBBE" w14:textId="77777777" w:rsidR="0074167E" w:rsidRPr="006F2C23" w:rsidRDefault="0074167E" w:rsidP="002F6048">
            <w:pPr>
              <w:spacing w:after="0" w:line="240" w:lineRule="auto"/>
              <w:jc w:val="center"/>
              <w:rPr>
                <w:rFonts w:ascii="Arial Narrow" w:hAnsi="Arial Narrow"/>
                <w:sz w:val="20"/>
                <w:szCs w:val="20"/>
              </w:rPr>
            </w:pPr>
          </w:p>
        </w:tc>
        <w:tc>
          <w:tcPr>
            <w:tcW w:w="505" w:type="dxa"/>
            <w:tcBorders>
              <w:top w:val="nil"/>
              <w:left w:val="nil"/>
              <w:right w:val="nil"/>
            </w:tcBorders>
            <w:shd w:val="clear" w:color="auto" w:fill="auto"/>
            <w:vAlign w:val="center"/>
            <w:hideMark/>
          </w:tcPr>
          <w:p w14:paraId="1878EDA1" w14:textId="77777777" w:rsidR="0074167E" w:rsidRPr="006F2C23" w:rsidRDefault="0074167E" w:rsidP="002F6048">
            <w:pPr>
              <w:spacing w:after="0" w:line="240" w:lineRule="auto"/>
              <w:jc w:val="center"/>
              <w:rPr>
                <w:rFonts w:ascii="Arial Narrow" w:hAnsi="Arial Narrow"/>
                <w:sz w:val="20"/>
                <w:szCs w:val="20"/>
              </w:rPr>
            </w:pPr>
            <w:r w:rsidRPr="006F2C23">
              <w:rPr>
                <w:rFonts w:ascii="Arial Narrow" w:hAnsi="Arial Narrow"/>
                <w:sz w:val="20"/>
                <w:szCs w:val="20"/>
              </w:rPr>
              <w:t>17,2</w:t>
            </w:r>
          </w:p>
        </w:tc>
      </w:tr>
      <w:tr w:rsidR="0074167E" w:rsidRPr="006F2C23" w14:paraId="46BF6D19" w14:textId="77777777" w:rsidTr="0027447E">
        <w:trPr>
          <w:trHeight w:val="152"/>
          <w:jc w:val="center"/>
        </w:trPr>
        <w:tc>
          <w:tcPr>
            <w:tcW w:w="2816" w:type="dxa"/>
            <w:tcBorders>
              <w:top w:val="nil"/>
              <w:left w:val="nil"/>
              <w:bottom w:val="single" w:sz="4" w:space="0" w:color="auto"/>
              <w:right w:val="nil"/>
            </w:tcBorders>
            <w:shd w:val="clear" w:color="auto" w:fill="auto"/>
            <w:noWrap/>
            <w:vAlign w:val="center"/>
            <w:hideMark/>
          </w:tcPr>
          <w:p w14:paraId="418FFD3A" w14:textId="77777777" w:rsidR="0074167E" w:rsidRPr="006F2C23" w:rsidRDefault="0074167E" w:rsidP="002F6048">
            <w:pPr>
              <w:spacing w:after="0" w:line="240" w:lineRule="auto"/>
              <w:jc w:val="both"/>
              <w:rPr>
                <w:rFonts w:ascii="Arial Narrow" w:hAnsi="Arial Narrow"/>
                <w:color w:val="000000"/>
                <w:sz w:val="20"/>
                <w:szCs w:val="20"/>
              </w:rPr>
            </w:pPr>
            <w:r w:rsidRPr="006F2C23">
              <w:rPr>
                <w:rFonts w:ascii="Arial Narrow" w:hAnsi="Arial Narrow"/>
                <w:color w:val="000000"/>
                <w:sz w:val="20"/>
                <w:szCs w:val="20"/>
              </w:rPr>
              <w:t>(% populácie)</w:t>
            </w:r>
          </w:p>
        </w:tc>
        <w:tc>
          <w:tcPr>
            <w:tcW w:w="594" w:type="dxa"/>
            <w:tcBorders>
              <w:top w:val="nil"/>
              <w:left w:val="nil"/>
              <w:bottom w:val="single" w:sz="4" w:space="0" w:color="auto"/>
              <w:right w:val="nil"/>
            </w:tcBorders>
            <w:shd w:val="clear" w:color="auto" w:fill="auto"/>
            <w:noWrap/>
            <w:vAlign w:val="center"/>
            <w:hideMark/>
          </w:tcPr>
          <w:p w14:paraId="4BF27CE6" w14:textId="77777777" w:rsidR="0074167E" w:rsidRPr="006F2C23" w:rsidRDefault="0074167E" w:rsidP="002F6048">
            <w:pPr>
              <w:spacing w:after="0" w:line="240" w:lineRule="auto"/>
              <w:jc w:val="center"/>
              <w:rPr>
                <w:rFonts w:ascii="Arial Narrow" w:hAnsi="Arial Narrow"/>
                <w:b/>
                <w:bCs/>
                <w:color w:val="000000"/>
                <w:sz w:val="20"/>
                <w:szCs w:val="20"/>
              </w:rPr>
            </w:pPr>
            <w:r w:rsidRPr="006F2C23">
              <w:rPr>
                <w:rFonts w:ascii="Arial Narrow" w:hAnsi="Arial Narrow"/>
                <w:b/>
                <w:bCs/>
                <w:color w:val="000000"/>
                <w:sz w:val="20"/>
                <w:szCs w:val="20"/>
              </w:rPr>
              <w:t>EÚ</w:t>
            </w:r>
          </w:p>
        </w:tc>
        <w:tc>
          <w:tcPr>
            <w:tcW w:w="548" w:type="dxa"/>
            <w:tcBorders>
              <w:top w:val="nil"/>
              <w:left w:val="nil"/>
              <w:bottom w:val="single" w:sz="4" w:space="0" w:color="auto"/>
              <w:right w:val="nil"/>
            </w:tcBorders>
            <w:shd w:val="clear" w:color="auto" w:fill="auto"/>
            <w:vAlign w:val="center"/>
            <w:hideMark/>
          </w:tcPr>
          <w:p w14:paraId="30AE73CC" w14:textId="77777777" w:rsidR="0074167E" w:rsidRPr="006F2C23" w:rsidRDefault="0074167E" w:rsidP="002F6048">
            <w:pPr>
              <w:spacing w:after="0" w:line="240" w:lineRule="auto"/>
              <w:jc w:val="center"/>
              <w:rPr>
                <w:rFonts w:ascii="Arial Narrow" w:hAnsi="Arial Narrow"/>
                <w:sz w:val="20"/>
                <w:szCs w:val="20"/>
              </w:rPr>
            </w:pPr>
            <w:r w:rsidRPr="006F2C23">
              <w:rPr>
                <w:rFonts w:ascii="Arial Narrow" w:hAnsi="Arial Narrow"/>
                <w:sz w:val="20"/>
                <w:szCs w:val="20"/>
              </w:rPr>
              <w:t>23,</w:t>
            </w:r>
            <w:r>
              <w:rPr>
                <w:rFonts w:ascii="Arial Narrow" w:hAnsi="Arial Narrow"/>
                <w:sz w:val="20"/>
                <w:szCs w:val="20"/>
              </w:rPr>
              <w:t>3</w:t>
            </w:r>
          </w:p>
        </w:tc>
        <w:tc>
          <w:tcPr>
            <w:tcW w:w="548" w:type="dxa"/>
            <w:tcBorders>
              <w:top w:val="nil"/>
              <w:left w:val="nil"/>
              <w:bottom w:val="single" w:sz="4" w:space="0" w:color="auto"/>
              <w:right w:val="nil"/>
            </w:tcBorders>
            <w:shd w:val="clear" w:color="auto" w:fill="auto"/>
            <w:vAlign w:val="center"/>
            <w:hideMark/>
          </w:tcPr>
          <w:p w14:paraId="2F9D36B2" w14:textId="77777777" w:rsidR="0074167E" w:rsidRPr="006F2C23" w:rsidRDefault="0074167E" w:rsidP="002F6048">
            <w:pPr>
              <w:spacing w:after="0" w:line="240" w:lineRule="auto"/>
              <w:jc w:val="center"/>
              <w:rPr>
                <w:rFonts w:ascii="Arial Narrow" w:hAnsi="Arial Narrow"/>
                <w:sz w:val="20"/>
                <w:szCs w:val="20"/>
              </w:rPr>
            </w:pPr>
            <w:r w:rsidRPr="006F2C23">
              <w:rPr>
                <w:rFonts w:ascii="Arial Narrow" w:hAnsi="Arial Narrow"/>
                <w:sz w:val="20"/>
                <w:szCs w:val="20"/>
              </w:rPr>
              <w:t>23,</w:t>
            </w:r>
            <w:r>
              <w:rPr>
                <w:rFonts w:ascii="Arial Narrow" w:hAnsi="Arial Narrow"/>
                <w:sz w:val="20"/>
                <w:szCs w:val="20"/>
              </w:rPr>
              <w:t>7</w:t>
            </w:r>
          </w:p>
        </w:tc>
        <w:tc>
          <w:tcPr>
            <w:tcW w:w="548" w:type="dxa"/>
            <w:tcBorders>
              <w:top w:val="nil"/>
              <w:left w:val="nil"/>
              <w:bottom w:val="single" w:sz="4" w:space="0" w:color="auto"/>
              <w:right w:val="nil"/>
            </w:tcBorders>
            <w:shd w:val="clear" w:color="auto" w:fill="auto"/>
            <w:vAlign w:val="center"/>
            <w:hideMark/>
          </w:tcPr>
          <w:p w14:paraId="3D481F7C" w14:textId="77777777" w:rsidR="0074167E" w:rsidRPr="006F2C23" w:rsidRDefault="0074167E" w:rsidP="002F6048">
            <w:pPr>
              <w:spacing w:after="0" w:line="240" w:lineRule="auto"/>
              <w:jc w:val="center"/>
              <w:rPr>
                <w:rFonts w:ascii="Arial Narrow" w:hAnsi="Arial Narrow"/>
                <w:sz w:val="20"/>
                <w:szCs w:val="20"/>
              </w:rPr>
            </w:pPr>
            <w:r w:rsidRPr="006F2C23">
              <w:rPr>
                <w:rFonts w:ascii="Arial Narrow" w:hAnsi="Arial Narrow"/>
                <w:sz w:val="20"/>
                <w:szCs w:val="20"/>
              </w:rPr>
              <w:t>24,3</w:t>
            </w:r>
          </w:p>
        </w:tc>
        <w:tc>
          <w:tcPr>
            <w:tcW w:w="548" w:type="dxa"/>
            <w:tcBorders>
              <w:top w:val="nil"/>
              <w:left w:val="nil"/>
              <w:bottom w:val="single" w:sz="4" w:space="0" w:color="auto"/>
              <w:right w:val="nil"/>
            </w:tcBorders>
            <w:shd w:val="clear" w:color="auto" w:fill="auto"/>
            <w:vAlign w:val="center"/>
            <w:hideMark/>
          </w:tcPr>
          <w:p w14:paraId="12ECA334" w14:textId="77777777" w:rsidR="0074167E" w:rsidRPr="006F2C23" w:rsidRDefault="0074167E" w:rsidP="002F6048">
            <w:pPr>
              <w:spacing w:after="0" w:line="240" w:lineRule="auto"/>
              <w:jc w:val="center"/>
              <w:rPr>
                <w:rFonts w:ascii="Arial Narrow" w:hAnsi="Arial Narrow"/>
                <w:sz w:val="20"/>
                <w:szCs w:val="20"/>
              </w:rPr>
            </w:pPr>
            <w:r w:rsidRPr="006F2C23">
              <w:rPr>
                <w:rFonts w:ascii="Arial Narrow" w:hAnsi="Arial Narrow"/>
                <w:sz w:val="20"/>
                <w:szCs w:val="20"/>
              </w:rPr>
              <w:t>24,7</w:t>
            </w:r>
          </w:p>
        </w:tc>
        <w:tc>
          <w:tcPr>
            <w:tcW w:w="548" w:type="dxa"/>
            <w:tcBorders>
              <w:top w:val="nil"/>
              <w:left w:val="nil"/>
              <w:bottom w:val="single" w:sz="4" w:space="0" w:color="auto"/>
              <w:right w:val="nil"/>
            </w:tcBorders>
            <w:shd w:val="clear" w:color="auto" w:fill="auto"/>
            <w:vAlign w:val="center"/>
            <w:hideMark/>
          </w:tcPr>
          <w:p w14:paraId="1B3DBC7D" w14:textId="77777777" w:rsidR="0074167E" w:rsidRPr="006F2C23" w:rsidRDefault="0074167E" w:rsidP="002F6048">
            <w:pPr>
              <w:spacing w:after="0" w:line="240" w:lineRule="auto"/>
              <w:jc w:val="center"/>
              <w:rPr>
                <w:rFonts w:ascii="Arial Narrow" w:hAnsi="Arial Narrow"/>
                <w:sz w:val="20"/>
                <w:szCs w:val="20"/>
              </w:rPr>
            </w:pPr>
            <w:r w:rsidRPr="006F2C23">
              <w:rPr>
                <w:rFonts w:ascii="Arial Narrow" w:hAnsi="Arial Narrow"/>
                <w:sz w:val="20"/>
                <w:szCs w:val="20"/>
              </w:rPr>
              <w:t>24,</w:t>
            </w:r>
            <w:r>
              <w:rPr>
                <w:rFonts w:ascii="Arial Narrow" w:hAnsi="Arial Narrow"/>
                <w:sz w:val="20"/>
                <w:szCs w:val="20"/>
              </w:rPr>
              <w:t>6</w:t>
            </w:r>
          </w:p>
        </w:tc>
        <w:tc>
          <w:tcPr>
            <w:tcW w:w="548" w:type="dxa"/>
            <w:tcBorders>
              <w:top w:val="nil"/>
              <w:left w:val="nil"/>
              <w:bottom w:val="single" w:sz="4" w:space="0" w:color="auto"/>
              <w:right w:val="nil"/>
            </w:tcBorders>
            <w:shd w:val="clear" w:color="auto" w:fill="auto"/>
            <w:vAlign w:val="center"/>
            <w:hideMark/>
          </w:tcPr>
          <w:p w14:paraId="2A74BC89" w14:textId="77777777" w:rsidR="0074167E" w:rsidRPr="006F2C23" w:rsidRDefault="0074167E" w:rsidP="002F6048">
            <w:pPr>
              <w:spacing w:after="0" w:line="240" w:lineRule="auto"/>
              <w:jc w:val="center"/>
              <w:rPr>
                <w:rFonts w:ascii="Arial Narrow" w:hAnsi="Arial Narrow"/>
                <w:sz w:val="20"/>
                <w:szCs w:val="20"/>
              </w:rPr>
            </w:pPr>
            <w:r w:rsidRPr="006F2C23">
              <w:rPr>
                <w:rFonts w:ascii="Arial Narrow" w:hAnsi="Arial Narrow"/>
                <w:sz w:val="20"/>
                <w:szCs w:val="20"/>
              </w:rPr>
              <w:t xml:space="preserve"> </w:t>
            </w:r>
            <w:r>
              <w:rPr>
                <w:rFonts w:ascii="Arial Narrow" w:hAnsi="Arial Narrow"/>
                <w:sz w:val="20"/>
                <w:szCs w:val="20"/>
              </w:rPr>
              <w:t>24,4</w:t>
            </w:r>
          </w:p>
        </w:tc>
        <w:tc>
          <w:tcPr>
            <w:tcW w:w="548" w:type="dxa"/>
            <w:tcBorders>
              <w:top w:val="nil"/>
              <w:left w:val="nil"/>
              <w:bottom w:val="single" w:sz="4" w:space="0" w:color="auto"/>
              <w:right w:val="nil"/>
            </w:tcBorders>
            <w:shd w:val="clear" w:color="auto" w:fill="auto"/>
            <w:vAlign w:val="center"/>
            <w:hideMark/>
          </w:tcPr>
          <w:p w14:paraId="5B71A54A" w14:textId="77777777" w:rsidR="0074167E" w:rsidRPr="006F2C23" w:rsidRDefault="0074167E" w:rsidP="002F6048">
            <w:pPr>
              <w:spacing w:after="0" w:line="240" w:lineRule="auto"/>
              <w:jc w:val="center"/>
              <w:rPr>
                <w:rFonts w:ascii="Arial Narrow" w:hAnsi="Arial Narrow"/>
                <w:sz w:val="20"/>
                <w:szCs w:val="20"/>
              </w:rPr>
            </w:pPr>
            <w:r>
              <w:rPr>
                <w:rFonts w:ascii="Arial Narrow" w:hAnsi="Arial Narrow"/>
                <w:sz w:val="20"/>
                <w:szCs w:val="20"/>
              </w:rPr>
              <w:t>23,8</w:t>
            </w:r>
          </w:p>
        </w:tc>
        <w:tc>
          <w:tcPr>
            <w:tcW w:w="548" w:type="dxa"/>
            <w:tcBorders>
              <w:top w:val="nil"/>
              <w:left w:val="nil"/>
              <w:bottom w:val="single" w:sz="4" w:space="0" w:color="auto"/>
              <w:right w:val="nil"/>
            </w:tcBorders>
            <w:vAlign w:val="center"/>
          </w:tcPr>
          <w:p w14:paraId="31DEF9B3" w14:textId="77777777" w:rsidR="0074167E" w:rsidRPr="006F2C23" w:rsidRDefault="0074167E" w:rsidP="002F6048">
            <w:pPr>
              <w:spacing w:after="0" w:line="240" w:lineRule="auto"/>
              <w:jc w:val="center"/>
              <w:rPr>
                <w:rFonts w:ascii="Arial Narrow" w:hAnsi="Arial Narrow"/>
                <w:sz w:val="20"/>
                <w:szCs w:val="20"/>
              </w:rPr>
            </w:pPr>
            <w:r>
              <w:rPr>
                <w:rFonts w:ascii="Arial Narrow" w:hAnsi="Arial Narrow"/>
                <w:sz w:val="20"/>
                <w:szCs w:val="20"/>
              </w:rPr>
              <w:t>23,5</w:t>
            </w:r>
          </w:p>
        </w:tc>
        <w:tc>
          <w:tcPr>
            <w:tcW w:w="549" w:type="dxa"/>
            <w:tcBorders>
              <w:top w:val="nil"/>
              <w:left w:val="nil"/>
              <w:bottom w:val="single" w:sz="4" w:space="0" w:color="auto"/>
              <w:right w:val="nil"/>
            </w:tcBorders>
            <w:vAlign w:val="center"/>
          </w:tcPr>
          <w:p w14:paraId="521E1E7E" w14:textId="77777777" w:rsidR="0074167E" w:rsidRPr="006F2C23" w:rsidRDefault="0074167E" w:rsidP="002F6048">
            <w:pPr>
              <w:spacing w:after="0" w:line="240" w:lineRule="auto"/>
              <w:jc w:val="center"/>
              <w:rPr>
                <w:rFonts w:ascii="Arial Narrow" w:hAnsi="Arial Narrow"/>
                <w:sz w:val="20"/>
                <w:szCs w:val="20"/>
              </w:rPr>
            </w:pPr>
          </w:p>
        </w:tc>
        <w:tc>
          <w:tcPr>
            <w:tcW w:w="505" w:type="dxa"/>
            <w:tcBorders>
              <w:top w:val="nil"/>
              <w:left w:val="nil"/>
              <w:bottom w:val="single" w:sz="4" w:space="0" w:color="auto"/>
              <w:right w:val="nil"/>
            </w:tcBorders>
            <w:shd w:val="clear" w:color="auto" w:fill="auto"/>
            <w:vAlign w:val="center"/>
            <w:hideMark/>
          </w:tcPr>
          <w:p w14:paraId="6884B923" w14:textId="77777777" w:rsidR="0074167E" w:rsidRPr="006F2C23" w:rsidRDefault="0074167E" w:rsidP="002F6048">
            <w:pPr>
              <w:spacing w:after="0" w:line="240" w:lineRule="auto"/>
              <w:jc w:val="center"/>
              <w:rPr>
                <w:rFonts w:ascii="Arial Narrow" w:hAnsi="Arial Narrow"/>
                <w:sz w:val="20"/>
                <w:szCs w:val="20"/>
              </w:rPr>
            </w:pPr>
            <w:r w:rsidRPr="006F2C23">
              <w:rPr>
                <w:rFonts w:ascii="Arial Narrow" w:hAnsi="Arial Narrow"/>
                <w:sz w:val="20"/>
                <w:szCs w:val="20"/>
              </w:rPr>
              <w:t>19,4</w:t>
            </w:r>
          </w:p>
        </w:tc>
      </w:tr>
      <w:tr w:rsidR="0074167E" w:rsidRPr="00B01A86" w14:paraId="15F80BB9" w14:textId="77777777" w:rsidTr="0027447E">
        <w:trPr>
          <w:trHeight w:val="282"/>
          <w:jc w:val="center"/>
        </w:trPr>
        <w:tc>
          <w:tcPr>
            <w:tcW w:w="2816" w:type="dxa"/>
            <w:tcBorders>
              <w:top w:val="single" w:sz="4" w:space="0" w:color="auto"/>
              <w:left w:val="nil"/>
              <w:bottom w:val="nil"/>
              <w:right w:val="nil"/>
            </w:tcBorders>
            <w:shd w:val="clear" w:color="auto" w:fill="auto"/>
            <w:noWrap/>
            <w:vAlign w:val="center"/>
          </w:tcPr>
          <w:p w14:paraId="38C93BD0" w14:textId="77777777" w:rsidR="0074167E" w:rsidRPr="00B01A86" w:rsidRDefault="0074167E" w:rsidP="002F6048">
            <w:pPr>
              <w:spacing w:after="0" w:line="240" w:lineRule="auto"/>
              <w:jc w:val="both"/>
              <w:rPr>
                <w:rFonts w:ascii="Arial Narrow" w:hAnsi="Arial Narrow"/>
                <w:b/>
                <w:color w:val="000000"/>
                <w:sz w:val="18"/>
                <w:szCs w:val="20"/>
              </w:rPr>
            </w:pPr>
            <w:r>
              <w:rPr>
                <w:rFonts w:ascii="Arial Narrow" w:hAnsi="Arial Narrow"/>
                <w:b/>
                <w:sz w:val="20"/>
              </w:rPr>
              <w:t>Miera náhrady</w:t>
            </w:r>
            <w:r w:rsidRPr="00F91084">
              <w:rPr>
                <w:rFonts w:ascii="Arial Narrow" w:hAnsi="Arial Narrow"/>
                <w:b/>
                <w:sz w:val="20"/>
              </w:rPr>
              <w:t xml:space="preserve"> </w:t>
            </w:r>
            <w:r>
              <w:rPr>
                <w:rFonts w:ascii="Arial Narrow" w:hAnsi="Arial Narrow"/>
                <w:b/>
                <w:sz w:val="20"/>
              </w:rPr>
              <w:t>(</w:t>
            </w:r>
            <w:r w:rsidRPr="00B01A86">
              <w:rPr>
                <w:rFonts w:ascii="Arial Narrow" w:hAnsi="Arial Narrow"/>
                <w:b/>
                <w:sz w:val="20"/>
              </w:rPr>
              <w:t xml:space="preserve">Benefit </w:t>
            </w:r>
            <w:proofErr w:type="spellStart"/>
            <w:r w:rsidRPr="00B01A86">
              <w:rPr>
                <w:rFonts w:ascii="Arial Narrow" w:hAnsi="Arial Narrow"/>
                <w:b/>
                <w:sz w:val="20"/>
              </w:rPr>
              <w:t>ratio</w:t>
            </w:r>
            <w:proofErr w:type="spellEnd"/>
            <w:r>
              <w:rPr>
                <w:rFonts w:ascii="Arial Narrow" w:hAnsi="Arial Narrow"/>
                <w:b/>
                <w:sz w:val="20"/>
              </w:rPr>
              <w:t>)</w:t>
            </w:r>
          </w:p>
        </w:tc>
        <w:tc>
          <w:tcPr>
            <w:tcW w:w="594" w:type="dxa"/>
            <w:tcBorders>
              <w:top w:val="single" w:sz="4" w:space="0" w:color="auto"/>
              <w:left w:val="nil"/>
              <w:bottom w:val="nil"/>
              <w:right w:val="nil"/>
            </w:tcBorders>
            <w:shd w:val="clear" w:color="auto" w:fill="auto"/>
            <w:noWrap/>
            <w:vAlign w:val="center"/>
          </w:tcPr>
          <w:p w14:paraId="1B086B56" w14:textId="77777777" w:rsidR="0074167E" w:rsidRPr="00B01A86" w:rsidRDefault="0074167E" w:rsidP="002F6048">
            <w:pPr>
              <w:spacing w:after="0" w:line="240" w:lineRule="auto"/>
              <w:jc w:val="center"/>
              <w:rPr>
                <w:rFonts w:ascii="Arial Narrow" w:hAnsi="Arial Narrow"/>
                <w:b/>
                <w:bCs/>
                <w:color w:val="000000"/>
                <w:sz w:val="18"/>
                <w:szCs w:val="20"/>
              </w:rPr>
            </w:pPr>
            <w:r w:rsidRPr="00B01A86">
              <w:rPr>
                <w:rFonts w:ascii="Arial Narrow" w:hAnsi="Arial Narrow"/>
                <w:b/>
                <w:sz w:val="20"/>
              </w:rPr>
              <w:t>SK</w:t>
            </w:r>
          </w:p>
        </w:tc>
        <w:tc>
          <w:tcPr>
            <w:tcW w:w="548" w:type="dxa"/>
            <w:tcBorders>
              <w:top w:val="single" w:sz="4" w:space="0" w:color="auto"/>
              <w:left w:val="nil"/>
              <w:bottom w:val="nil"/>
              <w:right w:val="nil"/>
            </w:tcBorders>
            <w:shd w:val="clear" w:color="auto" w:fill="auto"/>
            <w:vAlign w:val="center"/>
          </w:tcPr>
          <w:p w14:paraId="2D0A94BD" w14:textId="77777777" w:rsidR="0074167E" w:rsidRPr="00DB4DE2" w:rsidRDefault="0074167E" w:rsidP="002F6048">
            <w:pPr>
              <w:spacing w:after="0" w:line="240" w:lineRule="auto"/>
              <w:jc w:val="center"/>
              <w:rPr>
                <w:rFonts w:ascii="Arial Narrow" w:hAnsi="Arial Narrow"/>
                <w:sz w:val="20"/>
                <w:szCs w:val="20"/>
              </w:rPr>
            </w:pPr>
            <w:r>
              <w:rPr>
                <w:rFonts w:ascii="Arial Narrow" w:hAnsi="Arial Narrow"/>
                <w:sz w:val="20"/>
                <w:szCs w:val="20"/>
              </w:rPr>
              <w:t>-</w:t>
            </w:r>
          </w:p>
        </w:tc>
        <w:tc>
          <w:tcPr>
            <w:tcW w:w="548" w:type="dxa"/>
            <w:tcBorders>
              <w:top w:val="single" w:sz="4" w:space="0" w:color="auto"/>
              <w:left w:val="nil"/>
              <w:bottom w:val="nil"/>
              <w:right w:val="nil"/>
            </w:tcBorders>
            <w:shd w:val="clear" w:color="auto" w:fill="auto"/>
            <w:vAlign w:val="center"/>
          </w:tcPr>
          <w:p w14:paraId="09F8EFFA" w14:textId="77777777" w:rsidR="0074167E" w:rsidRPr="00DB4DE2" w:rsidRDefault="0074167E" w:rsidP="002F6048">
            <w:pPr>
              <w:spacing w:after="0" w:line="240" w:lineRule="auto"/>
              <w:jc w:val="center"/>
              <w:rPr>
                <w:rFonts w:ascii="Arial Narrow" w:hAnsi="Arial Narrow"/>
                <w:sz w:val="20"/>
                <w:szCs w:val="20"/>
              </w:rPr>
            </w:pPr>
            <w:r w:rsidRPr="00DB4DE2">
              <w:rPr>
                <w:rFonts w:ascii="Arial Narrow" w:hAnsi="Arial Narrow"/>
                <w:sz w:val="20"/>
                <w:szCs w:val="20"/>
              </w:rPr>
              <w:t>43,7</w:t>
            </w:r>
          </w:p>
        </w:tc>
        <w:tc>
          <w:tcPr>
            <w:tcW w:w="548" w:type="dxa"/>
            <w:tcBorders>
              <w:top w:val="single" w:sz="4" w:space="0" w:color="auto"/>
              <w:left w:val="nil"/>
              <w:bottom w:val="nil"/>
              <w:right w:val="nil"/>
            </w:tcBorders>
            <w:shd w:val="clear" w:color="auto" w:fill="auto"/>
            <w:vAlign w:val="center"/>
          </w:tcPr>
          <w:p w14:paraId="2E1B1114" w14:textId="77777777" w:rsidR="0074167E" w:rsidRPr="00DB4DE2" w:rsidRDefault="0074167E" w:rsidP="002F6048">
            <w:pPr>
              <w:spacing w:after="0" w:line="240" w:lineRule="auto"/>
              <w:jc w:val="center"/>
              <w:rPr>
                <w:rFonts w:ascii="Arial Narrow" w:hAnsi="Arial Narrow"/>
                <w:sz w:val="20"/>
                <w:szCs w:val="20"/>
              </w:rPr>
            </w:pPr>
            <w:r>
              <w:rPr>
                <w:rFonts w:ascii="Arial Narrow" w:hAnsi="Arial Narrow"/>
                <w:sz w:val="20"/>
                <w:szCs w:val="20"/>
              </w:rPr>
              <w:t>-</w:t>
            </w:r>
          </w:p>
        </w:tc>
        <w:tc>
          <w:tcPr>
            <w:tcW w:w="548" w:type="dxa"/>
            <w:tcBorders>
              <w:top w:val="single" w:sz="4" w:space="0" w:color="auto"/>
              <w:left w:val="nil"/>
              <w:bottom w:val="nil"/>
              <w:right w:val="nil"/>
            </w:tcBorders>
            <w:shd w:val="clear" w:color="auto" w:fill="auto"/>
            <w:vAlign w:val="center"/>
          </w:tcPr>
          <w:p w14:paraId="5F6AFC23" w14:textId="77777777" w:rsidR="0074167E" w:rsidRPr="00DB4DE2" w:rsidRDefault="0074167E" w:rsidP="002F6048">
            <w:pPr>
              <w:spacing w:after="0" w:line="240" w:lineRule="auto"/>
              <w:jc w:val="center"/>
              <w:rPr>
                <w:rFonts w:ascii="Arial Narrow" w:hAnsi="Arial Narrow"/>
                <w:sz w:val="20"/>
                <w:szCs w:val="20"/>
              </w:rPr>
            </w:pPr>
            <w:r>
              <w:rPr>
                <w:rFonts w:ascii="Arial Narrow" w:hAnsi="Arial Narrow"/>
                <w:sz w:val="20"/>
                <w:szCs w:val="20"/>
              </w:rPr>
              <w:t>-</w:t>
            </w:r>
          </w:p>
        </w:tc>
        <w:tc>
          <w:tcPr>
            <w:tcW w:w="548" w:type="dxa"/>
            <w:tcBorders>
              <w:top w:val="single" w:sz="4" w:space="0" w:color="auto"/>
              <w:left w:val="nil"/>
              <w:bottom w:val="nil"/>
              <w:right w:val="nil"/>
            </w:tcBorders>
            <w:shd w:val="clear" w:color="auto" w:fill="auto"/>
            <w:vAlign w:val="center"/>
          </w:tcPr>
          <w:p w14:paraId="2657BCAF" w14:textId="77777777" w:rsidR="0074167E" w:rsidRPr="00DB4DE2" w:rsidRDefault="0074167E" w:rsidP="002F6048">
            <w:pPr>
              <w:spacing w:after="0" w:line="240" w:lineRule="auto"/>
              <w:jc w:val="center"/>
              <w:rPr>
                <w:rFonts w:ascii="Arial Narrow" w:hAnsi="Arial Narrow"/>
                <w:sz w:val="20"/>
                <w:szCs w:val="20"/>
              </w:rPr>
            </w:pPr>
            <w:r w:rsidRPr="00DB4DE2">
              <w:rPr>
                <w:rFonts w:ascii="Arial Narrow" w:hAnsi="Arial Narrow"/>
                <w:sz w:val="20"/>
                <w:szCs w:val="20"/>
              </w:rPr>
              <w:t>45,7</w:t>
            </w:r>
          </w:p>
        </w:tc>
        <w:tc>
          <w:tcPr>
            <w:tcW w:w="548" w:type="dxa"/>
            <w:tcBorders>
              <w:top w:val="single" w:sz="4" w:space="0" w:color="auto"/>
              <w:left w:val="nil"/>
              <w:bottom w:val="nil"/>
              <w:right w:val="nil"/>
            </w:tcBorders>
            <w:shd w:val="clear" w:color="auto" w:fill="auto"/>
            <w:vAlign w:val="center"/>
          </w:tcPr>
          <w:p w14:paraId="0EEE439E" w14:textId="77777777" w:rsidR="0074167E" w:rsidRPr="00DB4DE2" w:rsidRDefault="0074167E" w:rsidP="002F6048">
            <w:pPr>
              <w:spacing w:after="0" w:line="240" w:lineRule="auto"/>
              <w:jc w:val="center"/>
              <w:rPr>
                <w:rFonts w:ascii="Arial Narrow" w:hAnsi="Arial Narrow"/>
                <w:sz w:val="20"/>
                <w:szCs w:val="20"/>
              </w:rPr>
            </w:pPr>
            <w:r>
              <w:rPr>
                <w:rFonts w:ascii="Arial Narrow" w:hAnsi="Arial Narrow"/>
                <w:sz w:val="20"/>
                <w:szCs w:val="20"/>
              </w:rPr>
              <w:t>-</w:t>
            </w:r>
          </w:p>
        </w:tc>
        <w:tc>
          <w:tcPr>
            <w:tcW w:w="548" w:type="dxa"/>
            <w:tcBorders>
              <w:top w:val="single" w:sz="4" w:space="0" w:color="auto"/>
              <w:left w:val="nil"/>
              <w:bottom w:val="nil"/>
              <w:right w:val="nil"/>
            </w:tcBorders>
            <w:shd w:val="clear" w:color="auto" w:fill="auto"/>
            <w:vAlign w:val="center"/>
          </w:tcPr>
          <w:p w14:paraId="65A4C728" w14:textId="77777777" w:rsidR="0074167E" w:rsidRPr="00DB4DE2" w:rsidRDefault="0074167E" w:rsidP="002F6048">
            <w:pPr>
              <w:spacing w:after="0" w:line="240" w:lineRule="auto"/>
              <w:jc w:val="center"/>
              <w:rPr>
                <w:rFonts w:ascii="Arial Narrow" w:hAnsi="Arial Narrow"/>
                <w:sz w:val="20"/>
                <w:szCs w:val="20"/>
              </w:rPr>
            </w:pPr>
            <w:r>
              <w:rPr>
                <w:rFonts w:ascii="Arial Narrow" w:hAnsi="Arial Narrow"/>
                <w:sz w:val="20"/>
                <w:szCs w:val="20"/>
              </w:rPr>
              <w:t>-</w:t>
            </w:r>
          </w:p>
        </w:tc>
        <w:tc>
          <w:tcPr>
            <w:tcW w:w="548" w:type="dxa"/>
            <w:tcBorders>
              <w:top w:val="single" w:sz="4" w:space="0" w:color="auto"/>
              <w:left w:val="nil"/>
              <w:bottom w:val="nil"/>
              <w:right w:val="nil"/>
            </w:tcBorders>
            <w:vAlign w:val="center"/>
          </w:tcPr>
          <w:p w14:paraId="7D7943A9" w14:textId="581EEDD6" w:rsidR="0074167E" w:rsidRPr="00DB4DE2" w:rsidRDefault="00FD0B04" w:rsidP="002F6048">
            <w:pPr>
              <w:spacing w:after="0" w:line="240" w:lineRule="auto"/>
              <w:jc w:val="center"/>
              <w:rPr>
                <w:rFonts w:ascii="Arial Narrow" w:hAnsi="Arial Narrow"/>
                <w:sz w:val="20"/>
                <w:szCs w:val="20"/>
              </w:rPr>
            </w:pPr>
            <w:r>
              <w:rPr>
                <w:rFonts w:ascii="Arial Narrow" w:hAnsi="Arial Narrow"/>
                <w:sz w:val="20"/>
                <w:szCs w:val="20"/>
              </w:rPr>
              <w:t>46,6</w:t>
            </w:r>
          </w:p>
        </w:tc>
        <w:tc>
          <w:tcPr>
            <w:tcW w:w="549" w:type="dxa"/>
            <w:tcBorders>
              <w:top w:val="single" w:sz="4" w:space="0" w:color="auto"/>
              <w:left w:val="nil"/>
              <w:bottom w:val="nil"/>
              <w:right w:val="nil"/>
            </w:tcBorders>
            <w:vAlign w:val="center"/>
          </w:tcPr>
          <w:p w14:paraId="3025AD72" w14:textId="77777777" w:rsidR="0074167E" w:rsidRDefault="0074167E" w:rsidP="002F6048">
            <w:pPr>
              <w:spacing w:after="0" w:line="240" w:lineRule="auto"/>
              <w:jc w:val="center"/>
              <w:rPr>
                <w:rFonts w:ascii="Arial Narrow" w:hAnsi="Arial Narrow"/>
                <w:sz w:val="20"/>
                <w:szCs w:val="20"/>
              </w:rPr>
            </w:pPr>
          </w:p>
        </w:tc>
        <w:tc>
          <w:tcPr>
            <w:tcW w:w="505" w:type="dxa"/>
            <w:tcBorders>
              <w:top w:val="single" w:sz="4" w:space="0" w:color="auto"/>
              <w:left w:val="nil"/>
              <w:bottom w:val="nil"/>
              <w:right w:val="nil"/>
            </w:tcBorders>
            <w:shd w:val="clear" w:color="auto" w:fill="auto"/>
            <w:vAlign w:val="center"/>
          </w:tcPr>
          <w:p w14:paraId="307BBC6A" w14:textId="77777777" w:rsidR="0074167E" w:rsidRPr="00DB4DE2" w:rsidRDefault="0074167E" w:rsidP="002F6048">
            <w:pPr>
              <w:spacing w:after="0" w:line="240" w:lineRule="auto"/>
              <w:jc w:val="center"/>
              <w:rPr>
                <w:rFonts w:ascii="Arial Narrow" w:hAnsi="Arial Narrow"/>
                <w:sz w:val="20"/>
                <w:szCs w:val="20"/>
              </w:rPr>
            </w:pPr>
            <w:r>
              <w:rPr>
                <w:rFonts w:ascii="Arial Narrow" w:hAnsi="Arial Narrow"/>
                <w:sz w:val="20"/>
                <w:szCs w:val="20"/>
              </w:rPr>
              <w:t>-</w:t>
            </w:r>
          </w:p>
        </w:tc>
      </w:tr>
      <w:tr w:rsidR="0074167E" w:rsidRPr="00B01A86" w14:paraId="7732996F" w14:textId="77777777" w:rsidTr="0027447E">
        <w:trPr>
          <w:trHeight w:val="282"/>
          <w:jc w:val="center"/>
        </w:trPr>
        <w:tc>
          <w:tcPr>
            <w:tcW w:w="2816" w:type="dxa"/>
            <w:tcBorders>
              <w:top w:val="nil"/>
              <w:left w:val="nil"/>
              <w:bottom w:val="single" w:sz="4" w:space="0" w:color="auto"/>
              <w:right w:val="nil"/>
            </w:tcBorders>
            <w:shd w:val="clear" w:color="auto" w:fill="auto"/>
            <w:noWrap/>
            <w:vAlign w:val="center"/>
          </w:tcPr>
          <w:p w14:paraId="67E66A2F" w14:textId="77777777" w:rsidR="0074167E" w:rsidRPr="00B01A86" w:rsidRDefault="0074167E" w:rsidP="002F6048">
            <w:pPr>
              <w:spacing w:after="0" w:line="240" w:lineRule="auto"/>
              <w:jc w:val="both"/>
              <w:rPr>
                <w:rFonts w:ascii="Arial Narrow" w:hAnsi="Arial Narrow"/>
                <w:sz w:val="20"/>
              </w:rPr>
            </w:pPr>
            <w:r>
              <w:rPr>
                <w:rFonts w:ascii="Arial Narrow" w:hAnsi="Arial Narrow"/>
                <w:sz w:val="20"/>
              </w:rPr>
              <w:t xml:space="preserve">(priemerná dôchodková dávka, % </w:t>
            </w:r>
            <w:r w:rsidRPr="00B01A86">
              <w:rPr>
                <w:rFonts w:ascii="Arial Narrow" w:hAnsi="Arial Narrow"/>
                <w:sz w:val="20"/>
              </w:rPr>
              <w:t>z priemernej mzdy)</w:t>
            </w:r>
          </w:p>
        </w:tc>
        <w:tc>
          <w:tcPr>
            <w:tcW w:w="594" w:type="dxa"/>
            <w:tcBorders>
              <w:top w:val="nil"/>
              <w:left w:val="nil"/>
              <w:bottom w:val="single" w:sz="4" w:space="0" w:color="auto"/>
              <w:right w:val="nil"/>
            </w:tcBorders>
            <w:shd w:val="clear" w:color="auto" w:fill="auto"/>
            <w:noWrap/>
            <w:vAlign w:val="center"/>
          </w:tcPr>
          <w:p w14:paraId="0D846CD6" w14:textId="77777777" w:rsidR="0074167E" w:rsidRPr="00B01A86" w:rsidRDefault="0074167E" w:rsidP="002F6048">
            <w:pPr>
              <w:spacing w:after="0" w:line="240" w:lineRule="auto"/>
              <w:jc w:val="center"/>
              <w:rPr>
                <w:rFonts w:ascii="Arial Narrow" w:hAnsi="Arial Narrow"/>
                <w:b/>
                <w:bCs/>
                <w:color w:val="000000"/>
                <w:sz w:val="18"/>
                <w:szCs w:val="20"/>
              </w:rPr>
            </w:pPr>
            <w:r w:rsidRPr="00B01A86">
              <w:rPr>
                <w:rFonts w:ascii="Arial Narrow" w:hAnsi="Arial Narrow"/>
                <w:b/>
                <w:sz w:val="20"/>
              </w:rPr>
              <w:t>EÚ</w:t>
            </w:r>
          </w:p>
        </w:tc>
        <w:tc>
          <w:tcPr>
            <w:tcW w:w="548" w:type="dxa"/>
            <w:tcBorders>
              <w:top w:val="nil"/>
              <w:left w:val="nil"/>
              <w:bottom w:val="single" w:sz="4" w:space="0" w:color="auto"/>
              <w:right w:val="nil"/>
            </w:tcBorders>
            <w:shd w:val="clear" w:color="auto" w:fill="auto"/>
            <w:vAlign w:val="center"/>
          </w:tcPr>
          <w:p w14:paraId="2C500677" w14:textId="77777777" w:rsidR="0074167E" w:rsidRPr="00DB4DE2" w:rsidRDefault="0074167E" w:rsidP="002F6048">
            <w:pPr>
              <w:spacing w:after="0" w:line="240" w:lineRule="auto"/>
              <w:jc w:val="center"/>
              <w:rPr>
                <w:rFonts w:ascii="Arial Narrow" w:hAnsi="Arial Narrow"/>
                <w:sz w:val="20"/>
                <w:szCs w:val="20"/>
              </w:rPr>
            </w:pPr>
            <w:r>
              <w:rPr>
                <w:rFonts w:ascii="Arial Narrow" w:hAnsi="Arial Narrow"/>
                <w:sz w:val="20"/>
                <w:szCs w:val="20"/>
              </w:rPr>
              <w:t>-</w:t>
            </w:r>
          </w:p>
        </w:tc>
        <w:tc>
          <w:tcPr>
            <w:tcW w:w="548" w:type="dxa"/>
            <w:tcBorders>
              <w:top w:val="nil"/>
              <w:left w:val="nil"/>
              <w:bottom w:val="single" w:sz="4" w:space="0" w:color="auto"/>
              <w:right w:val="nil"/>
            </w:tcBorders>
            <w:shd w:val="clear" w:color="auto" w:fill="auto"/>
            <w:vAlign w:val="center"/>
          </w:tcPr>
          <w:p w14:paraId="1514C9F7" w14:textId="77777777" w:rsidR="0074167E" w:rsidRPr="00DB4DE2" w:rsidRDefault="0074167E" w:rsidP="002F6048">
            <w:pPr>
              <w:spacing w:after="0" w:line="240" w:lineRule="auto"/>
              <w:jc w:val="center"/>
              <w:rPr>
                <w:rFonts w:ascii="Arial Narrow" w:hAnsi="Arial Narrow"/>
                <w:sz w:val="20"/>
                <w:szCs w:val="20"/>
              </w:rPr>
            </w:pPr>
            <w:r>
              <w:rPr>
                <w:rFonts w:ascii="Arial Narrow" w:hAnsi="Arial Narrow"/>
                <w:sz w:val="20"/>
                <w:szCs w:val="20"/>
              </w:rPr>
              <w:t>41,4</w:t>
            </w:r>
          </w:p>
        </w:tc>
        <w:tc>
          <w:tcPr>
            <w:tcW w:w="548" w:type="dxa"/>
            <w:tcBorders>
              <w:top w:val="nil"/>
              <w:left w:val="nil"/>
              <w:bottom w:val="single" w:sz="4" w:space="0" w:color="auto"/>
              <w:right w:val="nil"/>
            </w:tcBorders>
            <w:shd w:val="clear" w:color="auto" w:fill="auto"/>
            <w:vAlign w:val="center"/>
          </w:tcPr>
          <w:p w14:paraId="5994CE30" w14:textId="77777777" w:rsidR="0074167E" w:rsidRPr="00DB4DE2" w:rsidRDefault="0074167E" w:rsidP="002F6048">
            <w:pPr>
              <w:spacing w:after="0" w:line="240" w:lineRule="auto"/>
              <w:jc w:val="center"/>
              <w:rPr>
                <w:rFonts w:ascii="Arial Narrow" w:hAnsi="Arial Narrow"/>
                <w:sz w:val="20"/>
                <w:szCs w:val="20"/>
              </w:rPr>
            </w:pPr>
            <w:r>
              <w:rPr>
                <w:rFonts w:ascii="Arial Narrow" w:hAnsi="Arial Narrow"/>
                <w:sz w:val="20"/>
                <w:szCs w:val="20"/>
              </w:rPr>
              <w:t>-</w:t>
            </w:r>
          </w:p>
        </w:tc>
        <w:tc>
          <w:tcPr>
            <w:tcW w:w="548" w:type="dxa"/>
            <w:tcBorders>
              <w:top w:val="nil"/>
              <w:left w:val="nil"/>
              <w:bottom w:val="single" w:sz="4" w:space="0" w:color="auto"/>
              <w:right w:val="nil"/>
            </w:tcBorders>
            <w:shd w:val="clear" w:color="auto" w:fill="auto"/>
            <w:vAlign w:val="center"/>
          </w:tcPr>
          <w:p w14:paraId="3CB6EFE3" w14:textId="77777777" w:rsidR="0074167E" w:rsidRPr="00DB4DE2" w:rsidRDefault="0074167E" w:rsidP="002F6048">
            <w:pPr>
              <w:spacing w:after="0" w:line="240" w:lineRule="auto"/>
              <w:jc w:val="center"/>
              <w:rPr>
                <w:rFonts w:ascii="Arial Narrow" w:hAnsi="Arial Narrow"/>
                <w:sz w:val="20"/>
                <w:szCs w:val="20"/>
              </w:rPr>
            </w:pPr>
            <w:r>
              <w:rPr>
                <w:rFonts w:ascii="Arial Narrow" w:hAnsi="Arial Narrow"/>
                <w:sz w:val="20"/>
                <w:szCs w:val="20"/>
              </w:rPr>
              <w:t>-</w:t>
            </w:r>
          </w:p>
        </w:tc>
        <w:tc>
          <w:tcPr>
            <w:tcW w:w="548" w:type="dxa"/>
            <w:tcBorders>
              <w:top w:val="nil"/>
              <w:left w:val="nil"/>
              <w:bottom w:val="single" w:sz="4" w:space="0" w:color="auto"/>
              <w:right w:val="nil"/>
            </w:tcBorders>
            <w:shd w:val="clear" w:color="auto" w:fill="auto"/>
            <w:vAlign w:val="center"/>
          </w:tcPr>
          <w:p w14:paraId="511DB93F" w14:textId="77777777" w:rsidR="0074167E" w:rsidRPr="00DB4DE2" w:rsidRDefault="0074167E" w:rsidP="002F6048">
            <w:pPr>
              <w:spacing w:after="0" w:line="240" w:lineRule="auto"/>
              <w:jc w:val="center"/>
              <w:rPr>
                <w:rFonts w:ascii="Arial Narrow" w:hAnsi="Arial Narrow"/>
                <w:sz w:val="20"/>
                <w:szCs w:val="20"/>
              </w:rPr>
            </w:pPr>
            <w:r w:rsidRPr="00DB4DE2">
              <w:rPr>
                <w:rFonts w:ascii="Arial Narrow" w:hAnsi="Arial Narrow"/>
                <w:sz w:val="20"/>
                <w:szCs w:val="20"/>
              </w:rPr>
              <w:t>44</w:t>
            </w:r>
            <w:r>
              <w:rPr>
                <w:rFonts w:ascii="Arial Narrow" w:hAnsi="Arial Narrow"/>
                <w:sz w:val="20"/>
                <w:szCs w:val="20"/>
              </w:rPr>
              <w:t>,0</w:t>
            </w:r>
          </w:p>
        </w:tc>
        <w:tc>
          <w:tcPr>
            <w:tcW w:w="548" w:type="dxa"/>
            <w:tcBorders>
              <w:top w:val="nil"/>
              <w:left w:val="nil"/>
              <w:bottom w:val="single" w:sz="4" w:space="0" w:color="auto"/>
              <w:right w:val="nil"/>
            </w:tcBorders>
            <w:shd w:val="clear" w:color="auto" w:fill="auto"/>
            <w:vAlign w:val="center"/>
          </w:tcPr>
          <w:p w14:paraId="7C58814C" w14:textId="77777777" w:rsidR="0074167E" w:rsidRPr="00DB4DE2" w:rsidRDefault="0074167E" w:rsidP="002F6048">
            <w:pPr>
              <w:spacing w:after="0" w:line="240" w:lineRule="auto"/>
              <w:jc w:val="center"/>
              <w:rPr>
                <w:rFonts w:ascii="Arial Narrow" w:hAnsi="Arial Narrow"/>
                <w:sz w:val="20"/>
                <w:szCs w:val="20"/>
              </w:rPr>
            </w:pPr>
            <w:r>
              <w:rPr>
                <w:rFonts w:ascii="Arial Narrow" w:hAnsi="Arial Narrow"/>
                <w:sz w:val="20"/>
                <w:szCs w:val="20"/>
              </w:rPr>
              <w:t>-</w:t>
            </w:r>
          </w:p>
        </w:tc>
        <w:tc>
          <w:tcPr>
            <w:tcW w:w="548" w:type="dxa"/>
            <w:tcBorders>
              <w:top w:val="nil"/>
              <w:left w:val="nil"/>
              <w:bottom w:val="single" w:sz="4" w:space="0" w:color="auto"/>
              <w:right w:val="nil"/>
            </w:tcBorders>
            <w:shd w:val="clear" w:color="auto" w:fill="auto"/>
            <w:vAlign w:val="center"/>
          </w:tcPr>
          <w:p w14:paraId="6A653186" w14:textId="77777777" w:rsidR="0074167E" w:rsidRPr="00DB4DE2" w:rsidRDefault="0074167E" w:rsidP="002F6048">
            <w:pPr>
              <w:spacing w:after="0" w:line="240" w:lineRule="auto"/>
              <w:jc w:val="center"/>
              <w:rPr>
                <w:rFonts w:ascii="Arial Narrow" w:hAnsi="Arial Narrow"/>
                <w:sz w:val="20"/>
                <w:szCs w:val="20"/>
              </w:rPr>
            </w:pPr>
            <w:r>
              <w:rPr>
                <w:rFonts w:ascii="Arial Narrow" w:hAnsi="Arial Narrow"/>
                <w:sz w:val="20"/>
                <w:szCs w:val="20"/>
              </w:rPr>
              <w:t>-</w:t>
            </w:r>
          </w:p>
        </w:tc>
        <w:tc>
          <w:tcPr>
            <w:tcW w:w="548" w:type="dxa"/>
            <w:tcBorders>
              <w:top w:val="nil"/>
              <w:left w:val="nil"/>
              <w:bottom w:val="single" w:sz="4" w:space="0" w:color="auto"/>
              <w:right w:val="nil"/>
            </w:tcBorders>
            <w:vAlign w:val="center"/>
          </w:tcPr>
          <w:p w14:paraId="4729D7B1" w14:textId="7D751B59" w:rsidR="0074167E" w:rsidRPr="00DB4DE2" w:rsidRDefault="00FD0B04" w:rsidP="002F6048">
            <w:pPr>
              <w:spacing w:after="0" w:line="240" w:lineRule="auto"/>
              <w:jc w:val="center"/>
              <w:rPr>
                <w:rFonts w:ascii="Arial Narrow" w:hAnsi="Arial Narrow"/>
                <w:sz w:val="20"/>
                <w:szCs w:val="20"/>
              </w:rPr>
            </w:pPr>
            <w:r>
              <w:rPr>
                <w:rFonts w:ascii="Arial Narrow" w:hAnsi="Arial Narrow"/>
                <w:sz w:val="20"/>
                <w:szCs w:val="20"/>
              </w:rPr>
              <w:t>43,5</w:t>
            </w:r>
          </w:p>
        </w:tc>
        <w:tc>
          <w:tcPr>
            <w:tcW w:w="549" w:type="dxa"/>
            <w:tcBorders>
              <w:top w:val="nil"/>
              <w:left w:val="nil"/>
              <w:bottom w:val="single" w:sz="4" w:space="0" w:color="auto"/>
              <w:right w:val="nil"/>
            </w:tcBorders>
            <w:vAlign w:val="center"/>
          </w:tcPr>
          <w:p w14:paraId="2B447E5D" w14:textId="77777777" w:rsidR="0074167E" w:rsidRDefault="0074167E" w:rsidP="002F6048">
            <w:pPr>
              <w:spacing w:after="0" w:line="240" w:lineRule="auto"/>
              <w:jc w:val="center"/>
              <w:rPr>
                <w:rFonts w:ascii="Arial Narrow" w:hAnsi="Arial Narrow"/>
                <w:sz w:val="20"/>
                <w:szCs w:val="20"/>
              </w:rPr>
            </w:pPr>
          </w:p>
        </w:tc>
        <w:tc>
          <w:tcPr>
            <w:tcW w:w="505" w:type="dxa"/>
            <w:tcBorders>
              <w:top w:val="nil"/>
              <w:left w:val="nil"/>
              <w:bottom w:val="single" w:sz="4" w:space="0" w:color="auto"/>
              <w:right w:val="nil"/>
            </w:tcBorders>
            <w:shd w:val="clear" w:color="auto" w:fill="auto"/>
            <w:vAlign w:val="center"/>
          </w:tcPr>
          <w:p w14:paraId="7DB0802F" w14:textId="77777777" w:rsidR="0074167E" w:rsidRPr="00DB4DE2" w:rsidRDefault="0074167E" w:rsidP="002F6048">
            <w:pPr>
              <w:spacing w:after="0" w:line="240" w:lineRule="auto"/>
              <w:jc w:val="center"/>
              <w:rPr>
                <w:rFonts w:ascii="Arial Narrow" w:hAnsi="Arial Narrow"/>
                <w:sz w:val="20"/>
                <w:szCs w:val="20"/>
              </w:rPr>
            </w:pPr>
            <w:r>
              <w:rPr>
                <w:rFonts w:ascii="Arial Narrow" w:hAnsi="Arial Narrow"/>
                <w:sz w:val="20"/>
                <w:szCs w:val="20"/>
              </w:rPr>
              <w:t>-</w:t>
            </w:r>
          </w:p>
        </w:tc>
      </w:tr>
    </w:tbl>
    <w:p w14:paraId="6B353C05" w14:textId="77777777" w:rsidR="002F6048" w:rsidRDefault="002F6048" w:rsidP="007D2366">
      <w:pPr>
        <w:spacing w:after="0" w:line="240" w:lineRule="auto"/>
        <w:contextualSpacing/>
        <w:jc w:val="both"/>
        <w:rPr>
          <w:rFonts w:ascii="Arial Narrow" w:hAnsi="Arial Narrow"/>
        </w:rPr>
      </w:pPr>
    </w:p>
    <w:p w14:paraId="744C8007" w14:textId="0E2B5FD9" w:rsidR="002F6048" w:rsidRDefault="002F6048" w:rsidP="002F6048">
      <w:pPr>
        <w:spacing w:after="0" w:line="240" w:lineRule="auto"/>
        <w:contextualSpacing/>
        <w:jc w:val="both"/>
        <w:rPr>
          <w:rFonts w:ascii="Arial Narrow" w:hAnsi="Arial Narrow"/>
        </w:rPr>
      </w:pPr>
      <w:r>
        <w:rPr>
          <w:rFonts w:ascii="Arial Narrow" w:hAnsi="Arial Narrow"/>
        </w:rPr>
        <w:t>V</w:t>
      </w:r>
      <w:r w:rsidRPr="00B52957">
        <w:rPr>
          <w:rFonts w:ascii="Arial Narrow" w:hAnsi="Arial Narrow"/>
        </w:rPr>
        <w:t xml:space="preserve"> ro</w:t>
      </w:r>
      <w:r>
        <w:rPr>
          <w:rFonts w:ascii="Arial Narrow" w:hAnsi="Arial Narrow"/>
        </w:rPr>
        <w:t xml:space="preserve">ku 2017 sa vytvorilo 51 tisíc </w:t>
      </w:r>
      <w:r w:rsidRPr="00B52957">
        <w:rPr>
          <w:rFonts w:ascii="Arial Narrow" w:hAnsi="Arial Narrow"/>
        </w:rPr>
        <w:t>nových pracovných miest</w:t>
      </w:r>
      <w:r>
        <w:rPr>
          <w:rStyle w:val="Odkaznapoznmkupodiarou"/>
          <w:rFonts w:ascii="Arial Narrow" w:hAnsi="Arial Narrow"/>
        </w:rPr>
        <w:footnoteReference w:id="31"/>
      </w:r>
      <w:r>
        <w:rPr>
          <w:rFonts w:ascii="Arial Narrow" w:hAnsi="Arial Narrow"/>
        </w:rPr>
        <w:t>.</w:t>
      </w:r>
      <w:r w:rsidR="00B46E52">
        <w:rPr>
          <w:rFonts w:ascii="Arial Narrow" w:hAnsi="Arial Narrow"/>
        </w:rPr>
        <w:t xml:space="preserve"> Zahraniční pracovníci </w:t>
      </w:r>
      <w:r w:rsidR="00B46E52" w:rsidRPr="006E43E2">
        <w:rPr>
          <w:rFonts w:ascii="Arial Narrow" w:hAnsi="Arial Narrow"/>
          <w:color w:val="000000"/>
        </w:rPr>
        <w:t xml:space="preserve">obsadili </w:t>
      </w:r>
      <w:r w:rsidR="00B46E52">
        <w:rPr>
          <w:rFonts w:ascii="Arial Narrow" w:hAnsi="Arial Narrow"/>
          <w:color w:val="000000"/>
        </w:rPr>
        <w:t>každé štvrté novovytvorené pracovné miesto.</w:t>
      </w:r>
      <w:r w:rsidR="00B46E52">
        <w:rPr>
          <w:rFonts w:ascii="Arial Narrow" w:hAnsi="Arial Narrow"/>
        </w:rPr>
        <w:t xml:space="preserve"> </w:t>
      </w:r>
      <w:r>
        <w:rPr>
          <w:rFonts w:ascii="Arial Narrow" w:hAnsi="Arial Narrow"/>
        </w:rPr>
        <w:t>Miera nezamestnanosti dosahuje najnižšie hodnoty od roku 1993.</w:t>
      </w:r>
      <w:r w:rsidR="00896919">
        <w:rPr>
          <w:rFonts w:ascii="Arial Narrow" w:hAnsi="Arial Narrow"/>
        </w:rPr>
        <w:t xml:space="preserve"> </w:t>
      </w:r>
      <w:r>
        <w:rPr>
          <w:rFonts w:ascii="Arial Narrow" w:hAnsi="Arial Narrow"/>
        </w:rPr>
        <w:t xml:space="preserve">Sezónne očistená celková </w:t>
      </w:r>
      <w:r>
        <w:rPr>
          <w:rFonts w:ascii="Arial Narrow" w:hAnsi="Arial Narrow"/>
          <w:szCs w:val="36"/>
          <w:lang w:eastAsia="en-US"/>
        </w:rPr>
        <w:t xml:space="preserve">miera celkovej nezamestnanosti klesla vo štvrtom kvartáli 2017 na úroveň </w:t>
      </w:r>
      <w:r w:rsidRPr="007811A9">
        <w:rPr>
          <w:rFonts w:ascii="Arial Narrow" w:hAnsi="Arial Narrow"/>
          <w:szCs w:val="36"/>
          <w:lang w:eastAsia="en-US"/>
        </w:rPr>
        <w:t>7,</w:t>
      </w:r>
      <w:r w:rsidR="00B46E52">
        <w:rPr>
          <w:rFonts w:ascii="Arial Narrow" w:hAnsi="Arial Narrow"/>
          <w:szCs w:val="36"/>
          <w:lang w:eastAsia="en-US"/>
        </w:rPr>
        <w:t>7</w:t>
      </w:r>
      <w:r w:rsidRPr="007811A9">
        <w:rPr>
          <w:rFonts w:ascii="Arial Narrow" w:hAnsi="Arial Narrow"/>
          <w:szCs w:val="36"/>
          <w:lang w:eastAsia="en-US"/>
        </w:rPr>
        <w:t xml:space="preserve"> %,</w:t>
      </w:r>
      <w:r>
        <w:rPr>
          <w:rFonts w:ascii="Arial Narrow" w:hAnsi="Arial Narrow"/>
          <w:szCs w:val="36"/>
          <w:lang w:eastAsia="en-US"/>
        </w:rPr>
        <w:t xml:space="preserve"> čo predstavuje najlepšiu hodnotu od vzniku SR. Stále však zostáva výrazne nad priemerom krajín V3. </w:t>
      </w:r>
      <w:r w:rsidR="00B46E52">
        <w:rPr>
          <w:rFonts w:ascii="Arial Narrow" w:hAnsi="Arial Narrow"/>
        </w:rPr>
        <w:t>A</w:t>
      </w:r>
      <w:r>
        <w:rPr>
          <w:rFonts w:ascii="Arial Narrow" w:hAnsi="Arial Narrow"/>
        </w:rPr>
        <w:t xml:space="preserve">j napriek súčasnému pozitívnemu vývoju </w:t>
      </w:r>
      <w:r w:rsidR="00B46E52">
        <w:rPr>
          <w:rFonts w:ascii="Arial Narrow" w:hAnsi="Arial Narrow"/>
        </w:rPr>
        <w:t xml:space="preserve">zostáva trh práce </w:t>
      </w:r>
      <w:r w:rsidRPr="00256D89">
        <w:rPr>
          <w:rFonts w:ascii="Arial Narrow" w:hAnsi="Arial Narrow"/>
        </w:rPr>
        <w:t xml:space="preserve">dlhodobo </w:t>
      </w:r>
      <w:r>
        <w:rPr>
          <w:rFonts w:ascii="Arial Narrow" w:hAnsi="Arial Narrow"/>
        </w:rPr>
        <w:t xml:space="preserve">hlavnou výzvou a prioritou </w:t>
      </w:r>
      <w:r w:rsidR="00B46E52">
        <w:rPr>
          <w:rFonts w:ascii="Arial Narrow" w:hAnsi="Arial Narrow"/>
        </w:rPr>
        <w:t>štrukturálnych politík</w:t>
      </w:r>
      <w:r w:rsidRPr="00256D89">
        <w:rPr>
          <w:rFonts w:ascii="Arial Narrow" w:hAnsi="Arial Narrow"/>
        </w:rPr>
        <w:t>.</w:t>
      </w:r>
    </w:p>
    <w:p w14:paraId="35D88242" w14:textId="77777777" w:rsidR="002F6048" w:rsidRDefault="002F6048" w:rsidP="002F6048">
      <w:pPr>
        <w:spacing w:after="0" w:line="240" w:lineRule="auto"/>
        <w:contextualSpacing/>
        <w:jc w:val="both"/>
        <w:rPr>
          <w:rFonts w:ascii="Arial Narrow" w:hAnsi="Arial Narrow"/>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186"/>
        <w:gridCol w:w="222"/>
        <w:gridCol w:w="4156"/>
      </w:tblGrid>
      <w:tr w:rsidR="002F6048" w:rsidRPr="006C5792" w14:paraId="55BBA62A" w14:textId="77777777" w:rsidTr="009D1400">
        <w:trPr>
          <w:trHeight w:val="205"/>
          <w:jc w:val="center"/>
        </w:trPr>
        <w:tc>
          <w:tcPr>
            <w:tcW w:w="2444" w:type="pct"/>
            <w:tcBorders>
              <w:top w:val="nil"/>
              <w:left w:val="nil"/>
              <w:bottom w:val="single" w:sz="4" w:space="0" w:color="auto"/>
              <w:right w:val="nil"/>
            </w:tcBorders>
            <w:vAlign w:val="center"/>
            <w:hideMark/>
          </w:tcPr>
          <w:p w14:paraId="4E09DF3D" w14:textId="77777777" w:rsidR="002F6048" w:rsidRPr="00170162" w:rsidRDefault="002F6048" w:rsidP="002F6048">
            <w:pPr>
              <w:pStyle w:val="Graf"/>
              <w:spacing w:after="0" w:line="240" w:lineRule="auto"/>
              <w:jc w:val="both"/>
              <w:rPr>
                <w:rFonts w:eastAsia="Times New Roman" w:cs="Times New Roman"/>
                <w:color w:val="2C9ADC"/>
                <w:szCs w:val="18"/>
                <w:lang w:eastAsia="sk-SK"/>
              </w:rPr>
            </w:pPr>
            <w:bookmarkStart w:id="43" w:name="_Toc480760504"/>
            <w:bookmarkStart w:id="44" w:name="_Toc509513323"/>
            <w:r>
              <w:rPr>
                <w:rFonts w:eastAsia="Times New Roman" w:cs="Times New Roman"/>
                <w:color w:val="2C9ADC"/>
                <w:szCs w:val="18"/>
                <w:lang w:eastAsia="sk-SK"/>
              </w:rPr>
              <w:t>Graf</w:t>
            </w:r>
            <w:r w:rsidRPr="00686F3A">
              <w:rPr>
                <w:rFonts w:eastAsia="Times New Roman" w:cs="Times New Roman"/>
                <w:color w:val="2C9ADC"/>
                <w:szCs w:val="18"/>
                <w:lang w:eastAsia="sk-SK"/>
              </w:rPr>
              <w:t xml:space="preserve"> </w:t>
            </w:r>
            <w:r w:rsidRPr="00686F3A">
              <w:rPr>
                <w:rFonts w:eastAsia="Times New Roman" w:cs="Times New Roman"/>
                <w:color w:val="2C9ADC"/>
                <w:szCs w:val="18"/>
                <w:lang w:eastAsia="sk-SK"/>
              </w:rPr>
              <w:fldChar w:fldCharType="begin"/>
            </w:r>
            <w:r w:rsidRPr="00686F3A">
              <w:rPr>
                <w:rFonts w:eastAsia="Times New Roman" w:cs="Times New Roman"/>
                <w:color w:val="2C9ADC"/>
                <w:szCs w:val="18"/>
                <w:lang w:eastAsia="sk-SK"/>
              </w:rPr>
              <w:instrText xml:space="preserve"> SEQ GRAF \* ARABIC </w:instrText>
            </w:r>
            <w:r w:rsidRPr="00686F3A">
              <w:rPr>
                <w:rFonts w:eastAsia="Times New Roman" w:cs="Times New Roman"/>
                <w:color w:val="2C9ADC"/>
                <w:szCs w:val="18"/>
                <w:lang w:eastAsia="sk-SK"/>
              </w:rPr>
              <w:fldChar w:fldCharType="separate"/>
            </w:r>
            <w:r w:rsidR="00EE7207">
              <w:rPr>
                <w:rFonts w:eastAsia="Times New Roman" w:cs="Times New Roman"/>
                <w:noProof/>
                <w:color w:val="2C9ADC"/>
                <w:szCs w:val="18"/>
                <w:lang w:eastAsia="sk-SK"/>
              </w:rPr>
              <w:t>11</w:t>
            </w:r>
            <w:r w:rsidRPr="00686F3A">
              <w:rPr>
                <w:rFonts w:eastAsia="Times New Roman" w:cs="Times New Roman"/>
                <w:color w:val="2C9ADC"/>
                <w:szCs w:val="18"/>
                <w:lang w:eastAsia="sk-SK"/>
              </w:rPr>
              <w:fldChar w:fldCharType="end"/>
            </w:r>
            <w:r w:rsidRPr="00686F3A">
              <w:rPr>
                <w:rFonts w:eastAsia="Times New Roman" w:cs="Times New Roman"/>
                <w:color w:val="2C9ADC"/>
                <w:szCs w:val="18"/>
                <w:lang w:eastAsia="sk-SK"/>
              </w:rPr>
              <w:t>:</w:t>
            </w:r>
            <w:r w:rsidRPr="006C5792">
              <w:t xml:space="preserve"> </w:t>
            </w:r>
            <w:r w:rsidRPr="00170162">
              <w:rPr>
                <w:rFonts w:eastAsia="Times New Roman" w:cs="Times New Roman"/>
                <w:color w:val="2C9ADC"/>
                <w:szCs w:val="18"/>
                <w:lang w:eastAsia="sk-SK"/>
              </w:rPr>
              <w:t>Kvartálny vývoj miery nezamestnanosti</w:t>
            </w:r>
            <w:bookmarkEnd w:id="43"/>
            <w:bookmarkEnd w:id="44"/>
          </w:p>
          <w:p w14:paraId="6BC60904" w14:textId="77777777" w:rsidR="002F6048" w:rsidRPr="006C5792" w:rsidRDefault="002F6048" w:rsidP="002F6048">
            <w:pPr>
              <w:pStyle w:val="Graf"/>
              <w:spacing w:after="0" w:line="240" w:lineRule="auto"/>
              <w:jc w:val="both"/>
              <w:rPr>
                <w:rFonts w:eastAsiaTheme="minorHAnsi" w:cstheme="minorBidi"/>
                <w:sz w:val="18"/>
              </w:rPr>
            </w:pPr>
            <w:r w:rsidRPr="00170162">
              <w:rPr>
                <w:rFonts w:eastAsia="Times New Roman" w:cs="Times New Roman"/>
                <w:color w:val="2C9ADC"/>
                <w:szCs w:val="18"/>
                <w:lang w:eastAsia="sk-SK"/>
              </w:rPr>
              <w:t>podľa VZPS (v %, sezónne očistené údaje)</w:t>
            </w:r>
          </w:p>
        </w:tc>
        <w:tc>
          <w:tcPr>
            <w:tcW w:w="129" w:type="pct"/>
            <w:tcBorders>
              <w:top w:val="nil"/>
              <w:left w:val="nil"/>
              <w:bottom w:val="nil"/>
              <w:right w:val="nil"/>
            </w:tcBorders>
            <w:vAlign w:val="center"/>
          </w:tcPr>
          <w:p w14:paraId="2754C0D6" w14:textId="77777777" w:rsidR="002F6048" w:rsidRPr="006C5792" w:rsidRDefault="002F6048" w:rsidP="002F6048">
            <w:pPr>
              <w:spacing w:after="0" w:line="240" w:lineRule="auto"/>
              <w:rPr>
                <w:rFonts w:ascii="Arial Narrow" w:hAnsi="Arial Narrow" w:cs="Arial"/>
                <w:b/>
                <w:color w:val="2C9ADC"/>
                <w:sz w:val="20"/>
                <w:szCs w:val="18"/>
              </w:rPr>
            </w:pPr>
          </w:p>
        </w:tc>
        <w:tc>
          <w:tcPr>
            <w:tcW w:w="2427" w:type="pct"/>
            <w:tcBorders>
              <w:top w:val="nil"/>
              <w:left w:val="nil"/>
              <w:bottom w:val="single" w:sz="4" w:space="0" w:color="auto"/>
              <w:right w:val="nil"/>
            </w:tcBorders>
            <w:vAlign w:val="center"/>
            <w:hideMark/>
          </w:tcPr>
          <w:p w14:paraId="7976983F" w14:textId="77777777" w:rsidR="002F6048" w:rsidRPr="00170162" w:rsidRDefault="002F6048" w:rsidP="002F6048">
            <w:pPr>
              <w:pStyle w:val="Graf"/>
              <w:spacing w:after="0" w:line="240" w:lineRule="auto"/>
              <w:rPr>
                <w:rFonts w:cs="Arial"/>
                <w:color w:val="2C9ADC"/>
                <w:szCs w:val="18"/>
              </w:rPr>
            </w:pPr>
            <w:bookmarkStart w:id="45" w:name="_Toc480760505"/>
            <w:bookmarkStart w:id="46" w:name="_Toc509513324"/>
            <w:r w:rsidRPr="00310353">
              <w:rPr>
                <w:rFonts w:cs="Arial"/>
                <w:color w:val="2C9ADC"/>
                <w:szCs w:val="18"/>
              </w:rPr>
              <w:t xml:space="preserve">Graf </w:t>
            </w:r>
            <w:r w:rsidRPr="00310353">
              <w:rPr>
                <w:rFonts w:cs="Arial"/>
                <w:color w:val="2C9ADC"/>
                <w:szCs w:val="18"/>
              </w:rPr>
              <w:fldChar w:fldCharType="begin"/>
            </w:r>
            <w:r w:rsidRPr="00310353">
              <w:rPr>
                <w:rFonts w:cs="Arial"/>
                <w:color w:val="2C9ADC"/>
                <w:szCs w:val="18"/>
              </w:rPr>
              <w:instrText xml:space="preserve"> SEQ GRAF \* ARABIC </w:instrText>
            </w:r>
            <w:r w:rsidRPr="00310353">
              <w:rPr>
                <w:rFonts w:cs="Arial"/>
                <w:color w:val="2C9ADC"/>
                <w:szCs w:val="18"/>
              </w:rPr>
              <w:fldChar w:fldCharType="separate"/>
            </w:r>
            <w:r w:rsidR="00EE7207">
              <w:rPr>
                <w:rFonts w:cs="Arial"/>
                <w:noProof/>
                <w:color w:val="2C9ADC"/>
                <w:szCs w:val="18"/>
              </w:rPr>
              <w:t>12</w:t>
            </w:r>
            <w:r w:rsidRPr="00310353">
              <w:rPr>
                <w:rFonts w:cs="Arial"/>
                <w:color w:val="2C9ADC"/>
                <w:szCs w:val="18"/>
              </w:rPr>
              <w:fldChar w:fldCharType="end"/>
            </w:r>
            <w:r>
              <w:rPr>
                <w:rFonts w:cs="Arial"/>
                <w:color w:val="2C9ADC"/>
                <w:szCs w:val="18"/>
              </w:rPr>
              <w:t xml:space="preserve">: </w:t>
            </w:r>
            <w:r w:rsidRPr="00170162">
              <w:rPr>
                <w:rFonts w:cs="Arial"/>
                <w:color w:val="2C9ADC"/>
                <w:szCs w:val="18"/>
              </w:rPr>
              <w:t xml:space="preserve">Dlhodobá nezamestnanosť (v %, </w:t>
            </w:r>
            <w:r>
              <w:rPr>
                <w:rFonts w:cs="Arial"/>
                <w:color w:val="2C9ADC"/>
                <w:szCs w:val="18"/>
              </w:rPr>
              <w:t>3Q 2016, 3Q 2017</w:t>
            </w:r>
            <w:r w:rsidRPr="00170162">
              <w:rPr>
                <w:rFonts w:cs="Arial"/>
                <w:color w:val="2C9ADC"/>
                <w:szCs w:val="18"/>
              </w:rPr>
              <w:t>)</w:t>
            </w:r>
            <w:bookmarkEnd w:id="45"/>
            <w:bookmarkEnd w:id="46"/>
          </w:p>
        </w:tc>
      </w:tr>
      <w:tr w:rsidR="002F6048" w:rsidRPr="006C5792" w14:paraId="7370CC15" w14:textId="77777777" w:rsidTr="009D1400">
        <w:tblPrEx>
          <w:tblCellMar>
            <w:left w:w="108" w:type="dxa"/>
            <w:right w:w="108" w:type="dxa"/>
          </w:tblCellMar>
        </w:tblPrEx>
        <w:trPr>
          <w:trHeight w:val="2761"/>
          <w:jc w:val="center"/>
        </w:trPr>
        <w:tc>
          <w:tcPr>
            <w:tcW w:w="2444" w:type="pct"/>
            <w:tcBorders>
              <w:top w:val="single" w:sz="4" w:space="0" w:color="auto"/>
              <w:left w:val="nil"/>
              <w:bottom w:val="single" w:sz="4" w:space="0" w:color="auto"/>
              <w:right w:val="nil"/>
            </w:tcBorders>
          </w:tcPr>
          <w:p w14:paraId="1AE28E13" w14:textId="77777777" w:rsidR="002F6048" w:rsidRPr="006C5792" w:rsidRDefault="002F6048" w:rsidP="002F6048">
            <w:pPr>
              <w:spacing w:after="0" w:line="240" w:lineRule="auto"/>
              <w:jc w:val="center"/>
              <w:rPr>
                <w:rFonts w:ascii="Arial Narrow" w:hAnsi="Arial Narrow" w:cs="Arial"/>
                <w:b/>
                <w:sz w:val="20"/>
                <w:szCs w:val="20"/>
              </w:rPr>
            </w:pPr>
            <w:r>
              <w:rPr>
                <w:noProof/>
                <w:lang w:val="en-US" w:eastAsia="en-US"/>
              </w:rPr>
              <w:drawing>
                <wp:inline distT="0" distB="0" distL="0" distR="0" wp14:anchorId="60994986" wp14:editId="73A686EC">
                  <wp:extent cx="2600325" cy="1943100"/>
                  <wp:effectExtent l="0" t="0" r="0"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129" w:type="pct"/>
            <w:tcBorders>
              <w:top w:val="nil"/>
              <w:left w:val="nil"/>
              <w:bottom w:val="nil"/>
              <w:right w:val="nil"/>
            </w:tcBorders>
            <w:vAlign w:val="center"/>
          </w:tcPr>
          <w:p w14:paraId="00712933" w14:textId="77777777" w:rsidR="002F6048" w:rsidRPr="006C5792" w:rsidRDefault="002F6048" w:rsidP="002F6048">
            <w:pPr>
              <w:spacing w:after="0" w:line="240" w:lineRule="auto"/>
              <w:jc w:val="center"/>
              <w:rPr>
                <w:rFonts w:ascii="Arial Narrow" w:hAnsi="Arial Narrow" w:cs="Arial"/>
                <w:b/>
                <w:sz w:val="20"/>
                <w:szCs w:val="20"/>
              </w:rPr>
            </w:pPr>
          </w:p>
        </w:tc>
        <w:tc>
          <w:tcPr>
            <w:tcW w:w="2427" w:type="pct"/>
            <w:tcBorders>
              <w:top w:val="single" w:sz="4" w:space="0" w:color="auto"/>
              <w:left w:val="nil"/>
              <w:bottom w:val="single" w:sz="4" w:space="0" w:color="auto"/>
              <w:right w:val="nil"/>
            </w:tcBorders>
            <w:hideMark/>
          </w:tcPr>
          <w:p w14:paraId="10464925" w14:textId="77777777" w:rsidR="002F6048" w:rsidRPr="006C5792" w:rsidRDefault="002F6048" w:rsidP="002F6048">
            <w:pPr>
              <w:spacing w:after="0" w:line="240" w:lineRule="auto"/>
              <w:jc w:val="center"/>
              <w:rPr>
                <w:rFonts w:ascii="Arial Narrow" w:hAnsi="Arial Narrow" w:cs="Arial"/>
                <w:b/>
                <w:sz w:val="20"/>
                <w:szCs w:val="20"/>
              </w:rPr>
            </w:pPr>
            <w:r>
              <w:rPr>
                <w:noProof/>
                <w:lang w:val="en-US" w:eastAsia="en-US"/>
              </w:rPr>
              <w:drawing>
                <wp:inline distT="0" distB="0" distL="0" distR="0" wp14:anchorId="5693057E" wp14:editId="6146930E">
                  <wp:extent cx="2580640" cy="2028825"/>
                  <wp:effectExtent l="0" t="0" r="0" b="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2F6048" w:rsidRPr="006C5792" w14:paraId="6B3F37E2" w14:textId="77777777" w:rsidTr="009D1400">
        <w:trPr>
          <w:trHeight w:val="62"/>
          <w:jc w:val="center"/>
        </w:trPr>
        <w:tc>
          <w:tcPr>
            <w:tcW w:w="2444" w:type="pct"/>
            <w:tcBorders>
              <w:top w:val="single" w:sz="4" w:space="0" w:color="auto"/>
              <w:left w:val="nil"/>
              <w:bottom w:val="nil"/>
              <w:right w:val="nil"/>
            </w:tcBorders>
            <w:vAlign w:val="center"/>
          </w:tcPr>
          <w:p w14:paraId="49523D73" w14:textId="77777777" w:rsidR="002F6048" w:rsidRPr="00C83F39" w:rsidRDefault="002F6048" w:rsidP="002F6048">
            <w:pPr>
              <w:spacing w:after="120" w:line="240" w:lineRule="auto"/>
              <w:jc w:val="right"/>
              <w:rPr>
                <w:rFonts w:ascii="Arial Narrow" w:hAnsi="Arial Narrow" w:cs="Arial"/>
                <w:i/>
                <w:sz w:val="16"/>
                <w:szCs w:val="16"/>
              </w:rPr>
            </w:pPr>
            <w:r w:rsidRPr="00C83F39">
              <w:rPr>
                <w:rFonts w:ascii="Arial Narrow" w:hAnsi="Arial Narrow" w:cs="Arial Narrow"/>
                <w:i/>
                <w:iCs/>
                <w:color w:val="000000"/>
                <w:sz w:val="16"/>
                <w:szCs w:val="16"/>
              </w:rPr>
              <w:t xml:space="preserve">Zdroj: </w:t>
            </w:r>
            <w:proofErr w:type="spellStart"/>
            <w:r w:rsidRPr="00C83F39">
              <w:rPr>
                <w:rFonts w:ascii="Arial Narrow" w:hAnsi="Arial Narrow" w:cs="Arial Narrow"/>
                <w:i/>
                <w:iCs/>
                <w:color w:val="000000"/>
                <w:sz w:val="16"/>
                <w:szCs w:val="16"/>
              </w:rPr>
              <w:t>Eurostat</w:t>
            </w:r>
            <w:proofErr w:type="spellEnd"/>
            <w:r w:rsidR="00DA1C9E">
              <w:rPr>
                <w:rFonts w:ascii="Arial Narrow" w:hAnsi="Arial Narrow" w:cs="Arial Narrow"/>
                <w:i/>
                <w:iCs/>
                <w:color w:val="000000"/>
                <w:sz w:val="16"/>
                <w:szCs w:val="16"/>
              </w:rPr>
              <w:t xml:space="preserve"> (</w:t>
            </w:r>
            <w:proofErr w:type="spellStart"/>
            <w:r w:rsidR="00DA1C9E">
              <w:rPr>
                <w:rFonts w:ascii="Arial Narrow" w:hAnsi="Arial Narrow" w:cs="Arial Narrow"/>
                <w:i/>
                <w:iCs/>
                <w:color w:val="000000"/>
                <w:sz w:val="16"/>
                <w:szCs w:val="16"/>
              </w:rPr>
              <w:t>une_rt_q</w:t>
            </w:r>
            <w:proofErr w:type="spellEnd"/>
            <w:r w:rsidR="00DA1C9E">
              <w:rPr>
                <w:rFonts w:ascii="Arial Narrow" w:hAnsi="Arial Narrow" w:cs="Arial Narrow"/>
                <w:i/>
                <w:iCs/>
                <w:color w:val="000000"/>
                <w:sz w:val="16"/>
                <w:szCs w:val="16"/>
              </w:rPr>
              <w:t>)</w:t>
            </w:r>
            <w:r>
              <w:rPr>
                <w:rFonts w:ascii="Arial Narrow" w:hAnsi="Arial Narrow" w:cs="Arial Narrow"/>
                <w:i/>
                <w:iCs/>
                <w:color w:val="000000"/>
                <w:sz w:val="16"/>
                <w:szCs w:val="16"/>
              </w:rPr>
              <w:t>, ŠÚ SR</w:t>
            </w:r>
          </w:p>
        </w:tc>
        <w:tc>
          <w:tcPr>
            <w:tcW w:w="129" w:type="pct"/>
            <w:tcBorders>
              <w:top w:val="nil"/>
              <w:left w:val="nil"/>
              <w:bottom w:val="nil"/>
              <w:right w:val="nil"/>
            </w:tcBorders>
            <w:vAlign w:val="center"/>
          </w:tcPr>
          <w:p w14:paraId="730C31BA" w14:textId="77777777" w:rsidR="002F6048" w:rsidRPr="00C83F39" w:rsidRDefault="002F6048" w:rsidP="002F6048">
            <w:pPr>
              <w:spacing w:after="120" w:line="240" w:lineRule="auto"/>
              <w:jc w:val="center"/>
              <w:rPr>
                <w:rFonts w:ascii="Arial Narrow" w:hAnsi="Arial Narrow" w:cs="Arial"/>
                <w:i/>
                <w:sz w:val="16"/>
                <w:szCs w:val="16"/>
              </w:rPr>
            </w:pPr>
          </w:p>
        </w:tc>
        <w:tc>
          <w:tcPr>
            <w:tcW w:w="2427" w:type="pct"/>
            <w:tcBorders>
              <w:top w:val="single" w:sz="4" w:space="0" w:color="auto"/>
              <w:left w:val="nil"/>
              <w:bottom w:val="nil"/>
              <w:right w:val="nil"/>
            </w:tcBorders>
            <w:vAlign w:val="center"/>
          </w:tcPr>
          <w:p w14:paraId="35DC9B51" w14:textId="77777777" w:rsidR="002F6048" w:rsidRPr="00C83F39" w:rsidRDefault="002F6048" w:rsidP="002F6048">
            <w:pPr>
              <w:spacing w:after="120" w:line="240" w:lineRule="auto"/>
              <w:jc w:val="right"/>
              <w:rPr>
                <w:rFonts w:ascii="Arial Narrow" w:hAnsi="Arial Narrow" w:cs="Arial"/>
                <w:i/>
                <w:sz w:val="16"/>
                <w:szCs w:val="16"/>
              </w:rPr>
            </w:pPr>
            <w:r w:rsidRPr="00C83F39">
              <w:rPr>
                <w:rFonts w:ascii="Arial Narrow" w:hAnsi="Arial Narrow" w:cs="Arial Narrow"/>
                <w:i/>
                <w:iCs/>
                <w:color w:val="000000"/>
                <w:sz w:val="16"/>
                <w:szCs w:val="16"/>
              </w:rPr>
              <w:t xml:space="preserve">Zdroj: </w:t>
            </w:r>
            <w:proofErr w:type="spellStart"/>
            <w:r w:rsidRPr="00C83F39">
              <w:rPr>
                <w:rFonts w:ascii="Arial Narrow" w:hAnsi="Arial Narrow" w:cs="Arial Narrow"/>
                <w:i/>
                <w:iCs/>
                <w:color w:val="000000"/>
                <w:sz w:val="16"/>
                <w:szCs w:val="16"/>
              </w:rPr>
              <w:t>Eurosta</w:t>
            </w:r>
            <w:r w:rsidR="00DA1C9E">
              <w:rPr>
                <w:rFonts w:ascii="Arial Narrow" w:hAnsi="Arial Narrow" w:cs="Arial Narrow"/>
                <w:i/>
                <w:iCs/>
                <w:color w:val="000000"/>
                <w:sz w:val="16"/>
                <w:szCs w:val="16"/>
              </w:rPr>
              <w:t>t</w:t>
            </w:r>
            <w:proofErr w:type="spellEnd"/>
            <w:r w:rsidR="00DA1C9E">
              <w:rPr>
                <w:rFonts w:ascii="Arial Narrow" w:hAnsi="Arial Narrow" w:cs="Arial Narrow"/>
                <w:i/>
                <w:iCs/>
                <w:color w:val="000000"/>
                <w:sz w:val="16"/>
                <w:szCs w:val="16"/>
              </w:rPr>
              <w:t xml:space="preserve"> (</w:t>
            </w:r>
            <w:proofErr w:type="spellStart"/>
            <w:r w:rsidR="00DA1C9E">
              <w:rPr>
                <w:rFonts w:ascii="Arial Narrow" w:hAnsi="Arial Narrow" w:cs="Arial Narrow"/>
                <w:i/>
                <w:iCs/>
                <w:color w:val="000000"/>
                <w:sz w:val="16"/>
                <w:szCs w:val="16"/>
              </w:rPr>
              <w:t>une_ltu_q</w:t>
            </w:r>
            <w:proofErr w:type="spellEnd"/>
            <w:r w:rsidR="00DA1C9E">
              <w:rPr>
                <w:rFonts w:ascii="Arial Narrow" w:hAnsi="Arial Narrow" w:cs="Arial Narrow"/>
                <w:i/>
                <w:iCs/>
                <w:color w:val="000000"/>
                <w:sz w:val="16"/>
                <w:szCs w:val="16"/>
              </w:rPr>
              <w:t>)</w:t>
            </w:r>
            <w:r>
              <w:rPr>
                <w:rFonts w:ascii="Arial Narrow" w:hAnsi="Arial Narrow" w:cs="Arial Narrow"/>
                <w:i/>
                <w:iCs/>
                <w:color w:val="000000"/>
                <w:sz w:val="16"/>
                <w:szCs w:val="16"/>
              </w:rPr>
              <w:t>, ŠÚ SR</w:t>
            </w:r>
          </w:p>
        </w:tc>
      </w:tr>
    </w:tbl>
    <w:p w14:paraId="734FC18C" w14:textId="77777777" w:rsidR="0074167E" w:rsidRDefault="0074167E" w:rsidP="002F6048">
      <w:pPr>
        <w:spacing w:after="0" w:line="240" w:lineRule="auto"/>
        <w:contextualSpacing/>
        <w:jc w:val="both"/>
        <w:rPr>
          <w:rFonts w:ascii="Arial Narrow" w:hAnsi="Arial Narrow"/>
        </w:rPr>
      </w:pPr>
    </w:p>
    <w:p w14:paraId="55C12027" w14:textId="77777777" w:rsidR="002F6048" w:rsidRPr="00BB3A96" w:rsidRDefault="002F6048" w:rsidP="002F6048">
      <w:pPr>
        <w:spacing w:after="0" w:line="240" w:lineRule="auto"/>
        <w:contextualSpacing/>
        <w:jc w:val="both"/>
        <w:rPr>
          <w:rFonts w:ascii="Arial Narrow" w:hAnsi="Arial Narrow"/>
          <w:color w:val="000000" w:themeColor="text1"/>
        </w:rPr>
      </w:pPr>
      <w:r>
        <w:rPr>
          <w:rFonts w:ascii="Arial Narrow" w:hAnsi="Arial Narrow"/>
        </w:rPr>
        <w:t xml:space="preserve">Miera dlhodobej nezamestnanosti poklesla medziročne v treťom kvartáli </w:t>
      </w:r>
      <w:r w:rsidRPr="007811A9">
        <w:rPr>
          <w:rFonts w:ascii="Arial Narrow" w:hAnsi="Arial Narrow"/>
        </w:rPr>
        <w:t>2017 z 5,6 % na 4,</w:t>
      </w:r>
      <w:r>
        <w:rPr>
          <w:rFonts w:ascii="Arial Narrow" w:hAnsi="Arial Narrow"/>
        </w:rPr>
        <w:t xml:space="preserve">9 %. Podiel dlhodobo nezamestnaných na celkovom počte nezamestnaných však medziročne neklesal a </w:t>
      </w:r>
      <w:r w:rsidRPr="007811A9">
        <w:rPr>
          <w:rFonts w:ascii="Arial Narrow" w:hAnsi="Arial Narrow"/>
        </w:rPr>
        <w:t>predstavuje druhú najvyššiu hodnotu v rámci krajín EÚ</w:t>
      </w:r>
      <w:r>
        <w:rPr>
          <w:rFonts w:ascii="Arial Narrow" w:hAnsi="Arial Narrow"/>
        </w:rPr>
        <w:t xml:space="preserve"> (61,7 %), výrazne nad priemerom V3 a EÚ (34,5 % a 44,7 %). </w:t>
      </w:r>
      <w:r w:rsidRPr="00F605AA">
        <w:rPr>
          <w:rFonts w:ascii="Arial Narrow" w:hAnsi="Arial Narrow"/>
          <w:color w:val="000000" w:themeColor="text1"/>
        </w:rPr>
        <w:t xml:space="preserve">Dlhodobá nezamestnanosť </w:t>
      </w:r>
      <w:r>
        <w:rPr>
          <w:rFonts w:ascii="Arial Narrow" w:hAnsi="Arial Narrow"/>
          <w:color w:val="000000" w:themeColor="text1"/>
        </w:rPr>
        <w:t xml:space="preserve">tiež </w:t>
      </w:r>
      <w:r w:rsidRPr="00F605AA">
        <w:rPr>
          <w:rFonts w:ascii="Arial Narrow" w:hAnsi="Arial Narrow"/>
          <w:color w:val="000000" w:themeColor="text1"/>
        </w:rPr>
        <w:t>úzko súvisí</w:t>
      </w:r>
      <w:r>
        <w:rPr>
          <w:rFonts w:ascii="Arial Narrow" w:hAnsi="Arial Narrow"/>
          <w:color w:val="000000" w:themeColor="text1"/>
        </w:rPr>
        <w:t xml:space="preserve"> s kvalifikáciou nezamestnaných. Len 32 % rómskej populácie </w:t>
      </w:r>
      <w:r>
        <w:rPr>
          <w:rFonts w:ascii="Arial Narrow" w:hAnsi="Arial Narrow"/>
          <w:color w:val="000000" w:themeColor="text1"/>
        </w:rPr>
        <w:lastRenderedPageBreak/>
        <w:t xml:space="preserve">dosahuje stredoškolské a vyššie vzdelanie. </w:t>
      </w:r>
      <w:r w:rsidRPr="00005127">
        <w:rPr>
          <w:rFonts w:ascii="Arial Narrow" w:hAnsi="Arial Narrow"/>
          <w:color w:val="000000" w:themeColor="text1"/>
        </w:rPr>
        <w:t>Nízka kvalifikácia predstavuje výrazné bariéry na trhu</w:t>
      </w:r>
      <w:r>
        <w:rPr>
          <w:rFonts w:ascii="Arial Narrow" w:hAnsi="Arial Narrow"/>
          <w:color w:val="000000" w:themeColor="text1"/>
        </w:rPr>
        <w:t xml:space="preserve"> práce, keď m</w:t>
      </w:r>
      <w:r w:rsidRPr="00005127">
        <w:rPr>
          <w:rFonts w:ascii="Arial Narrow" w:hAnsi="Arial Narrow"/>
          <w:color w:val="000000" w:themeColor="text1"/>
        </w:rPr>
        <w:t xml:space="preserve">iera zamestnanosti Rómov výrazne zaostáva za </w:t>
      </w:r>
      <w:r>
        <w:rPr>
          <w:rFonts w:ascii="Arial Narrow" w:hAnsi="Arial Narrow"/>
          <w:color w:val="000000" w:themeColor="text1"/>
        </w:rPr>
        <w:t xml:space="preserve">zamestnanosťou </w:t>
      </w:r>
      <w:r w:rsidRPr="00005127">
        <w:rPr>
          <w:rFonts w:ascii="Arial Narrow" w:hAnsi="Arial Narrow"/>
          <w:color w:val="000000" w:themeColor="text1"/>
        </w:rPr>
        <w:t>celej populácie</w:t>
      </w:r>
      <w:r w:rsidRPr="00005127">
        <w:rPr>
          <w:rStyle w:val="Odkaznapoznmkupodiarou"/>
          <w:rFonts w:ascii="Arial Narrow" w:hAnsi="Arial Narrow"/>
          <w:color w:val="000000" w:themeColor="text1"/>
        </w:rPr>
        <w:footnoteReference w:id="32"/>
      </w:r>
      <w:r w:rsidRPr="00005127">
        <w:rPr>
          <w:rFonts w:ascii="Arial Narrow" w:hAnsi="Arial Narrow"/>
          <w:color w:val="000000" w:themeColor="text1"/>
        </w:rPr>
        <w:t>.</w:t>
      </w:r>
    </w:p>
    <w:p w14:paraId="6CFB6197" w14:textId="77777777" w:rsidR="002F6048" w:rsidRDefault="002F6048" w:rsidP="002F6048">
      <w:pPr>
        <w:spacing w:after="0" w:line="240" w:lineRule="auto"/>
        <w:jc w:val="both"/>
        <w:rPr>
          <w:rFonts w:ascii="Arial Narrow" w:hAnsi="Arial Narrow"/>
          <w:color w:val="000000" w:themeColor="text1"/>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114"/>
        <w:gridCol w:w="222"/>
        <w:gridCol w:w="4228"/>
      </w:tblGrid>
      <w:tr w:rsidR="002F6048" w:rsidRPr="006C5792" w14:paraId="6EBDCE19" w14:textId="77777777" w:rsidTr="002F6048">
        <w:trPr>
          <w:trHeight w:val="227"/>
          <w:jc w:val="center"/>
        </w:trPr>
        <w:tc>
          <w:tcPr>
            <w:tcW w:w="2613" w:type="pct"/>
            <w:tcBorders>
              <w:top w:val="nil"/>
              <w:left w:val="nil"/>
              <w:bottom w:val="single" w:sz="4" w:space="0" w:color="auto"/>
              <w:right w:val="nil"/>
            </w:tcBorders>
            <w:vAlign w:val="center"/>
            <w:hideMark/>
          </w:tcPr>
          <w:p w14:paraId="02DBCD81" w14:textId="77777777" w:rsidR="002F6048" w:rsidRPr="001F1B01" w:rsidRDefault="002F6048" w:rsidP="002F6048">
            <w:pPr>
              <w:pStyle w:val="Graf"/>
              <w:spacing w:after="0" w:line="240" w:lineRule="auto"/>
              <w:jc w:val="both"/>
              <w:rPr>
                <w:rFonts w:eastAsia="Times New Roman" w:cs="Times New Roman"/>
                <w:color w:val="2C9ADC"/>
                <w:szCs w:val="18"/>
                <w:lang w:eastAsia="sk-SK"/>
              </w:rPr>
            </w:pPr>
            <w:bookmarkStart w:id="47" w:name="_Toc509513325"/>
            <w:bookmarkStart w:id="48" w:name="_Toc480760506"/>
            <w:r>
              <w:rPr>
                <w:rFonts w:eastAsia="Times New Roman" w:cs="Times New Roman"/>
                <w:color w:val="2C9ADC"/>
                <w:szCs w:val="18"/>
                <w:lang w:eastAsia="sk-SK"/>
              </w:rPr>
              <w:t>Graf</w:t>
            </w:r>
            <w:r w:rsidRPr="00686F3A">
              <w:rPr>
                <w:rFonts w:eastAsia="Times New Roman" w:cs="Times New Roman"/>
                <w:color w:val="2C9ADC"/>
                <w:szCs w:val="18"/>
                <w:lang w:eastAsia="sk-SK"/>
              </w:rPr>
              <w:t xml:space="preserve"> </w:t>
            </w:r>
            <w:r w:rsidRPr="00686F3A">
              <w:rPr>
                <w:rFonts w:eastAsia="Times New Roman" w:cs="Times New Roman"/>
                <w:color w:val="2C9ADC"/>
                <w:szCs w:val="18"/>
                <w:lang w:eastAsia="sk-SK"/>
              </w:rPr>
              <w:fldChar w:fldCharType="begin"/>
            </w:r>
            <w:r w:rsidRPr="00686F3A">
              <w:rPr>
                <w:rFonts w:eastAsia="Times New Roman" w:cs="Times New Roman"/>
                <w:color w:val="2C9ADC"/>
                <w:szCs w:val="18"/>
                <w:lang w:eastAsia="sk-SK"/>
              </w:rPr>
              <w:instrText xml:space="preserve"> SEQ GRAF \* ARABIC </w:instrText>
            </w:r>
            <w:r w:rsidRPr="00686F3A">
              <w:rPr>
                <w:rFonts w:eastAsia="Times New Roman" w:cs="Times New Roman"/>
                <w:color w:val="2C9ADC"/>
                <w:szCs w:val="18"/>
                <w:lang w:eastAsia="sk-SK"/>
              </w:rPr>
              <w:fldChar w:fldCharType="separate"/>
            </w:r>
            <w:r w:rsidR="00EE7207">
              <w:rPr>
                <w:rFonts w:eastAsia="Times New Roman" w:cs="Times New Roman"/>
                <w:noProof/>
                <w:color w:val="2C9ADC"/>
                <w:szCs w:val="18"/>
                <w:lang w:eastAsia="sk-SK"/>
              </w:rPr>
              <w:t>13</w:t>
            </w:r>
            <w:r w:rsidRPr="00686F3A">
              <w:rPr>
                <w:rFonts w:eastAsia="Times New Roman" w:cs="Times New Roman"/>
                <w:color w:val="2C9ADC"/>
                <w:szCs w:val="18"/>
                <w:lang w:eastAsia="sk-SK"/>
              </w:rPr>
              <w:fldChar w:fldCharType="end"/>
            </w:r>
            <w:r w:rsidRPr="00686F3A">
              <w:rPr>
                <w:rFonts w:eastAsia="Times New Roman" w:cs="Times New Roman"/>
                <w:color w:val="2C9ADC"/>
                <w:szCs w:val="18"/>
                <w:lang w:eastAsia="sk-SK"/>
              </w:rPr>
              <w:t>:</w:t>
            </w:r>
            <w:r>
              <w:rPr>
                <w:rFonts w:cs="Arial"/>
                <w:color w:val="2C9ADC"/>
                <w:szCs w:val="18"/>
              </w:rPr>
              <w:t xml:space="preserve"> </w:t>
            </w:r>
            <w:proofErr w:type="spellStart"/>
            <w:r w:rsidRPr="001F1B01">
              <w:rPr>
                <w:rFonts w:eastAsia="Times New Roman" w:cs="Times New Roman"/>
                <w:color w:val="2C9ADC"/>
                <w:szCs w:val="18"/>
                <w:lang w:eastAsia="sk-SK"/>
              </w:rPr>
              <w:t>Nízkokvalifikovaná</w:t>
            </w:r>
            <w:proofErr w:type="spellEnd"/>
            <w:r w:rsidRPr="001F1B01">
              <w:rPr>
                <w:rFonts w:eastAsia="Times New Roman" w:cs="Times New Roman"/>
                <w:color w:val="2C9ADC"/>
                <w:szCs w:val="18"/>
                <w:lang w:eastAsia="sk-SK"/>
              </w:rPr>
              <w:t xml:space="preserve"> pracovná sila na trhu</w:t>
            </w:r>
            <w:bookmarkEnd w:id="47"/>
          </w:p>
          <w:p w14:paraId="456773DA" w14:textId="77777777" w:rsidR="002F6048" w:rsidRPr="001F1B01" w:rsidRDefault="002F6048" w:rsidP="002F6048">
            <w:pPr>
              <w:pStyle w:val="Graf"/>
              <w:spacing w:after="0" w:line="240" w:lineRule="auto"/>
              <w:jc w:val="both"/>
              <w:rPr>
                <w:rFonts w:eastAsia="Times New Roman" w:cs="Times New Roman"/>
                <w:color w:val="2C9ADC"/>
                <w:szCs w:val="18"/>
                <w:lang w:eastAsia="sk-SK"/>
              </w:rPr>
            </w:pPr>
            <w:r>
              <w:rPr>
                <w:rFonts w:eastAsia="Times New Roman" w:cs="Times New Roman"/>
                <w:color w:val="2C9ADC"/>
                <w:szCs w:val="18"/>
                <w:lang w:eastAsia="sk-SK"/>
              </w:rPr>
              <w:t>práce (%, 2016)</w:t>
            </w:r>
            <w:bookmarkEnd w:id="48"/>
          </w:p>
        </w:tc>
        <w:tc>
          <w:tcPr>
            <w:tcW w:w="130" w:type="pct"/>
            <w:tcBorders>
              <w:top w:val="nil"/>
              <w:left w:val="nil"/>
              <w:bottom w:val="nil"/>
              <w:right w:val="nil"/>
            </w:tcBorders>
            <w:vAlign w:val="center"/>
          </w:tcPr>
          <w:p w14:paraId="2CD44F8F" w14:textId="77777777" w:rsidR="002F6048" w:rsidRPr="006C5792" w:rsidRDefault="002F6048" w:rsidP="002F6048">
            <w:pPr>
              <w:spacing w:before="60" w:after="0" w:line="240" w:lineRule="auto"/>
              <w:rPr>
                <w:rFonts w:ascii="Arial Narrow" w:hAnsi="Arial Narrow" w:cs="Arial"/>
                <w:b/>
                <w:color w:val="2C9ADC"/>
                <w:sz w:val="20"/>
                <w:szCs w:val="18"/>
              </w:rPr>
            </w:pPr>
          </w:p>
        </w:tc>
        <w:tc>
          <w:tcPr>
            <w:tcW w:w="2257" w:type="pct"/>
            <w:tcBorders>
              <w:top w:val="nil"/>
              <w:left w:val="nil"/>
              <w:bottom w:val="single" w:sz="4" w:space="0" w:color="auto"/>
              <w:right w:val="nil"/>
            </w:tcBorders>
            <w:vAlign w:val="center"/>
            <w:hideMark/>
          </w:tcPr>
          <w:p w14:paraId="67FCF7DD" w14:textId="77777777" w:rsidR="002F6048" w:rsidRPr="00170162" w:rsidRDefault="002F6048" w:rsidP="002F6048">
            <w:pPr>
              <w:pStyle w:val="Graf"/>
              <w:spacing w:after="0" w:line="240" w:lineRule="auto"/>
              <w:rPr>
                <w:rFonts w:cs="Arial"/>
                <w:color w:val="2C9ADC"/>
                <w:szCs w:val="18"/>
              </w:rPr>
            </w:pPr>
            <w:bookmarkStart w:id="49" w:name="_Toc480760507"/>
            <w:bookmarkStart w:id="50" w:name="_Toc509513326"/>
            <w:r w:rsidRPr="00310353">
              <w:rPr>
                <w:rFonts w:cs="Arial"/>
                <w:color w:val="2C9ADC"/>
                <w:szCs w:val="18"/>
              </w:rPr>
              <w:t xml:space="preserve">Graf </w:t>
            </w:r>
            <w:r w:rsidRPr="00310353">
              <w:rPr>
                <w:rFonts w:cs="Arial"/>
                <w:color w:val="2C9ADC"/>
                <w:szCs w:val="18"/>
              </w:rPr>
              <w:fldChar w:fldCharType="begin"/>
            </w:r>
            <w:r w:rsidRPr="00310353">
              <w:rPr>
                <w:rFonts w:cs="Arial"/>
                <w:color w:val="2C9ADC"/>
                <w:szCs w:val="18"/>
              </w:rPr>
              <w:instrText xml:space="preserve"> SEQ GRAF \* ARABIC </w:instrText>
            </w:r>
            <w:r w:rsidRPr="00310353">
              <w:rPr>
                <w:rFonts w:cs="Arial"/>
                <w:color w:val="2C9ADC"/>
                <w:szCs w:val="18"/>
              </w:rPr>
              <w:fldChar w:fldCharType="separate"/>
            </w:r>
            <w:r w:rsidR="00EE7207">
              <w:rPr>
                <w:rFonts w:cs="Arial"/>
                <w:noProof/>
                <w:color w:val="2C9ADC"/>
                <w:szCs w:val="18"/>
              </w:rPr>
              <w:t>14</w:t>
            </w:r>
            <w:r w:rsidRPr="00310353">
              <w:rPr>
                <w:rFonts w:cs="Arial"/>
                <w:color w:val="2C9ADC"/>
                <w:szCs w:val="18"/>
              </w:rPr>
              <w:fldChar w:fldCharType="end"/>
            </w:r>
            <w:r>
              <w:rPr>
                <w:rFonts w:cs="Arial"/>
                <w:color w:val="2C9ADC"/>
                <w:szCs w:val="18"/>
              </w:rPr>
              <w:t xml:space="preserve">: </w:t>
            </w:r>
            <w:bookmarkEnd w:id="49"/>
            <w:r>
              <w:rPr>
                <w:rFonts w:cs="Arial"/>
                <w:color w:val="2C9ADC"/>
                <w:szCs w:val="18"/>
              </w:rPr>
              <w:t>Výsledky Rómov vo vzdelávaní a na trhu práce (2016)</w:t>
            </w:r>
            <w:bookmarkEnd w:id="50"/>
          </w:p>
        </w:tc>
      </w:tr>
      <w:tr w:rsidR="002F6048" w:rsidRPr="006C5792" w14:paraId="7F013371" w14:textId="77777777" w:rsidTr="002F6048">
        <w:tblPrEx>
          <w:tblCellMar>
            <w:left w:w="108" w:type="dxa"/>
            <w:right w:w="108" w:type="dxa"/>
          </w:tblCellMar>
        </w:tblPrEx>
        <w:trPr>
          <w:trHeight w:val="3042"/>
          <w:jc w:val="center"/>
        </w:trPr>
        <w:tc>
          <w:tcPr>
            <w:tcW w:w="2613" w:type="pct"/>
            <w:tcBorders>
              <w:top w:val="single" w:sz="4" w:space="0" w:color="auto"/>
              <w:left w:val="nil"/>
              <w:bottom w:val="single" w:sz="4" w:space="0" w:color="auto"/>
              <w:right w:val="nil"/>
            </w:tcBorders>
          </w:tcPr>
          <w:p w14:paraId="029875BE" w14:textId="77777777" w:rsidR="002F6048" w:rsidRPr="006C5792" w:rsidRDefault="002F6048" w:rsidP="002F6048">
            <w:pPr>
              <w:spacing w:before="40" w:after="0" w:line="240" w:lineRule="auto"/>
              <w:jc w:val="center"/>
              <w:rPr>
                <w:rFonts w:ascii="Arial Narrow" w:hAnsi="Arial Narrow" w:cs="Arial"/>
                <w:b/>
                <w:sz w:val="20"/>
                <w:szCs w:val="20"/>
              </w:rPr>
            </w:pPr>
            <w:r>
              <w:rPr>
                <w:noProof/>
                <w:lang w:val="en-US" w:eastAsia="en-US"/>
              </w:rPr>
              <w:drawing>
                <wp:inline distT="0" distB="0" distL="0" distR="0" wp14:anchorId="6B846995" wp14:editId="51D36FBD">
                  <wp:extent cx="2590800" cy="2314575"/>
                  <wp:effectExtent l="0" t="0" r="0" b="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130" w:type="pct"/>
            <w:tcBorders>
              <w:top w:val="nil"/>
              <w:left w:val="nil"/>
              <w:bottom w:val="nil"/>
              <w:right w:val="nil"/>
            </w:tcBorders>
            <w:vAlign w:val="center"/>
          </w:tcPr>
          <w:p w14:paraId="2DE9B9CA" w14:textId="77777777" w:rsidR="002F6048" w:rsidRPr="006C5792" w:rsidRDefault="002F6048" w:rsidP="002F6048">
            <w:pPr>
              <w:spacing w:before="40" w:after="0" w:line="240" w:lineRule="auto"/>
              <w:jc w:val="center"/>
              <w:rPr>
                <w:rFonts w:ascii="Arial Narrow" w:hAnsi="Arial Narrow" w:cs="Arial"/>
                <w:b/>
                <w:sz w:val="20"/>
                <w:szCs w:val="20"/>
              </w:rPr>
            </w:pPr>
          </w:p>
        </w:tc>
        <w:tc>
          <w:tcPr>
            <w:tcW w:w="2257" w:type="pct"/>
            <w:tcBorders>
              <w:top w:val="single" w:sz="4" w:space="0" w:color="auto"/>
              <w:left w:val="nil"/>
              <w:bottom w:val="single" w:sz="4" w:space="0" w:color="auto"/>
              <w:right w:val="nil"/>
            </w:tcBorders>
            <w:hideMark/>
          </w:tcPr>
          <w:p w14:paraId="7A8943F6" w14:textId="77777777" w:rsidR="002F6048" w:rsidRPr="006C5792" w:rsidRDefault="002F6048" w:rsidP="002F6048">
            <w:pPr>
              <w:spacing w:before="40" w:after="0" w:line="240" w:lineRule="auto"/>
              <w:jc w:val="center"/>
              <w:rPr>
                <w:rFonts w:ascii="Arial Narrow" w:hAnsi="Arial Narrow" w:cs="Arial"/>
                <w:b/>
                <w:sz w:val="20"/>
                <w:szCs w:val="20"/>
              </w:rPr>
            </w:pPr>
            <w:r>
              <w:rPr>
                <w:noProof/>
                <w:lang w:val="en-US" w:eastAsia="en-US"/>
              </w:rPr>
              <w:drawing>
                <wp:inline distT="0" distB="0" distL="0" distR="0" wp14:anchorId="3772942E" wp14:editId="41AB7F7A">
                  <wp:extent cx="2667000" cy="2314575"/>
                  <wp:effectExtent l="0" t="0" r="0" b="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2F6048" w:rsidRPr="006C5792" w14:paraId="6293A31E" w14:textId="77777777" w:rsidTr="002F6048">
        <w:trPr>
          <w:trHeight w:val="70"/>
          <w:jc w:val="center"/>
        </w:trPr>
        <w:tc>
          <w:tcPr>
            <w:tcW w:w="2613" w:type="pct"/>
            <w:tcBorders>
              <w:top w:val="single" w:sz="4" w:space="0" w:color="auto"/>
              <w:left w:val="nil"/>
              <w:bottom w:val="nil"/>
              <w:right w:val="nil"/>
            </w:tcBorders>
          </w:tcPr>
          <w:p w14:paraId="6C1F78A6" w14:textId="77777777" w:rsidR="002F6048" w:rsidRPr="00A92003" w:rsidRDefault="002F6048" w:rsidP="002F6048">
            <w:pPr>
              <w:spacing w:after="120" w:line="240" w:lineRule="auto"/>
              <w:jc w:val="right"/>
              <w:rPr>
                <w:rFonts w:ascii="Arial Narrow" w:hAnsi="Arial Narrow" w:cs="Arial"/>
                <w:i/>
                <w:sz w:val="16"/>
                <w:szCs w:val="16"/>
              </w:rPr>
            </w:pPr>
            <w:r w:rsidRPr="00A92003">
              <w:rPr>
                <w:rFonts w:ascii="Arial Narrow" w:hAnsi="Arial Narrow"/>
                <w:i/>
                <w:sz w:val="16"/>
                <w:szCs w:val="16"/>
              </w:rPr>
              <w:t xml:space="preserve">Zdroj: </w:t>
            </w:r>
            <w:proofErr w:type="spellStart"/>
            <w:r>
              <w:rPr>
                <w:rFonts w:ascii="Arial Narrow" w:hAnsi="Arial Narrow"/>
                <w:i/>
                <w:sz w:val="16"/>
                <w:szCs w:val="16"/>
              </w:rPr>
              <w:t>Eurostat</w:t>
            </w:r>
            <w:proofErr w:type="spellEnd"/>
            <w:r w:rsidR="00DA1C9E">
              <w:rPr>
                <w:rFonts w:ascii="Arial Narrow" w:hAnsi="Arial Narrow"/>
                <w:i/>
                <w:sz w:val="16"/>
                <w:szCs w:val="16"/>
              </w:rPr>
              <w:t xml:space="preserve"> (</w:t>
            </w:r>
            <w:proofErr w:type="spellStart"/>
            <w:r w:rsidR="00DA1C9E" w:rsidRPr="00DA1C9E">
              <w:rPr>
                <w:rFonts w:ascii="Arial Narrow" w:hAnsi="Arial Narrow"/>
                <w:i/>
                <w:sz w:val="16"/>
                <w:szCs w:val="16"/>
              </w:rPr>
              <w:t>lfsa_argaed</w:t>
            </w:r>
            <w:proofErr w:type="spellEnd"/>
            <w:r w:rsidR="00DA1C9E">
              <w:rPr>
                <w:rFonts w:ascii="Arial Narrow" w:hAnsi="Arial Narrow"/>
                <w:i/>
                <w:sz w:val="16"/>
                <w:szCs w:val="16"/>
              </w:rPr>
              <w:t>)</w:t>
            </w:r>
            <w:r>
              <w:rPr>
                <w:rFonts w:ascii="Arial Narrow" w:hAnsi="Arial Narrow"/>
                <w:i/>
                <w:sz w:val="16"/>
                <w:szCs w:val="16"/>
              </w:rPr>
              <w:t>, ŠÚ SR</w:t>
            </w:r>
          </w:p>
        </w:tc>
        <w:tc>
          <w:tcPr>
            <w:tcW w:w="130" w:type="pct"/>
            <w:tcBorders>
              <w:top w:val="nil"/>
              <w:left w:val="nil"/>
              <w:bottom w:val="nil"/>
              <w:right w:val="nil"/>
            </w:tcBorders>
          </w:tcPr>
          <w:p w14:paraId="0E64693A" w14:textId="77777777" w:rsidR="002F6048" w:rsidRPr="00A92003" w:rsidRDefault="002F6048" w:rsidP="002F6048">
            <w:pPr>
              <w:spacing w:after="120" w:line="240" w:lineRule="auto"/>
              <w:jc w:val="center"/>
              <w:rPr>
                <w:rFonts w:ascii="Arial Narrow" w:hAnsi="Arial Narrow" w:cs="Arial"/>
                <w:i/>
                <w:sz w:val="16"/>
                <w:szCs w:val="16"/>
              </w:rPr>
            </w:pPr>
          </w:p>
        </w:tc>
        <w:tc>
          <w:tcPr>
            <w:tcW w:w="2257" w:type="pct"/>
            <w:tcBorders>
              <w:top w:val="single" w:sz="4" w:space="0" w:color="auto"/>
              <w:left w:val="nil"/>
              <w:bottom w:val="nil"/>
              <w:right w:val="nil"/>
            </w:tcBorders>
          </w:tcPr>
          <w:p w14:paraId="3D257F5B" w14:textId="77777777" w:rsidR="002F6048" w:rsidRPr="00F6707C" w:rsidRDefault="002F6048" w:rsidP="002F6048">
            <w:pPr>
              <w:spacing w:after="120" w:line="240" w:lineRule="auto"/>
              <w:jc w:val="right"/>
              <w:rPr>
                <w:rFonts w:ascii="Arial Narrow" w:hAnsi="Arial Narrow" w:cs="Arial"/>
                <w:i/>
                <w:sz w:val="16"/>
                <w:szCs w:val="16"/>
              </w:rPr>
            </w:pPr>
            <w:r w:rsidRPr="00F6707C">
              <w:rPr>
                <w:rFonts w:ascii="Arial Narrow" w:hAnsi="Arial Narrow"/>
                <w:i/>
                <w:sz w:val="16"/>
                <w:szCs w:val="16"/>
              </w:rPr>
              <w:t xml:space="preserve">Zdroj: </w:t>
            </w:r>
            <w:hyperlink r:id="rId27" w:history="1">
              <w:r w:rsidRPr="00DA1C9E">
                <w:rPr>
                  <w:rStyle w:val="Hypertextovprepojenie"/>
                  <w:rFonts w:ascii="Arial Narrow" w:hAnsi="Arial Narrow"/>
                  <w:i/>
                  <w:color w:val="2C9ADC"/>
                  <w:sz w:val="16"/>
                  <w:szCs w:val="16"/>
                </w:rPr>
                <w:t>FRA, EU-MIDIS II (2016)</w:t>
              </w:r>
            </w:hyperlink>
            <w:r w:rsidRPr="00F6707C">
              <w:rPr>
                <w:rFonts w:ascii="Arial Narrow" w:hAnsi="Arial Narrow"/>
                <w:i/>
                <w:color w:val="000000"/>
                <w:sz w:val="16"/>
                <w:szCs w:val="16"/>
              </w:rPr>
              <w:t xml:space="preserve">, </w:t>
            </w:r>
            <w:proofErr w:type="spellStart"/>
            <w:r w:rsidRPr="00F6707C">
              <w:rPr>
                <w:rFonts w:ascii="Arial Narrow" w:hAnsi="Arial Narrow"/>
                <w:i/>
                <w:color w:val="000000"/>
                <w:sz w:val="16"/>
                <w:szCs w:val="16"/>
              </w:rPr>
              <w:t>Eurostat</w:t>
            </w:r>
            <w:proofErr w:type="spellEnd"/>
          </w:p>
        </w:tc>
      </w:tr>
    </w:tbl>
    <w:p w14:paraId="54E5A6AA" w14:textId="77777777" w:rsidR="002F6048" w:rsidRDefault="002F6048" w:rsidP="002F6048">
      <w:pPr>
        <w:spacing w:after="0" w:line="240" w:lineRule="auto"/>
        <w:jc w:val="both"/>
        <w:rPr>
          <w:rFonts w:ascii="Arial Narrow" w:hAnsi="Arial Narrow"/>
          <w:szCs w:val="36"/>
          <w:lang w:eastAsia="en-US"/>
        </w:rPr>
      </w:pPr>
    </w:p>
    <w:p w14:paraId="223D60DB" w14:textId="19208EFA" w:rsidR="0042313D" w:rsidRDefault="0042313D" w:rsidP="0042313D">
      <w:pPr>
        <w:spacing w:after="0" w:line="240" w:lineRule="auto"/>
        <w:contextualSpacing/>
        <w:jc w:val="both"/>
        <w:rPr>
          <w:rFonts w:ascii="Arial Narrow" w:hAnsi="Arial Narrow"/>
        </w:rPr>
      </w:pPr>
      <w:r w:rsidRPr="0042313D">
        <w:rPr>
          <w:rFonts w:ascii="Arial Narrow" w:hAnsi="Arial Narrow"/>
          <w:b/>
        </w:rPr>
        <w:t>Rozdiely v miere zamestnanosti medzi mužmi a ženami</w:t>
      </w:r>
      <w:r w:rsidRPr="00B41BB9">
        <w:rPr>
          <w:rFonts w:ascii="Arial Narrow" w:hAnsi="Arial Narrow"/>
        </w:rPr>
        <w:t xml:space="preserve"> sú na Slovensku naj</w:t>
      </w:r>
      <w:r w:rsidR="00B560FA">
        <w:rPr>
          <w:rFonts w:ascii="Arial Narrow" w:hAnsi="Arial Narrow"/>
        </w:rPr>
        <w:t>zreteľnejšie</w:t>
      </w:r>
      <w:r w:rsidRPr="00B41BB9">
        <w:rPr>
          <w:rFonts w:ascii="Arial Narrow" w:hAnsi="Arial Narrow"/>
        </w:rPr>
        <w:t xml:space="preserve"> pri starostlivosti o dieťa do 6 rokov, keď predstavujú až 45,2 p. b. (42,1 % ženy a 87,3 </w:t>
      </w:r>
      <w:r>
        <w:rPr>
          <w:rFonts w:ascii="Arial Narrow" w:hAnsi="Arial Narrow"/>
        </w:rPr>
        <w:t>% muži vo vekovej kategórii 15 až</w:t>
      </w:r>
      <w:r w:rsidRPr="00B41BB9">
        <w:rPr>
          <w:rFonts w:ascii="Arial Narrow" w:hAnsi="Arial Narrow"/>
        </w:rPr>
        <w:t xml:space="preserve"> 64 rokov), </w:t>
      </w:r>
      <w:r>
        <w:rPr>
          <w:rFonts w:ascii="Arial Narrow" w:hAnsi="Arial Narrow"/>
        </w:rPr>
        <w:t>pričom</w:t>
      </w:r>
      <w:r w:rsidR="00B560FA">
        <w:rPr>
          <w:rFonts w:ascii="Arial Narrow" w:hAnsi="Arial Narrow"/>
        </w:rPr>
        <w:t xml:space="preserve"> v krajinách</w:t>
      </w:r>
      <w:r>
        <w:rPr>
          <w:rFonts w:ascii="Arial Narrow" w:hAnsi="Arial Narrow"/>
        </w:rPr>
        <w:t xml:space="preserve"> EÚ </w:t>
      </w:r>
      <w:r w:rsidRPr="00B41BB9">
        <w:rPr>
          <w:rFonts w:ascii="Arial Narrow" w:hAnsi="Arial Narrow"/>
        </w:rPr>
        <w:t xml:space="preserve">je tento rozdiel </w:t>
      </w:r>
      <w:r w:rsidR="00B560FA">
        <w:rPr>
          <w:rFonts w:ascii="Arial Narrow" w:hAnsi="Arial Narrow"/>
        </w:rPr>
        <w:t xml:space="preserve">v priemere výrazne </w:t>
      </w:r>
      <w:r w:rsidRPr="00B41BB9">
        <w:rPr>
          <w:rFonts w:ascii="Arial Narrow" w:hAnsi="Arial Narrow"/>
        </w:rPr>
        <w:t>nižší (</w:t>
      </w:r>
      <w:r w:rsidR="00B560FA">
        <w:rPr>
          <w:rFonts w:ascii="Arial Narrow" w:hAnsi="Arial Narrow"/>
        </w:rPr>
        <w:t xml:space="preserve">len </w:t>
      </w:r>
      <w:r w:rsidRPr="00B41BB9">
        <w:rPr>
          <w:rFonts w:ascii="Arial Narrow" w:hAnsi="Arial Narrow"/>
        </w:rPr>
        <w:t>26,8 p. b.). Rozdiely sa znižujú s</w:t>
      </w:r>
      <w:r w:rsidR="008E3C49">
        <w:rPr>
          <w:rFonts w:ascii="Arial Narrow" w:hAnsi="Arial Narrow"/>
        </w:rPr>
        <w:t xml:space="preserve"> rastúcim </w:t>
      </w:r>
      <w:r w:rsidRPr="00B41BB9">
        <w:rPr>
          <w:rFonts w:ascii="Arial Narrow" w:hAnsi="Arial Narrow"/>
        </w:rPr>
        <w:t>vekom dieťaťa</w:t>
      </w:r>
      <w:r w:rsidR="008E3C49">
        <w:rPr>
          <w:rFonts w:ascii="Arial Narrow" w:hAnsi="Arial Narrow"/>
        </w:rPr>
        <w:t>.</w:t>
      </w:r>
      <w:r w:rsidRPr="00B41BB9">
        <w:rPr>
          <w:rFonts w:ascii="Arial Narrow" w:hAnsi="Arial Narrow"/>
        </w:rPr>
        <w:t xml:space="preserve"> </w:t>
      </w:r>
      <w:r w:rsidR="008E3C49">
        <w:rPr>
          <w:rFonts w:ascii="Arial Narrow" w:hAnsi="Arial Narrow"/>
        </w:rPr>
        <w:t>P</w:t>
      </w:r>
      <w:r w:rsidRPr="00B41BB9">
        <w:rPr>
          <w:rFonts w:ascii="Arial Narrow" w:hAnsi="Arial Narrow"/>
        </w:rPr>
        <w:t>ri st</w:t>
      </w:r>
      <w:r>
        <w:rPr>
          <w:rFonts w:ascii="Arial Narrow" w:hAnsi="Arial Narrow"/>
        </w:rPr>
        <w:t>arostlivosti o dieťa vo veku 6 až</w:t>
      </w:r>
      <w:r w:rsidRPr="00B41BB9">
        <w:rPr>
          <w:rFonts w:ascii="Arial Narrow" w:hAnsi="Arial Narrow"/>
        </w:rPr>
        <w:t xml:space="preserve"> 11 rokov je </w:t>
      </w:r>
      <w:r w:rsidR="00B560FA">
        <w:rPr>
          <w:rFonts w:ascii="Arial Narrow" w:hAnsi="Arial Narrow"/>
        </w:rPr>
        <w:t xml:space="preserve">už priemerný </w:t>
      </w:r>
      <w:r>
        <w:rPr>
          <w:rFonts w:ascii="Arial Narrow" w:hAnsi="Arial Narrow"/>
        </w:rPr>
        <w:t>rozdiel v</w:t>
      </w:r>
      <w:r w:rsidR="00B560FA">
        <w:rPr>
          <w:rFonts w:ascii="Arial Narrow" w:hAnsi="Arial Narrow"/>
        </w:rPr>
        <w:t xml:space="preserve"> rodovej </w:t>
      </w:r>
      <w:r>
        <w:rPr>
          <w:rFonts w:ascii="Arial Narrow" w:hAnsi="Arial Narrow"/>
        </w:rPr>
        <w:t xml:space="preserve">miere zamestnanosti </w:t>
      </w:r>
      <w:r w:rsidR="00B560FA">
        <w:rPr>
          <w:rFonts w:ascii="Arial Narrow" w:hAnsi="Arial Narrow"/>
        </w:rPr>
        <w:t>v krajinách EÚ vyšší</w:t>
      </w:r>
      <w:r w:rsidR="00781A40">
        <w:rPr>
          <w:rFonts w:ascii="Arial Narrow" w:hAnsi="Arial Narrow"/>
        </w:rPr>
        <w:t xml:space="preserve"> </w:t>
      </w:r>
      <w:r w:rsidR="00B560FA">
        <w:rPr>
          <w:rFonts w:ascii="Arial Narrow" w:hAnsi="Arial Narrow"/>
        </w:rPr>
        <w:t xml:space="preserve">než </w:t>
      </w:r>
      <w:r>
        <w:rPr>
          <w:rFonts w:ascii="Arial Narrow" w:hAnsi="Arial Narrow"/>
        </w:rPr>
        <w:t>na Slovensku (</w:t>
      </w:r>
      <w:r w:rsidR="00B560FA">
        <w:rPr>
          <w:rFonts w:ascii="Arial Narrow" w:hAnsi="Arial Narrow"/>
        </w:rPr>
        <w:t xml:space="preserve">15,3 </w:t>
      </w:r>
      <w:r>
        <w:rPr>
          <w:rFonts w:ascii="Arial Narrow" w:hAnsi="Arial Narrow"/>
        </w:rPr>
        <w:t xml:space="preserve">p. b. oproti </w:t>
      </w:r>
      <w:r w:rsidR="00B560FA">
        <w:rPr>
          <w:rFonts w:ascii="Arial Narrow" w:hAnsi="Arial Narrow"/>
        </w:rPr>
        <w:t>9,6</w:t>
      </w:r>
      <w:r w:rsidRPr="00B41BB9">
        <w:rPr>
          <w:rFonts w:ascii="Arial Narrow" w:hAnsi="Arial Narrow"/>
        </w:rPr>
        <w:t xml:space="preserve"> p. b.) a pri dieťati nad 12 rokov predstavuje rodový rozdiel v SR iba 2,3 p</w:t>
      </w:r>
      <w:r w:rsidR="001107F5">
        <w:rPr>
          <w:rFonts w:ascii="Arial Narrow" w:hAnsi="Arial Narrow"/>
        </w:rPr>
        <w:t>. b. (oproti 9,8 p. b. v EÚ</w:t>
      </w:r>
      <w:r>
        <w:rPr>
          <w:rFonts w:ascii="Arial Narrow" w:hAnsi="Arial Narrow"/>
        </w:rPr>
        <w:t>). Miera</w:t>
      </w:r>
      <w:r w:rsidRPr="00B41BB9">
        <w:rPr>
          <w:rFonts w:ascii="Arial Narrow" w:hAnsi="Arial Narrow"/>
        </w:rPr>
        <w:t xml:space="preserve"> zamestna</w:t>
      </w:r>
      <w:r>
        <w:rPr>
          <w:rFonts w:ascii="Arial Narrow" w:hAnsi="Arial Narrow"/>
        </w:rPr>
        <w:t>nosti žien bez detí vo veku 25 až</w:t>
      </w:r>
      <w:r w:rsidRPr="00B41BB9">
        <w:rPr>
          <w:rFonts w:ascii="Arial Narrow" w:hAnsi="Arial Narrow"/>
        </w:rPr>
        <w:t xml:space="preserve"> 54 rokov </w:t>
      </w:r>
      <w:r>
        <w:rPr>
          <w:rFonts w:ascii="Arial Narrow" w:hAnsi="Arial Narrow"/>
        </w:rPr>
        <w:t>je</w:t>
      </w:r>
      <w:r w:rsidR="008E3C49">
        <w:rPr>
          <w:rFonts w:ascii="Arial Narrow" w:hAnsi="Arial Narrow"/>
        </w:rPr>
        <w:t xml:space="preserve"> na</w:t>
      </w:r>
      <w:r>
        <w:rPr>
          <w:rFonts w:ascii="Arial Narrow" w:hAnsi="Arial Narrow"/>
        </w:rPr>
        <w:t xml:space="preserve"> Slovensku podobná mier</w:t>
      </w:r>
      <w:r w:rsidR="008E3C49">
        <w:rPr>
          <w:rFonts w:ascii="Arial Narrow" w:hAnsi="Arial Narrow"/>
        </w:rPr>
        <w:t>e</w:t>
      </w:r>
      <w:r>
        <w:rPr>
          <w:rFonts w:ascii="Arial Narrow" w:hAnsi="Arial Narrow"/>
        </w:rPr>
        <w:t xml:space="preserve"> zamestnanosti mužov (82,0 %) a </w:t>
      </w:r>
      <w:r w:rsidRPr="00B41BB9">
        <w:rPr>
          <w:rFonts w:ascii="Arial Narrow" w:hAnsi="Arial Narrow"/>
        </w:rPr>
        <w:t>prevyšuje mier</w:t>
      </w:r>
      <w:r>
        <w:rPr>
          <w:rFonts w:ascii="Arial Narrow" w:hAnsi="Arial Narrow"/>
        </w:rPr>
        <w:t xml:space="preserve">u zamestnanosti žien bez detí v krajinách EÚ </w:t>
      </w:r>
      <w:r w:rsidRPr="00B41BB9">
        <w:rPr>
          <w:rFonts w:ascii="Arial Narrow" w:hAnsi="Arial Narrow"/>
        </w:rPr>
        <w:t>(76,6 %)</w:t>
      </w:r>
      <w:r>
        <w:rPr>
          <w:rFonts w:ascii="Arial Narrow" w:hAnsi="Arial Narrow"/>
        </w:rPr>
        <w:t>.</w:t>
      </w:r>
    </w:p>
    <w:p w14:paraId="5759DBDD" w14:textId="77777777" w:rsidR="0042313D" w:rsidRDefault="0042313D" w:rsidP="002F6048">
      <w:pPr>
        <w:spacing w:after="0" w:line="240" w:lineRule="auto"/>
        <w:jc w:val="both"/>
        <w:rPr>
          <w:rFonts w:ascii="Arial Narrow" w:hAnsi="Arial Narrow"/>
          <w:b/>
          <w:szCs w:val="36"/>
          <w:lang w:eastAsia="en-US"/>
        </w:rPr>
      </w:pPr>
    </w:p>
    <w:p w14:paraId="3F104E1D" w14:textId="55A30C8C" w:rsidR="0042313D" w:rsidRDefault="0042313D" w:rsidP="002F6048">
      <w:pPr>
        <w:spacing w:after="0" w:line="240" w:lineRule="auto"/>
        <w:jc w:val="both"/>
        <w:rPr>
          <w:rFonts w:ascii="Arial Narrow" w:hAnsi="Arial Narrow"/>
          <w:szCs w:val="36"/>
          <w:lang w:eastAsia="en-US"/>
        </w:rPr>
      </w:pPr>
      <w:r w:rsidRPr="0042313D">
        <w:rPr>
          <w:rFonts w:ascii="Arial Narrow" w:hAnsi="Arial Narrow"/>
          <w:b/>
          <w:szCs w:val="36"/>
          <w:lang w:eastAsia="en-US"/>
        </w:rPr>
        <w:t>Miera rizika chudoby alebo sociálneho vylúčenia</w:t>
      </w:r>
      <w:r>
        <w:rPr>
          <w:rFonts w:ascii="Arial Narrow" w:hAnsi="Arial Narrow"/>
          <w:szCs w:val="36"/>
          <w:lang w:eastAsia="en-US"/>
        </w:rPr>
        <w:t xml:space="preserve"> </w:t>
      </w:r>
      <w:r w:rsidRPr="0042313D">
        <w:rPr>
          <w:rFonts w:ascii="Arial Narrow" w:hAnsi="Arial Narrow"/>
          <w:szCs w:val="36"/>
          <w:lang w:eastAsia="en-US"/>
        </w:rPr>
        <w:t>je na Slovensku pod priemerom EÚ – v roku 2016 dosiahla úroveň 18,1 %, pričom priemerná hodnota za celú EÚ v roku 2016 predstavovala 23,5 %. Vo vzťahu k národnému cieľu dochádza v súčasnosti k jeho naplneniu na cca 95 %, nakoľko za posledné zisťovanie je zrejmé, že sa podarilo z rizika chudoby alebo sociá</w:t>
      </w:r>
      <w:r>
        <w:rPr>
          <w:rFonts w:ascii="Arial Narrow" w:hAnsi="Arial Narrow"/>
          <w:szCs w:val="36"/>
          <w:lang w:eastAsia="en-US"/>
        </w:rPr>
        <w:t>lneho vylúčenia vymaniť 161 tisíc</w:t>
      </w:r>
      <w:r w:rsidRPr="0042313D">
        <w:rPr>
          <w:rFonts w:ascii="Arial Narrow" w:hAnsi="Arial Narrow"/>
          <w:szCs w:val="36"/>
          <w:lang w:eastAsia="en-US"/>
        </w:rPr>
        <w:t xml:space="preserve"> ľudí.</w:t>
      </w:r>
    </w:p>
    <w:p w14:paraId="6F9182E7" w14:textId="77777777" w:rsidR="0042313D" w:rsidRDefault="0042313D" w:rsidP="002F6048">
      <w:pPr>
        <w:spacing w:after="0" w:line="240" w:lineRule="auto"/>
        <w:jc w:val="both"/>
        <w:rPr>
          <w:rFonts w:ascii="Arial Narrow" w:hAnsi="Arial Narrow"/>
          <w:szCs w:val="36"/>
          <w:lang w:eastAsia="en-US"/>
        </w:rPr>
      </w:pPr>
    </w:p>
    <w:p w14:paraId="0937AFC3" w14:textId="02A1FF27" w:rsidR="00956B1D" w:rsidRDefault="002F6048" w:rsidP="002F6048">
      <w:pPr>
        <w:spacing w:after="0" w:line="240" w:lineRule="auto"/>
        <w:jc w:val="both"/>
        <w:rPr>
          <w:rFonts w:ascii="Arial Narrow" w:hAnsi="Arial Narrow"/>
          <w:szCs w:val="36"/>
          <w:lang w:eastAsia="en-US"/>
        </w:rPr>
      </w:pPr>
      <w:r>
        <w:rPr>
          <w:rFonts w:ascii="Arial Narrow" w:hAnsi="Arial Narrow"/>
          <w:szCs w:val="36"/>
          <w:lang w:eastAsia="en-US"/>
        </w:rPr>
        <w:t xml:space="preserve">Novú výzvu na trhu práce vo viacerých okresoch a sektoroch predstavuje </w:t>
      </w:r>
      <w:r w:rsidRPr="007421DC">
        <w:rPr>
          <w:rFonts w:ascii="Arial Narrow" w:hAnsi="Arial Narrow"/>
          <w:b/>
          <w:szCs w:val="36"/>
          <w:lang w:eastAsia="en-US"/>
        </w:rPr>
        <w:t>nedostatok kvalifikovanej pracovnej sily</w:t>
      </w:r>
      <w:r>
        <w:rPr>
          <w:rFonts w:ascii="Arial Narrow" w:hAnsi="Arial Narrow"/>
          <w:szCs w:val="36"/>
          <w:lang w:eastAsia="en-US"/>
        </w:rPr>
        <w:t xml:space="preserve">. </w:t>
      </w:r>
      <w:r w:rsidRPr="004A09E4">
        <w:rPr>
          <w:rFonts w:ascii="Arial Narrow" w:hAnsi="Arial Narrow"/>
          <w:szCs w:val="36"/>
          <w:lang w:eastAsia="en-US"/>
        </w:rPr>
        <w:t xml:space="preserve">Pri miere nezamestnanosti </w:t>
      </w:r>
      <w:r w:rsidR="001107F5">
        <w:rPr>
          <w:rFonts w:ascii="Arial Narrow" w:hAnsi="Arial Narrow"/>
          <w:szCs w:val="36"/>
          <w:lang w:eastAsia="en-US"/>
        </w:rPr>
        <w:t xml:space="preserve">na historicky nízkych </w:t>
      </w:r>
      <w:r>
        <w:rPr>
          <w:rFonts w:ascii="Arial Narrow" w:hAnsi="Arial Narrow"/>
          <w:szCs w:val="36"/>
          <w:lang w:eastAsia="en-US"/>
        </w:rPr>
        <w:t xml:space="preserve">hodnotách </w:t>
      </w:r>
      <w:r w:rsidR="00241033">
        <w:rPr>
          <w:rFonts w:ascii="Arial Narrow" w:hAnsi="Arial Narrow"/>
          <w:szCs w:val="36"/>
          <w:lang w:eastAsia="en-US"/>
        </w:rPr>
        <w:t>zamestnávatelia</w:t>
      </w:r>
      <w:r w:rsidR="00E8629C">
        <w:rPr>
          <w:rFonts w:ascii="Arial Narrow" w:hAnsi="Arial Narrow"/>
          <w:szCs w:val="36"/>
          <w:lang w:eastAsia="en-US"/>
        </w:rPr>
        <w:t xml:space="preserve"> </w:t>
      </w:r>
      <w:r w:rsidRPr="004A09E4">
        <w:rPr>
          <w:rFonts w:ascii="Arial Narrow" w:hAnsi="Arial Narrow"/>
          <w:szCs w:val="36"/>
          <w:lang w:eastAsia="en-US"/>
        </w:rPr>
        <w:t>v niektorých regiónoch a</w:t>
      </w:r>
      <w:r>
        <w:rPr>
          <w:rFonts w:ascii="Arial Narrow" w:hAnsi="Arial Narrow"/>
          <w:szCs w:val="36"/>
          <w:lang w:eastAsia="en-US"/>
        </w:rPr>
        <w:t xml:space="preserve"> sektoroch </w:t>
      </w:r>
      <w:r w:rsidR="00241033">
        <w:rPr>
          <w:rFonts w:ascii="Arial Narrow" w:hAnsi="Arial Narrow"/>
          <w:szCs w:val="36"/>
          <w:lang w:eastAsia="en-US"/>
        </w:rPr>
        <w:t>čelia</w:t>
      </w:r>
      <w:r w:rsidR="00241033" w:rsidRPr="004A09E4">
        <w:rPr>
          <w:rFonts w:ascii="Arial Narrow" w:hAnsi="Arial Narrow"/>
          <w:szCs w:val="36"/>
          <w:lang w:eastAsia="en-US"/>
        </w:rPr>
        <w:t xml:space="preserve"> </w:t>
      </w:r>
      <w:r w:rsidR="001D0C4F">
        <w:rPr>
          <w:rFonts w:ascii="Arial Narrow" w:hAnsi="Arial Narrow"/>
          <w:szCs w:val="36"/>
          <w:lang w:eastAsia="en-US"/>
        </w:rPr>
        <w:t>ťažkostiam</w:t>
      </w:r>
      <w:r>
        <w:rPr>
          <w:rFonts w:ascii="Arial Narrow" w:hAnsi="Arial Narrow"/>
          <w:szCs w:val="36"/>
          <w:lang w:eastAsia="en-US"/>
        </w:rPr>
        <w:t xml:space="preserve"> pri získavaní </w:t>
      </w:r>
      <w:r w:rsidRPr="004A09E4">
        <w:rPr>
          <w:rFonts w:ascii="Arial Narrow" w:hAnsi="Arial Narrow"/>
          <w:szCs w:val="36"/>
          <w:lang w:eastAsia="en-US"/>
        </w:rPr>
        <w:t>kvalifikovanej pracovnej sily a tlak</w:t>
      </w:r>
      <w:r w:rsidR="00241033">
        <w:rPr>
          <w:rFonts w:ascii="Arial Narrow" w:hAnsi="Arial Narrow"/>
          <w:szCs w:val="36"/>
          <w:lang w:eastAsia="en-US"/>
        </w:rPr>
        <w:t>u</w:t>
      </w:r>
      <w:r w:rsidRPr="004A09E4">
        <w:rPr>
          <w:rFonts w:ascii="Arial Narrow" w:hAnsi="Arial Narrow"/>
          <w:szCs w:val="36"/>
          <w:lang w:eastAsia="en-US"/>
        </w:rPr>
        <w:t xml:space="preserve"> na rýchlejší rast miezd. Počty voľných pracovných miest na úradoch práce dosahujú historické maximá pri klesajúcej nezamestnanosti.</w:t>
      </w:r>
      <w:r>
        <w:rPr>
          <w:rFonts w:ascii="Arial Narrow" w:hAnsi="Arial Narrow"/>
          <w:szCs w:val="36"/>
          <w:lang w:eastAsia="en-US"/>
        </w:rPr>
        <w:t xml:space="preserve"> </w:t>
      </w:r>
      <w:r w:rsidRPr="004A09E4">
        <w:rPr>
          <w:rFonts w:ascii="Arial Narrow" w:hAnsi="Arial Narrow"/>
          <w:szCs w:val="36"/>
          <w:lang w:eastAsia="en-US"/>
        </w:rPr>
        <w:t xml:space="preserve">Podľa </w:t>
      </w:r>
      <w:r>
        <w:rPr>
          <w:rFonts w:ascii="Arial Narrow" w:hAnsi="Arial Narrow"/>
          <w:szCs w:val="36"/>
          <w:lang w:eastAsia="en-US"/>
        </w:rPr>
        <w:t xml:space="preserve">konjunkturálneho prieskumu v priemysle </w:t>
      </w:r>
      <w:r w:rsidRPr="004A09E4">
        <w:rPr>
          <w:rFonts w:ascii="Arial Narrow" w:hAnsi="Arial Narrow"/>
          <w:szCs w:val="36"/>
          <w:lang w:eastAsia="en-US"/>
        </w:rPr>
        <w:t>bol nedostatok zamestnancov ako obmedzujúci faktor výroby označený historicky najväčším počtom zamestnávateľov</w:t>
      </w:r>
      <w:r w:rsidRPr="004A09E4">
        <w:rPr>
          <w:rStyle w:val="Odkaznapoznmkupodiarou"/>
          <w:rFonts w:ascii="Arial Narrow" w:hAnsi="Arial Narrow"/>
          <w:szCs w:val="36"/>
          <w:lang w:eastAsia="en-US"/>
        </w:rPr>
        <w:footnoteReference w:id="33"/>
      </w:r>
      <w:r w:rsidRPr="004A09E4">
        <w:rPr>
          <w:rFonts w:ascii="Arial Narrow" w:hAnsi="Arial Narrow"/>
          <w:szCs w:val="36"/>
          <w:lang w:eastAsia="en-US"/>
        </w:rPr>
        <w:t xml:space="preserve">. </w:t>
      </w:r>
    </w:p>
    <w:p w14:paraId="7393B002" w14:textId="77777777" w:rsidR="00956B1D" w:rsidRDefault="00956B1D">
      <w:pPr>
        <w:spacing w:after="0" w:line="240" w:lineRule="auto"/>
        <w:rPr>
          <w:rFonts w:ascii="Arial Narrow" w:hAnsi="Arial Narrow"/>
          <w:szCs w:val="36"/>
          <w:lang w:eastAsia="en-US"/>
        </w:rPr>
      </w:pPr>
      <w:r>
        <w:rPr>
          <w:rFonts w:ascii="Arial Narrow" w:hAnsi="Arial Narrow"/>
          <w:szCs w:val="36"/>
          <w:lang w:eastAsia="en-US"/>
        </w:rPr>
        <w:br w:type="page"/>
      </w:r>
    </w:p>
    <w:p w14:paraId="385E83D0" w14:textId="77777777" w:rsidR="002F6048" w:rsidRPr="00421437" w:rsidRDefault="002F6048" w:rsidP="002F6048">
      <w:pPr>
        <w:spacing w:after="0" w:line="240" w:lineRule="auto"/>
        <w:jc w:val="both"/>
        <w:rPr>
          <w:rFonts w:ascii="Arial Narrow" w:hAnsi="Arial Narrow"/>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251"/>
        <w:gridCol w:w="222"/>
        <w:gridCol w:w="4091"/>
      </w:tblGrid>
      <w:tr w:rsidR="002F6048" w:rsidRPr="006C5792" w14:paraId="630650F7" w14:textId="77777777" w:rsidTr="002F6048">
        <w:trPr>
          <w:trHeight w:val="227"/>
          <w:jc w:val="center"/>
        </w:trPr>
        <w:tc>
          <w:tcPr>
            <w:tcW w:w="2613" w:type="pct"/>
            <w:tcBorders>
              <w:top w:val="nil"/>
              <w:left w:val="nil"/>
              <w:bottom w:val="single" w:sz="4" w:space="0" w:color="auto"/>
              <w:right w:val="nil"/>
            </w:tcBorders>
            <w:vAlign w:val="center"/>
            <w:hideMark/>
          </w:tcPr>
          <w:p w14:paraId="1CF39057" w14:textId="77777777" w:rsidR="002F6048" w:rsidRPr="001F1B01" w:rsidRDefault="002F6048" w:rsidP="002F6048">
            <w:pPr>
              <w:pStyle w:val="Graf"/>
              <w:spacing w:after="0" w:line="240" w:lineRule="auto"/>
              <w:jc w:val="both"/>
              <w:rPr>
                <w:rFonts w:eastAsia="Times New Roman" w:cs="Times New Roman"/>
                <w:color w:val="2C9ADC"/>
                <w:szCs w:val="18"/>
                <w:lang w:eastAsia="sk-SK"/>
              </w:rPr>
            </w:pPr>
            <w:bookmarkStart w:id="51" w:name="_Toc480760508"/>
            <w:bookmarkStart w:id="52" w:name="_Toc509513327"/>
            <w:r>
              <w:rPr>
                <w:rFonts w:eastAsia="Times New Roman" w:cs="Times New Roman"/>
                <w:color w:val="2C9ADC"/>
                <w:szCs w:val="18"/>
                <w:lang w:eastAsia="sk-SK"/>
              </w:rPr>
              <w:t>Graf</w:t>
            </w:r>
            <w:r w:rsidRPr="00686F3A">
              <w:rPr>
                <w:rFonts w:eastAsia="Times New Roman" w:cs="Times New Roman"/>
                <w:color w:val="2C9ADC"/>
                <w:szCs w:val="18"/>
                <w:lang w:eastAsia="sk-SK"/>
              </w:rPr>
              <w:t xml:space="preserve"> </w:t>
            </w:r>
            <w:r w:rsidRPr="00686F3A">
              <w:rPr>
                <w:rFonts w:eastAsia="Times New Roman" w:cs="Times New Roman"/>
                <w:color w:val="2C9ADC"/>
                <w:szCs w:val="18"/>
                <w:lang w:eastAsia="sk-SK"/>
              </w:rPr>
              <w:fldChar w:fldCharType="begin"/>
            </w:r>
            <w:r w:rsidRPr="00686F3A">
              <w:rPr>
                <w:rFonts w:eastAsia="Times New Roman" w:cs="Times New Roman"/>
                <w:color w:val="2C9ADC"/>
                <w:szCs w:val="18"/>
                <w:lang w:eastAsia="sk-SK"/>
              </w:rPr>
              <w:instrText xml:space="preserve"> SEQ GRAF \* ARABIC </w:instrText>
            </w:r>
            <w:r w:rsidRPr="00686F3A">
              <w:rPr>
                <w:rFonts w:eastAsia="Times New Roman" w:cs="Times New Roman"/>
                <w:color w:val="2C9ADC"/>
                <w:szCs w:val="18"/>
                <w:lang w:eastAsia="sk-SK"/>
              </w:rPr>
              <w:fldChar w:fldCharType="separate"/>
            </w:r>
            <w:r w:rsidR="00EE7207">
              <w:rPr>
                <w:rFonts w:eastAsia="Times New Roman" w:cs="Times New Roman"/>
                <w:noProof/>
                <w:color w:val="2C9ADC"/>
                <w:szCs w:val="18"/>
                <w:lang w:eastAsia="sk-SK"/>
              </w:rPr>
              <w:t>15</w:t>
            </w:r>
            <w:r w:rsidRPr="00686F3A">
              <w:rPr>
                <w:rFonts w:eastAsia="Times New Roman" w:cs="Times New Roman"/>
                <w:color w:val="2C9ADC"/>
                <w:szCs w:val="18"/>
                <w:lang w:eastAsia="sk-SK"/>
              </w:rPr>
              <w:fldChar w:fldCharType="end"/>
            </w:r>
            <w:r w:rsidRPr="00686F3A">
              <w:rPr>
                <w:rFonts w:eastAsia="Times New Roman" w:cs="Times New Roman"/>
                <w:color w:val="2C9ADC"/>
                <w:szCs w:val="18"/>
                <w:lang w:eastAsia="sk-SK"/>
              </w:rPr>
              <w:t>:</w:t>
            </w:r>
            <w:r w:rsidRPr="006C5792">
              <w:t xml:space="preserve"> </w:t>
            </w:r>
            <w:bookmarkEnd w:id="51"/>
            <w:r w:rsidRPr="00BB3A96">
              <w:rPr>
                <w:rFonts w:eastAsia="Times New Roman" w:cs="Times New Roman"/>
                <w:color w:val="2C9ADC"/>
                <w:szCs w:val="18"/>
                <w:lang w:eastAsia="sk-SK"/>
              </w:rPr>
              <w:t>Vzťah miery nezamestnanosti a voľných pracovných miest v čase (</w:t>
            </w:r>
            <w:proofErr w:type="spellStart"/>
            <w:r w:rsidRPr="00BB3A96">
              <w:rPr>
                <w:rFonts w:eastAsia="Times New Roman" w:cs="Times New Roman"/>
                <w:color w:val="2C9ADC"/>
                <w:szCs w:val="18"/>
                <w:lang w:eastAsia="sk-SK"/>
              </w:rPr>
              <w:t>Beveridgova</w:t>
            </w:r>
            <w:proofErr w:type="spellEnd"/>
            <w:r w:rsidRPr="00BB3A96">
              <w:rPr>
                <w:rFonts w:eastAsia="Times New Roman" w:cs="Times New Roman"/>
                <w:color w:val="2C9ADC"/>
                <w:szCs w:val="18"/>
                <w:lang w:eastAsia="sk-SK"/>
              </w:rPr>
              <w:t xml:space="preserve"> krivka)</w:t>
            </w:r>
            <w:bookmarkEnd w:id="52"/>
          </w:p>
        </w:tc>
        <w:tc>
          <w:tcPr>
            <w:tcW w:w="130" w:type="pct"/>
            <w:tcBorders>
              <w:top w:val="nil"/>
              <w:left w:val="nil"/>
              <w:bottom w:val="nil"/>
              <w:right w:val="nil"/>
            </w:tcBorders>
            <w:vAlign w:val="center"/>
          </w:tcPr>
          <w:p w14:paraId="46F521E9" w14:textId="77777777" w:rsidR="002F6048" w:rsidRPr="006C5792" w:rsidRDefault="002F6048" w:rsidP="002F6048">
            <w:pPr>
              <w:spacing w:before="60" w:after="0" w:line="240" w:lineRule="auto"/>
              <w:rPr>
                <w:rFonts w:ascii="Arial Narrow" w:hAnsi="Arial Narrow" w:cs="Arial"/>
                <w:b/>
                <w:color w:val="2C9ADC"/>
                <w:sz w:val="20"/>
                <w:szCs w:val="18"/>
              </w:rPr>
            </w:pPr>
          </w:p>
        </w:tc>
        <w:tc>
          <w:tcPr>
            <w:tcW w:w="2257" w:type="pct"/>
            <w:tcBorders>
              <w:top w:val="nil"/>
              <w:left w:val="nil"/>
              <w:bottom w:val="single" w:sz="4" w:space="0" w:color="auto"/>
              <w:right w:val="nil"/>
            </w:tcBorders>
            <w:vAlign w:val="center"/>
            <w:hideMark/>
          </w:tcPr>
          <w:p w14:paraId="4522CC59" w14:textId="77777777" w:rsidR="002F6048" w:rsidRPr="004263EC" w:rsidRDefault="002F6048" w:rsidP="002F6048">
            <w:pPr>
              <w:pStyle w:val="Graf"/>
              <w:spacing w:after="0" w:line="240" w:lineRule="auto"/>
              <w:rPr>
                <w:rFonts w:cs="Arial"/>
                <w:color w:val="2C9ADC"/>
                <w:szCs w:val="20"/>
              </w:rPr>
            </w:pPr>
            <w:bookmarkStart w:id="53" w:name="_Toc480760509"/>
            <w:bookmarkStart w:id="54" w:name="_Toc509513328"/>
            <w:r w:rsidRPr="004263EC">
              <w:rPr>
                <w:rFonts w:cs="Arial"/>
                <w:color w:val="2C9ADC"/>
                <w:szCs w:val="20"/>
              </w:rPr>
              <w:t xml:space="preserve">Graf </w:t>
            </w:r>
            <w:r w:rsidRPr="004263EC">
              <w:rPr>
                <w:rFonts w:cs="Arial"/>
                <w:color w:val="2C9ADC"/>
                <w:szCs w:val="20"/>
              </w:rPr>
              <w:fldChar w:fldCharType="begin"/>
            </w:r>
            <w:r w:rsidRPr="004263EC">
              <w:rPr>
                <w:rFonts w:cs="Arial"/>
                <w:color w:val="2C9ADC"/>
                <w:szCs w:val="20"/>
              </w:rPr>
              <w:instrText xml:space="preserve"> SEQ GRAF \* ARABIC </w:instrText>
            </w:r>
            <w:r w:rsidRPr="004263EC">
              <w:rPr>
                <w:rFonts w:cs="Arial"/>
                <w:color w:val="2C9ADC"/>
                <w:szCs w:val="20"/>
              </w:rPr>
              <w:fldChar w:fldCharType="separate"/>
            </w:r>
            <w:r w:rsidR="00EE7207">
              <w:rPr>
                <w:rFonts w:cs="Arial"/>
                <w:noProof/>
                <w:color w:val="2C9ADC"/>
                <w:szCs w:val="20"/>
              </w:rPr>
              <w:t>16</w:t>
            </w:r>
            <w:r w:rsidRPr="004263EC">
              <w:rPr>
                <w:rFonts w:cs="Arial"/>
                <w:color w:val="2C9ADC"/>
                <w:szCs w:val="20"/>
              </w:rPr>
              <w:fldChar w:fldCharType="end"/>
            </w:r>
            <w:r w:rsidRPr="004263EC">
              <w:rPr>
                <w:rFonts w:cs="Arial"/>
                <w:color w:val="2C9ADC"/>
                <w:szCs w:val="20"/>
              </w:rPr>
              <w:t>: Indikátory prehrievania trhu práce (normalizované v %)</w:t>
            </w:r>
            <w:bookmarkEnd w:id="53"/>
            <w:r w:rsidR="00C366F8">
              <w:rPr>
                <w:rStyle w:val="Odkaznapoznmkupodiarou"/>
                <w:rFonts w:cs="Arial"/>
                <w:color w:val="2C9ADC"/>
                <w:szCs w:val="20"/>
              </w:rPr>
              <w:footnoteReference w:id="34"/>
            </w:r>
            <w:bookmarkEnd w:id="54"/>
          </w:p>
        </w:tc>
      </w:tr>
      <w:tr w:rsidR="002F6048" w:rsidRPr="006C5792" w14:paraId="64D40A3C" w14:textId="77777777" w:rsidTr="002F6048">
        <w:tblPrEx>
          <w:tblCellMar>
            <w:left w:w="108" w:type="dxa"/>
            <w:right w:w="108" w:type="dxa"/>
          </w:tblCellMar>
        </w:tblPrEx>
        <w:trPr>
          <w:trHeight w:val="3042"/>
          <w:jc w:val="center"/>
        </w:trPr>
        <w:tc>
          <w:tcPr>
            <w:tcW w:w="2613" w:type="pct"/>
            <w:tcBorders>
              <w:top w:val="single" w:sz="4" w:space="0" w:color="auto"/>
              <w:left w:val="nil"/>
              <w:bottom w:val="single" w:sz="4" w:space="0" w:color="auto"/>
              <w:right w:val="nil"/>
            </w:tcBorders>
          </w:tcPr>
          <w:p w14:paraId="045CFD62" w14:textId="77777777" w:rsidR="002F6048" w:rsidRPr="006C5792" w:rsidRDefault="002F6048" w:rsidP="002F6048">
            <w:pPr>
              <w:spacing w:before="40" w:after="0" w:line="240" w:lineRule="auto"/>
              <w:jc w:val="center"/>
              <w:rPr>
                <w:rFonts w:ascii="Arial Narrow" w:hAnsi="Arial Narrow" w:cs="Arial"/>
                <w:b/>
                <w:sz w:val="20"/>
                <w:szCs w:val="20"/>
              </w:rPr>
            </w:pPr>
            <w:r>
              <w:rPr>
                <w:noProof/>
                <w:lang w:val="en-US" w:eastAsia="en-US"/>
              </w:rPr>
              <w:drawing>
                <wp:inline distT="0" distB="0" distL="0" distR="0" wp14:anchorId="6B465232" wp14:editId="68346A51">
                  <wp:extent cx="2638425" cy="2114550"/>
                  <wp:effectExtent l="0" t="0" r="0" b="0"/>
                  <wp:docPr id="41" name="Graf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130" w:type="pct"/>
            <w:tcBorders>
              <w:top w:val="nil"/>
              <w:left w:val="nil"/>
              <w:bottom w:val="nil"/>
              <w:right w:val="nil"/>
            </w:tcBorders>
            <w:vAlign w:val="center"/>
          </w:tcPr>
          <w:p w14:paraId="7E71506B" w14:textId="77777777" w:rsidR="002F6048" w:rsidRPr="006C5792" w:rsidRDefault="002F6048" w:rsidP="002F6048">
            <w:pPr>
              <w:spacing w:before="40" w:after="0" w:line="240" w:lineRule="auto"/>
              <w:jc w:val="center"/>
              <w:rPr>
                <w:rFonts w:ascii="Arial Narrow" w:hAnsi="Arial Narrow" w:cs="Arial"/>
                <w:b/>
                <w:sz w:val="20"/>
                <w:szCs w:val="20"/>
              </w:rPr>
            </w:pPr>
          </w:p>
        </w:tc>
        <w:tc>
          <w:tcPr>
            <w:tcW w:w="2257" w:type="pct"/>
            <w:tcBorders>
              <w:top w:val="single" w:sz="4" w:space="0" w:color="auto"/>
              <w:left w:val="nil"/>
              <w:bottom w:val="single" w:sz="4" w:space="0" w:color="auto"/>
              <w:right w:val="nil"/>
            </w:tcBorders>
            <w:hideMark/>
          </w:tcPr>
          <w:p w14:paraId="5C27256F" w14:textId="77777777" w:rsidR="002F6048" w:rsidRPr="006C5792" w:rsidRDefault="002F6048" w:rsidP="002F6048">
            <w:pPr>
              <w:spacing w:before="40" w:after="0" w:line="240" w:lineRule="auto"/>
              <w:jc w:val="center"/>
              <w:rPr>
                <w:rFonts w:ascii="Arial Narrow" w:hAnsi="Arial Narrow" w:cs="Arial"/>
                <w:b/>
                <w:sz w:val="20"/>
                <w:szCs w:val="20"/>
              </w:rPr>
            </w:pPr>
            <w:r>
              <w:rPr>
                <w:noProof/>
                <w:lang w:val="en-US" w:eastAsia="en-US"/>
              </w:rPr>
              <w:drawing>
                <wp:inline distT="0" distB="0" distL="0" distR="0" wp14:anchorId="4B83180A" wp14:editId="7F3E20AE">
                  <wp:extent cx="2533650" cy="2162175"/>
                  <wp:effectExtent l="0" t="0" r="0" b="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2F6048" w:rsidRPr="006C5792" w14:paraId="6BCB3F28" w14:textId="77777777" w:rsidTr="002F6048">
        <w:trPr>
          <w:trHeight w:val="70"/>
          <w:jc w:val="center"/>
        </w:trPr>
        <w:tc>
          <w:tcPr>
            <w:tcW w:w="2613" w:type="pct"/>
            <w:tcBorders>
              <w:top w:val="single" w:sz="4" w:space="0" w:color="auto"/>
              <w:left w:val="nil"/>
              <w:bottom w:val="single" w:sz="4" w:space="0" w:color="auto"/>
              <w:right w:val="nil"/>
            </w:tcBorders>
            <w:vAlign w:val="center"/>
          </w:tcPr>
          <w:p w14:paraId="359983C1" w14:textId="77777777" w:rsidR="002F6048" w:rsidRPr="00C83F39" w:rsidRDefault="002F6048" w:rsidP="002F6048">
            <w:pPr>
              <w:spacing w:after="120" w:line="240" w:lineRule="auto"/>
              <w:jc w:val="right"/>
              <w:rPr>
                <w:rFonts w:ascii="Arial Narrow" w:hAnsi="Arial Narrow" w:cs="Arial"/>
                <w:i/>
                <w:sz w:val="16"/>
                <w:szCs w:val="16"/>
              </w:rPr>
            </w:pPr>
            <w:r w:rsidRPr="00C83F39">
              <w:rPr>
                <w:rFonts w:ascii="Arial Narrow" w:hAnsi="Arial Narrow" w:cs="Arial Narrow"/>
                <w:i/>
                <w:iCs/>
                <w:color w:val="000000"/>
                <w:sz w:val="16"/>
                <w:szCs w:val="16"/>
              </w:rPr>
              <w:t xml:space="preserve">Zdroj: </w:t>
            </w:r>
            <w:r>
              <w:rPr>
                <w:rFonts w:ascii="Arial Narrow" w:hAnsi="Arial Narrow" w:cs="Arial Narrow"/>
                <w:i/>
                <w:iCs/>
                <w:color w:val="000000"/>
                <w:sz w:val="16"/>
                <w:szCs w:val="16"/>
              </w:rPr>
              <w:t>IPF podľa údajov ÚPSVR</w:t>
            </w:r>
          </w:p>
        </w:tc>
        <w:tc>
          <w:tcPr>
            <w:tcW w:w="130" w:type="pct"/>
            <w:tcBorders>
              <w:top w:val="nil"/>
              <w:left w:val="nil"/>
              <w:bottom w:val="nil"/>
              <w:right w:val="nil"/>
            </w:tcBorders>
            <w:vAlign w:val="center"/>
          </w:tcPr>
          <w:p w14:paraId="5D60426D" w14:textId="77777777" w:rsidR="002F6048" w:rsidRPr="00C83F39" w:rsidRDefault="002F6048" w:rsidP="002F6048">
            <w:pPr>
              <w:spacing w:after="120" w:line="240" w:lineRule="auto"/>
              <w:jc w:val="center"/>
              <w:rPr>
                <w:rFonts w:ascii="Arial Narrow" w:hAnsi="Arial Narrow" w:cs="Arial"/>
                <w:i/>
                <w:sz w:val="16"/>
                <w:szCs w:val="16"/>
              </w:rPr>
            </w:pPr>
          </w:p>
        </w:tc>
        <w:tc>
          <w:tcPr>
            <w:tcW w:w="2257" w:type="pct"/>
            <w:tcBorders>
              <w:top w:val="single" w:sz="4" w:space="0" w:color="auto"/>
              <w:left w:val="nil"/>
              <w:bottom w:val="single" w:sz="4" w:space="0" w:color="auto"/>
              <w:right w:val="nil"/>
            </w:tcBorders>
            <w:vAlign w:val="center"/>
          </w:tcPr>
          <w:p w14:paraId="50E13C18" w14:textId="77777777" w:rsidR="002F6048" w:rsidRPr="00C83F39" w:rsidRDefault="002F6048" w:rsidP="002F6048">
            <w:pPr>
              <w:spacing w:after="120" w:line="240" w:lineRule="auto"/>
              <w:jc w:val="right"/>
              <w:rPr>
                <w:rFonts w:ascii="Arial Narrow" w:hAnsi="Arial Narrow" w:cs="Arial"/>
                <w:i/>
                <w:sz w:val="16"/>
                <w:szCs w:val="16"/>
              </w:rPr>
            </w:pPr>
            <w:r w:rsidRPr="00C83F39">
              <w:rPr>
                <w:rFonts w:ascii="Arial Narrow" w:hAnsi="Arial Narrow" w:cs="Arial Narrow"/>
                <w:i/>
                <w:iCs/>
                <w:color w:val="000000"/>
                <w:sz w:val="16"/>
                <w:szCs w:val="16"/>
              </w:rPr>
              <w:t xml:space="preserve">Zdroj: </w:t>
            </w:r>
            <w:r>
              <w:rPr>
                <w:rFonts w:ascii="Arial Narrow" w:hAnsi="Arial Narrow" w:cs="Arial Narrow"/>
                <w:i/>
                <w:iCs/>
                <w:color w:val="000000"/>
                <w:sz w:val="16"/>
                <w:szCs w:val="16"/>
              </w:rPr>
              <w:t>IFP podľa údajov ŠÚ SR, ÚPSVR</w:t>
            </w:r>
          </w:p>
        </w:tc>
      </w:tr>
      <w:tr w:rsidR="002F6048" w:rsidRPr="006C5792" w14:paraId="7A64591F" w14:textId="77777777" w:rsidTr="002F6048">
        <w:trPr>
          <w:trHeight w:val="70"/>
          <w:jc w:val="center"/>
        </w:trPr>
        <w:tc>
          <w:tcPr>
            <w:tcW w:w="2613" w:type="pct"/>
            <w:tcBorders>
              <w:top w:val="single" w:sz="4" w:space="0" w:color="auto"/>
              <w:left w:val="nil"/>
              <w:bottom w:val="nil"/>
              <w:right w:val="nil"/>
            </w:tcBorders>
            <w:vAlign w:val="center"/>
          </w:tcPr>
          <w:p w14:paraId="6F42C495" w14:textId="77777777" w:rsidR="002F6048" w:rsidRPr="00C83F39" w:rsidRDefault="002F6048" w:rsidP="002F6048">
            <w:pPr>
              <w:spacing w:after="120" w:line="240" w:lineRule="auto"/>
              <w:jc w:val="right"/>
              <w:rPr>
                <w:rFonts w:ascii="Arial Narrow" w:hAnsi="Arial Narrow" w:cs="Arial Narrow"/>
                <w:i/>
                <w:iCs/>
                <w:color w:val="000000"/>
                <w:sz w:val="16"/>
                <w:szCs w:val="16"/>
              </w:rPr>
            </w:pPr>
          </w:p>
        </w:tc>
        <w:tc>
          <w:tcPr>
            <w:tcW w:w="130" w:type="pct"/>
            <w:tcBorders>
              <w:top w:val="nil"/>
              <w:left w:val="nil"/>
              <w:bottom w:val="nil"/>
              <w:right w:val="nil"/>
            </w:tcBorders>
            <w:vAlign w:val="center"/>
          </w:tcPr>
          <w:p w14:paraId="6F7C8D6C" w14:textId="77777777" w:rsidR="002F6048" w:rsidRPr="00C83F39" w:rsidRDefault="002F6048" w:rsidP="002F6048">
            <w:pPr>
              <w:spacing w:after="120" w:line="240" w:lineRule="auto"/>
              <w:jc w:val="center"/>
              <w:rPr>
                <w:rFonts w:ascii="Arial Narrow" w:hAnsi="Arial Narrow" w:cs="Arial"/>
                <w:i/>
                <w:sz w:val="16"/>
                <w:szCs w:val="16"/>
              </w:rPr>
            </w:pPr>
          </w:p>
        </w:tc>
        <w:tc>
          <w:tcPr>
            <w:tcW w:w="2257" w:type="pct"/>
            <w:tcBorders>
              <w:top w:val="single" w:sz="4" w:space="0" w:color="auto"/>
              <w:left w:val="nil"/>
              <w:bottom w:val="nil"/>
              <w:right w:val="nil"/>
            </w:tcBorders>
            <w:vAlign w:val="center"/>
          </w:tcPr>
          <w:p w14:paraId="184A6DD6" w14:textId="77777777" w:rsidR="002F6048" w:rsidRPr="00C83F39" w:rsidRDefault="002F6048" w:rsidP="002F6048">
            <w:pPr>
              <w:spacing w:after="120" w:line="240" w:lineRule="auto"/>
              <w:jc w:val="right"/>
              <w:rPr>
                <w:rFonts w:ascii="Arial Narrow" w:hAnsi="Arial Narrow" w:cs="Arial Narrow"/>
                <w:i/>
                <w:iCs/>
                <w:color w:val="000000"/>
                <w:sz w:val="16"/>
                <w:szCs w:val="16"/>
              </w:rPr>
            </w:pPr>
          </w:p>
        </w:tc>
      </w:tr>
    </w:tbl>
    <w:p w14:paraId="2F33B8C8" w14:textId="0865AB02" w:rsidR="00BA764C" w:rsidRPr="00132EA3" w:rsidRDefault="00A07D0A" w:rsidP="0056687D">
      <w:pPr>
        <w:pStyle w:val="Textpoznmkypodiarou"/>
        <w:jc w:val="both"/>
        <w:rPr>
          <w:rFonts w:ascii="Arial Narrow" w:hAnsi="Arial Narrow"/>
          <w:bCs/>
          <w:sz w:val="22"/>
        </w:rPr>
      </w:pPr>
      <w:r w:rsidRPr="00132EA3">
        <w:rPr>
          <w:rFonts w:ascii="Arial Narrow" w:hAnsi="Arial Narrow"/>
          <w:b/>
          <w:bCs/>
          <w:sz w:val="22"/>
        </w:rPr>
        <w:t>Nedostatok pracovnej sily začína mierne kompenzovať pozitívna migrácia.</w:t>
      </w:r>
      <w:r w:rsidRPr="00132EA3">
        <w:rPr>
          <w:rFonts w:ascii="Arial Narrow" w:hAnsi="Arial Narrow"/>
          <w:bCs/>
          <w:sz w:val="22"/>
        </w:rPr>
        <w:t xml:space="preserve"> V roku 2016 na Slovensko podľa údajov zdravotného poistenia prišlo viac ľudí ako z neho odišlo. Pozitívne migračné saldo sme naposledy zaznamenali v krízovom roku 2009. Rastie počet vracajúcich sa Slovákov aj prichádzajúcich nových </w:t>
      </w:r>
      <w:r w:rsidR="00132EA3" w:rsidRPr="00132EA3">
        <w:rPr>
          <w:rFonts w:ascii="Arial Narrow" w:hAnsi="Arial Narrow"/>
          <w:bCs/>
          <w:sz w:val="22"/>
        </w:rPr>
        <w:t>cudzincov. V porovnaní s EÚ a V3</w:t>
      </w:r>
      <w:r w:rsidRPr="00132EA3">
        <w:rPr>
          <w:rFonts w:ascii="Arial Narrow" w:hAnsi="Arial Narrow"/>
          <w:bCs/>
          <w:sz w:val="22"/>
        </w:rPr>
        <w:t xml:space="preserve"> je však cudzincov prichádzajúcich na Slovensko stále oveľa menej. Cudzinci prichádzajú hlavne do regiónov s nedostatkom pracovnej sily a poukazujú tak na nedostatočnú mobilitu domácej pracovnej sily.</w:t>
      </w:r>
    </w:p>
    <w:p w14:paraId="398A85BD" w14:textId="77777777" w:rsidR="00E41197" w:rsidRDefault="00E41197" w:rsidP="0056687D">
      <w:pPr>
        <w:pStyle w:val="Textpoznmkypodiarou"/>
        <w:jc w:val="both"/>
        <w:rPr>
          <w:rFonts w:ascii="Arial Narrow" w:hAnsi="Arial Narrow"/>
          <w:b/>
          <w:sz w:val="22"/>
          <w:szCs w:val="22"/>
        </w:rPr>
      </w:pPr>
    </w:p>
    <w:tbl>
      <w:tblPr>
        <w:tblW w:w="4966"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153"/>
        <w:gridCol w:w="250"/>
        <w:gridCol w:w="4103"/>
      </w:tblGrid>
      <w:tr w:rsidR="00BA764C" w:rsidRPr="000C1762" w14:paraId="71CE5401" w14:textId="77777777" w:rsidTr="00400DA9">
        <w:trPr>
          <w:trHeight w:val="361"/>
          <w:jc w:val="center"/>
        </w:trPr>
        <w:tc>
          <w:tcPr>
            <w:tcW w:w="2441" w:type="pct"/>
            <w:tcBorders>
              <w:top w:val="nil"/>
              <w:left w:val="nil"/>
              <w:bottom w:val="single" w:sz="4" w:space="0" w:color="auto"/>
              <w:right w:val="nil"/>
            </w:tcBorders>
            <w:shd w:val="clear" w:color="auto" w:fill="auto"/>
            <w:vAlign w:val="center"/>
          </w:tcPr>
          <w:p w14:paraId="78DD3B85" w14:textId="5E6361B0" w:rsidR="00BA764C" w:rsidRPr="00B51EA5" w:rsidRDefault="00BA764C" w:rsidP="00BA764C">
            <w:pPr>
              <w:spacing w:after="0" w:line="240" w:lineRule="auto"/>
              <w:rPr>
                <w:rFonts w:ascii="Arial Narrow" w:hAnsi="Arial Narrow" w:cs="Arial"/>
                <w:b/>
                <w:color w:val="2C9ADC"/>
                <w:sz w:val="20"/>
                <w:szCs w:val="20"/>
              </w:rPr>
            </w:pPr>
            <w:bookmarkStart w:id="55" w:name="_Toc509513329"/>
            <w:r w:rsidRPr="00B51EA5">
              <w:rPr>
                <w:rFonts w:ascii="Arial Narrow" w:hAnsi="Arial Narrow"/>
                <w:b/>
                <w:color w:val="2C9ADC"/>
                <w:sz w:val="20"/>
                <w:szCs w:val="20"/>
              </w:rPr>
              <w:t xml:space="preserve">Graf </w:t>
            </w:r>
            <w:r w:rsidRPr="00B51EA5">
              <w:rPr>
                <w:rFonts w:ascii="Arial Narrow" w:hAnsi="Arial Narrow"/>
                <w:b/>
                <w:color w:val="2C9ADC"/>
                <w:sz w:val="20"/>
                <w:szCs w:val="20"/>
              </w:rPr>
              <w:fldChar w:fldCharType="begin"/>
            </w:r>
            <w:r w:rsidRPr="00B51EA5">
              <w:rPr>
                <w:rFonts w:ascii="Arial Narrow" w:hAnsi="Arial Narrow"/>
                <w:b/>
                <w:color w:val="2C9ADC"/>
                <w:sz w:val="20"/>
                <w:szCs w:val="20"/>
              </w:rPr>
              <w:instrText xml:space="preserve"> SEQ GRAF \* ARABIC </w:instrText>
            </w:r>
            <w:r w:rsidRPr="00B51EA5">
              <w:rPr>
                <w:rFonts w:ascii="Arial Narrow" w:hAnsi="Arial Narrow"/>
                <w:b/>
                <w:color w:val="2C9ADC"/>
                <w:sz w:val="20"/>
                <w:szCs w:val="20"/>
              </w:rPr>
              <w:fldChar w:fldCharType="separate"/>
            </w:r>
            <w:r w:rsidR="00EE7207">
              <w:rPr>
                <w:rFonts w:ascii="Arial Narrow" w:hAnsi="Arial Narrow"/>
                <w:b/>
                <w:noProof/>
                <w:color w:val="2C9ADC"/>
                <w:sz w:val="20"/>
                <w:szCs w:val="20"/>
              </w:rPr>
              <w:t>17</w:t>
            </w:r>
            <w:r w:rsidRPr="00B51EA5">
              <w:rPr>
                <w:rFonts w:ascii="Arial Narrow" w:hAnsi="Arial Narrow"/>
                <w:b/>
                <w:color w:val="2C9ADC"/>
                <w:sz w:val="20"/>
                <w:szCs w:val="20"/>
              </w:rPr>
              <w:fldChar w:fldCharType="end"/>
            </w:r>
            <w:r w:rsidRPr="00B51EA5">
              <w:rPr>
                <w:rFonts w:ascii="Arial Narrow" w:hAnsi="Arial Narrow"/>
                <w:b/>
                <w:color w:val="2C9ADC"/>
                <w:sz w:val="20"/>
                <w:szCs w:val="20"/>
              </w:rPr>
              <w:t>:</w:t>
            </w:r>
            <w:r w:rsidRPr="00B51EA5">
              <w:rPr>
                <w:rFonts w:ascii="Arial Narrow" w:hAnsi="Arial Narrow"/>
                <w:b/>
                <w:sz w:val="20"/>
                <w:szCs w:val="20"/>
              </w:rPr>
              <w:t xml:space="preserve"> </w:t>
            </w:r>
            <w:r w:rsidRPr="00B51EA5">
              <w:rPr>
                <w:rFonts w:ascii="Arial Narrow" w:hAnsi="Arial Narrow" w:cs="Arial"/>
                <w:b/>
                <w:color w:val="2C9ADC"/>
                <w:sz w:val="20"/>
                <w:szCs w:val="20"/>
              </w:rPr>
              <w:t>Čistá zmena spôso</w:t>
            </w:r>
            <w:r>
              <w:rPr>
                <w:rFonts w:ascii="Arial Narrow" w:hAnsi="Arial Narrow" w:cs="Arial"/>
                <w:b/>
                <w:color w:val="2C9ADC"/>
                <w:sz w:val="20"/>
                <w:szCs w:val="20"/>
              </w:rPr>
              <w:t xml:space="preserve">bená migráciou (podľa pôvodu, </w:t>
            </w:r>
            <w:r w:rsidRPr="00B51EA5">
              <w:rPr>
                <w:rFonts w:ascii="Arial Narrow" w:hAnsi="Arial Narrow" w:cs="Arial"/>
                <w:b/>
                <w:color w:val="2C9ADC"/>
                <w:sz w:val="20"/>
                <w:szCs w:val="20"/>
              </w:rPr>
              <w:t>tis. osôb)</w:t>
            </w:r>
            <w:bookmarkEnd w:id="55"/>
            <w:r w:rsidR="00306734">
              <w:rPr>
                <w:rStyle w:val="Odkaznapoznmkupodiarou"/>
                <w:rFonts w:ascii="Arial Narrow" w:hAnsi="Arial Narrow" w:cs="Arial"/>
                <w:b/>
                <w:color w:val="2C9ADC"/>
                <w:sz w:val="20"/>
                <w:szCs w:val="20"/>
              </w:rPr>
              <w:footnoteReference w:id="35"/>
            </w:r>
          </w:p>
        </w:tc>
        <w:tc>
          <w:tcPr>
            <w:tcW w:w="147" w:type="pct"/>
            <w:tcBorders>
              <w:top w:val="nil"/>
              <w:left w:val="nil"/>
              <w:bottom w:val="nil"/>
              <w:right w:val="nil"/>
            </w:tcBorders>
            <w:shd w:val="clear" w:color="auto" w:fill="auto"/>
            <w:vAlign w:val="center"/>
          </w:tcPr>
          <w:p w14:paraId="5A4163E3" w14:textId="77777777" w:rsidR="00BA764C" w:rsidRPr="00B51EA5" w:rsidRDefault="00BA764C" w:rsidP="00BA764C">
            <w:pPr>
              <w:spacing w:after="0" w:line="240" w:lineRule="auto"/>
              <w:rPr>
                <w:rFonts w:ascii="Arial Narrow" w:hAnsi="Arial Narrow" w:cs="Arial"/>
                <w:b/>
                <w:color w:val="2C9ADC"/>
                <w:sz w:val="20"/>
                <w:szCs w:val="18"/>
              </w:rPr>
            </w:pPr>
          </w:p>
        </w:tc>
        <w:tc>
          <w:tcPr>
            <w:tcW w:w="2412" w:type="pct"/>
            <w:tcBorders>
              <w:top w:val="nil"/>
              <w:left w:val="nil"/>
              <w:bottom w:val="single" w:sz="4" w:space="0" w:color="auto"/>
              <w:right w:val="nil"/>
            </w:tcBorders>
            <w:shd w:val="clear" w:color="auto" w:fill="auto"/>
            <w:vAlign w:val="center"/>
          </w:tcPr>
          <w:p w14:paraId="19A1DE00" w14:textId="528EFE5E" w:rsidR="00BA764C" w:rsidRPr="00B51EA5" w:rsidRDefault="00BA764C" w:rsidP="00BA764C">
            <w:pPr>
              <w:spacing w:after="0" w:line="240" w:lineRule="auto"/>
              <w:rPr>
                <w:rFonts w:ascii="Arial Narrow" w:hAnsi="Arial Narrow" w:cs="Arial"/>
                <w:b/>
                <w:color w:val="2C9ADC"/>
                <w:sz w:val="20"/>
                <w:szCs w:val="18"/>
              </w:rPr>
            </w:pPr>
            <w:r w:rsidRPr="00B51EA5">
              <w:rPr>
                <w:rFonts w:ascii="Arial Narrow" w:hAnsi="Arial Narrow"/>
                <w:b/>
                <w:color w:val="2C9ADC"/>
                <w:sz w:val="20"/>
                <w:szCs w:val="20"/>
              </w:rPr>
              <w:t xml:space="preserve">Graf </w:t>
            </w:r>
            <w:r>
              <w:rPr>
                <w:rFonts w:ascii="Arial Narrow" w:hAnsi="Arial Narrow"/>
                <w:b/>
                <w:color w:val="2C9ADC"/>
                <w:sz w:val="20"/>
                <w:szCs w:val="20"/>
              </w:rPr>
              <w:t>16</w:t>
            </w:r>
            <w:r w:rsidRPr="00B51EA5">
              <w:rPr>
                <w:rFonts w:ascii="Arial Narrow" w:hAnsi="Arial Narrow"/>
                <w:b/>
                <w:color w:val="2C9ADC"/>
                <w:sz w:val="20"/>
                <w:szCs w:val="20"/>
              </w:rPr>
              <w:t>:</w:t>
            </w:r>
            <w:r>
              <w:rPr>
                <w:rFonts w:ascii="Arial Narrow" w:hAnsi="Arial Narrow"/>
                <w:b/>
                <w:sz w:val="20"/>
                <w:szCs w:val="20"/>
              </w:rPr>
              <w:t xml:space="preserve"> </w:t>
            </w:r>
            <w:r w:rsidRPr="00B51EA5">
              <w:rPr>
                <w:rFonts w:ascii="Arial Narrow" w:hAnsi="Arial Narrow"/>
                <w:b/>
                <w:bCs/>
                <w:color w:val="2C9ADC"/>
                <w:sz w:val="20"/>
                <w:szCs w:val="18"/>
              </w:rPr>
              <w:t>Podiel prichádzajúcich cudzincov na populá</w:t>
            </w:r>
            <w:r>
              <w:rPr>
                <w:rFonts w:ascii="Arial Narrow" w:hAnsi="Arial Narrow"/>
                <w:b/>
                <w:bCs/>
                <w:color w:val="2C9ADC"/>
                <w:sz w:val="20"/>
                <w:szCs w:val="18"/>
              </w:rPr>
              <w:t>cii pre vybrané krajiny OECD (</w:t>
            </w:r>
            <w:r w:rsidRPr="00B51EA5">
              <w:rPr>
                <w:rFonts w:ascii="Arial Narrow" w:hAnsi="Arial Narrow"/>
                <w:b/>
                <w:bCs/>
                <w:color w:val="2C9ADC"/>
                <w:sz w:val="20"/>
                <w:szCs w:val="18"/>
              </w:rPr>
              <w:t>%, 2015)</w:t>
            </w:r>
          </w:p>
        </w:tc>
      </w:tr>
      <w:tr w:rsidR="00BA764C" w:rsidRPr="000C1762" w14:paraId="76747140" w14:textId="77777777" w:rsidTr="00400DA9">
        <w:trPr>
          <w:trHeight w:val="920"/>
          <w:jc w:val="center"/>
        </w:trPr>
        <w:tc>
          <w:tcPr>
            <w:tcW w:w="2441" w:type="pct"/>
            <w:tcBorders>
              <w:top w:val="single" w:sz="4" w:space="0" w:color="auto"/>
              <w:left w:val="nil"/>
              <w:bottom w:val="single" w:sz="4" w:space="0" w:color="auto"/>
              <w:right w:val="nil"/>
            </w:tcBorders>
            <w:vAlign w:val="center"/>
          </w:tcPr>
          <w:p w14:paraId="13799870" w14:textId="77777777" w:rsidR="00BA764C" w:rsidRPr="000C1762" w:rsidRDefault="00BA764C" w:rsidP="00400DA9">
            <w:pPr>
              <w:spacing w:before="40" w:after="40"/>
              <w:rPr>
                <w:rFonts w:ascii="Arial Narrow" w:hAnsi="Arial Narrow" w:cs="Arial"/>
                <w:b/>
                <w:sz w:val="18"/>
                <w:szCs w:val="20"/>
              </w:rPr>
            </w:pPr>
            <w:r w:rsidRPr="000C1762">
              <w:rPr>
                <w:rFonts w:ascii="Arial Narrow" w:hAnsi="Arial Narrow"/>
                <w:noProof/>
                <w:lang w:val="en-US" w:eastAsia="en-US"/>
              </w:rPr>
              <w:drawing>
                <wp:inline distT="0" distB="0" distL="0" distR="0" wp14:anchorId="68FFDDC2" wp14:editId="45427B10">
                  <wp:extent cx="2691130" cy="2053087"/>
                  <wp:effectExtent l="0" t="0" r="0" b="4445"/>
                  <wp:docPr id="228" name="Graf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147" w:type="pct"/>
            <w:tcBorders>
              <w:top w:val="nil"/>
              <w:left w:val="nil"/>
              <w:bottom w:val="nil"/>
              <w:right w:val="nil"/>
            </w:tcBorders>
            <w:vAlign w:val="center"/>
          </w:tcPr>
          <w:p w14:paraId="3AD9ADB8" w14:textId="77777777" w:rsidR="00BA764C" w:rsidRPr="000C1762" w:rsidRDefault="00BA764C" w:rsidP="00400DA9">
            <w:pPr>
              <w:spacing w:before="40" w:after="40"/>
              <w:jc w:val="center"/>
              <w:rPr>
                <w:rFonts w:ascii="Arial Narrow" w:hAnsi="Arial Narrow" w:cs="Arial"/>
                <w:b/>
                <w:sz w:val="18"/>
                <w:szCs w:val="20"/>
              </w:rPr>
            </w:pPr>
          </w:p>
        </w:tc>
        <w:tc>
          <w:tcPr>
            <w:tcW w:w="2412" w:type="pct"/>
            <w:tcBorders>
              <w:top w:val="single" w:sz="4" w:space="0" w:color="auto"/>
              <w:left w:val="nil"/>
              <w:bottom w:val="single" w:sz="4" w:space="0" w:color="auto"/>
              <w:right w:val="nil"/>
            </w:tcBorders>
            <w:vAlign w:val="center"/>
          </w:tcPr>
          <w:p w14:paraId="4BEA4C0D" w14:textId="77777777" w:rsidR="00BA764C" w:rsidRPr="000C1762" w:rsidRDefault="00BA764C" w:rsidP="00400DA9">
            <w:pPr>
              <w:spacing w:before="40" w:after="40"/>
              <w:jc w:val="center"/>
              <w:rPr>
                <w:rFonts w:ascii="Arial Narrow" w:hAnsi="Arial Narrow" w:cs="Arial"/>
                <w:b/>
                <w:sz w:val="18"/>
                <w:szCs w:val="20"/>
              </w:rPr>
            </w:pPr>
            <w:r w:rsidRPr="000C1762">
              <w:rPr>
                <w:rFonts w:ascii="Arial Narrow" w:hAnsi="Arial Narrow"/>
                <w:noProof/>
                <w:sz w:val="20"/>
                <w:lang w:val="en-US" w:eastAsia="en-US"/>
              </w:rPr>
              <w:drawing>
                <wp:inline distT="0" distB="0" distL="0" distR="0" wp14:anchorId="7048E97A" wp14:editId="5DF99D1B">
                  <wp:extent cx="2501265" cy="2113471"/>
                  <wp:effectExtent l="0" t="0" r="0" b="1270"/>
                  <wp:docPr id="43" name="Chart 4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BA764C" w:rsidRPr="000C1762" w14:paraId="62E0E6B7" w14:textId="77777777" w:rsidTr="00400DA9">
        <w:trPr>
          <w:trHeight w:val="117"/>
          <w:jc w:val="center"/>
        </w:trPr>
        <w:tc>
          <w:tcPr>
            <w:tcW w:w="2441" w:type="pct"/>
            <w:tcBorders>
              <w:top w:val="single" w:sz="4" w:space="0" w:color="auto"/>
              <w:left w:val="nil"/>
              <w:bottom w:val="nil"/>
              <w:right w:val="nil"/>
            </w:tcBorders>
            <w:vAlign w:val="center"/>
          </w:tcPr>
          <w:p w14:paraId="6C299EFB" w14:textId="77777777" w:rsidR="00BA764C" w:rsidRPr="00B51EA5" w:rsidRDefault="00BA764C" w:rsidP="00BA764C">
            <w:pPr>
              <w:spacing w:after="0" w:line="240" w:lineRule="auto"/>
              <w:jc w:val="right"/>
              <w:rPr>
                <w:rFonts w:ascii="Arial Narrow" w:hAnsi="Arial Narrow" w:cs="Arial"/>
                <w:i/>
                <w:sz w:val="16"/>
                <w:szCs w:val="14"/>
              </w:rPr>
            </w:pPr>
            <w:r>
              <w:rPr>
                <w:rFonts w:ascii="Arial Narrow" w:hAnsi="Arial Narrow" w:cs="Arial"/>
                <w:i/>
                <w:sz w:val="16"/>
                <w:szCs w:val="14"/>
              </w:rPr>
              <w:t xml:space="preserve">Zdroj: </w:t>
            </w:r>
            <w:r w:rsidRPr="00B51EA5">
              <w:rPr>
                <w:rFonts w:ascii="Arial Narrow" w:hAnsi="Arial Narrow" w:cs="Arial"/>
                <w:i/>
                <w:sz w:val="16"/>
                <w:szCs w:val="14"/>
              </w:rPr>
              <w:t>IFP podľa CRP a RFO</w:t>
            </w:r>
          </w:p>
        </w:tc>
        <w:tc>
          <w:tcPr>
            <w:tcW w:w="147" w:type="pct"/>
            <w:tcBorders>
              <w:top w:val="nil"/>
              <w:left w:val="nil"/>
              <w:bottom w:val="nil"/>
              <w:right w:val="nil"/>
            </w:tcBorders>
            <w:vAlign w:val="center"/>
          </w:tcPr>
          <w:p w14:paraId="13C4F168" w14:textId="77777777" w:rsidR="00BA764C" w:rsidRPr="00B51EA5" w:rsidRDefault="00BA764C" w:rsidP="00BA764C">
            <w:pPr>
              <w:spacing w:after="0" w:line="240" w:lineRule="auto"/>
              <w:jc w:val="center"/>
              <w:rPr>
                <w:rFonts w:ascii="Arial Narrow" w:hAnsi="Arial Narrow" w:cs="Arial"/>
                <w:i/>
                <w:sz w:val="16"/>
                <w:szCs w:val="14"/>
              </w:rPr>
            </w:pPr>
          </w:p>
        </w:tc>
        <w:tc>
          <w:tcPr>
            <w:tcW w:w="2412" w:type="pct"/>
            <w:tcBorders>
              <w:top w:val="single" w:sz="4" w:space="0" w:color="auto"/>
              <w:left w:val="nil"/>
              <w:bottom w:val="nil"/>
              <w:right w:val="nil"/>
            </w:tcBorders>
            <w:vAlign w:val="center"/>
          </w:tcPr>
          <w:p w14:paraId="056DDDC1" w14:textId="77777777" w:rsidR="00BA764C" w:rsidRPr="00B51EA5" w:rsidRDefault="00BA764C" w:rsidP="00BA764C">
            <w:pPr>
              <w:pStyle w:val="Odsekzoznamu"/>
              <w:spacing w:after="0" w:line="240" w:lineRule="auto"/>
              <w:jc w:val="right"/>
              <w:rPr>
                <w:rFonts w:ascii="Arial Narrow" w:hAnsi="Arial Narrow" w:cs="Arial"/>
                <w:i/>
                <w:sz w:val="16"/>
                <w:szCs w:val="14"/>
              </w:rPr>
            </w:pPr>
            <w:r>
              <w:rPr>
                <w:rFonts w:ascii="Arial Narrow" w:hAnsi="Arial Narrow" w:cs="Arial"/>
                <w:i/>
                <w:sz w:val="16"/>
                <w:szCs w:val="14"/>
              </w:rPr>
              <w:t xml:space="preserve">Zdroj:  </w:t>
            </w:r>
            <w:r w:rsidRPr="00B51EA5">
              <w:rPr>
                <w:rFonts w:ascii="Arial Narrow" w:hAnsi="Arial Narrow" w:cs="Arial"/>
                <w:i/>
                <w:sz w:val="16"/>
                <w:szCs w:val="14"/>
              </w:rPr>
              <w:t>OECD</w:t>
            </w:r>
          </w:p>
        </w:tc>
      </w:tr>
    </w:tbl>
    <w:p w14:paraId="6A592494" w14:textId="77777777" w:rsidR="00BA764C" w:rsidRDefault="00BA764C" w:rsidP="0056687D">
      <w:pPr>
        <w:pStyle w:val="Textpoznmkypodiarou"/>
        <w:jc w:val="both"/>
        <w:rPr>
          <w:rFonts w:ascii="Arial Narrow" w:hAnsi="Arial Narrow"/>
          <w:b/>
          <w:sz w:val="22"/>
          <w:szCs w:val="22"/>
        </w:rPr>
      </w:pPr>
    </w:p>
    <w:p w14:paraId="2145BE6E" w14:textId="05CCD11A" w:rsidR="00956B1D" w:rsidRDefault="002F6048" w:rsidP="0056687D">
      <w:pPr>
        <w:pStyle w:val="Textpoznmkypodiarou"/>
        <w:jc w:val="both"/>
        <w:rPr>
          <w:rFonts w:ascii="Arial Narrow" w:hAnsi="Arial Narrow"/>
          <w:sz w:val="22"/>
          <w:szCs w:val="22"/>
        </w:rPr>
      </w:pPr>
      <w:r w:rsidRPr="002F6048">
        <w:rPr>
          <w:rFonts w:ascii="Arial Narrow" w:hAnsi="Arial Narrow"/>
          <w:b/>
          <w:sz w:val="22"/>
          <w:szCs w:val="22"/>
        </w:rPr>
        <w:t>Dostatočná mobilita zamestnancov na pracovnom trhu</w:t>
      </w:r>
      <w:r w:rsidRPr="00864DDF">
        <w:rPr>
          <w:rFonts w:ascii="Arial Narrow" w:hAnsi="Arial Narrow"/>
          <w:sz w:val="22"/>
          <w:szCs w:val="22"/>
        </w:rPr>
        <w:t xml:space="preserve"> pomáha pracovníkom k lepšiemu výberu zamestnania a efektívnejšej alokácií pracovnej sily medzi firmami. V medzinárodnom porovnaní sa Slováci sťahujú za prácou oveľa menej než v susedných krajinách EU. Jeden z faktorov, k</w:t>
      </w:r>
      <w:r w:rsidR="00132EA3">
        <w:rPr>
          <w:rFonts w:ascii="Arial Narrow" w:hAnsi="Arial Narrow"/>
          <w:sz w:val="22"/>
          <w:szCs w:val="22"/>
        </w:rPr>
        <w:t xml:space="preserve">torý môže negatívne vplývať na </w:t>
      </w:r>
      <w:r w:rsidRPr="00864DDF">
        <w:rPr>
          <w:rFonts w:ascii="Arial Narrow" w:hAnsi="Arial Narrow"/>
          <w:sz w:val="22"/>
          <w:szCs w:val="22"/>
        </w:rPr>
        <w:t xml:space="preserve">tento </w:t>
      </w:r>
      <w:r>
        <w:rPr>
          <w:rFonts w:ascii="Arial Narrow" w:hAnsi="Arial Narrow"/>
          <w:sz w:val="22"/>
          <w:szCs w:val="22"/>
        </w:rPr>
        <w:t>stav na pracovnom trhu, je nedostatok nájomných bytov</w:t>
      </w:r>
      <w:r w:rsidRPr="00864DDF">
        <w:rPr>
          <w:rFonts w:ascii="Arial Narrow" w:hAnsi="Arial Narrow"/>
          <w:sz w:val="22"/>
          <w:szCs w:val="22"/>
        </w:rPr>
        <w:t xml:space="preserve"> (Box</w:t>
      </w:r>
      <w:r w:rsidR="008D6284">
        <w:rPr>
          <w:rFonts w:ascii="Arial Narrow" w:hAnsi="Arial Narrow"/>
          <w:sz w:val="22"/>
          <w:szCs w:val="22"/>
        </w:rPr>
        <w:t>1</w:t>
      </w:r>
      <w:r w:rsidRPr="00864DDF">
        <w:rPr>
          <w:rFonts w:ascii="Arial Narrow" w:hAnsi="Arial Narrow"/>
          <w:sz w:val="22"/>
          <w:szCs w:val="22"/>
        </w:rPr>
        <w:t>).</w:t>
      </w:r>
    </w:p>
    <w:p w14:paraId="0BA744BA" w14:textId="20271ED5" w:rsidR="0074167E" w:rsidRPr="00956B1D" w:rsidRDefault="00956B1D" w:rsidP="00956B1D">
      <w:pPr>
        <w:spacing w:after="0" w:line="240" w:lineRule="auto"/>
        <w:rPr>
          <w:rFonts w:ascii="Arial Narrow" w:eastAsiaTheme="minorHAnsi" w:hAnsi="Arial Narrow" w:cstheme="minorBidi"/>
          <w:lang w:eastAsia="en-US"/>
        </w:rPr>
      </w:pPr>
      <w:r>
        <w:rPr>
          <w:rFonts w:ascii="Arial Narrow" w:hAnsi="Arial Narrow"/>
        </w:rPr>
        <w:br w:type="page"/>
      </w:r>
    </w:p>
    <w:tbl>
      <w:tblPr>
        <w:tblStyle w:val="Mriekatabuky1"/>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4"/>
      </w:tblGrid>
      <w:tr w:rsidR="002F6048" w:rsidRPr="002B1C6B" w14:paraId="5CEA683E" w14:textId="77777777" w:rsidTr="002F6048">
        <w:trPr>
          <w:jc w:val="center"/>
        </w:trPr>
        <w:tc>
          <w:tcPr>
            <w:tcW w:w="8948" w:type="dxa"/>
            <w:shd w:val="clear" w:color="auto" w:fill="AAD3F2"/>
          </w:tcPr>
          <w:p w14:paraId="2B0440FA" w14:textId="77777777" w:rsidR="002F6048" w:rsidRPr="002B1C6B" w:rsidRDefault="002F6048" w:rsidP="002F6048">
            <w:pPr>
              <w:spacing w:before="120" w:line="240" w:lineRule="auto"/>
              <w:jc w:val="both"/>
              <w:rPr>
                <w:rFonts w:ascii="Arial Narrow" w:hAnsi="Arial Narrow"/>
                <w:b/>
              </w:rPr>
            </w:pPr>
            <w:r>
              <w:rPr>
                <w:rFonts w:ascii="Arial Narrow" w:hAnsi="Arial Narrow"/>
                <w:b/>
              </w:rPr>
              <w:lastRenderedPageBreak/>
              <w:t xml:space="preserve">Box </w:t>
            </w:r>
            <w:r w:rsidR="0087239E" w:rsidRPr="0087239E">
              <w:rPr>
                <w:rFonts w:ascii="Arial Narrow" w:hAnsi="Arial Narrow"/>
                <w:b/>
              </w:rPr>
              <w:t>1</w:t>
            </w:r>
            <w:r w:rsidRPr="002B1C6B">
              <w:rPr>
                <w:rFonts w:ascii="Arial Narrow" w:hAnsi="Arial Narrow"/>
                <w:b/>
              </w:rPr>
              <w:t xml:space="preserve">: </w:t>
            </w:r>
            <w:r w:rsidR="00B46771">
              <w:rPr>
                <w:rFonts w:ascii="Arial Narrow" w:hAnsi="Arial Narrow"/>
                <w:b/>
              </w:rPr>
              <w:t>Podpora nájomného bývania</w:t>
            </w:r>
          </w:p>
          <w:p w14:paraId="5D3D9381" w14:textId="17743231" w:rsidR="002F6048" w:rsidRDefault="002F6048" w:rsidP="002F6048">
            <w:pPr>
              <w:spacing w:after="0" w:line="240" w:lineRule="auto"/>
              <w:jc w:val="both"/>
              <w:rPr>
                <w:rFonts w:ascii="Arial Narrow" w:hAnsi="Arial Narrow"/>
              </w:rPr>
            </w:pPr>
            <w:r w:rsidRPr="002B1C6B">
              <w:rPr>
                <w:rFonts w:ascii="Arial Narrow" w:hAnsi="Arial Narrow"/>
                <w:b/>
              </w:rPr>
              <w:t>Slovensko nemá</w:t>
            </w:r>
            <w:r>
              <w:rPr>
                <w:rFonts w:ascii="Arial Narrow" w:hAnsi="Arial Narrow"/>
                <w:b/>
              </w:rPr>
              <w:t xml:space="preserve"> dostatočne</w:t>
            </w:r>
            <w:r w:rsidRPr="002B1C6B">
              <w:rPr>
                <w:rFonts w:ascii="Arial Narrow" w:hAnsi="Arial Narrow"/>
                <w:b/>
              </w:rPr>
              <w:t xml:space="preserve"> rozvinutý trh</w:t>
            </w:r>
            <w:r>
              <w:rPr>
                <w:rFonts w:ascii="Arial Narrow" w:hAnsi="Arial Narrow"/>
                <w:b/>
              </w:rPr>
              <w:t xml:space="preserve"> nájomného</w:t>
            </w:r>
            <w:r w:rsidRPr="002B1C6B">
              <w:rPr>
                <w:rFonts w:ascii="Arial Narrow" w:hAnsi="Arial Narrow"/>
                <w:b/>
              </w:rPr>
              <w:t xml:space="preserve"> bývania</w:t>
            </w:r>
            <w:r w:rsidRPr="002B1C6B">
              <w:rPr>
                <w:rFonts w:ascii="Arial Narrow" w:hAnsi="Arial Narrow"/>
              </w:rPr>
              <w:t>. Slovensko má v porovnaní s krajinami EÚ nadpriemerný podiel obývaných domácností, ktoré sú vo vlastníctve ich obyvateľov. Naopak, Slovensko má jeden z najnižších podielov obývaných domácností s regulovaným nájmom</w:t>
            </w:r>
            <w:r w:rsidR="006C06DE">
              <w:rPr>
                <w:rFonts w:ascii="Arial Narrow" w:hAnsi="Arial Narrow"/>
              </w:rPr>
              <w:t xml:space="preserve"> v EÚ (len 1,6 %, </w:t>
            </w:r>
            <w:r w:rsidR="00BC64DD">
              <w:rPr>
                <w:rFonts w:ascii="Arial Narrow" w:hAnsi="Arial Narrow"/>
              </w:rPr>
              <w:t>priemer EU je 10,8 %)</w:t>
            </w:r>
            <w:r w:rsidRPr="002B1C6B">
              <w:rPr>
                <w:rFonts w:ascii="Arial Narrow" w:hAnsi="Arial Narrow"/>
              </w:rPr>
              <w:t xml:space="preserve">. </w:t>
            </w:r>
            <w:r>
              <w:rPr>
                <w:rFonts w:ascii="Arial Narrow" w:hAnsi="Arial Narrow"/>
              </w:rPr>
              <w:t>Podiel obývaných domácností s trhovým nájmom na Slovensku je taktiež podpriemerný (8,9 %</w:t>
            </w:r>
            <w:r w:rsidR="006C06DE">
              <w:rPr>
                <w:rFonts w:ascii="Arial Narrow" w:hAnsi="Arial Narrow"/>
              </w:rPr>
              <w:t xml:space="preserve"> </w:t>
            </w:r>
            <w:proofErr w:type="spellStart"/>
            <w:r w:rsidR="006C06DE">
              <w:rPr>
                <w:rFonts w:ascii="Arial Narrow" w:hAnsi="Arial Narrow"/>
              </w:rPr>
              <w:t>vs</w:t>
            </w:r>
            <w:proofErr w:type="spellEnd"/>
            <w:r w:rsidR="006C06DE">
              <w:rPr>
                <w:rFonts w:ascii="Arial Narrow" w:hAnsi="Arial Narrow"/>
              </w:rPr>
              <w:t>. 19,9 % v EÚ</w:t>
            </w:r>
            <w:r>
              <w:rPr>
                <w:rFonts w:ascii="Arial Narrow" w:hAnsi="Arial Narrow"/>
              </w:rPr>
              <w:t>).</w:t>
            </w:r>
          </w:p>
          <w:p w14:paraId="1E50B028" w14:textId="77777777" w:rsidR="002F6048" w:rsidRPr="00D01314" w:rsidRDefault="002F6048" w:rsidP="002F6048">
            <w:pPr>
              <w:spacing w:after="0" w:line="240" w:lineRule="auto"/>
              <w:jc w:val="both"/>
              <w:rPr>
                <w:rFonts w:ascii="Arial Narrow" w:hAnsi="Arial Narrow"/>
              </w:rPr>
            </w:pPr>
          </w:p>
          <w:p w14:paraId="18829E6A" w14:textId="77777777" w:rsidR="002F6048" w:rsidRDefault="002F6048" w:rsidP="002F6048">
            <w:pPr>
              <w:spacing w:after="0" w:line="240" w:lineRule="auto"/>
              <w:jc w:val="both"/>
              <w:rPr>
                <w:rFonts w:ascii="Arial Narrow" w:eastAsiaTheme="minorHAnsi" w:hAnsi="Arial Narrow" w:cs="Arial Narrow"/>
                <w:bCs/>
              </w:rPr>
            </w:pPr>
            <w:r w:rsidRPr="002B1C6B">
              <w:rPr>
                <w:rFonts w:ascii="Arial Narrow" w:eastAsiaTheme="minorHAnsi" w:hAnsi="Arial Narrow" w:cs="Arial Narrow"/>
                <w:b/>
                <w:bCs/>
              </w:rPr>
              <w:t>Podpora štátu smeruje</w:t>
            </w:r>
            <w:r>
              <w:rPr>
                <w:rFonts w:ascii="Arial Narrow" w:eastAsiaTheme="minorHAnsi" w:hAnsi="Arial Narrow" w:cs="Arial Narrow"/>
                <w:b/>
                <w:bCs/>
              </w:rPr>
              <w:t xml:space="preserve"> v posledných rokoch</w:t>
            </w:r>
            <w:r w:rsidRPr="002B1C6B">
              <w:rPr>
                <w:rFonts w:ascii="Arial Narrow" w:eastAsiaTheme="minorHAnsi" w:hAnsi="Arial Narrow" w:cs="Arial Narrow"/>
                <w:b/>
                <w:bCs/>
              </w:rPr>
              <w:t xml:space="preserve"> najmä do obnovy bytov</w:t>
            </w:r>
            <w:r w:rsidRPr="002B1C6B">
              <w:rPr>
                <w:rFonts w:ascii="Arial Narrow" w:eastAsiaTheme="minorHAnsi" w:hAnsi="Arial Narrow" w:cs="Arial Narrow"/>
                <w:bCs/>
              </w:rPr>
              <w:t>. Podiel štátnej podpory na vlastné bývanie sa od roku 2010 znižuje. Tento vývoj nemá za následok zvýšenie podielu podpory do nájomného bývania, ale do obnovy bytového fondu. V roku 2016 až 60 % štátnej podpory v oblasti bývania smerovalo do obnovy.</w:t>
            </w:r>
          </w:p>
          <w:p w14:paraId="6603FE9B" w14:textId="77777777" w:rsidR="00DA1C9E" w:rsidRPr="00D01314" w:rsidRDefault="00DA1C9E" w:rsidP="002F6048">
            <w:pPr>
              <w:spacing w:after="0" w:line="240" w:lineRule="auto"/>
              <w:jc w:val="both"/>
              <w:rPr>
                <w:rFonts w:ascii="Arial Narrow" w:eastAsiaTheme="minorHAnsi" w:hAnsi="Arial Narrow" w:cs="Arial Narrow"/>
                <w:bCs/>
              </w:rPr>
            </w:pPr>
          </w:p>
          <w:tbl>
            <w:tblPr>
              <w:tblW w:w="8556" w:type="dxa"/>
              <w:jc w:val="center"/>
              <w:tblCellMar>
                <w:left w:w="70" w:type="dxa"/>
                <w:right w:w="70" w:type="dxa"/>
              </w:tblCellMar>
              <w:tblLook w:val="0000" w:firstRow="0" w:lastRow="0" w:firstColumn="0" w:lastColumn="0" w:noHBand="0" w:noVBand="0"/>
            </w:tblPr>
            <w:tblGrid>
              <w:gridCol w:w="4127"/>
              <w:gridCol w:w="146"/>
              <w:gridCol w:w="4075"/>
            </w:tblGrid>
            <w:tr w:rsidR="002F6048" w:rsidRPr="00FE6018" w14:paraId="0974DD5A" w14:textId="77777777" w:rsidTr="002F6048">
              <w:trPr>
                <w:trHeight w:val="155"/>
                <w:jc w:val="center"/>
              </w:trPr>
              <w:tc>
                <w:tcPr>
                  <w:tcW w:w="4230" w:type="dxa"/>
                  <w:tcBorders>
                    <w:bottom w:val="single" w:sz="4" w:space="0" w:color="auto"/>
                  </w:tcBorders>
                  <w:shd w:val="clear" w:color="auto" w:fill="auto"/>
                  <w:vAlign w:val="center"/>
                </w:tcPr>
                <w:p w14:paraId="424B5FB1" w14:textId="77777777" w:rsidR="002F6048" w:rsidRPr="00E34ED1" w:rsidRDefault="00E34ED1" w:rsidP="002F6048">
                  <w:pPr>
                    <w:spacing w:after="0" w:line="240" w:lineRule="auto"/>
                    <w:ind w:left="28"/>
                    <w:jc w:val="both"/>
                    <w:rPr>
                      <w:rFonts w:ascii="Arial Narrow" w:hAnsi="Arial Narrow" w:cs="Arial Narrow"/>
                      <w:b/>
                      <w:bCs/>
                      <w:color w:val="000000" w:themeColor="text1"/>
                    </w:rPr>
                  </w:pPr>
                  <w:bookmarkStart w:id="56" w:name="_Toc509513330"/>
                  <w:r w:rsidRPr="00E34ED1">
                    <w:rPr>
                      <w:rFonts w:ascii="Arial Narrow" w:eastAsiaTheme="minorHAnsi" w:hAnsi="Arial Narrow" w:cs="Arial Narrow"/>
                      <w:b/>
                      <w:bCs/>
                      <w:color w:val="000000" w:themeColor="text1"/>
                      <w:sz w:val="20"/>
                      <w:lang w:eastAsia="en-US"/>
                    </w:rPr>
                    <w:t xml:space="preserve">Graf </w:t>
                  </w:r>
                  <w:r w:rsidRPr="00E34ED1">
                    <w:rPr>
                      <w:rFonts w:ascii="Arial Narrow" w:hAnsi="Arial Narrow"/>
                      <w:b/>
                      <w:color w:val="000000" w:themeColor="text1"/>
                      <w:sz w:val="20"/>
                    </w:rPr>
                    <w:fldChar w:fldCharType="begin"/>
                  </w:r>
                  <w:r w:rsidRPr="00E34ED1">
                    <w:rPr>
                      <w:rFonts w:ascii="Arial Narrow" w:hAnsi="Arial Narrow"/>
                      <w:b/>
                      <w:color w:val="000000" w:themeColor="text1"/>
                      <w:sz w:val="20"/>
                    </w:rPr>
                    <w:instrText xml:space="preserve"> SEQ GRAF \* ARABIC </w:instrText>
                  </w:r>
                  <w:r w:rsidRPr="00E34ED1">
                    <w:rPr>
                      <w:rFonts w:ascii="Arial Narrow" w:hAnsi="Arial Narrow"/>
                      <w:b/>
                      <w:color w:val="000000" w:themeColor="text1"/>
                      <w:sz w:val="20"/>
                    </w:rPr>
                    <w:fldChar w:fldCharType="separate"/>
                  </w:r>
                  <w:r w:rsidR="00EE7207">
                    <w:rPr>
                      <w:rFonts w:ascii="Arial Narrow" w:hAnsi="Arial Narrow"/>
                      <w:b/>
                      <w:noProof/>
                      <w:color w:val="000000" w:themeColor="text1"/>
                      <w:sz w:val="20"/>
                    </w:rPr>
                    <w:t>18</w:t>
                  </w:r>
                  <w:r w:rsidRPr="00E34ED1">
                    <w:rPr>
                      <w:rFonts w:ascii="Arial Narrow" w:hAnsi="Arial Narrow"/>
                      <w:b/>
                      <w:color w:val="000000" w:themeColor="text1"/>
                      <w:sz w:val="20"/>
                    </w:rPr>
                    <w:fldChar w:fldCharType="end"/>
                  </w:r>
                  <w:r w:rsidRPr="00E34ED1">
                    <w:rPr>
                      <w:rFonts w:ascii="Arial Narrow" w:eastAsiaTheme="minorHAnsi" w:hAnsi="Arial Narrow" w:cs="Arial Narrow"/>
                      <w:b/>
                      <w:bCs/>
                      <w:color w:val="000000" w:themeColor="text1"/>
                      <w:sz w:val="20"/>
                      <w:lang w:eastAsia="en-US"/>
                    </w:rPr>
                    <w:t xml:space="preserve">: </w:t>
                  </w:r>
                  <w:r w:rsidR="002F6048" w:rsidRPr="00E34ED1">
                    <w:rPr>
                      <w:rFonts w:ascii="Arial Narrow" w:eastAsiaTheme="minorHAnsi" w:hAnsi="Arial Narrow" w:cs="Arial Narrow"/>
                      <w:b/>
                      <w:bCs/>
                      <w:color w:val="000000" w:themeColor="text1"/>
                      <w:sz w:val="20"/>
                      <w:lang w:eastAsia="en-US"/>
                    </w:rPr>
                    <w:t>Podiel obývanýc</w:t>
                  </w:r>
                  <w:r>
                    <w:rPr>
                      <w:rFonts w:ascii="Arial Narrow" w:eastAsiaTheme="minorHAnsi" w:hAnsi="Arial Narrow" w:cs="Arial Narrow"/>
                      <w:b/>
                      <w:bCs/>
                      <w:color w:val="000000" w:themeColor="text1"/>
                      <w:sz w:val="20"/>
                      <w:lang w:eastAsia="en-US"/>
                    </w:rPr>
                    <w:t>h domácností podľa vlastníctva (</w:t>
                  </w:r>
                  <w:r w:rsidR="002F6048" w:rsidRPr="00E34ED1">
                    <w:rPr>
                      <w:rFonts w:ascii="Arial Narrow" w:eastAsiaTheme="minorHAnsi" w:hAnsi="Arial Narrow" w:cs="Arial Narrow"/>
                      <w:b/>
                      <w:bCs/>
                      <w:color w:val="000000" w:themeColor="text1"/>
                      <w:sz w:val="20"/>
                      <w:lang w:eastAsia="en-US"/>
                    </w:rPr>
                    <w:t>2016</w:t>
                  </w:r>
                  <w:r>
                    <w:rPr>
                      <w:rFonts w:ascii="Arial Narrow" w:eastAsiaTheme="minorHAnsi" w:hAnsi="Arial Narrow" w:cs="Arial Narrow"/>
                      <w:b/>
                      <w:bCs/>
                      <w:color w:val="000000" w:themeColor="text1"/>
                      <w:sz w:val="20"/>
                      <w:lang w:eastAsia="en-US"/>
                    </w:rPr>
                    <w:t>)</w:t>
                  </w:r>
                  <w:bookmarkEnd w:id="56"/>
                </w:p>
              </w:tc>
              <w:tc>
                <w:tcPr>
                  <w:tcW w:w="149" w:type="dxa"/>
                  <w:shd w:val="clear" w:color="auto" w:fill="auto"/>
                  <w:vAlign w:val="center"/>
                </w:tcPr>
                <w:p w14:paraId="60A2EBE8" w14:textId="77777777" w:rsidR="002F6048" w:rsidRPr="00FE6018" w:rsidRDefault="002F6048" w:rsidP="002F6048">
                  <w:pPr>
                    <w:spacing w:after="0" w:line="240" w:lineRule="auto"/>
                    <w:ind w:left="28"/>
                    <w:jc w:val="both"/>
                    <w:rPr>
                      <w:rFonts w:ascii="Arial Narrow" w:hAnsi="Arial Narrow" w:cs="Arial Narrow"/>
                      <w:b/>
                      <w:bCs/>
                      <w:color w:val="000000" w:themeColor="text1"/>
                      <w:sz w:val="20"/>
                      <w:szCs w:val="20"/>
                    </w:rPr>
                  </w:pPr>
                </w:p>
              </w:tc>
              <w:tc>
                <w:tcPr>
                  <w:tcW w:w="4177" w:type="dxa"/>
                  <w:tcBorders>
                    <w:bottom w:val="single" w:sz="4" w:space="0" w:color="auto"/>
                  </w:tcBorders>
                  <w:shd w:val="clear" w:color="auto" w:fill="auto"/>
                  <w:vAlign w:val="center"/>
                </w:tcPr>
                <w:p w14:paraId="6540FE9E" w14:textId="77777777" w:rsidR="002F6048" w:rsidRPr="00FE6018" w:rsidRDefault="00E34ED1" w:rsidP="002F6048">
                  <w:pPr>
                    <w:spacing w:after="0" w:line="240" w:lineRule="auto"/>
                    <w:ind w:left="28"/>
                    <w:jc w:val="both"/>
                    <w:rPr>
                      <w:rFonts w:ascii="Arial Narrow" w:eastAsiaTheme="minorHAnsi" w:hAnsi="Arial Narrow" w:cs="Arial Narrow"/>
                      <w:b/>
                      <w:bCs/>
                      <w:color w:val="000000" w:themeColor="text1"/>
                      <w:sz w:val="20"/>
                      <w:szCs w:val="20"/>
                      <w:lang w:eastAsia="en-US"/>
                    </w:rPr>
                  </w:pPr>
                  <w:bookmarkStart w:id="57" w:name="_Toc509513331"/>
                  <w:r w:rsidRPr="00E34ED1">
                    <w:rPr>
                      <w:rFonts w:ascii="Arial Narrow" w:eastAsiaTheme="minorHAnsi" w:hAnsi="Arial Narrow" w:cs="Arial Narrow"/>
                      <w:b/>
                      <w:bCs/>
                      <w:color w:val="000000" w:themeColor="text1"/>
                      <w:sz w:val="20"/>
                      <w:lang w:eastAsia="en-US"/>
                    </w:rPr>
                    <w:t xml:space="preserve">Graf </w:t>
                  </w:r>
                  <w:r w:rsidRPr="00E34ED1">
                    <w:rPr>
                      <w:rFonts w:ascii="Arial Narrow" w:hAnsi="Arial Narrow"/>
                      <w:b/>
                      <w:color w:val="000000" w:themeColor="text1"/>
                      <w:sz w:val="20"/>
                    </w:rPr>
                    <w:fldChar w:fldCharType="begin"/>
                  </w:r>
                  <w:r w:rsidRPr="00E34ED1">
                    <w:rPr>
                      <w:rFonts w:ascii="Arial Narrow" w:hAnsi="Arial Narrow"/>
                      <w:b/>
                      <w:color w:val="000000" w:themeColor="text1"/>
                      <w:sz w:val="20"/>
                    </w:rPr>
                    <w:instrText xml:space="preserve"> SEQ GRAF \* ARABIC </w:instrText>
                  </w:r>
                  <w:r w:rsidRPr="00E34ED1">
                    <w:rPr>
                      <w:rFonts w:ascii="Arial Narrow" w:hAnsi="Arial Narrow"/>
                      <w:b/>
                      <w:color w:val="000000" w:themeColor="text1"/>
                      <w:sz w:val="20"/>
                    </w:rPr>
                    <w:fldChar w:fldCharType="separate"/>
                  </w:r>
                  <w:r w:rsidR="00EE7207">
                    <w:rPr>
                      <w:rFonts w:ascii="Arial Narrow" w:hAnsi="Arial Narrow"/>
                      <w:b/>
                      <w:noProof/>
                      <w:color w:val="000000" w:themeColor="text1"/>
                      <w:sz w:val="20"/>
                    </w:rPr>
                    <w:t>19</w:t>
                  </w:r>
                  <w:r w:rsidRPr="00E34ED1">
                    <w:rPr>
                      <w:rFonts w:ascii="Arial Narrow" w:hAnsi="Arial Narrow"/>
                      <w:b/>
                      <w:color w:val="000000" w:themeColor="text1"/>
                      <w:sz w:val="20"/>
                    </w:rPr>
                    <w:fldChar w:fldCharType="end"/>
                  </w:r>
                  <w:r w:rsidRPr="00E34ED1">
                    <w:rPr>
                      <w:rFonts w:ascii="Arial Narrow" w:eastAsiaTheme="minorHAnsi" w:hAnsi="Arial Narrow" w:cs="Arial Narrow"/>
                      <w:b/>
                      <w:bCs/>
                      <w:color w:val="000000" w:themeColor="text1"/>
                      <w:sz w:val="20"/>
                      <w:lang w:eastAsia="en-US"/>
                    </w:rPr>
                    <w:t>:</w:t>
                  </w:r>
                  <w:r>
                    <w:rPr>
                      <w:rFonts w:ascii="Arial Narrow" w:eastAsiaTheme="minorHAnsi" w:hAnsi="Arial Narrow" w:cs="Arial Narrow"/>
                      <w:b/>
                      <w:bCs/>
                      <w:color w:val="000000" w:themeColor="text1"/>
                      <w:sz w:val="20"/>
                      <w:lang w:eastAsia="en-US"/>
                    </w:rPr>
                    <w:t xml:space="preserve"> </w:t>
                  </w:r>
                  <w:r w:rsidR="002F6048" w:rsidRPr="00FE6018">
                    <w:rPr>
                      <w:rFonts w:ascii="Arial Narrow" w:eastAsiaTheme="minorHAnsi" w:hAnsi="Arial Narrow" w:cs="Arial Narrow"/>
                      <w:b/>
                      <w:bCs/>
                      <w:color w:val="000000" w:themeColor="text1"/>
                      <w:sz w:val="20"/>
                      <w:szCs w:val="20"/>
                      <w:lang w:eastAsia="en-US"/>
                    </w:rPr>
                    <w:t>Podiel štátnej podpory na bývanie podľa účelu</w:t>
                  </w:r>
                  <w:bookmarkEnd w:id="57"/>
                </w:p>
              </w:tc>
            </w:tr>
            <w:tr w:rsidR="002F6048" w:rsidRPr="002B1C6B" w14:paraId="667848E8" w14:textId="77777777" w:rsidTr="002F6048">
              <w:trPr>
                <w:trHeight w:val="1414"/>
                <w:jc w:val="center"/>
              </w:trPr>
              <w:tc>
                <w:tcPr>
                  <w:tcW w:w="4230" w:type="dxa"/>
                  <w:tcBorders>
                    <w:top w:val="single" w:sz="4" w:space="0" w:color="auto"/>
                    <w:left w:val="nil"/>
                    <w:bottom w:val="single" w:sz="4" w:space="0" w:color="auto"/>
                    <w:right w:val="nil"/>
                  </w:tcBorders>
                </w:tcPr>
                <w:p w14:paraId="635C7306" w14:textId="77777777" w:rsidR="002F6048" w:rsidRPr="002B1C6B" w:rsidRDefault="002F6048" w:rsidP="002F6048">
                  <w:pPr>
                    <w:spacing w:after="0" w:line="240" w:lineRule="auto"/>
                    <w:ind w:left="28"/>
                    <w:jc w:val="center"/>
                    <w:rPr>
                      <w:rFonts w:ascii="Arial Narrow" w:hAnsi="Arial Narrow" w:cs="Garamond"/>
                      <w:b/>
                      <w:bCs/>
                      <w:sz w:val="16"/>
                      <w:szCs w:val="16"/>
                    </w:rPr>
                  </w:pPr>
                  <w:r w:rsidRPr="002B1C6B">
                    <w:rPr>
                      <w:rFonts w:ascii="Arial Narrow" w:hAnsi="Arial Narrow" w:cs="Garamond"/>
                      <w:b/>
                      <w:bCs/>
                      <w:noProof/>
                      <w:sz w:val="16"/>
                      <w:szCs w:val="16"/>
                      <w:lang w:val="en-US" w:eastAsia="en-US"/>
                    </w:rPr>
                    <w:drawing>
                      <wp:inline distT="0" distB="0" distL="0" distR="0" wp14:anchorId="0D78A661" wp14:editId="3DDF8A5B">
                        <wp:extent cx="2622550" cy="2000250"/>
                        <wp:effectExtent l="0" t="0" r="6350" b="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149" w:type="dxa"/>
                  <w:tcBorders>
                    <w:left w:val="nil"/>
                    <w:right w:val="nil"/>
                  </w:tcBorders>
                </w:tcPr>
                <w:p w14:paraId="6CB5A942" w14:textId="77777777" w:rsidR="002F6048" w:rsidRPr="002B1C6B" w:rsidRDefault="002F6048" w:rsidP="002F6048">
                  <w:pPr>
                    <w:ind w:left="28"/>
                    <w:rPr>
                      <w:rFonts w:ascii="Arial Narrow" w:hAnsi="Arial Narrow" w:cs="Garamond"/>
                      <w:b/>
                      <w:bCs/>
                      <w:sz w:val="20"/>
                      <w:szCs w:val="20"/>
                    </w:rPr>
                  </w:pPr>
                </w:p>
              </w:tc>
              <w:tc>
                <w:tcPr>
                  <w:tcW w:w="4177" w:type="dxa"/>
                  <w:tcBorders>
                    <w:top w:val="single" w:sz="4" w:space="0" w:color="auto"/>
                    <w:left w:val="nil"/>
                    <w:bottom w:val="single" w:sz="4" w:space="0" w:color="auto"/>
                    <w:right w:val="nil"/>
                  </w:tcBorders>
                </w:tcPr>
                <w:p w14:paraId="102B4164" w14:textId="77777777" w:rsidR="002F6048" w:rsidRPr="002B1C6B" w:rsidRDefault="002F6048" w:rsidP="002F6048">
                  <w:pPr>
                    <w:spacing w:after="0" w:line="240" w:lineRule="auto"/>
                    <w:ind w:left="28"/>
                    <w:rPr>
                      <w:rFonts w:ascii="Arial Narrow" w:hAnsi="Arial Narrow" w:cs="Garamond"/>
                      <w:b/>
                      <w:bCs/>
                      <w:sz w:val="16"/>
                      <w:szCs w:val="16"/>
                    </w:rPr>
                  </w:pPr>
                  <w:r w:rsidRPr="002B1C6B">
                    <w:rPr>
                      <w:rFonts w:ascii="Arial Narrow" w:hAnsi="Arial Narrow" w:cs="Garamond"/>
                      <w:b/>
                      <w:bCs/>
                      <w:noProof/>
                      <w:sz w:val="16"/>
                      <w:szCs w:val="16"/>
                      <w:lang w:val="en-US" w:eastAsia="en-US"/>
                    </w:rPr>
                    <w:drawing>
                      <wp:inline distT="0" distB="0" distL="0" distR="0" wp14:anchorId="004B9400" wp14:editId="54EB76AB">
                        <wp:extent cx="2593975" cy="2000250"/>
                        <wp:effectExtent l="0" t="0" r="0" b="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2F6048" w:rsidRPr="002B1C6B" w14:paraId="278625B1" w14:textId="77777777" w:rsidTr="002F6048">
              <w:trPr>
                <w:trHeight w:val="245"/>
                <w:jc w:val="center"/>
              </w:trPr>
              <w:tc>
                <w:tcPr>
                  <w:tcW w:w="4230" w:type="dxa"/>
                  <w:tcBorders>
                    <w:top w:val="single" w:sz="4" w:space="0" w:color="auto"/>
                    <w:left w:val="nil"/>
                    <w:bottom w:val="nil"/>
                    <w:right w:val="nil"/>
                  </w:tcBorders>
                </w:tcPr>
                <w:p w14:paraId="2F91D33C" w14:textId="77777777" w:rsidR="002F6048" w:rsidRPr="00FE6018" w:rsidRDefault="002F6048" w:rsidP="002F6048">
                  <w:pPr>
                    <w:spacing w:after="0" w:line="240" w:lineRule="auto"/>
                    <w:ind w:left="28"/>
                    <w:jc w:val="right"/>
                    <w:rPr>
                      <w:rFonts w:ascii="Arial Narrow" w:hAnsi="Arial Narrow" w:cs="Arial Narrow"/>
                      <w:i/>
                      <w:iCs/>
                      <w:color w:val="2C9ADC"/>
                      <w:sz w:val="16"/>
                      <w:szCs w:val="20"/>
                    </w:rPr>
                  </w:pPr>
                  <w:r w:rsidRPr="00FE6018">
                    <w:rPr>
                      <w:rFonts w:ascii="Arial Narrow" w:hAnsi="Arial Narrow" w:cs="Arial Narrow"/>
                      <w:i/>
                      <w:iCs/>
                      <w:color w:val="000000" w:themeColor="text1"/>
                      <w:sz w:val="16"/>
                      <w:szCs w:val="20"/>
                    </w:rPr>
                    <w:t xml:space="preserve">Zdroj: </w:t>
                  </w:r>
                  <w:proofErr w:type="spellStart"/>
                  <w:r w:rsidRPr="00FE6018">
                    <w:rPr>
                      <w:rFonts w:ascii="Arial Narrow" w:hAnsi="Arial Narrow" w:cs="Arial Narrow"/>
                      <w:i/>
                      <w:iCs/>
                      <w:color w:val="000000" w:themeColor="text1"/>
                      <w:sz w:val="16"/>
                      <w:szCs w:val="20"/>
                    </w:rPr>
                    <w:t>Eurostat</w:t>
                  </w:r>
                  <w:proofErr w:type="spellEnd"/>
                  <w:r w:rsidR="001726B9">
                    <w:rPr>
                      <w:rFonts w:ascii="Arial Narrow" w:hAnsi="Arial Narrow" w:cs="Arial Narrow"/>
                      <w:i/>
                      <w:iCs/>
                      <w:color w:val="000000" w:themeColor="text1"/>
                      <w:sz w:val="16"/>
                      <w:szCs w:val="20"/>
                    </w:rPr>
                    <w:t xml:space="preserve"> (</w:t>
                  </w:r>
                  <w:r w:rsidR="001726B9" w:rsidRPr="001726B9">
                    <w:rPr>
                      <w:rFonts w:ascii="Arial Narrow" w:hAnsi="Arial Narrow" w:cs="Arial Narrow"/>
                      <w:i/>
                      <w:iCs/>
                      <w:color w:val="000000" w:themeColor="text1"/>
                      <w:sz w:val="16"/>
                      <w:szCs w:val="20"/>
                    </w:rPr>
                    <w:t>ilc_lvho02</w:t>
                  </w:r>
                  <w:r w:rsidR="001726B9">
                    <w:rPr>
                      <w:rFonts w:ascii="Arial Narrow" w:hAnsi="Arial Narrow" w:cs="Arial Narrow"/>
                      <w:i/>
                      <w:iCs/>
                      <w:color w:val="000000" w:themeColor="text1"/>
                      <w:sz w:val="16"/>
                      <w:szCs w:val="20"/>
                    </w:rPr>
                    <w:t>)</w:t>
                  </w:r>
                </w:p>
              </w:tc>
              <w:tc>
                <w:tcPr>
                  <w:tcW w:w="149" w:type="dxa"/>
                  <w:tcBorders>
                    <w:top w:val="nil"/>
                    <w:left w:val="nil"/>
                    <w:bottom w:val="nil"/>
                    <w:right w:val="nil"/>
                  </w:tcBorders>
                </w:tcPr>
                <w:p w14:paraId="08616E4E" w14:textId="77777777" w:rsidR="002F6048" w:rsidRPr="00FE6018" w:rsidRDefault="002F6048" w:rsidP="002F6048">
                  <w:pPr>
                    <w:spacing w:after="0" w:line="240" w:lineRule="auto"/>
                    <w:ind w:left="28"/>
                    <w:rPr>
                      <w:rFonts w:ascii="Arial Narrow" w:hAnsi="Arial Narrow" w:cs="Arial Narrow"/>
                      <w:i/>
                      <w:iCs/>
                      <w:color w:val="2C9ADC"/>
                      <w:sz w:val="16"/>
                      <w:szCs w:val="20"/>
                    </w:rPr>
                  </w:pPr>
                </w:p>
              </w:tc>
              <w:tc>
                <w:tcPr>
                  <w:tcW w:w="4177" w:type="dxa"/>
                  <w:tcBorders>
                    <w:top w:val="single" w:sz="4" w:space="0" w:color="auto"/>
                    <w:left w:val="nil"/>
                    <w:bottom w:val="nil"/>
                    <w:right w:val="nil"/>
                  </w:tcBorders>
                </w:tcPr>
                <w:p w14:paraId="1CD16115" w14:textId="77777777" w:rsidR="002F6048" w:rsidRPr="00FE6018" w:rsidRDefault="002F6048" w:rsidP="002F6048">
                  <w:pPr>
                    <w:spacing w:after="0" w:line="240" w:lineRule="auto"/>
                    <w:ind w:left="28"/>
                    <w:jc w:val="right"/>
                    <w:rPr>
                      <w:rFonts w:ascii="Arial Narrow" w:hAnsi="Arial Narrow" w:cs="Arial Narrow"/>
                      <w:i/>
                      <w:iCs/>
                      <w:color w:val="2C9ADC"/>
                      <w:sz w:val="16"/>
                      <w:szCs w:val="20"/>
                    </w:rPr>
                  </w:pPr>
                  <w:r w:rsidRPr="00FE6018">
                    <w:rPr>
                      <w:rFonts w:ascii="Arial Narrow" w:hAnsi="Arial Narrow" w:cs="Arial Narrow"/>
                      <w:i/>
                      <w:iCs/>
                      <w:color w:val="000000" w:themeColor="text1"/>
                      <w:sz w:val="16"/>
                      <w:szCs w:val="20"/>
                    </w:rPr>
                    <w:t>Zdroj: RIS, ŠFRB</w:t>
                  </w:r>
                </w:p>
              </w:tc>
            </w:tr>
          </w:tbl>
          <w:p w14:paraId="6060C094" w14:textId="77777777" w:rsidR="002F6048" w:rsidRPr="00D01314" w:rsidRDefault="002F6048" w:rsidP="002F6048">
            <w:pPr>
              <w:spacing w:after="0" w:line="240" w:lineRule="auto"/>
              <w:rPr>
                <w:rFonts w:ascii="Arial Narrow" w:hAnsi="Arial Narrow"/>
                <w:b/>
              </w:rPr>
            </w:pPr>
          </w:p>
          <w:p w14:paraId="7AC8E054" w14:textId="77777777" w:rsidR="002F6048" w:rsidRPr="002B1C6B" w:rsidRDefault="002F6048" w:rsidP="00956B1D">
            <w:pPr>
              <w:spacing w:after="0" w:line="240" w:lineRule="auto"/>
              <w:rPr>
                <w:rFonts w:ascii="Arial Narrow" w:hAnsi="Arial Narrow"/>
                <w:b/>
              </w:rPr>
            </w:pPr>
            <w:r w:rsidRPr="002B1C6B">
              <w:rPr>
                <w:rFonts w:ascii="Arial Narrow" w:hAnsi="Arial Narrow"/>
                <w:b/>
              </w:rPr>
              <w:t xml:space="preserve">Možnosti podpory nájomného bývania: </w:t>
            </w:r>
          </w:p>
          <w:p w14:paraId="0752EC4F" w14:textId="77777777" w:rsidR="002F6048" w:rsidRPr="00283C6D" w:rsidRDefault="002F6048" w:rsidP="002F6048">
            <w:pPr>
              <w:pStyle w:val="Odsekzoznamu"/>
              <w:numPr>
                <w:ilvl w:val="0"/>
                <w:numId w:val="13"/>
              </w:numPr>
              <w:spacing w:after="0" w:line="240" w:lineRule="auto"/>
              <w:jc w:val="both"/>
              <w:rPr>
                <w:rFonts w:ascii="Arial Narrow" w:hAnsi="Arial Narrow"/>
                <w:b/>
                <w:bCs/>
              </w:rPr>
            </w:pPr>
            <w:r w:rsidRPr="00283C6D">
              <w:rPr>
                <w:rFonts w:ascii="Arial Narrow" w:hAnsi="Arial Narrow"/>
                <w:b/>
                <w:bCs/>
              </w:rPr>
              <w:t>Pov</w:t>
            </w:r>
            <w:r>
              <w:rPr>
                <w:rFonts w:ascii="Arial Narrow" w:hAnsi="Arial Narrow"/>
                <w:b/>
                <w:bCs/>
              </w:rPr>
              <w:t>inný podiel nájomných</w:t>
            </w:r>
            <w:r w:rsidRPr="00283C6D">
              <w:rPr>
                <w:rFonts w:ascii="Arial Narrow" w:hAnsi="Arial Narrow"/>
                <w:b/>
                <w:bCs/>
              </w:rPr>
              <w:t xml:space="preserve"> bytov v nových developerských projektoch</w:t>
            </w:r>
          </w:p>
          <w:p w14:paraId="1340347F" w14:textId="77777777" w:rsidR="002F6048" w:rsidRPr="00283C6D" w:rsidRDefault="002F6048" w:rsidP="00956B1D">
            <w:pPr>
              <w:pStyle w:val="Odsekzoznamu"/>
              <w:spacing w:after="0" w:line="240" w:lineRule="auto"/>
              <w:ind w:left="357"/>
              <w:contextualSpacing w:val="0"/>
              <w:jc w:val="both"/>
              <w:rPr>
                <w:rFonts w:ascii="Arial Narrow" w:hAnsi="Arial Narrow"/>
                <w:b/>
                <w:bCs/>
              </w:rPr>
            </w:pPr>
            <w:r w:rsidRPr="00283C6D">
              <w:rPr>
                <w:rFonts w:ascii="Arial Narrow" w:hAnsi="Arial Narrow"/>
                <w:bCs/>
              </w:rPr>
              <w:t>Povinný podiel nájomných bytov</w:t>
            </w:r>
            <w:r w:rsidR="0057217C">
              <w:rPr>
                <w:rFonts w:ascii="Arial Narrow" w:hAnsi="Arial Narrow"/>
                <w:bCs/>
              </w:rPr>
              <w:t xml:space="preserve"> s regulovaným nájmom</w:t>
            </w:r>
            <w:r w:rsidRPr="00283C6D">
              <w:rPr>
                <w:rFonts w:ascii="Arial Narrow" w:hAnsi="Arial Narrow"/>
                <w:bCs/>
              </w:rPr>
              <w:t xml:space="preserve"> v nových developerských projektoch, ktoré žiadajú o stavebné povolenie na úrovni od 5 % do 10 %. Tento podiel by sa mal uplatňovať vo väčších mestách v úzkej spolupráci so samosprávou. Mesto bude stanovovať max. výšku nájmu v týchto bytoch ako </w:t>
            </w:r>
            <w:r>
              <w:rPr>
                <w:rFonts w:ascii="Arial Narrow" w:hAnsi="Arial Narrow"/>
                <w:bCs/>
              </w:rPr>
              <w:t>percentuálny</w:t>
            </w:r>
            <w:r w:rsidRPr="00283C6D">
              <w:rPr>
                <w:rFonts w:ascii="Arial Narrow" w:hAnsi="Arial Narrow"/>
                <w:bCs/>
              </w:rPr>
              <w:t xml:space="preserve"> podiel z priemernej/</w:t>
            </w:r>
            <w:proofErr w:type="spellStart"/>
            <w:r w:rsidRPr="00283C6D">
              <w:rPr>
                <w:rFonts w:ascii="Arial Narrow" w:hAnsi="Arial Narrow"/>
                <w:bCs/>
              </w:rPr>
              <w:t>mediánovej</w:t>
            </w:r>
            <w:proofErr w:type="spellEnd"/>
            <w:r w:rsidRPr="00283C6D">
              <w:rPr>
                <w:rFonts w:ascii="Arial Narrow" w:hAnsi="Arial Narrow"/>
                <w:bCs/>
              </w:rPr>
              <w:t xml:space="preserve"> mzdy v danom kraji a zohľadňovať aj príjem rodiny. V zahraničí je táto prax rozšírená: </w:t>
            </w:r>
          </w:p>
          <w:p w14:paraId="212A9C8B" w14:textId="37EBA42F" w:rsidR="002F6048" w:rsidRPr="00283C6D" w:rsidRDefault="006C06DE" w:rsidP="0056687D">
            <w:pPr>
              <w:pStyle w:val="Odsekzoznamu"/>
              <w:numPr>
                <w:ilvl w:val="0"/>
                <w:numId w:val="14"/>
              </w:numPr>
              <w:spacing w:after="120" w:line="240" w:lineRule="auto"/>
              <w:contextualSpacing w:val="0"/>
              <w:jc w:val="both"/>
              <w:rPr>
                <w:rFonts w:ascii="Arial Narrow" w:hAnsi="Arial Narrow"/>
                <w:bCs/>
              </w:rPr>
            </w:pPr>
            <w:r>
              <w:rPr>
                <w:rFonts w:ascii="Arial Narrow" w:hAnsi="Arial Narrow"/>
                <w:bCs/>
              </w:rPr>
              <w:t>V Londýne musí byť v</w:t>
            </w:r>
            <w:r w:rsidR="002F6048" w:rsidRPr="00283C6D">
              <w:rPr>
                <w:rFonts w:ascii="Arial Narrow" w:hAnsi="Arial Narrow"/>
                <w:bCs/>
              </w:rPr>
              <w:t xml:space="preserve"> novýc</w:t>
            </w:r>
            <w:r>
              <w:rPr>
                <w:rFonts w:ascii="Arial Narrow" w:hAnsi="Arial Narrow"/>
                <w:bCs/>
              </w:rPr>
              <w:t>h developerských projektoch</w:t>
            </w:r>
            <w:r w:rsidR="002F6048" w:rsidRPr="00283C6D">
              <w:rPr>
                <w:rFonts w:ascii="Arial Narrow" w:hAnsi="Arial Narrow"/>
                <w:bCs/>
              </w:rPr>
              <w:t xml:space="preserve"> 35 % bytov cenovo dostupných pre slabšie sociálne skupiny. Záväzok starostu je zvýšiť ich podiel na 50 %. </w:t>
            </w:r>
          </w:p>
          <w:p w14:paraId="7AC44102" w14:textId="77777777" w:rsidR="002F6048" w:rsidRPr="00283C6D" w:rsidRDefault="002F6048" w:rsidP="0056687D">
            <w:pPr>
              <w:pStyle w:val="Odsekzoznamu"/>
              <w:numPr>
                <w:ilvl w:val="0"/>
                <w:numId w:val="14"/>
              </w:numPr>
              <w:spacing w:after="120" w:line="240" w:lineRule="auto"/>
              <w:contextualSpacing w:val="0"/>
              <w:jc w:val="both"/>
              <w:rPr>
                <w:rFonts w:ascii="Arial Narrow" w:hAnsi="Arial Narrow"/>
                <w:bCs/>
              </w:rPr>
            </w:pPr>
            <w:r w:rsidRPr="00283C6D">
              <w:rPr>
                <w:rFonts w:ascii="Arial Narrow" w:hAnsi="Arial Narrow"/>
                <w:bCs/>
              </w:rPr>
              <w:t xml:space="preserve">V New Yorku musí byť podiel cenovo dostupných bytov v nových projektoch v rozmedzí od 10 % do 25 %. Nájomné je vo výške 40 % až 70 % lokálneho </w:t>
            </w:r>
            <w:proofErr w:type="spellStart"/>
            <w:r w:rsidRPr="00283C6D">
              <w:rPr>
                <w:rFonts w:ascii="Arial Narrow" w:hAnsi="Arial Narrow"/>
                <w:bCs/>
              </w:rPr>
              <w:t>mediánového</w:t>
            </w:r>
            <w:proofErr w:type="spellEnd"/>
            <w:r w:rsidRPr="00283C6D">
              <w:rPr>
                <w:rFonts w:ascii="Arial Narrow" w:hAnsi="Arial Narrow"/>
                <w:bCs/>
              </w:rPr>
              <w:t xml:space="preserve"> príjmu domácností. </w:t>
            </w:r>
          </w:p>
          <w:p w14:paraId="55FED2A0" w14:textId="77777777" w:rsidR="002F6048" w:rsidRPr="008A1BFF" w:rsidRDefault="002F6048" w:rsidP="0056687D">
            <w:pPr>
              <w:pStyle w:val="Odsekzoznamu"/>
              <w:numPr>
                <w:ilvl w:val="0"/>
                <w:numId w:val="14"/>
              </w:numPr>
              <w:spacing w:after="120" w:line="240" w:lineRule="auto"/>
              <w:ind w:left="714" w:hanging="357"/>
              <w:contextualSpacing w:val="0"/>
              <w:jc w:val="both"/>
              <w:rPr>
                <w:rFonts w:ascii="Arial Narrow" w:hAnsi="Arial Narrow"/>
                <w:bCs/>
              </w:rPr>
            </w:pPr>
            <w:r w:rsidRPr="00283C6D">
              <w:rPr>
                <w:rFonts w:ascii="Arial Narrow" w:hAnsi="Arial Narrow"/>
                <w:bCs/>
              </w:rPr>
              <w:t xml:space="preserve">Viedeň vlastní cca 25 % bytových jednotiek v meste (220 tisíc), ktoré ponúka za regulované ceny. Viedeň tiež ponúka súkromným </w:t>
            </w:r>
            <w:proofErr w:type="spellStart"/>
            <w:r w:rsidRPr="00283C6D">
              <w:rPr>
                <w:rFonts w:ascii="Arial Narrow" w:hAnsi="Arial Narrow"/>
                <w:bCs/>
              </w:rPr>
              <w:t>developerom</w:t>
            </w:r>
            <w:proofErr w:type="spellEnd"/>
            <w:r w:rsidRPr="00283C6D">
              <w:rPr>
                <w:rFonts w:ascii="Arial Narrow" w:hAnsi="Arial Narrow"/>
                <w:bCs/>
              </w:rPr>
              <w:t xml:space="preserve"> spoluprácu, v ktorej im zabezpečí pozemok a výhodný úver. Ako protihodnotu dostane 50 % bytových jednotiek z takto podporeného projektu. Nájomné v</w:t>
            </w:r>
            <w:r w:rsidR="0057217C">
              <w:rPr>
                <w:rFonts w:ascii="Arial Narrow" w:hAnsi="Arial Narrow"/>
                <w:bCs/>
              </w:rPr>
              <w:t> </w:t>
            </w:r>
            <w:r w:rsidRPr="00283C6D">
              <w:rPr>
                <w:rFonts w:ascii="Arial Narrow" w:hAnsi="Arial Narrow"/>
                <w:bCs/>
              </w:rPr>
              <w:t>bytoch</w:t>
            </w:r>
            <w:r w:rsidR="0057217C">
              <w:rPr>
                <w:rFonts w:ascii="Arial Narrow" w:hAnsi="Arial Narrow"/>
                <w:bCs/>
              </w:rPr>
              <w:t>, ktoré sú</w:t>
            </w:r>
            <w:r w:rsidRPr="00283C6D">
              <w:rPr>
                <w:rFonts w:ascii="Arial Narrow" w:hAnsi="Arial Narrow"/>
                <w:bCs/>
              </w:rPr>
              <w:t xml:space="preserve"> regulované mestom</w:t>
            </w:r>
            <w:r w:rsidR="00341151">
              <w:rPr>
                <w:rFonts w:ascii="Arial Narrow" w:hAnsi="Arial Narrow"/>
                <w:bCs/>
              </w:rPr>
              <w:t>,</w:t>
            </w:r>
            <w:r w:rsidRPr="00283C6D">
              <w:rPr>
                <w:rFonts w:ascii="Arial Narrow" w:hAnsi="Arial Narrow"/>
                <w:bCs/>
              </w:rPr>
              <w:t xml:space="preserve"> sa pohybujú od 20 do 25 % príjmu nájomcov.</w:t>
            </w:r>
          </w:p>
          <w:p w14:paraId="2BE3295B" w14:textId="2D8289E1" w:rsidR="002F6048" w:rsidRPr="00283C6D" w:rsidRDefault="002F6048" w:rsidP="002F6048">
            <w:pPr>
              <w:pStyle w:val="Odsekzoznamu"/>
              <w:numPr>
                <w:ilvl w:val="0"/>
                <w:numId w:val="12"/>
              </w:numPr>
              <w:spacing w:after="0" w:line="240" w:lineRule="auto"/>
              <w:ind w:left="360"/>
              <w:jc w:val="both"/>
              <w:rPr>
                <w:rFonts w:ascii="Arial Narrow" w:hAnsi="Arial Narrow"/>
              </w:rPr>
            </w:pPr>
            <w:r w:rsidRPr="00283C6D">
              <w:rPr>
                <w:rFonts w:ascii="Arial Narrow" w:hAnsi="Arial Narrow"/>
                <w:b/>
                <w:bCs/>
              </w:rPr>
              <w:t>Vyšší podiel zdrojov na vý</w:t>
            </w:r>
            <w:r w:rsidR="0008453B">
              <w:rPr>
                <w:rFonts w:ascii="Arial Narrow" w:hAnsi="Arial Narrow"/>
                <w:b/>
                <w:bCs/>
              </w:rPr>
              <w:t>stavbu nájomného bývania v Štátnom fonde rozvoja bývania (ŠFRB)</w:t>
            </w:r>
          </w:p>
          <w:p w14:paraId="205E4E31" w14:textId="4AD249BD" w:rsidR="006A3F3C" w:rsidRPr="00D01314" w:rsidRDefault="002F6048" w:rsidP="00D01314">
            <w:pPr>
              <w:pStyle w:val="Odsekzoznamu"/>
              <w:spacing w:after="0" w:line="240" w:lineRule="auto"/>
              <w:ind w:left="357"/>
              <w:jc w:val="both"/>
              <w:rPr>
                <w:rFonts w:ascii="Arial Narrow" w:hAnsi="Arial Narrow"/>
              </w:rPr>
            </w:pPr>
            <w:r w:rsidRPr="00283C6D">
              <w:rPr>
                <w:rFonts w:ascii="Arial Narrow" w:hAnsi="Arial Narrow"/>
              </w:rPr>
              <w:t>Preferovať pôžičky najmä do výstavby nových bytov. Na obstaranie nájomných bytov išlo v roku 2016 z prostriedkov ŠFRB iba 31 mil. eur (14 % z poskytnutých úverov). V roku 2016 bolo až 85 % zdrojov ŠFRB alokovaných do obnovy bytových budov (194 mil. eur) kde hrajú významnú úlohu pôžičky na zatepľovanie</w:t>
            </w:r>
            <w:r w:rsidRPr="00283C6D">
              <w:rPr>
                <w:rStyle w:val="Odkaznapoznmkupodiarou"/>
                <w:rFonts w:ascii="Arial Narrow" w:hAnsi="Arial Narrow"/>
              </w:rPr>
              <w:footnoteReference w:id="36"/>
            </w:r>
            <w:r>
              <w:rPr>
                <w:rFonts w:ascii="Arial Narrow" w:hAnsi="Arial Narrow"/>
              </w:rPr>
              <w:t xml:space="preserve">. </w:t>
            </w:r>
          </w:p>
        </w:tc>
      </w:tr>
    </w:tbl>
    <w:p w14:paraId="76FEBCD7" w14:textId="77777777" w:rsidR="0087239E" w:rsidRPr="0087239E" w:rsidRDefault="0087239E" w:rsidP="0087239E">
      <w:pPr>
        <w:keepNext/>
        <w:keepLines/>
        <w:numPr>
          <w:ilvl w:val="2"/>
          <w:numId w:val="1"/>
        </w:numPr>
        <w:spacing w:before="200" w:after="240" w:line="240" w:lineRule="auto"/>
        <w:ind w:left="720"/>
        <w:jc w:val="both"/>
        <w:outlineLvl w:val="1"/>
        <w:rPr>
          <w:rFonts w:ascii="Arial Narrow" w:eastAsiaTheme="majorEastAsia" w:hAnsi="Arial Narrow" w:cstheme="majorBidi"/>
          <w:b/>
          <w:bCs/>
          <w:color w:val="2C9ADC"/>
          <w:sz w:val="28"/>
          <w:szCs w:val="28"/>
        </w:rPr>
      </w:pPr>
      <w:bookmarkStart w:id="58" w:name="_Toc448824646"/>
      <w:bookmarkStart w:id="59" w:name="_Toc480749810"/>
      <w:bookmarkStart w:id="60" w:name="_Toc508039582"/>
      <w:r w:rsidRPr="0087239E">
        <w:rPr>
          <w:rFonts w:ascii="Arial Narrow" w:eastAsiaTheme="majorEastAsia" w:hAnsi="Arial Narrow" w:cstheme="majorBidi"/>
          <w:b/>
          <w:bCs/>
          <w:color w:val="2C9ADC"/>
          <w:sz w:val="28"/>
          <w:szCs w:val="28"/>
        </w:rPr>
        <w:lastRenderedPageBreak/>
        <w:t>Zamestnanosť</w:t>
      </w:r>
      <w:bookmarkEnd w:id="58"/>
      <w:bookmarkEnd w:id="59"/>
      <w:bookmarkEnd w:id="60"/>
    </w:p>
    <w:p w14:paraId="259F87FB" w14:textId="77777777" w:rsidR="0087239E" w:rsidRPr="0087239E" w:rsidRDefault="0087239E" w:rsidP="0087239E">
      <w:pPr>
        <w:spacing w:after="0" w:line="240" w:lineRule="auto"/>
        <w:jc w:val="both"/>
        <w:rPr>
          <w:rFonts w:ascii="Arial Narrow" w:hAnsi="Arial Narrow"/>
        </w:rPr>
      </w:pPr>
      <w:r w:rsidRPr="0087239E">
        <w:rPr>
          <w:rFonts w:ascii="Arial Narrow" w:hAnsi="Arial Narrow"/>
          <w:b/>
          <w:i/>
        </w:rPr>
        <w:t>Služby zamestnanosti a integrácia dlhodobo nezamestnaných</w:t>
      </w:r>
    </w:p>
    <w:p w14:paraId="74307608" w14:textId="30368888" w:rsidR="0087239E" w:rsidRPr="0051724C" w:rsidRDefault="0087239E" w:rsidP="00E0105E">
      <w:pPr>
        <w:spacing w:after="0" w:line="240" w:lineRule="auto"/>
        <w:jc w:val="both"/>
        <w:rPr>
          <w:rFonts w:ascii="Arial Narrow" w:eastAsia="Calibri" w:hAnsi="Arial Narrow"/>
          <w:bCs/>
          <w:kern w:val="3"/>
        </w:rPr>
      </w:pPr>
      <w:r w:rsidRPr="0087239E">
        <w:rPr>
          <w:rFonts w:ascii="Arial Narrow" w:hAnsi="Arial Narrow"/>
          <w:b/>
        </w:rPr>
        <w:t>Revízie výdavkov na politiky trhu práce</w:t>
      </w:r>
      <w:r w:rsidRPr="0087239E">
        <w:rPr>
          <w:rFonts w:ascii="Arial Narrow" w:hAnsi="Arial Narrow"/>
          <w:vertAlign w:val="superscript"/>
        </w:rPr>
        <w:footnoteReference w:id="37"/>
      </w:r>
      <w:r w:rsidRPr="0087239E">
        <w:rPr>
          <w:rFonts w:ascii="Arial Narrow" w:hAnsi="Arial Narrow"/>
        </w:rPr>
        <w:t xml:space="preserve"> identifikovali dlhodobo nezamestnaných ako prioritnú cieľovú skupinu</w:t>
      </w:r>
      <w:r w:rsidR="00E0105E">
        <w:rPr>
          <w:rFonts w:ascii="Arial Narrow" w:hAnsi="Arial Narrow"/>
        </w:rPr>
        <w:t xml:space="preserve"> </w:t>
      </w:r>
      <w:proofErr w:type="spellStart"/>
      <w:r w:rsidR="00E0105E">
        <w:rPr>
          <w:rFonts w:ascii="Arial Narrow" w:hAnsi="Arial Narrow"/>
        </w:rPr>
        <w:t>UoZ</w:t>
      </w:r>
      <w:proofErr w:type="spellEnd"/>
      <w:r w:rsidR="00E0105E">
        <w:rPr>
          <w:rFonts w:ascii="Arial Narrow" w:hAnsi="Arial Narrow"/>
        </w:rPr>
        <w:t xml:space="preserve"> pre služby zamestnanosti. </w:t>
      </w:r>
      <w:r w:rsidRPr="0087239E">
        <w:rPr>
          <w:rFonts w:ascii="Arial Narrow" w:eastAsia="Calibri" w:hAnsi="Arial Narrow"/>
          <w:bCs/>
          <w:kern w:val="3"/>
        </w:rPr>
        <w:t xml:space="preserve">Aj v roku 2018 bude pokračovať posun v službách zamestnanosti smerom k väčšej integrácii dlhodobo nezamestnaných </w:t>
      </w:r>
      <w:proofErr w:type="spellStart"/>
      <w:r w:rsidRPr="0087239E">
        <w:rPr>
          <w:rFonts w:ascii="Arial Narrow" w:eastAsia="Calibri" w:hAnsi="Arial Narrow"/>
          <w:bCs/>
          <w:kern w:val="3"/>
        </w:rPr>
        <w:t>UoZ</w:t>
      </w:r>
      <w:proofErr w:type="spellEnd"/>
      <w:r w:rsidRPr="0087239E">
        <w:rPr>
          <w:rFonts w:ascii="Arial Narrow" w:eastAsia="Calibri" w:hAnsi="Arial Narrow"/>
          <w:bCs/>
          <w:kern w:val="3"/>
        </w:rPr>
        <w:t xml:space="preserve">. Dosiahne sa to </w:t>
      </w:r>
      <w:r w:rsidRPr="0087239E">
        <w:rPr>
          <w:rFonts w:ascii="Arial Narrow" w:eastAsia="Calibri" w:hAnsi="Arial Narrow"/>
          <w:b/>
          <w:bCs/>
          <w:kern w:val="3"/>
        </w:rPr>
        <w:t xml:space="preserve">komplexnými </w:t>
      </w:r>
      <w:proofErr w:type="spellStart"/>
      <w:r w:rsidRPr="0087239E">
        <w:rPr>
          <w:rFonts w:ascii="Arial Narrow" w:eastAsia="Calibri" w:hAnsi="Arial Narrow"/>
          <w:b/>
          <w:bCs/>
          <w:kern w:val="3"/>
        </w:rPr>
        <w:t>personalizovanými</w:t>
      </w:r>
      <w:proofErr w:type="spellEnd"/>
      <w:r w:rsidRPr="0087239E">
        <w:rPr>
          <w:rFonts w:ascii="Arial Narrow" w:eastAsia="Calibri" w:hAnsi="Arial Narrow"/>
          <w:b/>
          <w:bCs/>
          <w:kern w:val="3"/>
        </w:rPr>
        <w:t xml:space="preserve"> službami</w:t>
      </w:r>
      <w:r w:rsidR="0051724C">
        <w:rPr>
          <w:rFonts w:ascii="Arial Narrow" w:eastAsia="Calibri" w:hAnsi="Arial Narrow"/>
          <w:bCs/>
          <w:kern w:val="3"/>
        </w:rPr>
        <w:t xml:space="preserve"> – </w:t>
      </w:r>
      <w:r w:rsidRPr="0087239E">
        <w:rPr>
          <w:rFonts w:ascii="Arial Narrow" w:eastAsia="Calibri" w:hAnsi="Arial Narrow"/>
          <w:bCs/>
          <w:kern w:val="3"/>
        </w:rPr>
        <w:t xml:space="preserve">poskytovaním špecializovaného poradenstva, bilanciou kompetencií znevýhodnených </w:t>
      </w:r>
      <w:proofErr w:type="spellStart"/>
      <w:r w:rsidRPr="0087239E">
        <w:rPr>
          <w:rFonts w:ascii="Arial Narrow" w:eastAsia="Calibri" w:hAnsi="Arial Narrow"/>
          <w:bCs/>
          <w:kern w:val="3"/>
        </w:rPr>
        <w:t>UoZ</w:t>
      </w:r>
      <w:proofErr w:type="spellEnd"/>
      <w:r w:rsidRPr="0087239E">
        <w:rPr>
          <w:rFonts w:ascii="Arial Narrow" w:eastAsia="Calibri" w:hAnsi="Arial Narrow"/>
          <w:bCs/>
          <w:kern w:val="3"/>
        </w:rPr>
        <w:t xml:space="preserve">, pokračovaním zavádzania  nového systému vytvárania profilov a poskytovaním cielených programov odbornej prípravy navrhnutých zamestnávateľmi na základe potrieb regionálneho trhu práce. </w:t>
      </w:r>
    </w:p>
    <w:p w14:paraId="022D068C" w14:textId="77777777" w:rsidR="0087239E" w:rsidRPr="0087239E" w:rsidRDefault="0087239E" w:rsidP="0087239E">
      <w:pPr>
        <w:spacing w:after="0" w:line="240" w:lineRule="auto"/>
        <w:jc w:val="both"/>
        <w:rPr>
          <w:rFonts w:ascii="Arial Narrow" w:hAnsi="Arial Narrow"/>
          <w:color w:val="000000" w:themeColor="text1"/>
        </w:rPr>
      </w:pPr>
    </w:p>
    <w:p w14:paraId="1460E33B" w14:textId="77777777" w:rsidR="0087239E" w:rsidRPr="0087239E" w:rsidRDefault="0087239E" w:rsidP="0087239E">
      <w:pPr>
        <w:spacing w:after="0" w:line="240" w:lineRule="auto"/>
        <w:jc w:val="both"/>
        <w:rPr>
          <w:rFonts w:ascii="Arial Narrow" w:hAnsi="Arial Narrow"/>
          <w:b/>
          <w:i/>
          <w:color w:val="000000" w:themeColor="text1"/>
        </w:rPr>
      </w:pPr>
      <w:r w:rsidRPr="0087239E">
        <w:rPr>
          <w:rFonts w:ascii="Arial Narrow" w:hAnsi="Arial Narrow"/>
          <w:b/>
          <w:i/>
          <w:color w:val="000000" w:themeColor="text1"/>
        </w:rPr>
        <w:t>Nedostatok pracovnej sily</w:t>
      </w:r>
    </w:p>
    <w:p w14:paraId="63FA1504" w14:textId="26ABD9AE" w:rsidR="0087239E" w:rsidRPr="0087239E" w:rsidRDefault="0087239E" w:rsidP="0087239E">
      <w:pPr>
        <w:spacing w:after="0" w:line="240" w:lineRule="auto"/>
        <w:jc w:val="both"/>
        <w:rPr>
          <w:rFonts w:ascii="Arial Narrow" w:hAnsi="Arial Narrow"/>
          <w:color w:val="000000" w:themeColor="text1"/>
        </w:rPr>
      </w:pPr>
      <w:r w:rsidRPr="0087239E">
        <w:rPr>
          <w:rFonts w:ascii="Arial Narrow" w:hAnsi="Arial Narrow"/>
          <w:color w:val="000000" w:themeColor="text1"/>
        </w:rPr>
        <w:t>Národný projekt „</w:t>
      </w:r>
      <w:r w:rsidRPr="0087239E">
        <w:rPr>
          <w:rFonts w:ascii="Arial Narrow" w:eastAsia="Calibri" w:hAnsi="Arial Narrow"/>
          <w:bCs/>
          <w:i/>
          <w:kern w:val="3"/>
        </w:rPr>
        <w:t>Sektorovo riadenými inováciami k efektívnemu trhu práce v SR</w:t>
      </w:r>
      <w:r w:rsidRPr="0087239E">
        <w:rPr>
          <w:rFonts w:ascii="Arial Narrow" w:hAnsi="Arial Narrow"/>
          <w:color w:val="000000" w:themeColor="text1"/>
        </w:rPr>
        <w:t xml:space="preserve">“ predstavuje </w:t>
      </w:r>
      <w:r w:rsidRPr="0087239E">
        <w:rPr>
          <w:rFonts w:ascii="Arial Narrow" w:eastAsia="Calibri" w:hAnsi="Arial Narrow"/>
          <w:kern w:val="3"/>
        </w:rPr>
        <w:t>systémové preventívne opatrenie spoločného záujmu všetkých sociálnych partnerov</w:t>
      </w:r>
      <w:r w:rsidR="00BE76BA">
        <w:rPr>
          <w:rFonts w:ascii="Arial Narrow" w:eastAsia="Calibri" w:hAnsi="Arial Narrow"/>
          <w:kern w:val="3"/>
        </w:rPr>
        <w:t xml:space="preserve"> </w:t>
      </w:r>
      <w:r w:rsidR="002C1750">
        <w:rPr>
          <w:rFonts w:ascii="Arial Narrow" w:eastAsia="Calibri" w:hAnsi="Arial Narrow"/>
          <w:kern w:val="3"/>
        </w:rPr>
        <w:t xml:space="preserve">aj </w:t>
      </w:r>
      <w:r w:rsidR="00BE76BA">
        <w:rPr>
          <w:rFonts w:ascii="Arial Narrow" w:eastAsia="Calibri" w:hAnsi="Arial Narrow"/>
          <w:kern w:val="3"/>
        </w:rPr>
        <w:t>na riešenie</w:t>
      </w:r>
      <w:r w:rsidRPr="0087239E">
        <w:rPr>
          <w:rFonts w:ascii="Arial Narrow" w:eastAsia="Calibri" w:hAnsi="Arial Narrow"/>
          <w:kern w:val="3"/>
        </w:rPr>
        <w:t xml:space="preserve"> súčasn</w:t>
      </w:r>
      <w:r w:rsidR="00BE76BA">
        <w:rPr>
          <w:rFonts w:ascii="Arial Narrow" w:eastAsia="Calibri" w:hAnsi="Arial Narrow"/>
          <w:kern w:val="3"/>
        </w:rPr>
        <w:t>ého</w:t>
      </w:r>
      <w:r w:rsidRPr="0087239E">
        <w:rPr>
          <w:rFonts w:ascii="Arial Narrow" w:eastAsia="Calibri" w:hAnsi="Arial Narrow"/>
          <w:kern w:val="3"/>
        </w:rPr>
        <w:t xml:space="preserve"> nedostatk</w:t>
      </w:r>
      <w:r w:rsidR="00BE76BA">
        <w:rPr>
          <w:rFonts w:ascii="Arial Narrow" w:eastAsia="Calibri" w:hAnsi="Arial Narrow"/>
          <w:kern w:val="3"/>
        </w:rPr>
        <w:t>u</w:t>
      </w:r>
      <w:r w:rsidRPr="0087239E">
        <w:rPr>
          <w:rFonts w:ascii="Arial Narrow" w:eastAsia="Calibri" w:hAnsi="Arial Narrow"/>
          <w:kern w:val="3"/>
        </w:rPr>
        <w:t xml:space="preserve"> kvalifikovanej pracovnej sily.</w:t>
      </w:r>
      <w:r w:rsidRPr="0087239E">
        <w:rPr>
          <w:rFonts w:ascii="Arial Narrow" w:hAnsi="Arial Narrow"/>
          <w:color w:val="000000" w:themeColor="text1"/>
        </w:rPr>
        <w:t xml:space="preserve"> Zabezpečí sa </w:t>
      </w:r>
      <w:r w:rsidRPr="0087239E">
        <w:rPr>
          <w:rFonts w:ascii="Arial Narrow" w:eastAsia="Calibri" w:hAnsi="Arial Narrow"/>
          <w:b/>
          <w:kern w:val="3"/>
        </w:rPr>
        <w:t>koordinovaný rozvoj sektorovej stratégie zamestnanosti</w:t>
      </w:r>
      <w:r w:rsidRPr="0087239E">
        <w:rPr>
          <w:rFonts w:ascii="Arial Narrow" w:eastAsia="Calibri" w:hAnsi="Arial Narrow"/>
          <w:kern w:val="3"/>
        </w:rPr>
        <w:t xml:space="preserve"> reagujúcej na hospodárske zmeny, technologický rozvoj a inovácie v jednotlivých odvetviach hospodárstva so zreteľom na zabezpečenie nevyhnutnej kvalifikovanej pracovnej sily</w:t>
      </w:r>
      <w:r w:rsidRPr="0087239E">
        <w:rPr>
          <w:rFonts w:ascii="Arial Narrow" w:hAnsi="Arial Narrow"/>
          <w:color w:val="000000" w:themeColor="text1"/>
        </w:rPr>
        <w:t>. Predpokladá sa zlepšenie identifikácie zručností na trhu práce a dopytu po kvalifikovanej pracovnej sile v jednotlivých sektoroch hospodárstva.</w:t>
      </w:r>
      <w:r w:rsidR="00A87BC7">
        <w:rPr>
          <w:rFonts w:ascii="Arial Narrow" w:hAnsi="Arial Narrow"/>
          <w:color w:val="000000" w:themeColor="text1"/>
        </w:rPr>
        <w:t xml:space="preserve"> </w:t>
      </w:r>
      <w:r w:rsidR="004A5C5F">
        <w:rPr>
          <w:rFonts w:ascii="Arial Narrow" w:hAnsi="Arial Narrow"/>
          <w:color w:val="000000" w:themeColor="text1"/>
        </w:rPr>
        <w:t>Rovnako budú identifikované</w:t>
      </w:r>
      <w:r w:rsidR="00A87BC7" w:rsidRPr="00F67772">
        <w:rPr>
          <w:rFonts w:ascii="Arial Narrow" w:hAnsi="Arial Narrow"/>
          <w:color w:val="000000" w:themeColor="text1"/>
        </w:rPr>
        <w:t xml:space="preserve"> aj vplyvy Inteligentného priemyslu pre Slovensko (Priemysel 4.0) a digitálnej transformácie na zamestnanosť, zamestnania, pracovné miesta, formy práce a pod.</w:t>
      </w:r>
    </w:p>
    <w:p w14:paraId="0C052F58" w14:textId="77777777" w:rsidR="0087239E" w:rsidRPr="0087239E" w:rsidRDefault="0087239E" w:rsidP="0087239E">
      <w:pPr>
        <w:spacing w:after="0" w:line="240" w:lineRule="auto"/>
        <w:jc w:val="both"/>
        <w:rPr>
          <w:rFonts w:ascii="Arial Narrow" w:hAnsi="Arial Narrow"/>
          <w:color w:val="000000" w:themeColor="text1"/>
        </w:rPr>
      </w:pPr>
    </w:p>
    <w:p w14:paraId="3DF6043B" w14:textId="5EC999E8" w:rsidR="0087239E" w:rsidRPr="0087239E" w:rsidRDefault="0087239E" w:rsidP="0087239E">
      <w:pPr>
        <w:widowControl w:val="0"/>
        <w:suppressAutoHyphens/>
        <w:autoSpaceDN w:val="0"/>
        <w:spacing w:after="0" w:line="240" w:lineRule="auto"/>
        <w:jc w:val="both"/>
        <w:textAlignment w:val="baseline"/>
        <w:rPr>
          <w:rFonts w:ascii="Arial Narrow" w:eastAsia="Calibri" w:hAnsi="Arial Narrow"/>
          <w:kern w:val="3"/>
        </w:rPr>
      </w:pPr>
      <w:r w:rsidRPr="0087239E">
        <w:rPr>
          <w:rFonts w:ascii="Arial Narrow" w:hAnsi="Arial Narrow"/>
          <w:color w:val="000000" w:themeColor="text1"/>
        </w:rPr>
        <w:t xml:space="preserve">V rámci </w:t>
      </w:r>
      <w:r w:rsidR="004A5C5F">
        <w:rPr>
          <w:rFonts w:ascii="Arial Narrow" w:hAnsi="Arial Narrow"/>
          <w:color w:val="000000" w:themeColor="text1"/>
        </w:rPr>
        <w:t>národného</w:t>
      </w:r>
      <w:r w:rsidR="00662FAC">
        <w:rPr>
          <w:rFonts w:ascii="Arial Narrow" w:hAnsi="Arial Narrow"/>
          <w:color w:val="000000" w:themeColor="text1"/>
        </w:rPr>
        <w:t xml:space="preserve"> </w:t>
      </w:r>
      <w:r w:rsidRPr="0087239E">
        <w:rPr>
          <w:rFonts w:ascii="Arial Narrow" w:hAnsi="Arial Narrow"/>
          <w:color w:val="000000" w:themeColor="text1"/>
        </w:rPr>
        <w:t>projektu „</w:t>
      </w:r>
      <w:r w:rsidRPr="0087239E">
        <w:rPr>
          <w:rFonts w:ascii="Arial Narrow" w:hAnsi="Arial Narrow"/>
          <w:i/>
          <w:color w:val="000000" w:themeColor="text1"/>
        </w:rPr>
        <w:t>Prognózy vývoja na trhu práce v</w:t>
      </w:r>
      <w:r w:rsidR="00662FAC">
        <w:rPr>
          <w:rFonts w:ascii="Arial Narrow" w:hAnsi="Arial Narrow"/>
          <w:i/>
          <w:color w:val="000000" w:themeColor="text1"/>
        </w:rPr>
        <w:t> </w:t>
      </w:r>
      <w:r w:rsidRPr="0087239E">
        <w:rPr>
          <w:rFonts w:ascii="Arial Narrow" w:hAnsi="Arial Narrow"/>
          <w:i/>
          <w:color w:val="000000" w:themeColor="text1"/>
        </w:rPr>
        <w:t>S</w:t>
      </w:r>
      <w:r w:rsidR="00662FAC">
        <w:rPr>
          <w:rFonts w:ascii="Arial Narrow" w:hAnsi="Arial Narrow"/>
          <w:i/>
          <w:color w:val="000000" w:themeColor="text1"/>
        </w:rPr>
        <w:t>lovenskej republike II</w:t>
      </w:r>
      <w:r w:rsidRPr="0087239E">
        <w:rPr>
          <w:rFonts w:ascii="Arial Narrow" w:hAnsi="Arial Narrow"/>
          <w:color w:val="000000" w:themeColor="text1"/>
        </w:rPr>
        <w:t xml:space="preserve">“ </w:t>
      </w:r>
      <w:r w:rsidRPr="0087239E">
        <w:rPr>
          <w:rFonts w:ascii="Arial Narrow" w:eastAsia="Calibri" w:hAnsi="Arial Narrow"/>
          <w:kern w:val="3"/>
        </w:rPr>
        <w:t>sa budú identifikovať vznikajúce a zanikajúce pracovné miesta a prognózovať potreby kvalifikovanej pracovnej sily v SR z kvantitatívneho, ako aj kvalitatívneho hľadiska.</w:t>
      </w:r>
    </w:p>
    <w:p w14:paraId="220D2D4B" w14:textId="77777777" w:rsidR="0087239E" w:rsidRPr="0087239E" w:rsidRDefault="0087239E" w:rsidP="0087239E">
      <w:pPr>
        <w:spacing w:after="0" w:line="240" w:lineRule="auto"/>
        <w:jc w:val="both"/>
        <w:rPr>
          <w:rFonts w:ascii="Arial Narrow" w:hAnsi="Arial Narrow"/>
          <w:color w:val="000000" w:themeColor="text1"/>
        </w:rPr>
      </w:pPr>
    </w:p>
    <w:p w14:paraId="6E8F5243" w14:textId="77777777" w:rsidR="0087239E" w:rsidRPr="0087239E" w:rsidRDefault="0087239E" w:rsidP="0087239E">
      <w:pPr>
        <w:spacing w:after="0" w:line="240" w:lineRule="auto"/>
        <w:jc w:val="both"/>
        <w:rPr>
          <w:rFonts w:ascii="Arial Narrow" w:eastAsia="Calibri" w:hAnsi="Arial Narrow"/>
          <w:color w:val="000000"/>
          <w:kern w:val="3"/>
        </w:rPr>
      </w:pPr>
      <w:r w:rsidRPr="0087239E">
        <w:rPr>
          <w:rFonts w:ascii="Arial Narrow" w:eastAsia="Calibri" w:hAnsi="Arial Narrow"/>
          <w:color w:val="000000"/>
          <w:kern w:val="3"/>
        </w:rPr>
        <w:t xml:space="preserve">V spolupráci so zamestnávateľmi sa finančne podporí </w:t>
      </w:r>
      <w:r w:rsidRPr="0087239E">
        <w:rPr>
          <w:rFonts w:ascii="Arial Narrow" w:eastAsia="Calibri" w:hAnsi="Arial Narrow"/>
          <w:b/>
          <w:color w:val="000000"/>
          <w:kern w:val="3"/>
        </w:rPr>
        <w:t>školenie a odborná príprava</w:t>
      </w:r>
      <w:r w:rsidRPr="0087239E">
        <w:rPr>
          <w:rFonts w:ascii="Arial Narrow" w:eastAsia="Calibri" w:hAnsi="Arial Narrow"/>
          <w:color w:val="000000"/>
          <w:kern w:val="3"/>
        </w:rPr>
        <w:t xml:space="preserve"> </w:t>
      </w:r>
      <w:r w:rsidRPr="0087239E">
        <w:rPr>
          <w:rFonts w:ascii="Arial Narrow" w:eastAsia="Calibri" w:hAnsi="Arial Narrow"/>
          <w:b/>
          <w:color w:val="000000"/>
          <w:kern w:val="3"/>
        </w:rPr>
        <w:t>(tzv. in-</w:t>
      </w:r>
      <w:proofErr w:type="spellStart"/>
      <w:r w:rsidRPr="0087239E">
        <w:rPr>
          <w:rFonts w:ascii="Arial Narrow" w:eastAsia="Calibri" w:hAnsi="Arial Narrow"/>
          <w:b/>
          <w:color w:val="000000"/>
          <w:kern w:val="3"/>
        </w:rPr>
        <w:t>company</w:t>
      </w:r>
      <w:proofErr w:type="spellEnd"/>
      <w:r w:rsidRPr="0087239E">
        <w:rPr>
          <w:rFonts w:ascii="Arial Narrow" w:eastAsia="Calibri" w:hAnsi="Arial Narrow"/>
          <w:b/>
          <w:color w:val="000000"/>
          <w:kern w:val="3"/>
        </w:rPr>
        <w:t xml:space="preserve"> </w:t>
      </w:r>
      <w:proofErr w:type="spellStart"/>
      <w:r w:rsidRPr="0087239E">
        <w:rPr>
          <w:rFonts w:ascii="Arial Narrow" w:eastAsia="Calibri" w:hAnsi="Arial Narrow"/>
          <w:b/>
          <w:color w:val="000000"/>
          <w:kern w:val="3"/>
        </w:rPr>
        <w:t>training</w:t>
      </w:r>
      <w:proofErr w:type="spellEnd"/>
      <w:r w:rsidRPr="0087239E">
        <w:rPr>
          <w:rFonts w:ascii="Arial Narrow" w:eastAsia="Calibri" w:hAnsi="Arial Narrow"/>
          <w:b/>
          <w:color w:val="000000"/>
          <w:kern w:val="3"/>
        </w:rPr>
        <w:t>)</w:t>
      </w:r>
      <w:r w:rsidRPr="0087239E">
        <w:rPr>
          <w:rFonts w:ascii="Arial Narrow" w:eastAsia="Calibri" w:hAnsi="Arial Narrow"/>
          <w:color w:val="000000"/>
          <w:kern w:val="3"/>
        </w:rPr>
        <w:t xml:space="preserve"> vlastných zamestnancov alebo prijatých </w:t>
      </w:r>
      <w:proofErr w:type="spellStart"/>
      <w:r w:rsidRPr="0087239E">
        <w:rPr>
          <w:rFonts w:ascii="Arial Narrow" w:eastAsia="Calibri" w:hAnsi="Arial Narrow"/>
          <w:color w:val="000000"/>
          <w:kern w:val="3"/>
        </w:rPr>
        <w:t>UoZ</w:t>
      </w:r>
      <w:proofErr w:type="spellEnd"/>
      <w:r w:rsidRPr="0087239E">
        <w:rPr>
          <w:rFonts w:ascii="Arial Narrow" w:eastAsia="Calibri" w:hAnsi="Arial Narrow"/>
          <w:color w:val="000000"/>
          <w:kern w:val="3"/>
        </w:rPr>
        <w:t>. Cieľom je zvyšovanie zručností v sektoroch s najväčším dopytom po kvalifikovanej pracovnej sile. Celková finančná alokácia na tento projekt predstavuje 10 mil. eur v roku 2018.</w:t>
      </w:r>
    </w:p>
    <w:p w14:paraId="0B53C124" w14:textId="77777777" w:rsidR="0087239E" w:rsidRPr="0087239E" w:rsidRDefault="0087239E" w:rsidP="0087239E">
      <w:pPr>
        <w:spacing w:after="0" w:line="240" w:lineRule="auto"/>
        <w:jc w:val="both"/>
        <w:rPr>
          <w:rFonts w:ascii="Arial Narrow" w:hAnsi="Arial Narrow"/>
          <w:b/>
          <w:i/>
          <w:color w:val="000000" w:themeColor="text1"/>
        </w:rPr>
      </w:pPr>
    </w:p>
    <w:p w14:paraId="27252BAA" w14:textId="77777777" w:rsidR="00E0105E" w:rsidRDefault="00E0105E" w:rsidP="00E0105E">
      <w:pPr>
        <w:spacing w:after="0" w:line="240" w:lineRule="auto"/>
        <w:jc w:val="both"/>
        <w:rPr>
          <w:rFonts w:ascii="Arial Narrow" w:hAnsi="Arial Narrow"/>
          <w:b/>
          <w:i/>
        </w:rPr>
      </w:pPr>
      <w:r>
        <w:rPr>
          <w:rFonts w:ascii="Arial Narrow" w:hAnsi="Arial Narrow"/>
          <w:b/>
          <w:i/>
        </w:rPr>
        <w:t>Mobilita na trhu práce</w:t>
      </w:r>
      <w:r w:rsidR="00EC15E5" w:rsidRPr="009D1400">
        <w:rPr>
          <w:rStyle w:val="Odkaznapoznmkupodiarou"/>
          <w:rFonts w:ascii="Arial Narrow" w:hAnsi="Arial Narrow"/>
          <w:i/>
        </w:rPr>
        <w:footnoteReference w:id="38"/>
      </w:r>
    </w:p>
    <w:p w14:paraId="5808EB54" w14:textId="0CC26C47" w:rsidR="00EC15E5" w:rsidRDefault="00A87BC7" w:rsidP="00EC15E5">
      <w:pPr>
        <w:spacing w:after="0" w:line="240" w:lineRule="auto"/>
        <w:jc w:val="both"/>
        <w:rPr>
          <w:rFonts w:ascii="Arial Narrow" w:hAnsi="Arial Narrow"/>
          <w:sz w:val="12"/>
          <w:szCs w:val="14"/>
        </w:rPr>
      </w:pPr>
      <w:r>
        <w:rPr>
          <w:rFonts w:ascii="Arial Narrow" w:hAnsi="Arial Narrow"/>
        </w:rPr>
        <w:t xml:space="preserve">Od mája 2018 sa implementujú </w:t>
      </w:r>
      <w:r w:rsidR="00E0105E" w:rsidRPr="00EC15E5">
        <w:rPr>
          <w:rFonts w:ascii="Arial Narrow" w:hAnsi="Arial Narrow"/>
        </w:rPr>
        <w:t>atraktívn</w:t>
      </w:r>
      <w:r>
        <w:rPr>
          <w:rFonts w:ascii="Arial Narrow" w:hAnsi="Arial Narrow"/>
        </w:rPr>
        <w:t xml:space="preserve">ejšie </w:t>
      </w:r>
      <w:r w:rsidR="00E0105E" w:rsidRPr="00EC15E5">
        <w:rPr>
          <w:rFonts w:ascii="Arial Narrow" w:hAnsi="Arial Narrow"/>
        </w:rPr>
        <w:t xml:space="preserve">podmienky pre vznik nároku na </w:t>
      </w:r>
      <w:r w:rsidR="00E0105E" w:rsidRPr="00EC15E5">
        <w:rPr>
          <w:rFonts w:ascii="Arial Narrow" w:hAnsi="Arial Narrow"/>
          <w:b/>
        </w:rPr>
        <w:t>príspevok na dochádzku za prácou</w:t>
      </w:r>
      <w:r w:rsidR="00E0105E" w:rsidRPr="00EC15E5">
        <w:rPr>
          <w:rFonts w:ascii="Arial Narrow" w:hAnsi="Arial Narrow"/>
        </w:rPr>
        <w:t xml:space="preserve"> a </w:t>
      </w:r>
      <w:r w:rsidR="00E0105E" w:rsidRPr="00EC15E5">
        <w:rPr>
          <w:rFonts w:ascii="Arial Narrow" w:hAnsi="Arial Narrow"/>
          <w:b/>
        </w:rPr>
        <w:t>príspevok na podporu mobility za prácou</w:t>
      </w:r>
      <w:r w:rsidR="00E0105E" w:rsidRPr="00EC15E5">
        <w:rPr>
          <w:rFonts w:ascii="Arial Narrow" w:hAnsi="Arial Narrow"/>
        </w:rPr>
        <w:t xml:space="preserve">. </w:t>
      </w:r>
      <w:r>
        <w:rPr>
          <w:rFonts w:ascii="Arial Narrow" w:hAnsi="Arial Narrow"/>
        </w:rPr>
        <w:t xml:space="preserve">Uplatní </w:t>
      </w:r>
      <w:r w:rsidR="00E0105E" w:rsidRPr="00EC15E5">
        <w:rPr>
          <w:rFonts w:ascii="Arial Narrow" w:hAnsi="Arial Narrow"/>
        </w:rPr>
        <w:t xml:space="preserve">sa zvýšenie maximálnej mesačnej výšky príspevkov, poskytovanie príspevku na dochádzku za prácou bez ohľadu na vymedzenie spôsobu dopravy do zamestnania, či predĺženie obdobia jeho poskytovania pre znevýhodnených </w:t>
      </w:r>
      <w:proofErr w:type="spellStart"/>
      <w:r w:rsidR="00E0105E" w:rsidRPr="00EC15E5">
        <w:rPr>
          <w:rFonts w:ascii="Arial Narrow" w:hAnsi="Arial Narrow"/>
        </w:rPr>
        <w:t>UoZ</w:t>
      </w:r>
      <w:proofErr w:type="spellEnd"/>
      <w:r w:rsidR="00E0105E" w:rsidRPr="00EC15E5">
        <w:rPr>
          <w:rFonts w:ascii="Arial Narrow" w:hAnsi="Arial Narrow"/>
        </w:rPr>
        <w:t>.</w:t>
      </w:r>
      <w:r w:rsidR="00E0105E" w:rsidRPr="00EC15E5">
        <w:rPr>
          <w:rFonts w:ascii="Arial Narrow" w:hAnsi="Arial Narrow"/>
          <w:sz w:val="12"/>
          <w:szCs w:val="14"/>
        </w:rPr>
        <w:t xml:space="preserve"> </w:t>
      </w:r>
    </w:p>
    <w:p w14:paraId="6938D5CC" w14:textId="77777777" w:rsidR="00EC15E5" w:rsidRDefault="00EC15E5" w:rsidP="00EC15E5">
      <w:pPr>
        <w:spacing w:after="0" w:line="240" w:lineRule="auto"/>
        <w:jc w:val="both"/>
        <w:rPr>
          <w:rFonts w:ascii="Arial Narrow" w:hAnsi="Arial Narrow"/>
          <w:sz w:val="12"/>
          <w:szCs w:val="14"/>
        </w:rPr>
      </w:pPr>
    </w:p>
    <w:p w14:paraId="446EDC9C" w14:textId="0F2E8997" w:rsidR="00E0105E" w:rsidRPr="00EC15E5" w:rsidRDefault="00A87BC7" w:rsidP="00EC15E5">
      <w:pPr>
        <w:spacing w:after="0" w:line="240" w:lineRule="auto"/>
        <w:jc w:val="both"/>
        <w:rPr>
          <w:rFonts w:ascii="Arial Narrow" w:hAnsi="Arial Narrow"/>
          <w:sz w:val="12"/>
          <w:szCs w:val="14"/>
        </w:rPr>
      </w:pPr>
      <w:r>
        <w:rPr>
          <w:rFonts w:ascii="Arial Narrow" w:hAnsi="Arial Narrow"/>
        </w:rPr>
        <w:t>Opätovne sa zavedie</w:t>
      </w:r>
      <w:r w:rsidR="00E0105E" w:rsidRPr="00EC15E5">
        <w:rPr>
          <w:rFonts w:ascii="Arial Narrow" w:hAnsi="Arial Narrow"/>
        </w:rPr>
        <w:t xml:space="preserve"> </w:t>
      </w:r>
      <w:r w:rsidR="00E0105E" w:rsidRPr="00EC15E5">
        <w:rPr>
          <w:rFonts w:ascii="Arial Narrow" w:hAnsi="Arial Narrow"/>
          <w:b/>
        </w:rPr>
        <w:t>príspevok na presťahovanie za prácou</w:t>
      </w:r>
      <w:r w:rsidR="00E0105E" w:rsidRPr="00EC15E5">
        <w:rPr>
          <w:rFonts w:ascii="Arial Narrow" w:hAnsi="Arial Narrow"/>
        </w:rPr>
        <w:t xml:space="preserve">, ktorý </w:t>
      </w:r>
      <w:r>
        <w:rPr>
          <w:rFonts w:ascii="Arial Narrow" w:hAnsi="Arial Narrow"/>
        </w:rPr>
        <w:t>je</w:t>
      </w:r>
      <w:r w:rsidRPr="00EC15E5">
        <w:rPr>
          <w:rFonts w:ascii="Arial Narrow" w:hAnsi="Arial Narrow"/>
        </w:rPr>
        <w:t xml:space="preserve"> </w:t>
      </w:r>
      <w:r w:rsidR="00E0105E" w:rsidRPr="00EC15E5">
        <w:rPr>
          <w:rFonts w:ascii="Arial Narrow" w:hAnsi="Arial Narrow"/>
        </w:rPr>
        <w:t>určený na úhradu nákladov súvisiacich s presťahovaním občana do nového miesta trvalého pobytu.</w:t>
      </w:r>
    </w:p>
    <w:p w14:paraId="6C121CEB" w14:textId="77777777" w:rsidR="00EC15E5" w:rsidRDefault="00EC15E5" w:rsidP="00EC15E5">
      <w:pPr>
        <w:spacing w:after="0" w:line="240" w:lineRule="auto"/>
        <w:jc w:val="both"/>
        <w:rPr>
          <w:rFonts w:ascii="Arial Narrow" w:hAnsi="Arial Narrow"/>
        </w:rPr>
      </w:pPr>
    </w:p>
    <w:p w14:paraId="0DEC51D2" w14:textId="076124CD" w:rsidR="00E0105E" w:rsidRPr="00EC15E5" w:rsidRDefault="00E0105E" w:rsidP="00EC15E5">
      <w:pPr>
        <w:spacing w:after="0" w:line="240" w:lineRule="auto"/>
        <w:jc w:val="both"/>
        <w:rPr>
          <w:rFonts w:ascii="Arial Narrow" w:hAnsi="Arial Narrow"/>
        </w:rPr>
      </w:pPr>
      <w:r w:rsidRPr="00EC15E5">
        <w:rPr>
          <w:rFonts w:ascii="Arial Narrow" w:hAnsi="Arial Narrow"/>
        </w:rPr>
        <w:t>V rámci novely zákona o službách zamestnanosti sa</w:t>
      </w:r>
      <w:r w:rsidR="00A87BC7">
        <w:rPr>
          <w:rFonts w:ascii="Arial Narrow" w:hAnsi="Arial Narrow"/>
        </w:rPr>
        <w:t xml:space="preserve"> s účinnosťou od mája 2018 </w:t>
      </w:r>
      <w:r w:rsidRPr="00EC15E5">
        <w:rPr>
          <w:rFonts w:ascii="Arial Narrow" w:hAnsi="Arial Narrow"/>
          <w:b/>
        </w:rPr>
        <w:t xml:space="preserve">zjednodušujú </w:t>
      </w:r>
      <w:r w:rsidR="00A87BC7">
        <w:rPr>
          <w:rFonts w:ascii="Arial Narrow" w:hAnsi="Arial Narrow"/>
          <w:b/>
        </w:rPr>
        <w:t xml:space="preserve">aj </w:t>
      </w:r>
      <w:r w:rsidRPr="00EC15E5">
        <w:rPr>
          <w:rFonts w:ascii="Arial Narrow" w:hAnsi="Arial Narrow"/>
          <w:b/>
        </w:rPr>
        <w:t>podmienky zamestnávania štátnych príslušníkov tretích krajín vo vybraných profesiách</w:t>
      </w:r>
      <w:r w:rsidRPr="00EC15E5">
        <w:rPr>
          <w:rFonts w:ascii="Arial Narrow" w:hAnsi="Arial Narrow"/>
        </w:rPr>
        <w:t>, kde je preukázaný nedostatok kvalifikovanej pracovnej sily a v okresoch s priemernou mierou evidovanej nezamestnanosti nižšou ako 5 %.</w:t>
      </w:r>
    </w:p>
    <w:p w14:paraId="29CAA73A" w14:textId="77777777" w:rsidR="00B05ED7" w:rsidRDefault="00B05ED7" w:rsidP="0087239E">
      <w:pPr>
        <w:spacing w:after="0" w:line="240" w:lineRule="auto"/>
        <w:jc w:val="both"/>
        <w:rPr>
          <w:rFonts w:ascii="Arial Narrow" w:hAnsi="Arial Narrow"/>
          <w:b/>
          <w:i/>
          <w:color w:val="000000" w:themeColor="text1"/>
        </w:rPr>
      </w:pPr>
    </w:p>
    <w:p w14:paraId="0EA59933" w14:textId="77777777" w:rsidR="0087239E" w:rsidRPr="0087239E" w:rsidRDefault="0087239E" w:rsidP="0087239E">
      <w:pPr>
        <w:spacing w:after="0" w:line="240" w:lineRule="auto"/>
        <w:jc w:val="both"/>
        <w:rPr>
          <w:rFonts w:ascii="Arial Narrow" w:hAnsi="Arial Narrow" w:cs="Arial Narrow"/>
          <w:b/>
          <w:i/>
        </w:rPr>
      </w:pPr>
      <w:r w:rsidRPr="0087239E">
        <w:rPr>
          <w:rFonts w:ascii="Arial Narrow" w:hAnsi="Arial Narrow" w:cs="Arial Narrow"/>
          <w:b/>
          <w:i/>
        </w:rPr>
        <w:t>Znižovanie regionálnych rozdielov</w:t>
      </w:r>
    </w:p>
    <w:p w14:paraId="01F2FCAB" w14:textId="77777777" w:rsidR="0087239E" w:rsidRPr="0087239E" w:rsidRDefault="0087239E" w:rsidP="0087239E">
      <w:pPr>
        <w:spacing w:after="0" w:line="240" w:lineRule="auto"/>
        <w:jc w:val="both"/>
        <w:rPr>
          <w:rFonts w:ascii="Arial Narrow" w:hAnsi="Arial Narrow"/>
          <w:color w:val="000000" w:themeColor="text1"/>
        </w:rPr>
      </w:pPr>
      <w:r w:rsidRPr="0087239E">
        <w:rPr>
          <w:rFonts w:ascii="Arial Narrow" w:hAnsi="Arial Narrow"/>
          <w:color w:val="000000" w:themeColor="text1"/>
        </w:rPr>
        <w:t>Na zvýšenie zamestnanosti sa v krátkodobom a strednodobom horizonte implementujú viaceré projektové zámery na podporu podnikania, sociálnej ekonomiky, prepojenia potrieb trhu práce s ponukou učebných odborov, ako aj na podporu zatraktívnenia územia. Prioritou je podpora regionálneho rozvoja prostredníctvom zapájania lokálnych aktérov a využívania lokálnych zdrojov.</w:t>
      </w:r>
    </w:p>
    <w:p w14:paraId="61D3D601" w14:textId="77777777" w:rsidR="0087239E" w:rsidRPr="0087239E" w:rsidRDefault="0087239E" w:rsidP="0087239E">
      <w:pPr>
        <w:spacing w:after="0" w:line="240" w:lineRule="auto"/>
        <w:jc w:val="both"/>
        <w:rPr>
          <w:rFonts w:ascii="Arial Narrow" w:hAnsi="Arial Narrow"/>
          <w:color w:val="000000" w:themeColor="text1"/>
        </w:rPr>
      </w:pPr>
    </w:p>
    <w:p w14:paraId="16C5D2D0" w14:textId="77777777" w:rsidR="0087239E" w:rsidRDefault="0087239E" w:rsidP="0087239E">
      <w:pPr>
        <w:spacing w:after="0" w:line="240" w:lineRule="auto"/>
        <w:jc w:val="both"/>
        <w:rPr>
          <w:rFonts w:ascii="Arial Narrow" w:hAnsi="Arial Narrow"/>
          <w:b/>
          <w:color w:val="000000" w:themeColor="text1"/>
        </w:rPr>
      </w:pPr>
      <w:r w:rsidRPr="0087239E">
        <w:rPr>
          <w:rFonts w:ascii="Arial Narrow" w:hAnsi="Arial Narrow"/>
          <w:color w:val="000000" w:themeColor="text1"/>
        </w:rPr>
        <w:t>V rokoch 2018 a 20</w:t>
      </w:r>
      <w:r w:rsidR="0075663F">
        <w:rPr>
          <w:rFonts w:ascii="Arial Narrow" w:hAnsi="Arial Narrow"/>
          <w:color w:val="000000" w:themeColor="text1"/>
        </w:rPr>
        <w:t>19 sa pri</w:t>
      </w:r>
      <w:r w:rsidRPr="0087239E">
        <w:rPr>
          <w:rFonts w:ascii="Arial Narrow" w:hAnsi="Arial Narrow"/>
          <w:color w:val="000000" w:themeColor="text1"/>
        </w:rPr>
        <w:t xml:space="preserve">pravia </w:t>
      </w:r>
      <w:r w:rsidRPr="0087239E">
        <w:rPr>
          <w:rFonts w:ascii="Arial Narrow" w:hAnsi="Arial Narrow"/>
          <w:b/>
          <w:color w:val="000000" w:themeColor="text1"/>
        </w:rPr>
        <w:t>nástroje pre zníženie previsu dopytu na trhu práce</w:t>
      </w:r>
      <w:r w:rsidRPr="0087239E">
        <w:rPr>
          <w:rFonts w:ascii="Arial Narrow" w:hAnsi="Arial Narrow"/>
          <w:color w:val="000000" w:themeColor="text1"/>
        </w:rPr>
        <w:t xml:space="preserve"> a </w:t>
      </w:r>
      <w:r w:rsidRPr="0087239E">
        <w:rPr>
          <w:rFonts w:ascii="Arial Narrow" w:hAnsi="Arial Narrow"/>
          <w:b/>
          <w:color w:val="000000" w:themeColor="text1"/>
        </w:rPr>
        <w:t>posilnenie regionálnych manažérskych kapacít pre riadenie regionálneho rozvoja</w:t>
      </w:r>
      <w:r w:rsidR="009E1647">
        <w:rPr>
          <w:rFonts w:ascii="Arial Narrow" w:hAnsi="Arial Narrow"/>
          <w:b/>
          <w:color w:val="000000" w:themeColor="text1"/>
        </w:rPr>
        <w:t>.</w:t>
      </w:r>
    </w:p>
    <w:p w14:paraId="3E353600" w14:textId="77777777" w:rsidR="009E1647" w:rsidRDefault="009E1647" w:rsidP="0087239E">
      <w:pPr>
        <w:spacing w:after="0" w:line="240" w:lineRule="auto"/>
        <w:jc w:val="both"/>
        <w:rPr>
          <w:rFonts w:ascii="Arial Narrow" w:hAnsi="Arial Narrow"/>
          <w:b/>
          <w:color w:val="000000" w:themeColor="text1"/>
        </w:rPr>
      </w:pPr>
    </w:p>
    <w:p w14:paraId="1A657FEF" w14:textId="77777777" w:rsidR="009E1647" w:rsidRPr="0087239E" w:rsidRDefault="009E1647" w:rsidP="009E1647">
      <w:pPr>
        <w:spacing w:after="0" w:line="240" w:lineRule="auto"/>
        <w:jc w:val="both"/>
        <w:rPr>
          <w:rFonts w:ascii="Arial Narrow" w:hAnsi="Arial Narrow"/>
          <w:b/>
          <w:i/>
          <w:color w:val="000000" w:themeColor="text1"/>
        </w:rPr>
      </w:pPr>
      <w:r w:rsidRPr="0087239E">
        <w:rPr>
          <w:rFonts w:ascii="Arial Narrow" w:hAnsi="Arial Narrow"/>
          <w:b/>
          <w:i/>
          <w:color w:val="000000" w:themeColor="text1"/>
        </w:rPr>
        <w:t>Podpora zamestnanosti matiek s deťmi</w:t>
      </w:r>
    </w:p>
    <w:p w14:paraId="42E9B6CF" w14:textId="027EE805" w:rsidR="009E1647" w:rsidRDefault="009E1647" w:rsidP="009E1647">
      <w:pPr>
        <w:spacing w:after="0" w:line="240" w:lineRule="auto"/>
        <w:jc w:val="both"/>
        <w:rPr>
          <w:rFonts w:ascii="Arial Narrow" w:hAnsi="Arial Narrow" w:cs="Arial Narrow"/>
          <w:color w:val="000000"/>
          <w:szCs w:val="20"/>
        </w:rPr>
      </w:pPr>
      <w:r w:rsidRPr="0087239E">
        <w:rPr>
          <w:rFonts w:ascii="Arial Narrow" w:hAnsi="Arial Narrow"/>
        </w:rPr>
        <w:t xml:space="preserve">Nový legislatívy rámec umožní zlepšiť dostupnosť kvalitných, udržateľných a cenovo prístupných </w:t>
      </w:r>
      <w:r w:rsidRPr="0087239E">
        <w:rPr>
          <w:rFonts w:ascii="Arial Narrow" w:hAnsi="Arial Narrow"/>
          <w:b/>
        </w:rPr>
        <w:t>zariadení služieb starostlivosti o deti do troch rokov</w:t>
      </w:r>
      <w:r w:rsidRPr="0087239E">
        <w:rPr>
          <w:rFonts w:ascii="Arial Narrow" w:hAnsi="Arial Narrow"/>
        </w:rPr>
        <w:t xml:space="preserve">. </w:t>
      </w:r>
      <w:r w:rsidRPr="0087239E">
        <w:rPr>
          <w:rFonts w:ascii="Arial Narrow" w:hAnsi="Arial Narrow" w:cs="Arial Narrow"/>
          <w:color w:val="000000"/>
          <w:szCs w:val="20"/>
        </w:rPr>
        <w:t>Z IROP a OP Ľudské zdroje sa v rokoch 2017 až 2020 predpokladá vybudovanie 90 zariadení služieb starostlivosti s kapacitou 1 800 detí s finančnou alokáciou 40,2 mil. eur.</w:t>
      </w:r>
      <w:r w:rsidR="00795119">
        <w:rPr>
          <w:rFonts w:ascii="Arial Narrow" w:hAnsi="Arial Narrow" w:cs="Arial Narrow"/>
          <w:color w:val="000000"/>
          <w:szCs w:val="20"/>
        </w:rPr>
        <w:t xml:space="preserve"> Výzvy budú vyhlásené v prvom polroku 2018.</w:t>
      </w:r>
    </w:p>
    <w:p w14:paraId="1B170BE0" w14:textId="77777777" w:rsidR="009E1647" w:rsidRPr="008F0A54" w:rsidRDefault="009E1647" w:rsidP="009E1647">
      <w:pPr>
        <w:spacing w:after="0" w:line="240" w:lineRule="auto"/>
        <w:jc w:val="both"/>
        <w:rPr>
          <w:rFonts w:ascii="Arial Narrow" w:hAnsi="Arial Narrow" w:cs="Arial Narrow"/>
          <w:color w:val="000000"/>
          <w:szCs w:val="20"/>
        </w:rPr>
      </w:pPr>
    </w:p>
    <w:tbl>
      <w:tblPr>
        <w:tblStyle w:val="Mriekatabuky1"/>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4"/>
      </w:tblGrid>
      <w:tr w:rsidR="009E1647" w:rsidRPr="002B1C6B" w14:paraId="132A1FE4" w14:textId="77777777" w:rsidTr="00BA1BFF">
        <w:trPr>
          <w:jc w:val="center"/>
        </w:trPr>
        <w:tc>
          <w:tcPr>
            <w:tcW w:w="8948" w:type="dxa"/>
            <w:shd w:val="clear" w:color="auto" w:fill="AAD3F2"/>
          </w:tcPr>
          <w:p w14:paraId="5E2F60B2" w14:textId="77777777" w:rsidR="009E1647" w:rsidRPr="00E34ED1" w:rsidRDefault="009E1647" w:rsidP="00E34ED1">
            <w:pPr>
              <w:spacing w:before="120" w:line="240" w:lineRule="auto"/>
              <w:jc w:val="both"/>
              <w:rPr>
                <w:rFonts w:ascii="Arial Narrow" w:hAnsi="Arial Narrow"/>
                <w:b/>
              </w:rPr>
            </w:pPr>
            <w:r w:rsidRPr="00E34ED1">
              <w:rPr>
                <w:rFonts w:ascii="Arial Narrow" w:hAnsi="Arial Narrow"/>
                <w:b/>
              </w:rPr>
              <w:t xml:space="preserve">Box </w:t>
            </w:r>
            <w:r w:rsidR="00E34ED1">
              <w:rPr>
                <w:rFonts w:ascii="Arial Narrow" w:hAnsi="Arial Narrow"/>
                <w:b/>
              </w:rPr>
              <w:t>2</w:t>
            </w:r>
            <w:r w:rsidRPr="00E34ED1">
              <w:rPr>
                <w:rFonts w:ascii="Arial Narrow" w:hAnsi="Arial Narrow"/>
                <w:b/>
              </w:rPr>
              <w:t xml:space="preserve">: </w:t>
            </w:r>
            <w:r w:rsidR="00E34ED1" w:rsidRPr="00E34ED1">
              <w:rPr>
                <w:rFonts w:ascii="Arial Narrow" w:hAnsi="Arial Narrow"/>
                <w:b/>
              </w:rPr>
              <w:t>Bariéry vyššej zamestnanosti matiek na Slovensku</w:t>
            </w:r>
          </w:p>
          <w:p w14:paraId="5A9D8213" w14:textId="50C34F9F" w:rsidR="00E34ED1" w:rsidRPr="00E34ED1" w:rsidRDefault="00E34ED1" w:rsidP="00E34ED1">
            <w:pPr>
              <w:spacing w:after="120" w:line="240" w:lineRule="auto"/>
              <w:jc w:val="both"/>
              <w:rPr>
                <w:rFonts w:ascii="Arial Narrow" w:hAnsi="Arial Narrow"/>
              </w:rPr>
            </w:pPr>
            <w:r w:rsidRPr="00E34ED1">
              <w:rPr>
                <w:rFonts w:ascii="Arial Narrow" w:hAnsi="Arial Narrow"/>
                <w:b/>
                <w:color w:val="000000" w:themeColor="text1"/>
              </w:rPr>
              <w:t>Vyšší pracovný príjem, vyššie vzdelanie a dlhšia prax pozitívne vplývajú na pravdepodobnosť zamestnania sa počas rodičovskej dovolenky</w:t>
            </w:r>
            <w:r w:rsidR="00754872" w:rsidRPr="00754872">
              <w:rPr>
                <w:rStyle w:val="Odkaznapoznmkupodiarou"/>
                <w:rFonts w:ascii="Arial Narrow" w:hAnsi="Arial Narrow"/>
                <w:color w:val="000000" w:themeColor="text1"/>
              </w:rPr>
              <w:footnoteReference w:id="39"/>
            </w:r>
            <w:r w:rsidRPr="00E34ED1">
              <w:rPr>
                <w:rFonts w:ascii="Arial Narrow" w:hAnsi="Arial Narrow"/>
                <w:b/>
                <w:color w:val="000000" w:themeColor="text1"/>
              </w:rPr>
              <w:t xml:space="preserve">. </w:t>
            </w:r>
            <w:r w:rsidRPr="00E34ED1">
              <w:rPr>
                <w:rFonts w:ascii="Arial Narrow" w:hAnsi="Arial Narrow"/>
              </w:rPr>
              <w:t>Pravdepodobnosť zamestnania sa matky počas rodičovskej dovolenky je v</w:t>
            </w:r>
            <w:r w:rsidR="00B05ED7">
              <w:rPr>
                <w:rFonts w:ascii="Arial Narrow" w:hAnsi="Arial Narrow"/>
              </w:rPr>
              <w:t xml:space="preserve">yššia o 10 až 50 p. b. </w:t>
            </w:r>
            <w:r w:rsidRPr="00E34ED1">
              <w:rPr>
                <w:rFonts w:ascii="Arial Narrow" w:hAnsi="Arial Narrow"/>
              </w:rPr>
              <w:t>oproti matkám so žiadnym alebo nízkym predošlým príjmom. Približne polovica matiek sa zamestnala v sledovanom období počas rodičovskej dovolenky alebo do jedného rok</w:t>
            </w:r>
            <w:r w:rsidR="00B05ED7">
              <w:rPr>
                <w:rFonts w:ascii="Arial Narrow" w:hAnsi="Arial Narrow"/>
              </w:rPr>
              <w:t>a</w:t>
            </w:r>
            <w:r w:rsidRPr="00E34ED1">
              <w:rPr>
                <w:rFonts w:ascii="Arial Narrow" w:hAnsi="Arial Narrow"/>
              </w:rPr>
              <w:t xml:space="preserve"> </w:t>
            </w:r>
            <w:r w:rsidR="00DD7187">
              <w:rPr>
                <w:rFonts w:ascii="Arial Narrow" w:hAnsi="Arial Narrow"/>
              </w:rPr>
              <w:t>od</w:t>
            </w:r>
            <w:r w:rsidRPr="00E34ED1">
              <w:rPr>
                <w:rFonts w:ascii="Arial Narrow" w:hAnsi="Arial Narrow"/>
              </w:rPr>
              <w:t xml:space="preserve"> jej skončen</w:t>
            </w:r>
            <w:r w:rsidR="00DD7187">
              <w:rPr>
                <w:rFonts w:ascii="Arial Narrow" w:hAnsi="Arial Narrow"/>
              </w:rPr>
              <w:t>ia</w:t>
            </w:r>
            <w:r w:rsidRPr="00E34ED1">
              <w:rPr>
                <w:rFonts w:ascii="Arial Narrow" w:hAnsi="Arial Narrow"/>
              </w:rPr>
              <w:t>.</w:t>
            </w:r>
          </w:p>
          <w:p w14:paraId="679404F1" w14:textId="389CACFE" w:rsidR="00E34ED1" w:rsidRPr="00E34ED1" w:rsidRDefault="00E34ED1" w:rsidP="00E34ED1">
            <w:pPr>
              <w:spacing w:after="120" w:line="240" w:lineRule="auto"/>
              <w:jc w:val="both"/>
              <w:rPr>
                <w:rFonts w:ascii="Arial Narrow" w:hAnsi="Arial Narrow"/>
                <w:bCs/>
                <w:color w:val="000000"/>
              </w:rPr>
            </w:pPr>
            <w:r w:rsidRPr="00E34ED1">
              <w:rPr>
                <w:rFonts w:ascii="Arial Narrow" w:hAnsi="Arial Narrow"/>
                <w:b/>
                <w:color w:val="000000" w:themeColor="text1"/>
              </w:rPr>
              <w:t>Matky s vyšším príjmom v zamestnaní pred pôrodom trávia na rodičovskej dovolenke v priemere kratší čas ako matky so žiadnym alebo nízkym príjmom.</w:t>
            </w:r>
            <w:r w:rsidRPr="00E34ED1">
              <w:rPr>
                <w:rFonts w:ascii="Arial Narrow" w:hAnsi="Arial Narrow"/>
                <w:color w:val="000000" w:themeColor="text1"/>
              </w:rPr>
              <w:t xml:space="preserve"> </w:t>
            </w:r>
            <w:r w:rsidR="00DD7187" w:rsidRPr="00DD7187">
              <w:rPr>
                <w:rFonts w:ascii="Arial Narrow" w:hAnsi="Arial Narrow"/>
                <w:bCs/>
                <w:color w:val="000000"/>
              </w:rPr>
              <w:t>Z 36 možných mesiacov</w:t>
            </w:r>
            <w:r w:rsidR="00754872">
              <w:rPr>
                <w:rStyle w:val="Odkaznapoznmkupodiarou"/>
                <w:rFonts w:ascii="Arial Narrow" w:hAnsi="Arial Narrow"/>
                <w:bCs/>
                <w:color w:val="000000"/>
              </w:rPr>
              <w:footnoteReference w:id="40"/>
            </w:r>
            <w:r w:rsidR="00DD7187" w:rsidRPr="00DD7187">
              <w:rPr>
                <w:rFonts w:ascii="Arial Narrow" w:hAnsi="Arial Narrow"/>
                <w:bCs/>
                <w:color w:val="000000"/>
              </w:rPr>
              <w:t xml:space="preserve"> ostávajú matky s vyšším ako priemerným predošlým príjmom doma s dieťaťom menej ako 16 mesiacov. V prípade matiek so žiadnym alebo nízkym predošlým príjmom je to až 26 mesiacov. Zároveň až pre polovicu matiek z tejto skupiny dosahuje dĺžka rodičovskej dovolenky dobu viac ako 30 mesiacov.</w:t>
            </w:r>
          </w:p>
          <w:p w14:paraId="348E7CED" w14:textId="77777777" w:rsidR="00E34ED1" w:rsidRPr="00E34ED1" w:rsidRDefault="00E34ED1" w:rsidP="00E34ED1">
            <w:pPr>
              <w:spacing w:after="120" w:line="240" w:lineRule="auto"/>
              <w:jc w:val="both"/>
              <w:rPr>
                <w:rFonts w:ascii="Arial Narrow" w:hAnsi="Arial Narrow"/>
                <w:color w:val="000000" w:themeColor="text1"/>
              </w:rPr>
            </w:pPr>
            <w:r w:rsidRPr="00E34ED1">
              <w:rPr>
                <w:rFonts w:ascii="Arial Narrow" w:hAnsi="Arial Narrow"/>
                <w:b/>
                <w:color w:val="000000" w:themeColor="text1"/>
              </w:rPr>
              <w:t xml:space="preserve">Flexibilné pracovné úväzky v podobe práce na dohodu môžu pomôcť urýchliť rozhodnutie matky zamestnať sa. </w:t>
            </w:r>
            <w:r w:rsidRPr="00E34ED1">
              <w:rPr>
                <w:rFonts w:ascii="Arial Narrow" w:hAnsi="Arial Narrow"/>
                <w:color w:val="000000" w:themeColor="text1"/>
              </w:rPr>
              <w:t>V prípade zahrnutia len trvalých pracovných pomerov</w:t>
            </w:r>
            <w:r w:rsidR="00DD7187">
              <w:rPr>
                <w:rFonts w:ascii="Arial Narrow" w:hAnsi="Arial Narrow"/>
                <w:color w:val="000000" w:themeColor="text1"/>
              </w:rPr>
              <w:t>,</w:t>
            </w:r>
            <w:r w:rsidRPr="00E34ED1">
              <w:rPr>
                <w:rFonts w:ascii="Arial Narrow" w:hAnsi="Arial Narrow"/>
                <w:color w:val="000000" w:themeColor="text1"/>
              </w:rPr>
              <w:t xml:space="preserve"> polovica </w:t>
            </w:r>
            <w:r w:rsidR="00DD7187">
              <w:rPr>
                <w:rFonts w:ascii="Arial Narrow" w:hAnsi="Arial Narrow"/>
                <w:color w:val="000000" w:themeColor="text1"/>
              </w:rPr>
              <w:t xml:space="preserve">všetkých </w:t>
            </w:r>
            <w:r w:rsidRPr="00E34ED1">
              <w:rPr>
                <w:rFonts w:ascii="Arial Narrow" w:hAnsi="Arial Narrow"/>
                <w:color w:val="000000" w:themeColor="text1"/>
              </w:rPr>
              <w:t xml:space="preserve">žien zostáva na rodičovskej dovolenke viac ako 29 mesiacov. Ak sa pozeráme aj na práce na dohodu, medián dĺžky rodičovskej dovolenky klesá na 26 mesiacov. </w:t>
            </w:r>
          </w:p>
          <w:tbl>
            <w:tblPr>
              <w:tblpPr w:leftFromText="141" w:rightFromText="141" w:vertAnchor="text" w:horzAnchor="margin" w:tblpXSpec="center" w:tblpY="19"/>
              <w:tblOverlap w:val="neve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076"/>
              <w:gridCol w:w="245"/>
              <w:gridCol w:w="4027"/>
            </w:tblGrid>
            <w:tr w:rsidR="00E34ED1" w:rsidRPr="00E34ED1" w14:paraId="635413AE" w14:textId="77777777" w:rsidTr="00BA1BFF">
              <w:trPr>
                <w:trHeight w:val="361"/>
              </w:trPr>
              <w:tc>
                <w:tcPr>
                  <w:tcW w:w="2441" w:type="pct"/>
                  <w:tcBorders>
                    <w:top w:val="nil"/>
                    <w:left w:val="nil"/>
                    <w:bottom w:val="single" w:sz="4" w:space="0" w:color="auto"/>
                    <w:right w:val="nil"/>
                  </w:tcBorders>
                  <w:shd w:val="clear" w:color="auto" w:fill="auto"/>
                  <w:vAlign w:val="center"/>
                </w:tcPr>
                <w:p w14:paraId="595B4EBD" w14:textId="77777777" w:rsidR="00E34ED1" w:rsidRPr="00E34ED1" w:rsidRDefault="00E34ED1" w:rsidP="00E34ED1">
                  <w:pPr>
                    <w:spacing w:after="0" w:line="240" w:lineRule="auto"/>
                    <w:jc w:val="both"/>
                    <w:rPr>
                      <w:rFonts w:ascii="Arial Narrow" w:hAnsi="Arial Narrow" w:cs="Arial"/>
                      <w:b/>
                      <w:color w:val="2C9ADC"/>
                    </w:rPr>
                  </w:pPr>
                  <w:bookmarkStart w:id="61" w:name="_Toc509513332"/>
                  <w:r w:rsidRPr="00E34ED1">
                    <w:rPr>
                      <w:rFonts w:ascii="Arial Narrow" w:eastAsiaTheme="minorHAnsi" w:hAnsi="Arial Narrow" w:cs="Arial Narrow"/>
                      <w:b/>
                      <w:bCs/>
                      <w:color w:val="000000" w:themeColor="text1"/>
                      <w:sz w:val="20"/>
                      <w:lang w:eastAsia="en-US"/>
                    </w:rPr>
                    <w:t xml:space="preserve">Graf </w:t>
                  </w:r>
                  <w:r w:rsidRPr="00E34ED1">
                    <w:rPr>
                      <w:rFonts w:ascii="Arial Narrow" w:hAnsi="Arial Narrow"/>
                      <w:b/>
                      <w:color w:val="000000" w:themeColor="text1"/>
                      <w:sz w:val="20"/>
                    </w:rPr>
                    <w:fldChar w:fldCharType="begin"/>
                  </w:r>
                  <w:r w:rsidRPr="00E34ED1">
                    <w:rPr>
                      <w:rFonts w:ascii="Arial Narrow" w:hAnsi="Arial Narrow"/>
                      <w:b/>
                      <w:color w:val="000000" w:themeColor="text1"/>
                      <w:sz w:val="20"/>
                    </w:rPr>
                    <w:instrText xml:space="preserve"> SEQ GRAF \* ARABIC </w:instrText>
                  </w:r>
                  <w:r w:rsidRPr="00E34ED1">
                    <w:rPr>
                      <w:rFonts w:ascii="Arial Narrow" w:hAnsi="Arial Narrow"/>
                      <w:b/>
                      <w:color w:val="000000" w:themeColor="text1"/>
                      <w:sz w:val="20"/>
                    </w:rPr>
                    <w:fldChar w:fldCharType="separate"/>
                  </w:r>
                  <w:r w:rsidR="00EE7207">
                    <w:rPr>
                      <w:rFonts w:ascii="Arial Narrow" w:hAnsi="Arial Narrow"/>
                      <w:b/>
                      <w:noProof/>
                      <w:color w:val="000000" w:themeColor="text1"/>
                      <w:sz w:val="20"/>
                    </w:rPr>
                    <w:t>20</w:t>
                  </w:r>
                  <w:r w:rsidRPr="00E34ED1">
                    <w:rPr>
                      <w:rFonts w:ascii="Arial Narrow" w:hAnsi="Arial Narrow"/>
                      <w:b/>
                      <w:color w:val="000000" w:themeColor="text1"/>
                      <w:sz w:val="20"/>
                    </w:rPr>
                    <w:fldChar w:fldCharType="end"/>
                  </w:r>
                  <w:r w:rsidRPr="00E34ED1">
                    <w:rPr>
                      <w:rFonts w:ascii="Arial Narrow" w:eastAsiaTheme="minorHAnsi" w:hAnsi="Arial Narrow" w:cs="Arial Narrow"/>
                      <w:b/>
                      <w:bCs/>
                      <w:color w:val="000000" w:themeColor="text1"/>
                      <w:sz w:val="20"/>
                      <w:szCs w:val="20"/>
                      <w:lang w:eastAsia="en-US"/>
                    </w:rPr>
                    <w:t xml:space="preserve">: </w:t>
                  </w:r>
                  <w:r w:rsidRPr="00E34ED1">
                    <w:rPr>
                      <w:rFonts w:ascii="Arial Narrow" w:hAnsi="Arial Narrow" w:cs="Arial"/>
                      <w:b/>
                      <w:color w:val="000000" w:themeColor="text1"/>
                      <w:sz w:val="20"/>
                      <w:szCs w:val="20"/>
                    </w:rPr>
                    <w:t>Vstup alebo návrat na trh práce po narodení dieťaťa v mesiacoch (len trvalý pracovný pomer)</w:t>
                  </w:r>
                  <w:bookmarkEnd w:id="61"/>
                </w:p>
              </w:tc>
              <w:tc>
                <w:tcPr>
                  <w:tcW w:w="147" w:type="pct"/>
                  <w:tcBorders>
                    <w:top w:val="nil"/>
                    <w:left w:val="nil"/>
                    <w:bottom w:val="nil"/>
                    <w:right w:val="nil"/>
                  </w:tcBorders>
                  <w:shd w:val="clear" w:color="auto" w:fill="auto"/>
                  <w:vAlign w:val="center"/>
                </w:tcPr>
                <w:p w14:paraId="1EE87CCF" w14:textId="77777777" w:rsidR="00E34ED1" w:rsidRPr="00E34ED1" w:rsidRDefault="00E34ED1" w:rsidP="00E34ED1">
                  <w:pPr>
                    <w:spacing w:after="0" w:line="240" w:lineRule="auto"/>
                    <w:jc w:val="both"/>
                    <w:rPr>
                      <w:rFonts w:ascii="Arial Narrow" w:hAnsi="Arial Narrow" w:cs="Arial"/>
                      <w:b/>
                      <w:color w:val="2C9ADC"/>
                    </w:rPr>
                  </w:pPr>
                </w:p>
              </w:tc>
              <w:tc>
                <w:tcPr>
                  <w:tcW w:w="2412" w:type="pct"/>
                  <w:tcBorders>
                    <w:top w:val="nil"/>
                    <w:left w:val="nil"/>
                    <w:bottom w:val="single" w:sz="4" w:space="0" w:color="auto"/>
                    <w:right w:val="nil"/>
                  </w:tcBorders>
                  <w:shd w:val="clear" w:color="auto" w:fill="auto"/>
                  <w:vAlign w:val="center"/>
                </w:tcPr>
                <w:p w14:paraId="5808C400" w14:textId="77777777" w:rsidR="00E34ED1" w:rsidRPr="00E34ED1" w:rsidRDefault="00E34ED1" w:rsidP="00E34ED1">
                  <w:pPr>
                    <w:spacing w:after="0" w:line="240" w:lineRule="auto"/>
                    <w:jc w:val="both"/>
                    <w:rPr>
                      <w:rFonts w:ascii="Arial Narrow" w:hAnsi="Arial Narrow" w:cs="Arial"/>
                      <w:b/>
                      <w:color w:val="2C9ADC"/>
                      <w:sz w:val="20"/>
                      <w:szCs w:val="20"/>
                    </w:rPr>
                  </w:pPr>
                  <w:bookmarkStart w:id="62" w:name="_Toc509513333"/>
                  <w:r w:rsidRPr="00E34ED1">
                    <w:rPr>
                      <w:rFonts w:ascii="Arial Narrow" w:eastAsiaTheme="minorHAnsi" w:hAnsi="Arial Narrow" w:cs="Arial Narrow"/>
                      <w:b/>
                      <w:bCs/>
                      <w:color w:val="000000" w:themeColor="text1"/>
                      <w:sz w:val="20"/>
                      <w:szCs w:val="20"/>
                      <w:lang w:eastAsia="en-US"/>
                    </w:rPr>
                    <w:t xml:space="preserve">Graf </w:t>
                  </w:r>
                  <w:r w:rsidRPr="00E34ED1">
                    <w:rPr>
                      <w:rFonts w:ascii="Arial Narrow" w:hAnsi="Arial Narrow"/>
                      <w:b/>
                      <w:color w:val="000000" w:themeColor="text1"/>
                      <w:sz w:val="20"/>
                      <w:szCs w:val="20"/>
                    </w:rPr>
                    <w:fldChar w:fldCharType="begin"/>
                  </w:r>
                  <w:r w:rsidRPr="00E34ED1">
                    <w:rPr>
                      <w:rFonts w:ascii="Arial Narrow" w:hAnsi="Arial Narrow"/>
                      <w:b/>
                      <w:color w:val="000000" w:themeColor="text1"/>
                      <w:sz w:val="20"/>
                      <w:szCs w:val="20"/>
                    </w:rPr>
                    <w:instrText xml:space="preserve"> SEQ GRAF \* ARABIC </w:instrText>
                  </w:r>
                  <w:r w:rsidRPr="00E34ED1">
                    <w:rPr>
                      <w:rFonts w:ascii="Arial Narrow" w:hAnsi="Arial Narrow"/>
                      <w:b/>
                      <w:color w:val="000000" w:themeColor="text1"/>
                      <w:sz w:val="20"/>
                      <w:szCs w:val="20"/>
                    </w:rPr>
                    <w:fldChar w:fldCharType="separate"/>
                  </w:r>
                  <w:r w:rsidR="00EE7207">
                    <w:rPr>
                      <w:rFonts w:ascii="Arial Narrow" w:hAnsi="Arial Narrow"/>
                      <w:b/>
                      <w:noProof/>
                      <w:color w:val="000000" w:themeColor="text1"/>
                      <w:sz w:val="20"/>
                      <w:szCs w:val="20"/>
                    </w:rPr>
                    <w:t>21</w:t>
                  </w:r>
                  <w:r w:rsidRPr="00E34ED1">
                    <w:rPr>
                      <w:rFonts w:ascii="Arial Narrow" w:hAnsi="Arial Narrow"/>
                      <w:b/>
                      <w:color w:val="000000" w:themeColor="text1"/>
                      <w:sz w:val="20"/>
                      <w:szCs w:val="20"/>
                    </w:rPr>
                    <w:fldChar w:fldCharType="end"/>
                  </w:r>
                  <w:r w:rsidRPr="00E34ED1">
                    <w:rPr>
                      <w:rFonts w:ascii="Arial Narrow" w:eastAsiaTheme="minorHAnsi" w:hAnsi="Arial Narrow" w:cs="Arial Narrow"/>
                      <w:b/>
                      <w:bCs/>
                      <w:color w:val="000000" w:themeColor="text1"/>
                      <w:sz w:val="20"/>
                      <w:szCs w:val="20"/>
                      <w:lang w:eastAsia="en-US"/>
                    </w:rPr>
                    <w:t xml:space="preserve">: </w:t>
                  </w:r>
                  <w:r w:rsidRPr="00E34ED1">
                    <w:rPr>
                      <w:rFonts w:ascii="Arial Narrow" w:hAnsi="Arial Narrow" w:cs="Arial"/>
                      <w:b/>
                      <w:color w:val="000000" w:themeColor="text1"/>
                      <w:sz w:val="20"/>
                      <w:szCs w:val="20"/>
                    </w:rPr>
                    <w:t>Vstup alebo návrat na trh práce po narodení dieťaťa v mesiacoch (trvalý pracovný pomer a práca na dohodu)</w:t>
                  </w:r>
                  <w:bookmarkEnd w:id="62"/>
                </w:p>
              </w:tc>
            </w:tr>
            <w:tr w:rsidR="00E34ED1" w:rsidRPr="00E34ED1" w14:paraId="5CE6BB02" w14:textId="77777777" w:rsidTr="00BA1BFF">
              <w:tblPrEx>
                <w:tblCellMar>
                  <w:left w:w="108" w:type="dxa"/>
                  <w:right w:w="108" w:type="dxa"/>
                </w:tblCellMar>
              </w:tblPrEx>
              <w:trPr>
                <w:trHeight w:val="920"/>
              </w:trPr>
              <w:tc>
                <w:tcPr>
                  <w:tcW w:w="2441" w:type="pct"/>
                  <w:tcBorders>
                    <w:top w:val="single" w:sz="4" w:space="0" w:color="auto"/>
                    <w:left w:val="nil"/>
                    <w:bottom w:val="single" w:sz="4" w:space="0" w:color="auto"/>
                    <w:right w:val="nil"/>
                  </w:tcBorders>
                  <w:vAlign w:val="center"/>
                </w:tcPr>
                <w:p w14:paraId="2B83F8B1" w14:textId="77777777" w:rsidR="00E34ED1" w:rsidRPr="00E34ED1" w:rsidRDefault="00E34ED1" w:rsidP="00E34ED1">
                  <w:pPr>
                    <w:spacing w:before="40" w:after="40"/>
                    <w:jc w:val="center"/>
                    <w:rPr>
                      <w:rFonts w:ascii="Arial Narrow" w:hAnsi="Arial Narrow" w:cs="Arial"/>
                      <w:b/>
                    </w:rPr>
                  </w:pPr>
                  <w:r w:rsidRPr="00E34ED1">
                    <w:rPr>
                      <w:rFonts w:ascii="Arial Narrow" w:hAnsi="Arial Narrow"/>
                      <w:noProof/>
                      <w:lang w:val="en-US" w:eastAsia="en-US"/>
                    </w:rPr>
                    <w:drawing>
                      <wp:inline distT="0" distB="0" distL="0" distR="0" wp14:anchorId="44485C3C" wp14:editId="6D5EF3B0">
                        <wp:extent cx="2421890" cy="1993557"/>
                        <wp:effectExtent l="0" t="0" r="0" b="6985"/>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147" w:type="pct"/>
                  <w:tcBorders>
                    <w:top w:val="nil"/>
                    <w:left w:val="nil"/>
                    <w:bottom w:val="nil"/>
                    <w:right w:val="nil"/>
                  </w:tcBorders>
                  <w:vAlign w:val="center"/>
                </w:tcPr>
                <w:p w14:paraId="00E86929" w14:textId="77777777" w:rsidR="00E34ED1" w:rsidRPr="00E34ED1" w:rsidRDefault="00E34ED1" w:rsidP="00E34ED1">
                  <w:pPr>
                    <w:spacing w:before="40" w:after="40"/>
                    <w:jc w:val="center"/>
                    <w:rPr>
                      <w:rFonts w:ascii="Arial Narrow" w:hAnsi="Arial Narrow" w:cs="Arial"/>
                      <w:b/>
                    </w:rPr>
                  </w:pPr>
                </w:p>
              </w:tc>
              <w:tc>
                <w:tcPr>
                  <w:tcW w:w="2412" w:type="pct"/>
                  <w:tcBorders>
                    <w:top w:val="single" w:sz="4" w:space="0" w:color="auto"/>
                    <w:left w:val="nil"/>
                    <w:bottom w:val="single" w:sz="4" w:space="0" w:color="auto"/>
                    <w:right w:val="nil"/>
                  </w:tcBorders>
                </w:tcPr>
                <w:p w14:paraId="6F16E89D" w14:textId="77777777" w:rsidR="00E34ED1" w:rsidRPr="00E34ED1" w:rsidRDefault="00E34ED1" w:rsidP="00E34ED1">
                  <w:pPr>
                    <w:spacing w:before="40" w:after="40"/>
                    <w:rPr>
                      <w:rFonts w:ascii="Arial Narrow" w:hAnsi="Arial Narrow" w:cs="Arial"/>
                      <w:b/>
                    </w:rPr>
                  </w:pPr>
                  <w:r w:rsidRPr="00E34ED1">
                    <w:rPr>
                      <w:rFonts w:ascii="Arial Narrow" w:hAnsi="Arial Narrow"/>
                      <w:noProof/>
                      <w:lang w:val="en-US" w:eastAsia="en-US"/>
                    </w:rPr>
                    <w:drawing>
                      <wp:inline distT="0" distB="0" distL="0" distR="0" wp14:anchorId="5EE83CCC" wp14:editId="35B9DE68">
                        <wp:extent cx="2404745" cy="1993265"/>
                        <wp:effectExtent l="0" t="0" r="0" b="6985"/>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E34ED1" w:rsidRPr="00E34ED1" w14:paraId="15D6744D" w14:textId="77777777" w:rsidTr="00BA1BFF">
              <w:trPr>
                <w:trHeight w:val="298"/>
              </w:trPr>
              <w:tc>
                <w:tcPr>
                  <w:tcW w:w="2441" w:type="pct"/>
                  <w:tcBorders>
                    <w:top w:val="single" w:sz="4" w:space="0" w:color="auto"/>
                    <w:left w:val="nil"/>
                    <w:bottom w:val="nil"/>
                    <w:right w:val="nil"/>
                  </w:tcBorders>
                  <w:vAlign w:val="center"/>
                </w:tcPr>
                <w:p w14:paraId="1AA1175E" w14:textId="34CD6FC4" w:rsidR="00E34ED1" w:rsidRPr="00E34ED1" w:rsidRDefault="00E34ED1" w:rsidP="00781A40">
                  <w:pPr>
                    <w:spacing w:after="0" w:line="240" w:lineRule="auto"/>
                    <w:jc w:val="right"/>
                    <w:rPr>
                      <w:rFonts w:ascii="Arial Narrow" w:hAnsi="Arial Narrow" w:cs="Arial"/>
                      <w:i/>
                      <w:sz w:val="16"/>
                    </w:rPr>
                  </w:pPr>
                  <w:r w:rsidRPr="00E34ED1">
                    <w:rPr>
                      <w:rFonts w:ascii="Arial Narrow" w:hAnsi="Arial Narrow" w:cs="Arial"/>
                      <w:i/>
                      <w:sz w:val="16"/>
                    </w:rPr>
                    <w:t>Zdroj: IFP</w:t>
                  </w:r>
                  <w:r w:rsidR="00AE5473">
                    <w:rPr>
                      <w:rFonts w:ascii="Arial Narrow" w:hAnsi="Arial Narrow" w:cs="Arial"/>
                      <w:i/>
                      <w:sz w:val="16"/>
                    </w:rPr>
                    <w:t xml:space="preserve"> podľa </w:t>
                  </w:r>
                  <w:r w:rsidRPr="00E34ED1">
                    <w:rPr>
                      <w:rFonts w:ascii="Arial Narrow" w:hAnsi="Arial Narrow" w:cs="Arial"/>
                      <w:i/>
                      <w:sz w:val="16"/>
                    </w:rPr>
                    <w:t>údajov</w:t>
                  </w:r>
                  <w:r w:rsidR="00AE5473">
                    <w:rPr>
                      <w:rFonts w:ascii="Arial Narrow" w:hAnsi="Arial Narrow" w:cs="Arial"/>
                      <w:i/>
                      <w:sz w:val="16"/>
                    </w:rPr>
                    <w:t xml:space="preserve"> SP a RFO</w:t>
                  </w:r>
                </w:p>
              </w:tc>
              <w:tc>
                <w:tcPr>
                  <w:tcW w:w="147" w:type="pct"/>
                  <w:tcBorders>
                    <w:top w:val="nil"/>
                    <w:left w:val="nil"/>
                    <w:bottom w:val="nil"/>
                    <w:right w:val="nil"/>
                  </w:tcBorders>
                  <w:vAlign w:val="center"/>
                </w:tcPr>
                <w:p w14:paraId="310A2A3F" w14:textId="77777777" w:rsidR="00E34ED1" w:rsidRPr="00E34ED1" w:rsidRDefault="00E34ED1" w:rsidP="00E34ED1">
                  <w:pPr>
                    <w:spacing w:after="0" w:line="240" w:lineRule="auto"/>
                    <w:jc w:val="center"/>
                    <w:rPr>
                      <w:rFonts w:ascii="Arial Narrow" w:hAnsi="Arial Narrow" w:cs="Arial"/>
                      <w:i/>
                      <w:sz w:val="16"/>
                    </w:rPr>
                  </w:pPr>
                </w:p>
              </w:tc>
              <w:tc>
                <w:tcPr>
                  <w:tcW w:w="2412" w:type="pct"/>
                  <w:tcBorders>
                    <w:top w:val="single" w:sz="4" w:space="0" w:color="auto"/>
                    <w:left w:val="nil"/>
                    <w:bottom w:val="nil"/>
                    <w:right w:val="nil"/>
                  </w:tcBorders>
                  <w:vAlign w:val="center"/>
                </w:tcPr>
                <w:p w14:paraId="6E037618" w14:textId="2C881149" w:rsidR="00E34ED1" w:rsidRPr="00E34ED1" w:rsidRDefault="00E34ED1" w:rsidP="00E34ED1">
                  <w:pPr>
                    <w:pStyle w:val="Odsekzoznamu"/>
                    <w:spacing w:after="0" w:line="240" w:lineRule="auto"/>
                    <w:jc w:val="right"/>
                    <w:rPr>
                      <w:rFonts w:ascii="Arial Narrow" w:hAnsi="Arial Narrow" w:cs="Arial"/>
                      <w:i/>
                      <w:sz w:val="16"/>
                    </w:rPr>
                  </w:pPr>
                  <w:r w:rsidRPr="00E34ED1">
                    <w:rPr>
                      <w:rFonts w:ascii="Arial Narrow" w:hAnsi="Arial Narrow" w:cs="Arial"/>
                      <w:i/>
                      <w:sz w:val="16"/>
                    </w:rPr>
                    <w:t xml:space="preserve">Zdroj: </w:t>
                  </w:r>
                  <w:r w:rsidR="00AE5473" w:rsidRPr="00E34ED1">
                    <w:rPr>
                      <w:rFonts w:ascii="Arial Narrow" w:hAnsi="Arial Narrow" w:cs="Arial"/>
                      <w:i/>
                      <w:sz w:val="16"/>
                    </w:rPr>
                    <w:t>IFP</w:t>
                  </w:r>
                  <w:r w:rsidR="00AE5473">
                    <w:rPr>
                      <w:rFonts w:ascii="Arial Narrow" w:hAnsi="Arial Narrow" w:cs="Arial"/>
                      <w:i/>
                      <w:sz w:val="16"/>
                    </w:rPr>
                    <w:t xml:space="preserve"> podľa </w:t>
                  </w:r>
                  <w:r w:rsidR="00AE5473" w:rsidRPr="00E34ED1">
                    <w:rPr>
                      <w:rFonts w:ascii="Arial Narrow" w:hAnsi="Arial Narrow" w:cs="Arial"/>
                      <w:i/>
                      <w:sz w:val="16"/>
                    </w:rPr>
                    <w:t>údajov</w:t>
                  </w:r>
                  <w:r w:rsidR="00AE5473">
                    <w:rPr>
                      <w:rFonts w:ascii="Arial Narrow" w:hAnsi="Arial Narrow" w:cs="Arial"/>
                      <w:i/>
                      <w:sz w:val="16"/>
                    </w:rPr>
                    <w:t xml:space="preserve"> SP a RFO</w:t>
                  </w:r>
                </w:p>
              </w:tc>
            </w:tr>
            <w:tr w:rsidR="00E34ED1" w:rsidRPr="00E34ED1" w14:paraId="1377AE00" w14:textId="77777777" w:rsidTr="00BA1BFF">
              <w:trPr>
                <w:trHeight w:val="117"/>
              </w:trPr>
              <w:tc>
                <w:tcPr>
                  <w:tcW w:w="5000" w:type="pct"/>
                  <w:gridSpan w:val="3"/>
                  <w:tcBorders>
                    <w:top w:val="nil"/>
                    <w:left w:val="nil"/>
                    <w:bottom w:val="nil"/>
                    <w:right w:val="nil"/>
                  </w:tcBorders>
                  <w:vAlign w:val="center"/>
                </w:tcPr>
                <w:p w14:paraId="5F3871EE" w14:textId="77777777" w:rsidR="00E34ED1" w:rsidRPr="00E34ED1" w:rsidRDefault="00E34ED1" w:rsidP="00E34ED1">
                  <w:pPr>
                    <w:spacing w:after="40"/>
                    <w:jc w:val="both"/>
                    <w:rPr>
                      <w:rFonts w:ascii="Arial Narrow" w:hAnsi="Arial Narrow" w:cs="Arial"/>
                    </w:rPr>
                  </w:pPr>
                  <w:r w:rsidRPr="00E34ED1">
                    <w:rPr>
                      <w:rFonts w:ascii="Arial Narrow" w:hAnsi="Arial Narrow" w:cs="Arial"/>
                      <w:sz w:val="16"/>
                    </w:rPr>
                    <w:t xml:space="preserve">Poznámka: Spodný koniec úsečky (0,25 v legende) predstavuje 25. </w:t>
                  </w:r>
                  <w:proofErr w:type="spellStart"/>
                  <w:r w:rsidRPr="00E34ED1">
                    <w:rPr>
                      <w:rFonts w:ascii="Arial Narrow" w:hAnsi="Arial Narrow" w:cs="Arial"/>
                      <w:sz w:val="16"/>
                    </w:rPr>
                    <w:t>percentil</w:t>
                  </w:r>
                  <w:proofErr w:type="spellEnd"/>
                  <w:r w:rsidRPr="00E34ED1">
                    <w:rPr>
                      <w:rFonts w:ascii="Arial Narrow" w:hAnsi="Arial Narrow" w:cs="Arial"/>
                      <w:sz w:val="16"/>
                    </w:rPr>
                    <w:t xml:space="preserve">, horný koniec úsečky (0,75 v legende) predstavuje 75. </w:t>
                  </w:r>
                  <w:proofErr w:type="spellStart"/>
                  <w:r w:rsidRPr="00E34ED1">
                    <w:rPr>
                      <w:rFonts w:ascii="Arial Narrow" w:hAnsi="Arial Narrow" w:cs="Arial"/>
                      <w:sz w:val="16"/>
                    </w:rPr>
                    <w:t>percentil</w:t>
                  </w:r>
                  <w:proofErr w:type="spellEnd"/>
                  <w:r w:rsidRPr="00E34ED1">
                    <w:rPr>
                      <w:rFonts w:ascii="Arial Narrow" w:hAnsi="Arial Narrow" w:cs="Arial"/>
                      <w:sz w:val="16"/>
                    </w:rPr>
                    <w:t xml:space="preserve"> v danej príjmovej skupine.</w:t>
                  </w:r>
                </w:p>
              </w:tc>
            </w:tr>
          </w:tbl>
          <w:p w14:paraId="715AF71C" w14:textId="77777777" w:rsidR="006A3F3C" w:rsidRDefault="006A3F3C" w:rsidP="006A3F3C">
            <w:pPr>
              <w:spacing w:after="0" w:line="240" w:lineRule="auto"/>
              <w:jc w:val="both"/>
              <w:rPr>
                <w:rFonts w:ascii="Arial Narrow" w:hAnsi="Arial Narrow"/>
                <w:b/>
                <w:color w:val="000000" w:themeColor="text1"/>
              </w:rPr>
            </w:pPr>
          </w:p>
          <w:p w14:paraId="49C6E774" w14:textId="77777777" w:rsidR="009E1647" w:rsidRDefault="00E34ED1" w:rsidP="006A3F3C">
            <w:pPr>
              <w:spacing w:after="0" w:line="240" w:lineRule="auto"/>
              <w:jc w:val="both"/>
              <w:rPr>
                <w:rFonts w:ascii="Arial Narrow" w:hAnsi="Arial Narrow"/>
                <w:color w:val="000000" w:themeColor="text1"/>
              </w:rPr>
            </w:pPr>
            <w:r w:rsidRPr="00E34ED1">
              <w:rPr>
                <w:rFonts w:ascii="Arial Narrow" w:hAnsi="Arial Narrow"/>
                <w:b/>
                <w:color w:val="000000" w:themeColor="text1"/>
              </w:rPr>
              <w:t xml:space="preserve">Osamelé matky a matky s viacpočetnými pôrodmi majú nižšiu šancu sa zamestnať počas trojročnej rodičovskej dovolenky. </w:t>
            </w:r>
            <w:r w:rsidRPr="00E34ED1">
              <w:rPr>
                <w:rFonts w:ascii="Arial Narrow" w:hAnsi="Arial Narrow"/>
                <w:color w:val="000000" w:themeColor="text1"/>
              </w:rPr>
              <w:t xml:space="preserve">Oba faktory predstavujú objektívne prekážky pre zamestnanie, </w:t>
            </w:r>
            <w:r w:rsidRPr="00E34ED1">
              <w:rPr>
                <w:rFonts w:ascii="Arial Narrow" w:hAnsi="Arial Narrow"/>
                <w:color w:val="000000" w:themeColor="text1"/>
              </w:rPr>
              <w:lastRenderedPageBreak/>
              <w:t xml:space="preserve">s ktorou môže súvisieť aj nedostatok kapacít cenovo dostupnej formálnej starostlivosti o dieťa. Naopak </w:t>
            </w:r>
            <w:r w:rsidRPr="00E34ED1">
              <w:rPr>
                <w:rFonts w:ascii="Arial Narrow" w:hAnsi="Arial Narrow"/>
                <w:b/>
                <w:color w:val="000000" w:themeColor="text1"/>
              </w:rPr>
              <w:t>možnosť pomoci starých rodičov</w:t>
            </w:r>
            <w:r w:rsidRPr="00E34ED1">
              <w:rPr>
                <w:rFonts w:ascii="Arial Narrow" w:hAnsi="Arial Narrow"/>
                <w:color w:val="000000" w:themeColor="text1"/>
              </w:rPr>
              <w:t xml:space="preserve"> pri výchove dieťaťa, ako zastúpenie formálnej starostlivosti, vplýva pozitívne na možnosť vstupu alebo návratu matky na trh práce.</w:t>
            </w:r>
          </w:p>
          <w:p w14:paraId="0291A3CF" w14:textId="77777777" w:rsidR="00754872" w:rsidRDefault="00754872" w:rsidP="006A3F3C">
            <w:pPr>
              <w:spacing w:after="0" w:line="240" w:lineRule="auto"/>
              <w:jc w:val="both"/>
              <w:rPr>
                <w:rFonts w:ascii="Arial Narrow" w:hAnsi="Arial Narrow"/>
                <w:color w:val="000000" w:themeColor="text1"/>
              </w:rPr>
            </w:pPr>
          </w:p>
          <w:p w14:paraId="2845FB24" w14:textId="4A711102" w:rsidR="00754872" w:rsidRDefault="00754872" w:rsidP="006A3F3C">
            <w:pPr>
              <w:spacing w:after="0" w:line="240" w:lineRule="auto"/>
              <w:jc w:val="both"/>
              <w:rPr>
                <w:rFonts w:ascii="Arial Narrow" w:hAnsi="Arial Narrow"/>
                <w:color w:val="000000" w:themeColor="text1"/>
              </w:rPr>
            </w:pPr>
            <w:r>
              <w:rPr>
                <w:rFonts w:ascii="Arial Narrow" w:hAnsi="Arial Narrow"/>
                <w:color w:val="000000" w:themeColor="text1"/>
              </w:rPr>
              <w:t xml:space="preserve">Viac v analýze: </w:t>
            </w:r>
            <w:r w:rsidR="001B45C6" w:rsidRPr="001B45C6">
              <w:rPr>
                <w:rFonts w:ascii="Arial Narrow" w:hAnsi="Arial Narrow"/>
                <w:i/>
                <w:color w:val="000000" w:themeColor="text1"/>
              </w:rPr>
              <w:t>(</w:t>
            </w:r>
            <w:proofErr w:type="spellStart"/>
            <w:r w:rsidRPr="001B45C6">
              <w:rPr>
                <w:rFonts w:ascii="Arial Narrow" w:hAnsi="Arial Narrow"/>
                <w:i/>
                <w:color w:val="000000" w:themeColor="text1"/>
              </w:rPr>
              <w:t>link</w:t>
            </w:r>
            <w:proofErr w:type="spellEnd"/>
            <w:r w:rsidR="001B45C6" w:rsidRPr="001B45C6">
              <w:rPr>
                <w:rFonts w:ascii="Arial Narrow" w:hAnsi="Arial Narrow"/>
                <w:i/>
                <w:color w:val="000000" w:themeColor="text1"/>
              </w:rPr>
              <w:t xml:space="preserve"> bude doplnený po publikovaní)</w:t>
            </w:r>
            <w:r>
              <w:rPr>
                <w:rFonts w:ascii="Arial Narrow" w:hAnsi="Arial Narrow"/>
                <w:color w:val="000000" w:themeColor="text1"/>
              </w:rPr>
              <w:t xml:space="preserve"> </w:t>
            </w:r>
          </w:p>
          <w:p w14:paraId="6EAA37C3" w14:textId="77777777" w:rsidR="006A3F3C" w:rsidRPr="00E34ED1" w:rsidRDefault="006A3F3C" w:rsidP="006A3F3C">
            <w:pPr>
              <w:spacing w:after="0" w:line="240" w:lineRule="auto"/>
              <w:jc w:val="both"/>
              <w:rPr>
                <w:rFonts w:ascii="Arial Narrow" w:hAnsi="Arial Narrow"/>
                <w:color w:val="000000" w:themeColor="text1"/>
              </w:rPr>
            </w:pPr>
          </w:p>
        </w:tc>
      </w:tr>
    </w:tbl>
    <w:p w14:paraId="52161E9B" w14:textId="77777777" w:rsidR="009E1647" w:rsidRPr="0087239E" w:rsidRDefault="009E1647" w:rsidP="0087239E">
      <w:pPr>
        <w:spacing w:after="0" w:line="240" w:lineRule="auto"/>
        <w:jc w:val="both"/>
        <w:rPr>
          <w:rFonts w:ascii="Arial Narrow" w:hAnsi="Arial Narrow"/>
          <w:color w:val="000000" w:themeColor="text1"/>
        </w:rPr>
      </w:pPr>
    </w:p>
    <w:p w14:paraId="35A103AA" w14:textId="77777777" w:rsidR="00006C6C" w:rsidRPr="00FE6018" w:rsidRDefault="005A22CF" w:rsidP="00FE6018">
      <w:pPr>
        <w:pStyle w:val="Nadpis2"/>
        <w:numPr>
          <w:ilvl w:val="2"/>
          <w:numId w:val="1"/>
        </w:numPr>
        <w:spacing w:before="480" w:after="240" w:line="240" w:lineRule="auto"/>
        <w:ind w:left="720"/>
        <w:jc w:val="both"/>
        <w:rPr>
          <w:rFonts w:ascii="Arial Narrow" w:hAnsi="Arial Narrow"/>
          <w:color w:val="2C9ADC"/>
          <w:sz w:val="28"/>
          <w:szCs w:val="28"/>
        </w:rPr>
      </w:pPr>
      <w:bookmarkStart w:id="63" w:name="_Toc508039583"/>
      <w:r w:rsidRPr="005A22CF">
        <w:rPr>
          <w:rFonts w:ascii="Arial Narrow" w:hAnsi="Arial Narrow"/>
          <w:color w:val="2C9ADC"/>
          <w:sz w:val="28"/>
          <w:szCs w:val="28"/>
        </w:rPr>
        <w:t>Penzijný systém</w:t>
      </w:r>
      <w:bookmarkEnd w:id="63"/>
      <w:r w:rsidRPr="005A22CF">
        <w:rPr>
          <w:rFonts w:ascii="Arial Narrow" w:hAnsi="Arial Narrow"/>
          <w:color w:val="2C9ADC"/>
          <w:sz w:val="28"/>
          <w:szCs w:val="28"/>
        </w:rPr>
        <w:t xml:space="preserve"> </w:t>
      </w:r>
    </w:p>
    <w:p w14:paraId="7D16650C" w14:textId="77777777" w:rsidR="00C84C7D" w:rsidRPr="00FE6018" w:rsidRDefault="00B84192" w:rsidP="00E0105E">
      <w:pPr>
        <w:pStyle w:val="Odsekzoznamu"/>
        <w:spacing w:after="0" w:line="240" w:lineRule="auto"/>
        <w:ind w:left="0"/>
        <w:rPr>
          <w:color w:val="000000"/>
          <w:lang w:eastAsia="cs-CZ"/>
        </w:rPr>
      </w:pPr>
      <w:r w:rsidRPr="005F6684">
        <w:rPr>
          <w:rFonts w:ascii="Arial Narrow" w:hAnsi="Arial Narrow" w:cs="Arial Narrow"/>
          <w:b/>
          <w:i/>
        </w:rPr>
        <w:t>Revízia výdavkov</w:t>
      </w:r>
    </w:p>
    <w:p w14:paraId="5F2F8AD3" w14:textId="26A1B51E" w:rsidR="007D68E0" w:rsidRPr="00FE6018" w:rsidRDefault="00FE6018" w:rsidP="00E0105E">
      <w:pPr>
        <w:tabs>
          <w:tab w:val="left" w:pos="1134"/>
        </w:tabs>
        <w:overflowPunct w:val="0"/>
        <w:autoSpaceDE w:val="0"/>
        <w:autoSpaceDN w:val="0"/>
        <w:adjustRightInd w:val="0"/>
        <w:spacing w:after="120" w:line="240" w:lineRule="auto"/>
        <w:jc w:val="both"/>
        <w:textAlignment w:val="baseline"/>
        <w:rPr>
          <w:rFonts w:ascii="Arial Narrow" w:hAnsi="Arial Narrow"/>
          <w:color w:val="000000"/>
          <w:lang w:eastAsia="cs-CZ"/>
        </w:rPr>
      </w:pPr>
      <w:r>
        <w:rPr>
          <w:rFonts w:ascii="Arial Narrow" w:hAnsi="Arial Narrow"/>
          <w:b/>
        </w:rPr>
        <w:t xml:space="preserve">Revízia výdavkov </w:t>
      </w:r>
      <w:r w:rsidRPr="00FE6018">
        <w:rPr>
          <w:rFonts w:ascii="Arial Narrow" w:hAnsi="Arial Narrow"/>
          <w:b/>
        </w:rPr>
        <w:t xml:space="preserve">na politiky trhu práce a sociálne politiky schválená vládou v októbri 2017 </w:t>
      </w:r>
      <w:r w:rsidR="00217949" w:rsidRPr="00FE6018">
        <w:rPr>
          <w:rFonts w:ascii="Arial Narrow" w:hAnsi="Arial Narrow"/>
          <w:b/>
        </w:rPr>
        <w:t xml:space="preserve">navrhuje aj viaceré opatrenia na zvýšenie efektívnosti v dôchodkovom sporení. </w:t>
      </w:r>
      <w:r w:rsidR="007D68E0" w:rsidRPr="00FE6018">
        <w:rPr>
          <w:rFonts w:ascii="Arial Narrow" w:hAnsi="Arial Narrow"/>
        </w:rPr>
        <w:t xml:space="preserve">Všetky tieto opatrenia môžu pomôcť prispieť k vyšším dôchodkom sporiteľov v budúcnosti a teda </w:t>
      </w:r>
      <w:r w:rsidR="00A87BC7">
        <w:rPr>
          <w:rFonts w:ascii="Arial Narrow" w:hAnsi="Arial Narrow"/>
        </w:rPr>
        <w:t>aj</w:t>
      </w:r>
      <w:r w:rsidR="007D68E0" w:rsidRPr="00FE6018">
        <w:rPr>
          <w:rFonts w:ascii="Arial Narrow" w:hAnsi="Arial Narrow"/>
        </w:rPr>
        <w:t xml:space="preserve"> menšej odkázanosti na štátny prvý pilier</w:t>
      </w:r>
      <w:r w:rsidR="00511CED">
        <w:rPr>
          <w:rFonts w:ascii="Arial Narrow" w:hAnsi="Arial Narrow"/>
        </w:rPr>
        <w:t>, ktor</w:t>
      </w:r>
      <w:r w:rsidR="00A87BC7">
        <w:rPr>
          <w:rFonts w:ascii="Arial Narrow" w:hAnsi="Arial Narrow"/>
        </w:rPr>
        <w:t>ý</w:t>
      </w:r>
      <w:r w:rsidR="00511CED">
        <w:rPr>
          <w:rFonts w:ascii="Arial Narrow" w:hAnsi="Arial Narrow"/>
        </w:rPr>
        <w:t xml:space="preserve"> </w:t>
      </w:r>
      <w:r w:rsidR="00B05ED7">
        <w:rPr>
          <w:rFonts w:ascii="Arial Narrow" w:hAnsi="Arial Narrow"/>
        </w:rPr>
        <w:t>je ešte stále výrazne ovplyvnený</w:t>
      </w:r>
      <w:r w:rsidR="00511CED">
        <w:rPr>
          <w:rFonts w:ascii="Arial Narrow" w:hAnsi="Arial Narrow"/>
        </w:rPr>
        <w:t xml:space="preserve"> starnutím populácie. Podľa pripravovanej správy o starnutí populácie </w:t>
      </w:r>
      <w:r w:rsidR="004A6F44">
        <w:rPr>
          <w:rFonts w:ascii="Arial Narrow" w:hAnsi="Arial Narrow"/>
        </w:rPr>
        <w:t xml:space="preserve">vzrastú </w:t>
      </w:r>
      <w:r w:rsidR="00511CED" w:rsidRPr="00511CED">
        <w:rPr>
          <w:rFonts w:ascii="Arial Narrow" w:hAnsi="Arial Narrow"/>
        </w:rPr>
        <w:t xml:space="preserve">výdavky na </w:t>
      </w:r>
      <w:r w:rsidR="00511CED" w:rsidRPr="001D0C4F">
        <w:rPr>
          <w:rFonts w:ascii="Arial Narrow" w:hAnsi="Arial Narrow"/>
        </w:rPr>
        <w:t xml:space="preserve">dôchodky o 1,2 % </w:t>
      </w:r>
      <w:r w:rsidR="00A87BC7">
        <w:rPr>
          <w:rFonts w:ascii="Arial Narrow" w:hAnsi="Arial Narrow"/>
        </w:rPr>
        <w:t>p. b.</w:t>
      </w:r>
      <w:r w:rsidR="00A87BC7" w:rsidRPr="001D0C4F">
        <w:rPr>
          <w:rFonts w:ascii="Arial Narrow" w:hAnsi="Arial Narrow"/>
        </w:rPr>
        <w:t xml:space="preserve"> </w:t>
      </w:r>
      <w:r w:rsidR="00511CED" w:rsidRPr="001D0C4F">
        <w:rPr>
          <w:rFonts w:ascii="Arial Narrow" w:hAnsi="Arial Narrow"/>
        </w:rPr>
        <w:t>do roku 2070</w:t>
      </w:r>
      <w:r w:rsidR="00511CED">
        <w:rPr>
          <w:rFonts w:ascii="Arial Narrow" w:hAnsi="Arial Narrow"/>
        </w:rPr>
        <w:t xml:space="preserve"> a miera náhrady (priemerný dôchodok ku priemernej mzde) poklesne takmer o</w:t>
      </w:r>
      <w:r w:rsidR="00A87BC7">
        <w:rPr>
          <w:rFonts w:ascii="Arial Narrow" w:hAnsi="Arial Narrow"/>
        </w:rPr>
        <w:t> </w:t>
      </w:r>
      <w:r w:rsidR="00511CED">
        <w:rPr>
          <w:rFonts w:ascii="Arial Narrow" w:hAnsi="Arial Narrow"/>
        </w:rPr>
        <w:t>10</w:t>
      </w:r>
      <w:r w:rsidR="00A87BC7">
        <w:rPr>
          <w:rFonts w:ascii="Arial Narrow" w:hAnsi="Arial Narrow"/>
        </w:rPr>
        <w:t xml:space="preserve"> p. b.</w:t>
      </w:r>
      <w:r w:rsidR="00B05ED7">
        <w:rPr>
          <w:rFonts w:ascii="Arial Narrow" w:hAnsi="Arial Narrow"/>
        </w:rPr>
        <w:t xml:space="preserve"> </w:t>
      </w:r>
      <w:r w:rsidR="00511CED">
        <w:rPr>
          <w:rFonts w:ascii="Arial Narrow" w:hAnsi="Arial Narrow"/>
        </w:rPr>
        <w:t>Každé opatrenie, ktoré zvýši mieru náhrady zo súkromných úspor tak dokáže kompenzovať nižšiu mieru náhrady budúcich generácií dôchodcov.</w:t>
      </w:r>
      <w:r w:rsidR="0075663F">
        <w:rPr>
          <w:rFonts w:ascii="Arial Narrow" w:hAnsi="Arial Narrow"/>
        </w:rPr>
        <w:t xml:space="preserve"> </w:t>
      </w:r>
      <w:r w:rsidR="00B05ED7">
        <w:rPr>
          <w:rFonts w:ascii="Arial Narrow" w:hAnsi="Arial Narrow"/>
        </w:rPr>
        <w:t>Konkrétne opatrenia sú:</w:t>
      </w:r>
    </w:p>
    <w:p w14:paraId="3DED9818" w14:textId="77777777" w:rsidR="007D68E0" w:rsidRPr="00FE6018" w:rsidRDefault="00217949" w:rsidP="0075663F">
      <w:pPr>
        <w:pStyle w:val="Odsekzoznamu"/>
        <w:numPr>
          <w:ilvl w:val="0"/>
          <w:numId w:val="10"/>
        </w:numPr>
        <w:tabs>
          <w:tab w:val="left" w:pos="1134"/>
        </w:tabs>
        <w:overflowPunct w:val="0"/>
        <w:autoSpaceDE w:val="0"/>
        <w:autoSpaceDN w:val="0"/>
        <w:adjustRightInd w:val="0"/>
        <w:spacing w:after="0" w:line="240" w:lineRule="auto"/>
        <w:ind w:left="357" w:hanging="357"/>
        <w:jc w:val="both"/>
        <w:textAlignment w:val="baseline"/>
        <w:rPr>
          <w:rFonts w:ascii="Arial Narrow" w:hAnsi="Arial Narrow"/>
          <w:color w:val="000000"/>
          <w:lang w:eastAsia="cs-CZ"/>
        </w:rPr>
      </w:pPr>
      <w:r w:rsidRPr="00FE6018">
        <w:rPr>
          <w:rFonts w:ascii="Arial Narrow" w:hAnsi="Arial Narrow"/>
        </w:rPr>
        <w:t xml:space="preserve">zavedenie indexového fondu v III. </w:t>
      </w:r>
      <w:r w:rsidR="007D68E0" w:rsidRPr="00FE6018">
        <w:rPr>
          <w:rFonts w:ascii="Arial Narrow" w:hAnsi="Arial Narrow"/>
        </w:rPr>
        <w:t xml:space="preserve">dôchodkovom </w:t>
      </w:r>
      <w:r w:rsidRPr="00FE6018">
        <w:rPr>
          <w:rFonts w:ascii="Arial Narrow" w:hAnsi="Arial Narrow"/>
        </w:rPr>
        <w:t>pilieri,</w:t>
      </w:r>
    </w:p>
    <w:p w14:paraId="5EF0A995" w14:textId="77777777" w:rsidR="007D68E0" w:rsidRPr="00FE6018" w:rsidRDefault="0075663F" w:rsidP="0075663F">
      <w:pPr>
        <w:pStyle w:val="Odsekzoznamu"/>
        <w:numPr>
          <w:ilvl w:val="0"/>
          <w:numId w:val="10"/>
        </w:numPr>
        <w:tabs>
          <w:tab w:val="left" w:pos="1134"/>
        </w:tabs>
        <w:overflowPunct w:val="0"/>
        <w:autoSpaceDE w:val="0"/>
        <w:autoSpaceDN w:val="0"/>
        <w:adjustRightInd w:val="0"/>
        <w:spacing w:after="0" w:line="240" w:lineRule="auto"/>
        <w:ind w:left="357" w:hanging="357"/>
        <w:jc w:val="both"/>
        <w:textAlignment w:val="baseline"/>
        <w:rPr>
          <w:rFonts w:ascii="Arial Narrow" w:hAnsi="Arial Narrow"/>
          <w:color w:val="000000"/>
          <w:lang w:eastAsia="cs-CZ"/>
        </w:rPr>
      </w:pPr>
      <w:r>
        <w:rPr>
          <w:rFonts w:ascii="Arial Narrow" w:hAnsi="Arial Narrow"/>
        </w:rPr>
        <w:t>vyššia</w:t>
      </w:r>
      <w:r w:rsidR="00217949" w:rsidRPr="00FE6018">
        <w:rPr>
          <w:rFonts w:ascii="Arial Narrow" w:hAnsi="Arial Narrow"/>
        </w:rPr>
        <w:t xml:space="preserve"> atraktívnosť dobrovoľného dôchodkového sporenia prostredníctvom mixu politík,</w:t>
      </w:r>
      <w:r w:rsidR="007D68E0" w:rsidRPr="00FE6018">
        <w:rPr>
          <w:rFonts w:ascii="Arial Narrow" w:hAnsi="Arial Narrow"/>
        </w:rPr>
        <w:t xml:space="preserve"> vrátane posilnenia konkurencie,</w:t>
      </w:r>
      <w:r w:rsidR="00217949" w:rsidRPr="00FE6018">
        <w:rPr>
          <w:rFonts w:ascii="Arial Narrow" w:hAnsi="Arial Narrow"/>
        </w:rPr>
        <w:t xml:space="preserve"> </w:t>
      </w:r>
    </w:p>
    <w:p w14:paraId="51A6A34D" w14:textId="7F766B2F" w:rsidR="007D68E0" w:rsidRPr="005D1D7B" w:rsidRDefault="0075663F" w:rsidP="005D1D7B">
      <w:pPr>
        <w:pStyle w:val="Odsekzoznamu"/>
        <w:numPr>
          <w:ilvl w:val="0"/>
          <w:numId w:val="10"/>
        </w:numPr>
        <w:tabs>
          <w:tab w:val="left" w:pos="1134"/>
        </w:tabs>
        <w:overflowPunct w:val="0"/>
        <w:autoSpaceDE w:val="0"/>
        <w:autoSpaceDN w:val="0"/>
        <w:adjustRightInd w:val="0"/>
        <w:spacing w:after="0" w:line="240" w:lineRule="auto"/>
        <w:ind w:left="357" w:hanging="357"/>
        <w:jc w:val="both"/>
        <w:textAlignment w:val="baseline"/>
        <w:rPr>
          <w:rFonts w:ascii="Arial Narrow" w:hAnsi="Arial Narrow"/>
        </w:rPr>
      </w:pPr>
      <w:r>
        <w:rPr>
          <w:rFonts w:ascii="Arial Narrow" w:hAnsi="Arial Narrow"/>
        </w:rPr>
        <w:t>z</w:t>
      </w:r>
      <w:r w:rsidR="001E4EEA">
        <w:rPr>
          <w:rFonts w:ascii="Arial Narrow" w:hAnsi="Arial Narrow"/>
        </w:rPr>
        <w:t>v</w:t>
      </w:r>
      <w:r w:rsidR="001E4EEA" w:rsidRPr="001E4EEA">
        <w:rPr>
          <w:rFonts w:ascii="Arial Narrow" w:hAnsi="Arial Narrow"/>
        </w:rPr>
        <w:t>ážiť umožn</w:t>
      </w:r>
      <w:r w:rsidR="005D1D7B">
        <w:rPr>
          <w:rFonts w:ascii="Arial Narrow" w:hAnsi="Arial Narrow"/>
        </w:rPr>
        <w:t>enie</w:t>
      </w:r>
      <w:r w:rsidR="001E4EEA" w:rsidRPr="001E4EEA">
        <w:rPr>
          <w:rFonts w:ascii="Arial Narrow" w:hAnsi="Arial Narrow"/>
        </w:rPr>
        <w:t xml:space="preserve"> zamestnávateľom posielať dobrovoľné príspevky na dôchodkové sporenie aj do II. </w:t>
      </w:r>
      <w:r w:rsidR="001E4EEA">
        <w:rPr>
          <w:rFonts w:ascii="Arial Narrow" w:hAnsi="Arial Narrow"/>
        </w:rPr>
        <w:t>p</w:t>
      </w:r>
      <w:r w:rsidR="001E4EEA" w:rsidRPr="001E4EEA">
        <w:rPr>
          <w:rFonts w:ascii="Arial Narrow" w:hAnsi="Arial Narrow"/>
        </w:rPr>
        <w:t>iliera</w:t>
      </w:r>
      <w:r w:rsidR="001E4EEA">
        <w:rPr>
          <w:rFonts w:ascii="Arial Narrow" w:hAnsi="Arial Narrow"/>
        </w:rPr>
        <w:t>.</w:t>
      </w:r>
      <w:r w:rsidR="001E4EEA" w:rsidRPr="001E4EEA" w:rsidDel="001E4EEA">
        <w:rPr>
          <w:rFonts w:ascii="Arial Narrow" w:hAnsi="Arial Narrow"/>
        </w:rPr>
        <w:t xml:space="preserve"> </w:t>
      </w:r>
    </w:p>
    <w:p w14:paraId="00D3A994" w14:textId="77777777" w:rsidR="00511CED" w:rsidRDefault="00511CED" w:rsidP="001D0C4F">
      <w:pPr>
        <w:tabs>
          <w:tab w:val="left" w:pos="1134"/>
        </w:tabs>
        <w:overflowPunct w:val="0"/>
        <w:autoSpaceDE w:val="0"/>
        <w:autoSpaceDN w:val="0"/>
        <w:adjustRightInd w:val="0"/>
        <w:spacing w:after="0" w:line="240" w:lineRule="auto"/>
        <w:jc w:val="both"/>
        <w:textAlignment w:val="baseline"/>
        <w:rPr>
          <w:rFonts w:ascii="Arial Narrow" w:hAnsi="Arial Narrow"/>
          <w:color w:val="000000"/>
          <w:lang w:eastAsia="cs-CZ"/>
        </w:rPr>
      </w:pPr>
    </w:p>
    <w:p w14:paraId="531D35C2" w14:textId="5BEFBD54" w:rsidR="00511CED" w:rsidRPr="001D0C4F" w:rsidRDefault="00E77AF2" w:rsidP="00E0105E">
      <w:pPr>
        <w:tabs>
          <w:tab w:val="left" w:pos="1134"/>
        </w:tabs>
        <w:overflowPunct w:val="0"/>
        <w:autoSpaceDE w:val="0"/>
        <w:autoSpaceDN w:val="0"/>
        <w:adjustRightInd w:val="0"/>
        <w:spacing w:after="120" w:line="240" w:lineRule="auto"/>
        <w:jc w:val="both"/>
        <w:textAlignment w:val="baseline"/>
        <w:rPr>
          <w:rFonts w:ascii="Arial Narrow" w:hAnsi="Arial Narrow"/>
          <w:color w:val="000000"/>
          <w:lang w:eastAsia="cs-CZ"/>
        </w:rPr>
      </w:pPr>
      <w:r w:rsidRPr="001D0C4F">
        <w:rPr>
          <w:rFonts w:ascii="Arial Narrow" w:hAnsi="Arial Narrow"/>
          <w:b/>
          <w:color w:val="000000"/>
          <w:lang w:eastAsia="cs-CZ"/>
        </w:rPr>
        <w:t>Inv</w:t>
      </w:r>
      <w:r>
        <w:rPr>
          <w:rFonts w:ascii="Arial Narrow" w:hAnsi="Arial Narrow"/>
          <w:b/>
          <w:color w:val="000000"/>
          <w:lang w:eastAsia="cs-CZ"/>
        </w:rPr>
        <w:t>e</w:t>
      </w:r>
      <w:r w:rsidRPr="001D0C4F">
        <w:rPr>
          <w:rFonts w:ascii="Arial Narrow" w:hAnsi="Arial Narrow"/>
          <w:b/>
          <w:color w:val="000000"/>
          <w:lang w:eastAsia="cs-CZ"/>
        </w:rPr>
        <w:t>stičnú stratégiu treba zosúladiť s</w:t>
      </w:r>
      <w:r w:rsidR="00A87BC7">
        <w:rPr>
          <w:rFonts w:ascii="Arial Narrow" w:hAnsi="Arial Narrow"/>
          <w:b/>
          <w:color w:val="000000"/>
          <w:lang w:eastAsia="cs-CZ"/>
        </w:rPr>
        <w:t xml:space="preserve"> </w:t>
      </w:r>
      <w:r w:rsidRPr="001D0C4F">
        <w:rPr>
          <w:rFonts w:ascii="Arial Narrow" w:hAnsi="Arial Narrow"/>
          <w:b/>
          <w:color w:val="000000"/>
          <w:lang w:eastAsia="cs-CZ"/>
        </w:rPr>
        <w:t>časom sporenia.</w:t>
      </w:r>
      <w:r>
        <w:rPr>
          <w:rFonts w:ascii="Arial Narrow" w:hAnsi="Arial Narrow"/>
          <w:color w:val="000000"/>
          <w:lang w:eastAsia="cs-CZ"/>
        </w:rPr>
        <w:t xml:space="preserve"> </w:t>
      </w:r>
      <w:r w:rsidR="00FD1766">
        <w:rPr>
          <w:rFonts w:ascii="Arial Narrow" w:hAnsi="Arial Narrow"/>
          <w:color w:val="000000"/>
          <w:lang w:eastAsia="cs-CZ"/>
        </w:rPr>
        <w:t xml:space="preserve">Z revízie vyplýva </w:t>
      </w:r>
      <w:r w:rsidR="00AC457C" w:rsidRPr="001D0C4F">
        <w:rPr>
          <w:rFonts w:ascii="Arial Narrow" w:hAnsi="Arial Narrow"/>
          <w:color w:val="000000"/>
          <w:lang w:eastAsia="cs-CZ"/>
        </w:rPr>
        <w:t>potreb</w:t>
      </w:r>
      <w:r w:rsidR="00FD1766">
        <w:rPr>
          <w:rFonts w:ascii="Arial Narrow" w:hAnsi="Arial Narrow"/>
          <w:color w:val="000000"/>
          <w:lang w:eastAsia="cs-CZ"/>
        </w:rPr>
        <w:t>a</w:t>
      </w:r>
      <w:r w:rsidR="00AC457C" w:rsidRPr="001D0C4F">
        <w:rPr>
          <w:rFonts w:ascii="Arial Narrow" w:hAnsi="Arial Narrow"/>
          <w:color w:val="000000"/>
          <w:lang w:eastAsia="cs-CZ"/>
        </w:rPr>
        <w:t xml:space="preserve"> </w:t>
      </w:r>
      <w:r w:rsidR="007A5DA9">
        <w:rPr>
          <w:rFonts w:ascii="Arial Narrow" w:hAnsi="Arial Narrow"/>
          <w:color w:val="000000"/>
          <w:lang w:eastAsia="cs-CZ"/>
        </w:rPr>
        <w:t xml:space="preserve">identifikácie </w:t>
      </w:r>
      <w:r w:rsidR="00AC457C" w:rsidRPr="001D0C4F">
        <w:rPr>
          <w:rFonts w:ascii="Arial Narrow" w:hAnsi="Arial Narrow"/>
          <w:color w:val="000000"/>
          <w:lang w:eastAsia="cs-CZ"/>
        </w:rPr>
        <w:t>optimálne</w:t>
      </w:r>
      <w:r w:rsidR="007A5DA9">
        <w:rPr>
          <w:rFonts w:ascii="Arial Narrow" w:hAnsi="Arial Narrow"/>
          <w:color w:val="000000"/>
          <w:lang w:eastAsia="cs-CZ"/>
        </w:rPr>
        <w:t>ho</w:t>
      </w:r>
      <w:r w:rsidR="00AC457C" w:rsidRPr="001D0C4F">
        <w:rPr>
          <w:rFonts w:ascii="Arial Narrow" w:hAnsi="Arial Narrow"/>
          <w:color w:val="000000"/>
          <w:lang w:eastAsia="cs-CZ"/>
        </w:rPr>
        <w:t xml:space="preserve"> riešeni</w:t>
      </w:r>
      <w:r w:rsidR="007A5DA9">
        <w:rPr>
          <w:rFonts w:ascii="Arial Narrow" w:hAnsi="Arial Narrow"/>
          <w:color w:val="000000"/>
          <w:lang w:eastAsia="cs-CZ"/>
        </w:rPr>
        <w:t>a</w:t>
      </w:r>
      <w:r w:rsidR="00AC457C" w:rsidRPr="001D0C4F">
        <w:rPr>
          <w:rFonts w:ascii="Arial Narrow" w:hAnsi="Arial Narrow"/>
          <w:color w:val="000000"/>
          <w:lang w:eastAsia="cs-CZ"/>
        </w:rPr>
        <w:t xml:space="preserve"> </w:t>
      </w:r>
      <w:r w:rsidR="007A5DA9">
        <w:rPr>
          <w:rFonts w:ascii="Arial Narrow" w:hAnsi="Arial Narrow"/>
          <w:color w:val="000000"/>
          <w:lang w:eastAsia="cs-CZ"/>
        </w:rPr>
        <w:t xml:space="preserve">na </w:t>
      </w:r>
      <w:r w:rsidR="00AC457C" w:rsidRPr="001D0C4F">
        <w:rPr>
          <w:rFonts w:ascii="Arial Narrow" w:hAnsi="Arial Narrow"/>
          <w:color w:val="000000"/>
          <w:lang w:eastAsia="cs-CZ"/>
        </w:rPr>
        <w:t>zosúlad</w:t>
      </w:r>
      <w:r w:rsidR="007A5DA9">
        <w:rPr>
          <w:rFonts w:ascii="Arial Narrow" w:hAnsi="Arial Narrow"/>
          <w:color w:val="000000"/>
          <w:lang w:eastAsia="cs-CZ"/>
        </w:rPr>
        <w:t>enie</w:t>
      </w:r>
      <w:r w:rsidR="00AC457C" w:rsidRPr="001D0C4F">
        <w:rPr>
          <w:rFonts w:ascii="Arial Narrow" w:hAnsi="Arial Narrow"/>
          <w:color w:val="000000"/>
          <w:lang w:eastAsia="cs-CZ"/>
        </w:rPr>
        <w:t xml:space="preserve"> investičn</w:t>
      </w:r>
      <w:r w:rsidR="007A5DA9">
        <w:rPr>
          <w:rFonts w:ascii="Arial Narrow" w:hAnsi="Arial Narrow"/>
          <w:color w:val="000000"/>
          <w:lang w:eastAsia="cs-CZ"/>
        </w:rPr>
        <w:t>ej</w:t>
      </w:r>
      <w:r w:rsidR="00AC457C" w:rsidRPr="001D0C4F">
        <w:rPr>
          <w:rFonts w:ascii="Arial Narrow" w:hAnsi="Arial Narrow"/>
          <w:color w:val="000000"/>
          <w:lang w:eastAsia="cs-CZ"/>
        </w:rPr>
        <w:t xml:space="preserve"> stratégi</w:t>
      </w:r>
      <w:r w:rsidR="007A5DA9">
        <w:rPr>
          <w:rFonts w:ascii="Arial Narrow" w:hAnsi="Arial Narrow"/>
          <w:color w:val="000000"/>
          <w:lang w:eastAsia="cs-CZ"/>
        </w:rPr>
        <w:t>e sporiteľov</w:t>
      </w:r>
      <w:r w:rsidR="00AC457C" w:rsidRPr="001D0C4F">
        <w:rPr>
          <w:rFonts w:ascii="Arial Narrow" w:hAnsi="Arial Narrow"/>
          <w:color w:val="000000"/>
          <w:lang w:eastAsia="cs-CZ"/>
        </w:rPr>
        <w:t xml:space="preserve"> </w:t>
      </w:r>
      <w:r w:rsidR="007A5DA9">
        <w:rPr>
          <w:rFonts w:ascii="Arial Narrow" w:hAnsi="Arial Narrow"/>
          <w:color w:val="000000"/>
          <w:lang w:eastAsia="cs-CZ"/>
        </w:rPr>
        <w:t>s ich</w:t>
      </w:r>
      <w:r w:rsidR="00AC457C" w:rsidRPr="001D0C4F">
        <w:rPr>
          <w:rFonts w:ascii="Arial Narrow" w:hAnsi="Arial Narrow"/>
          <w:color w:val="000000"/>
          <w:lang w:eastAsia="cs-CZ"/>
        </w:rPr>
        <w:t xml:space="preserve"> časový</w:t>
      </w:r>
      <w:r w:rsidR="007A5DA9">
        <w:rPr>
          <w:rFonts w:ascii="Arial Narrow" w:hAnsi="Arial Narrow"/>
          <w:color w:val="000000"/>
          <w:lang w:eastAsia="cs-CZ"/>
        </w:rPr>
        <w:t>m</w:t>
      </w:r>
      <w:r w:rsidR="00AC457C" w:rsidRPr="001D0C4F">
        <w:rPr>
          <w:rFonts w:ascii="Arial Narrow" w:hAnsi="Arial Narrow"/>
          <w:color w:val="000000"/>
          <w:lang w:eastAsia="cs-CZ"/>
        </w:rPr>
        <w:t xml:space="preserve"> horizont</w:t>
      </w:r>
      <w:r w:rsidR="007A5DA9">
        <w:rPr>
          <w:rFonts w:ascii="Arial Narrow" w:hAnsi="Arial Narrow"/>
          <w:color w:val="000000"/>
          <w:lang w:eastAsia="cs-CZ"/>
        </w:rPr>
        <w:t>om</w:t>
      </w:r>
      <w:r w:rsidR="00AC457C" w:rsidRPr="001D0C4F">
        <w:rPr>
          <w:rFonts w:ascii="Arial Narrow" w:hAnsi="Arial Narrow"/>
          <w:color w:val="000000"/>
          <w:lang w:eastAsia="cs-CZ"/>
        </w:rPr>
        <w:t xml:space="preserve"> sporenia.</w:t>
      </w:r>
      <w:r w:rsidR="00AC457C">
        <w:rPr>
          <w:rFonts w:ascii="Arial Narrow" w:hAnsi="Arial Narrow"/>
          <w:color w:val="000000"/>
          <w:lang w:eastAsia="cs-CZ"/>
        </w:rPr>
        <w:t xml:space="preserve"> Tú je možné zlepšiť reguláciou alebo lepšou informovanosťou sporiteľov. </w:t>
      </w:r>
      <w:r w:rsidR="007A5DA9">
        <w:rPr>
          <w:rFonts w:ascii="Arial Narrow" w:hAnsi="Arial Narrow"/>
          <w:color w:val="000000"/>
          <w:lang w:eastAsia="cs-CZ"/>
        </w:rPr>
        <w:t xml:space="preserve">V roku 2018 bude </w:t>
      </w:r>
      <w:r w:rsidR="00845313">
        <w:rPr>
          <w:rFonts w:ascii="Arial Narrow" w:hAnsi="Arial Narrow"/>
          <w:color w:val="000000"/>
          <w:lang w:eastAsia="cs-CZ"/>
        </w:rPr>
        <w:t xml:space="preserve">pripravená </w:t>
      </w:r>
      <w:r w:rsidR="007A5DA9">
        <w:rPr>
          <w:rFonts w:ascii="Arial Narrow" w:hAnsi="Arial Narrow"/>
          <w:color w:val="000000"/>
          <w:lang w:eastAsia="cs-CZ"/>
        </w:rPr>
        <w:t xml:space="preserve">analýza, </w:t>
      </w:r>
      <w:r w:rsidR="00FD1766">
        <w:rPr>
          <w:rFonts w:ascii="Arial Narrow" w:hAnsi="Arial Narrow"/>
          <w:color w:val="000000"/>
          <w:lang w:eastAsia="cs-CZ"/>
        </w:rPr>
        <w:t xml:space="preserve">ktorá </w:t>
      </w:r>
      <w:r w:rsidR="00845313">
        <w:rPr>
          <w:rFonts w:ascii="Arial Narrow" w:hAnsi="Arial Narrow"/>
          <w:color w:val="000000"/>
          <w:lang w:eastAsia="cs-CZ"/>
        </w:rPr>
        <w:t xml:space="preserve">navrhne </w:t>
      </w:r>
      <w:r w:rsidR="00FD1766">
        <w:rPr>
          <w:rFonts w:ascii="Arial Narrow" w:hAnsi="Arial Narrow"/>
          <w:color w:val="000000"/>
          <w:lang w:eastAsia="cs-CZ"/>
        </w:rPr>
        <w:t>konkrétny mix o</w:t>
      </w:r>
      <w:r w:rsidR="00F31C04">
        <w:rPr>
          <w:rFonts w:ascii="Arial Narrow" w:hAnsi="Arial Narrow"/>
          <w:color w:val="000000"/>
          <w:lang w:eastAsia="cs-CZ"/>
        </w:rPr>
        <w:t>patren</w:t>
      </w:r>
      <w:r w:rsidR="00FD1766">
        <w:rPr>
          <w:rFonts w:ascii="Arial Narrow" w:hAnsi="Arial Narrow"/>
          <w:color w:val="000000"/>
          <w:lang w:eastAsia="cs-CZ"/>
        </w:rPr>
        <w:t>í</w:t>
      </w:r>
      <w:r w:rsidR="00F31C04">
        <w:rPr>
          <w:rFonts w:ascii="Arial Narrow" w:hAnsi="Arial Narrow"/>
          <w:color w:val="000000"/>
          <w:lang w:eastAsia="cs-CZ"/>
        </w:rPr>
        <w:t xml:space="preserve"> </w:t>
      </w:r>
      <w:r w:rsidR="00FD1766">
        <w:rPr>
          <w:rFonts w:ascii="Arial Narrow" w:hAnsi="Arial Narrow"/>
          <w:color w:val="000000"/>
          <w:lang w:eastAsia="cs-CZ"/>
        </w:rPr>
        <w:t xml:space="preserve">a tie </w:t>
      </w:r>
      <w:r w:rsidR="00F31C04">
        <w:rPr>
          <w:rFonts w:ascii="Arial Narrow" w:hAnsi="Arial Narrow"/>
          <w:color w:val="000000"/>
          <w:lang w:eastAsia="cs-CZ"/>
        </w:rPr>
        <w:t>budú implementované</w:t>
      </w:r>
      <w:r w:rsidR="007A5DA9">
        <w:rPr>
          <w:rFonts w:ascii="Arial Narrow" w:hAnsi="Arial Narrow"/>
          <w:color w:val="000000"/>
          <w:lang w:eastAsia="cs-CZ"/>
        </w:rPr>
        <w:t xml:space="preserve"> v roku 2019. </w:t>
      </w:r>
      <w:r w:rsidR="00F31C04">
        <w:rPr>
          <w:rFonts w:ascii="Arial Narrow" w:hAnsi="Arial Narrow"/>
          <w:color w:val="000000"/>
          <w:lang w:eastAsia="cs-CZ"/>
        </w:rPr>
        <w:t>Ako možné riešenia</w:t>
      </w:r>
      <w:r w:rsidR="00AC457C">
        <w:rPr>
          <w:rFonts w:ascii="Arial Narrow" w:hAnsi="Arial Narrow"/>
          <w:color w:val="000000"/>
          <w:lang w:eastAsia="cs-CZ"/>
        </w:rPr>
        <w:t xml:space="preserve"> revízia identifikovala tieto možnosti:</w:t>
      </w:r>
    </w:p>
    <w:p w14:paraId="22A426A6" w14:textId="77777777" w:rsidR="007D68E0" w:rsidRPr="00FE6018" w:rsidRDefault="007E02B7" w:rsidP="0075663F">
      <w:pPr>
        <w:pStyle w:val="Odsekzoznamu"/>
        <w:numPr>
          <w:ilvl w:val="0"/>
          <w:numId w:val="10"/>
        </w:numPr>
        <w:tabs>
          <w:tab w:val="left" w:pos="1134"/>
        </w:tabs>
        <w:overflowPunct w:val="0"/>
        <w:autoSpaceDE w:val="0"/>
        <w:autoSpaceDN w:val="0"/>
        <w:adjustRightInd w:val="0"/>
        <w:spacing w:after="0" w:line="240" w:lineRule="auto"/>
        <w:ind w:left="357" w:hanging="357"/>
        <w:jc w:val="both"/>
        <w:textAlignment w:val="baseline"/>
        <w:rPr>
          <w:rFonts w:ascii="Arial Narrow" w:hAnsi="Arial Narrow"/>
          <w:color w:val="000000"/>
          <w:lang w:eastAsia="cs-CZ"/>
        </w:rPr>
      </w:pPr>
      <w:r w:rsidRPr="00FE6018">
        <w:rPr>
          <w:rFonts w:ascii="Arial Narrow" w:hAnsi="Arial Narrow"/>
        </w:rPr>
        <w:t>povinné zosúladenie investičnej stratégie aktuálnych sporiteľov s časovým horizontom ich sporenia,</w:t>
      </w:r>
    </w:p>
    <w:p w14:paraId="0E6B8513" w14:textId="77777777" w:rsidR="007D68E0" w:rsidRPr="00FE6018" w:rsidRDefault="0075663F" w:rsidP="0075663F">
      <w:pPr>
        <w:pStyle w:val="Odsekzoznamu"/>
        <w:numPr>
          <w:ilvl w:val="0"/>
          <w:numId w:val="10"/>
        </w:numPr>
        <w:tabs>
          <w:tab w:val="left" w:pos="1134"/>
        </w:tabs>
        <w:overflowPunct w:val="0"/>
        <w:autoSpaceDE w:val="0"/>
        <w:autoSpaceDN w:val="0"/>
        <w:adjustRightInd w:val="0"/>
        <w:spacing w:after="0" w:line="240" w:lineRule="auto"/>
        <w:ind w:left="357" w:hanging="357"/>
        <w:jc w:val="both"/>
        <w:textAlignment w:val="baseline"/>
        <w:rPr>
          <w:rFonts w:ascii="Arial Narrow" w:hAnsi="Arial Narrow"/>
          <w:color w:val="000000"/>
          <w:lang w:eastAsia="cs-CZ"/>
        </w:rPr>
      </w:pPr>
      <w:r>
        <w:rPr>
          <w:rFonts w:ascii="Arial Narrow" w:hAnsi="Arial Narrow"/>
        </w:rPr>
        <w:t>úprava</w:t>
      </w:r>
      <w:r w:rsidR="007E02B7" w:rsidRPr="00FE6018">
        <w:rPr>
          <w:rFonts w:ascii="Arial Narrow" w:hAnsi="Arial Narrow"/>
        </w:rPr>
        <w:t xml:space="preserve"> odplát sprostredkovateľom, ktorá by výraznejšie motivovala sprostredkovateľov poskytovať klientom II. a III. piliera presnejšie a adekvátnejšie odporúčania, </w:t>
      </w:r>
    </w:p>
    <w:p w14:paraId="4DDCEA6A" w14:textId="77777777" w:rsidR="007D68E0" w:rsidRPr="00FE6018" w:rsidRDefault="0075663F" w:rsidP="0075663F">
      <w:pPr>
        <w:pStyle w:val="Odsekzoznamu"/>
        <w:numPr>
          <w:ilvl w:val="0"/>
          <w:numId w:val="10"/>
        </w:numPr>
        <w:tabs>
          <w:tab w:val="left" w:pos="1134"/>
        </w:tabs>
        <w:overflowPunct w:val="0"/>
        <w:autoSpaceDE w:val="0"/>
        <w:autoSpaceDN w:val="0"/>
        <w:adjustRightInd w:val="0"/>
        <w:spacing w:after="0" w:line="240" w:lineRule="auto"/>
        <w:ind w:left="357" w:hanging="357"/>
        <w:jc w:val="both"/>
        <w:textAlignment w:val="baseline"/>
        <w:rPr>
          <w:rFonts w:ascii="Arial Narrow" w:hAnsi="Arial Narrow"/>
          <w:color w:val="000000"/>
          <w:lang w:eastAsia="cs-CZ"/>
        </w:rPr>
      </w:pPr>
      <w:r>
        <w:rPr>
          <w:rFonts w:ascii="Arial Narrow" w:hAnsi="Arial Narrow"/>
        </w:rPr>
        <w:t>z</w:t>
      </w:r>
      <w:r w:rsidR="007E02B7" w:rsidRPr="00FE6018">
        <w:rPr>
          <w:rFonts w:ascii="Arial Narrow" w:hAnsi="Arial Narrow"/>
        </w:rPr>
        <w:t>lepšenie informovanosti klientov II. a III. piliera o výnosoch, výnosoch v iných fondoch, rozloženia úspor vo fondoch, porovnanie so zahraničnými fondami</w:t>
      </w:r>
      <w:r w:rsidR="003933A8" w:rsidRPr="00FE6018">
        <w:rPr>
          <w:rFonts w:ascii="Arial Narrow" w:hAnsi="Arial Narrow"/>
        </w:rPr>
        <w:t>.</w:t>
      </w:r>
      <w:r w:rsidR="007E02B7" w:rsidRPr="00FE6018">
        <w:rPr>
          <w:rFonts w:ascii="Arial Narrow" w:hAnsi="Arial Narrow"/>
        </w:rPr>
        <w:t xml:space="preserve"> </w:t>
      </w:r>
    </w:p>
    <w:p w14:paraId="2F19CD69" w14:textId="77777777" w:rsidR="007D68E0" w:rsidRPr="00FE6018" w:rsidRDefault="0075663F" w:rsidP="0075663F">
      <w:pPr>
        <w:pStyle w:val="Odsekzoznamu"/>
        <w:numPr>
          <w:ilvl w:val="0"/>
          <w:numId w:val="10"/>
        </w:numPr>
        <w:tabs>
          <w:tab w:val="left" w:pos="1134"/>
        </w:tabs>
        <w:overflowPunct w:val="0"/>
        <w:autoSpaceDE w:val="0"/>
        <w:autoSpaceDN w:val="0"/>
        <w:adjustRightInd w:val="0"/>
        <w:spacing w:after="0" w:line="240" w:lineRule="auto"/>
        <w:ind w:left="357" w:hanging="357"/>
        <w:jc w:val="both"/>
        <w:textAlignment w:val="baseline"/>
        <w:rPr>
          <w:rFonts w:ascii="Arial Narrow" w:hAnsi="Arial Narrow"/>
          <w:color w:val="000000"/>
          <w:lang w:eastAsia="cs-CZ"/>
        </w:rPr>
      </w:pPr>
      <w:r>
        <w:rPr>
          <w:rFonts w:ascii="Arial Narrow" w:hAnsi="Arial Narrow"/>
        </w:rPr>
        <w:t>z</w:t>
      </w:r>
      <w:r w:rsidR="007E02B7" w:rsidRPr="00FE6018">
        <w:rPr>
          <w:rFonts w:ascii="Arial Narrow" w:hAnsi="Arial Narrow"/>
        </w:rPr>
        <w:t>mena prerozdelenia odplaty správcom dôchodkových účtov s presunom k vyššiemu podielu odplaty naviazanej na výkon jednotlivých fondov.</w:t>
      </w:r>
      <w:r w:rsidR="003933A8" w:rsidRPr="00FE6018">
        <w:rPr>
          <w:rFonts w:ascii="Arial Narrow" w:hAnsi="Arial Narrow"/>
        </w:rPr>
        <w:t xml:space="preserve"> </w:t>
      </w:r>
    </w:p>
    <w:p w14:paraId="0BE9F403" w14:textId="77777777" w:rsidR="00397264" w:rsidRPr="0056687D" w:rsidRDefault="00397264" w:rsidP="00397264">
      <w:pPr>
        <w:pStyle w:val="Textpoznmkypodiarou"/>
        <w:jc w:val="both"/>
        <w:rPr>
          <w:rFonts w:ascii="Arial Narrow" w:hAnsi="Arial Narrow"/>
          <w:sz w:val="22"/>
          <w:szCs w:val="22"/>
        </w:rPr>
      </w:pPr>
    </w:p>
    <w:tbl>
      <w:tblPr>
        <w:tblStyle w:val="Mriekatabuky1"/>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4"/>
      </w:tblGrid>
      <w:tr w:rsidR="00397264" w:rsidRPr="002B1C6B" w14:paraId="1DADBCE5" w14:textId="77777777" w:rsidTr="0075663F">
        <w:trPr>
          <w:jc w:val="center"/>
        </w:trPr>
        <w:tc>
          <w:tcPr>
            <w:tcW w:w="8564" w:type="dxa"/>
            <w:shd w:val="clear" w:color="auto" w:fill="AAD3F2"/>
          </w:tcPr>
          <w:p w14:paraId="2942D9C7" w14:textId="77777777" w:rsidR="00397264" w:rsidRPr="002B1C6B" w:rsidRDefault="00E34ED1" w:rsidP="00397264">
            <w:pPr>
              <w:spacing w:before="120" w:line="240" w:lineRule="auto"/>
              <w:jc w:val="both"/>
              <w:rPr>
                <w:rFonts w:ascii="Arial Narrow" w:hAnsi="Arial Narrow"/>
                <w:b/>
              </w:rPr>
            </w:pPr>
            <w:r>
              <w:rPr>
                <w:rFonts w:ascii="Arial Narrow" w:hAnsi="Arial Narrow"/>
                <w:b/>
              </w:rPr>
              <w:t>Box 3</w:t>
            </w:r>
            <w:r w:rsidR="00397264" w:rsidRPr="002B1C6B">
              <w:rPr>
                <w:rFonts w:ascii="Arial Narrow" w:hAnsi="Arial Narrow"/>
                <w:b/>
              </w:rPr>
              <w:t xml:space="preserve">: </w:t>
            </w:r>
            <w:r w:rsidR="00397264">
              <w:rPr>
                <w:rFonts w:ascii="Arial Narrow" w:hAnsi="Arial Narrow"/>
                <w:b/>
              </w:rPr>
              <w:t>Invalidné dôchodky</w:t>
            </w:r>
          </w:p>
          <w:p w14:paraId="04A97419" w14:textId="64A2B01E" w:rsidR="00B46454" w:rsidRDefault="00397264" w:rsidP="0075663F">
            <w:pPr>
              <w:spacing w:after="120" w:line="240" w:lineRule="auto"/>
              <w:jc w:val="both"/>
              <w:rPr>
                <w:rFonts w:ascii="Arial Narrow" w:hAnsi="Arial Narrow"/>
              </w:rPr>
            </w:pPr>
            <w:r w:rsidRPr="00FE6018">
              <w:rPr>
                <w:rFonts w:ascii="Arial Narrow" w:hAnsi="Arial Narrow"/>
                <w:b/>
              </w:rPr>
              <w:t xml:space="preserve">Podľa analýzy </w:t>
            </w:r>
            <w:r w:rsidR="004A6F44" w:rsidRPr="00FE6018">
              <w:rPr>
                <w:rFonts w:ascii="Arial Narrow" w:hAnsi="Arial Narrow"/>
                <w:b/>
              </w:rPr>
              <w:t>invalidných</w:t>
            </w:r>
            <w:r w:rsidRPr="00FE6018">
              <w:rPr>
                <w:rFonts w:ascii="Arial Narrow" w:hAnsi="Arial Narrow"/>
                <w:b/>
              </w:rPr>
              <w:t xml:space="preserve"> dôchodkov</w:t>
            </w:r>
            <w:r w:rsidR="003E31A0">
              <w:rPr>
                <w:rFonts w:ascii="Arial Narrow" w:hAnsi="Arial Narrow"/>
                <w:b/>
              </w:rPr>
              <w:t xml:space="preserve">, </w:t>
            </w:r>
            <w:r w:rsidRPr="00FE6018">
              <w:rPr>
                <w:rFonts w:ascii="Arial Narrow" w:hAnsi="Arial Narrow"/>
                <w:b/>
              </w:rPr>
              <w:t xml:space="preserve">v súlade s odporúčaniami OECD, je potrebné zlepšiť šancu poberateľov invalidných dôchodkov integrovať sa na trhu práce. </w:t>
            </w:r>
            <w:r w:rsidRPr="00FE6018">
              <w:rPr>
                <w:rFonts w:ascii="Arial Narrow" w:hAnsi="Arial Narrow"/>
              </w:rPr>
              <w:t xml:space="preserve">To je možné dosiahnuť </w:t>
            </w:r>
            <w:r w:rsidR="00556BEA">
              <w:rPr>
                <w:rFonts w:ascii="Arial Narrow" w:hAnsi="Arial Narrow"/>
              </w:rPr>
              <w:t xml:space="preserve">napríklad </w:t>
            </w:r>
            <w:r w:rsidR="00B46454">
              <w:rPr>
                <w:rFonts w:ascii="Arial Narrow" w:hAnsi="Arial Narrow"/>
              </w:rPr>
              <w:t>implementáciou niektorých z na</w:t>
            </w:r>
            <w:r w:rsidR="00E5166B">
              <w:rPr>
                <w:rFonts w:ascii="Arial Narrow" w:hAnsi="Arial Narrow"/>
              </w:rPr>
              <w:t>sledovných</w:t>
            </w:r>
            <w:r w:rsidR="00B46454">
              <w:rPr>
                <w:rFonts w:ascii="Arial Narrow" w:hAnsi="Arial Narrow"/>
              </w:rPr>
              <w:t xml:space="preserve"> opatrení:</w:t>
            </w:r>
          </w:p>
          <w:p w14:paraId="73D79D86" w14:textId="77777777" w:rsidR="00B46454" w:rsidRPr="0075663F" w:rsidRDefault="00BE564C" w:rsidP="0075663F">
            <w:pPr>
              <w:pStyle w:val="Odsekzoznamu"/>
              <w:numPr>
                <w:ilvl w:val="0"/>
                <w:numId w:val="21"/>
              </w:numPr>
              <w:spacing w:after="120" w:line="240" w:lineRule="auto"/>
              <w:ind w:left="351" w:hanging="357"/>
              <w:contextualSpacing w:val="0"/>
              <w:jc w:val="both"/>
              <w:rPr>
                <w:rFonts w:ascii="Arial Narrow" w:hAnsi="Arial Narrow"/>
                <w:b/>
              </w:rPr>
            </w:pPr>
            <w:r>
              <w:rPr>
                <w:rFonts w:ascii="Arial Narrow" w:hAnsi="Arial Narrow"/>
              </w:rPr>
              <w:t>P</w:t>
            </w:r>
            <w:r w:rsidR="00397264" w:rsidRPr="00E42F87">
              <w:rPr>
                <w:rFonts w:ascii="Arial Narrow" w:hAnsi="Arial Narrow"/>
              </w:rPr>
              <w:t xml:space="preserve">osúdením účinnosti a lepším zacielením </w:t>
            </w:r>
            <w:r w:rsidR="0075663F">
              <w:rPr>
                <w:rFonts w:ascii="Arial Narrow" w:hAnsi="Arial Narrow"/>
              </w:rPr>
              <w:t>nástrojov APTP</w:t>
            </w:r>
            <w:r w:rsidR="00397264" w:rsidRPr="00E42F87">
              <w:rPr>
                <w:rFonts w:ascii="Arial Narrow" w:hAnsi="Arial Narrow"/>
              </w:rPr>
              <w:t xml:space="preserve"> v integrácii poberateľov na trh práce, </w:t>
            </w:r>
            <w:r w:rsidR="0075663F">
              <w:rPr>
                <w:rFonts w:ascii="Arial Narrow" w:hAnsi="Arial Narrow"/>
              </w:rPr>
              <w:t>p</w:t>
            </w:r>
            <w:r w:rsidR="00397264" w:rsidRPr="0075663F">
              <w:rPr>
                <w:rFonts w:ascii="Arial Narrow" w:hAnsi="Arial Narrow"/>
              </w:rPr>
              <w:t xml:space="preserve">repojením vyplácania čiastočných invalidných dôchodkov s aktiváciou na trhu práce alebo zvýšením flexibility v zamestnávaní invalidov. </w:t>
            </w:r>
          </w:p>
          <w:p w14:paraId="31C31198" w14:textId="4FA25C23" w:rsidR="00BE564C" w:rsidRPr="001D0C4F" w:rsidRDefault="00BE564C" w:rsidP="0075663F">
            <w:pPr>
              <w:pStyle w:val="Odsekzoznamu"/>
              <w:numPr>
                <w:ilvl w:val="0"/>
                <w:numId w:val="21"/>
              </w:numPr>
              <w:spacing w:after="120" w:line="240" w:lineRule="auto"/>
              <w:ind w:left="357"/>
              <w:jc w:val="both"/>
              <w:rPr>
                <w:rFonts w:ascii="Arial Narrow" w:hAnsi="Arial Narrow"/>
              </w:rPr>
            </w:pPr>
            <w:r w:rsidRPr="001D0C4F">
              <w:rPr>
                <w:rFonts w:ascii="Arial Narrow" w:hAnsi="Arial Narrow"/>
              </w:rPr>
              <w:t>Zvýšen</w:t>
            </w:r>
            <w:r w:rsidR="0075663F">
              <w:rPr>
                <w:rFonts w:ascii="Arial Narrow" w:hAnsi="Arial Narrow"/>
              </w:rPr>
              <w:t>ím</w:t>
            </w:r>
            <w:r w:rsidRPr="001D0C4F">
              <w:rPr>
                <w:rFonts w:ascii="Arial Narrow" w:hAnsi="Arial Narrow"/>
              </w:rPr>
              <w:t xml:space="preserve"> motivác</w:t>
            </w:r>
            <w:r w:rsidR="0075663F">
              <w:rPr>
                <w:rFonts w:ascii="Arial Narrow" w:hAnsi="Arial Narrow"/>
              </w:rPr>
              <w:t>ií</w:t>
            </w:r>
            <w:r w:rsidRPr="001D0C4F">
              <w:rPr>
                <w:rFonts w:ascii="Arial Narrow" w:hAnsi="Arial Narrow"/>
              </w:rPr>
              <w:t xml:space="preserve"> zamestnať sa </w:t>
            </w:r>
            <w:r>
              <w:rPr>
                <w:rFonts w:ascii="Arial Narrow" w:hAnsi="Arial Narrow"/>
              </w:rPr>
              <w:t>prostredníctvom prehodnotenia spôsobu ako zaplatené odvody invalidných dôchodcov ovplyvňujú výšku ich starobného dôchodku.</w:t>
            </w:r>
          </w:p>
          <w:p w14:paraId="2386CE0F" w14:textId="77777777" w:rsidR="00B46454" w:rsidRDefault="00B46454" w:rsidP="0075663F">
            <w:pPr>
              <w:pStyle w:val="Odsekzoznamu"/>
              <w:spacing w:after="0" w:line="240" w:lineRule="auto"/>
              <w:ind w:left="0"/>
              <w:jc w:val="both"/>
              <w:rPr>
                <w:rFonts w:ascii="Arial Narrow" w:hAnsi="Arial Narrow"/>
              </w:rPr>
            </w:pPr>
          </w:p>
          <w:p w14:paraId="059BE720" w14:textId="77777777" w:rsidR="00B46454" w:rsidRDefault="00397264" w:rsidP="0075663F">
            <w:pPr>
              <w:pStyle w:val="Odsekzoznamu"/>
              <w:spacing w:after="120" w:line="240" w:lineRule="auto"/>
              <w:ind w:left="0"/>
              <w:contextualSpacing w:val="0"/>
              <w:jc w:val="both"/>
              <w:rPr>
                <w:rFonts w:ascii="Arial Narrow" w:hAnsi="Arial Narrow"/>
              </w:rPr>
            </w:pPr>
            <w:r w:rsidRPr="001D0C4F">
              <w:rPr>
                <w:rFonts w:ascii="Arial Narrow" w:hAnsi="Arial Narrow"/>
              </w:rPr>
              <w:lastRenderedPageBreak/>
              <w:t xml:space="preserve">Analýza tiež navrhuje </w:t>
            </w:r>
            <w:r w:rsidR="00B46454">
              <w:rPr>
                <w:rFonts w:ascii="Arial Narrow" w:hAnsi="Arial Narrow"/>
              </w:rPr>
              <w:t>ďalšie opatrenia, ktoré môžu znížiť výdavky alebo zvýšiť plnenie cieľa invalidného dôchodku (náhrada straty schopnosti vykonávať prácu)</w:t>
            </w:r>
            <w:r w:rsidR="0075663F">
              <w:rPr>
                <w:rFonts w:ascii="Arial Narrow" w:hAnsi="Arial Narrow"/>
              </w:rPr>
              <w:t>, konkrétne:</w:t>
            </w:r>
          </w:p>
          <w:p w14:paraId="48FE69A7" w14:textId="77777777" w:rsidR="00B46454" w:rsidRPr="001D0C4F" w:rsidRDefault="0075663F" w:rsidP="0075663F">
            <w:pPr>
              <w:pStyle w:val="Odsekzoznamu"/>
              <w:numPr>
                <w:ilvl w:val="0"/>
                <w:numId w:val="21"/>
              </w:numPr>
              <w:spacing w:after="120" w:line="240" w:lineRule="auto"/>
              <w:ind w:left="357" w:hanging="357"/>
              <w:contextualSpacing w:val="0"/>
              <w:jc w:val="both"/>
              <w:rPr>
                <w:rFonts w:ascii="Arial Narrow" w:hAnsi="Arial Narrow"/>
                <w:b/>
              </w:rPr>
            </w:pPr>
            <w:r w:rsidRPr="001D0C4F">
              <w:rPr>
                <w:rFonts w:ascii="Arial Narrow" w:hAnsi="Arial Narrow"/>
              </w:rPr>
              <w:t>Ú</w:t>
            </w:r>
            <w:r w:rsidR="00397264" w:rsidRPr="001D0C4F">
              <w:rPr>
                <w:rFonts w:ascii="Arial Narrow" w:hAnsi="Arial Narrow"/>
              </w:rPr>
              <w:t>prav</w:t>
            </w:r>
            <w:r>
              <w:rPr>
                <w:rFonts w:ascii="Arial Narrow" w:hAnsi="Arial Narrow"/>
              </w:rPr>
              <w:t xml:space="preserve">ou </w:t>
            </w:r>
            <w:r w:rsidR="00397264" w:rsidRPr="001D0C4F">
              <w:rPr>
                <w:rFonts w:ascii="Arial Narrow" w:hAnsi="Arial Narrow"/>
              </w:rPr>
              <w:t>v</w:t>
            </w:r>
            <w:r>
              <w:rPr>
                <w:rFonts w:ascii="Arial Narrow" w:hAnsi="Arial Narrow"/>
              </w:rPr>
              <w:t xml:space="preserve"> </w:t>
            </w:r>
            <w:r w:rsidR="00397264" w:rsidRPr="001D0C4F">
              <w:rPr>
                <w:rFonts w:ascii="Arial Narrow" w:hAnsi="Arial Narrow"/>
              </w:rPr>
              <w:t xml:space="preserve">regulácií kontrol zdravotného stavu a rehabilitáciu pre diagnózy, u ktorých môže dôjsť k výrazným zlepšeniam zdravotného stavu. </w:t>
            </w:r>
          </w:p>
          <w:p w14:paraId="6327F9E4" w14:textId="77777777" w:rsidR="00397264" w:rsidRPr="00754872" w:rsidRDefault="00B46454" w:rsidP="0075663F">
            <w:pPr>
              <w:pStyle w:val="Odsekzoznamu"/>
              <w:numPr>
                <w:ilvl w:val="0"/>
                <w:numId w:val="21"/>
              </w:numPr>
              <w:spacing w:after="0" w:line="240" w:lineRule="auto"/>
              <w:ind w:left="360"/>
              <w:jc w:val="both"/>
              <w:rPr>
                <w:rFonts w:ascii="Arial Narrow" w:hAnsi="Arial Narrow"/>
                <w:b/>
              </w:rPr>
            </w:pPr>
            <w:r>
              <w:rPr>
                <w:rFonts w:ascii="Arial Narrow" w:hAnsi="Arial Narrow"/>
              </w:rPr>
              <w:t>P</w:t>
            </w:r>
            <w:r w:rsidR="00397264" w:rsidRPr="001D0C4F">
              <w:rPr>
                <w:rFonts w:ascii="Arial Narrow" w:hAnsi="Arial Narrow"/>
              </w:rPr>
              <w:t>ren</w:t>
            </w:r>
            <w:r w:rsidR="0075663F">
              <w:rPr>
                <w:rFonts w:ascii="Arial Narrow" w:hAnsi="Arial Narrow"/>
              </w:rPr>
              <w:t xml:space="preserve">esením </w:t>
            </w:r>
            <w:r w:rsidR="00397264" w:rsidRPr="001D0C4F">
              <w:rPr>
                <w:rFonts w:ascii="Arial Narrow" w:hAnsi="Arial Narrow"/>
              </w:rPr>
              <w:t>čas</w:t>
            </w:r>
            <w:r w:rsidR="0075663F">
              <w:rPr>
                <w:rFonts w:ascii="Arial Narrow" w:hAnsi="Arial Narrow"/>
              </w:rPr>
              <w:t>ti</w:t>
            </w:r>
            <w:r w:rsidR="00397264" w:rsidRPr="001D0C4F">
              <w:rPr>
                <w:rFonts w:ascii="Arial Narrow" w:hAnsi="Arial Narrow"/>
              </w:rPr>
              <w:t xml:space="preserve"> nákladov na invaliditu spôsobenú rizikovým zamestnaním na zamestnávateľa. Napríklad prostredníctvom zvýšeného odvodu pre rizikové zamestnania.</w:t>
            </w:r>
          </w:p>
          <w:p w14:paraId="63303CB2" w14:textId="77777777" w:rsidR="00754872" w:rsidRDefault="00754872" w:rsidP="00754872">
            <w:pPr>
              <w:spacing w:after="0" w:line="240" w:lineRule="auto"/>
              <w:jc w:val="both"/>
              <w:rPr>
                <w:rFonts w:ascii="Arial Narrow" w:hAnsi="Arial Narrow"/>
                <w:b/>
              </w:rPr>
            </w:pPr>
          </w:p>
          <w:p w14:paraId="402B8A1B" w14:textId="4491F686" w:rsidR="00754872" w:rsidRPr="00754872" w:rsidRDefault="00754872" w:rsidP="00754872">
            <w:pPr>
              <w:spacing w:after="0" w:line="240" w:lineRule="auto"/>
              <w:jc w:val="both"/>
              <w:rPr>
                <w:rFonts w:ascii="Arial Narrow" w:hAnsi="Arial Narrow"/>
              </w:rPr>
            </w:pPr>
            <w:r>
              <w:rPr>
                <w:rFonts w:ascii="Arial Narrow" w:hAnsi="Arial Narrow"/>
              </w:rPr>
              <w:t xml:space="preserve">Viac v analýze: </w:t>
            </w:r>
            <w:r w:rsidR="00AF108E" w:rsidRPr="001B45C6">
              <w:rPr>
                <w:rFonts w:ascii="Arial Narrow" w:hAnsi="Arial Narrow"/>
                <w:i/>
                <w:color w:val="000000" w:themeColor="text1"/>
              </w:rPr>
              <w:t>(</w:t>
            </w:r>
            <w:proofErr w:type="spellStart"/>
            <w:r w:rsidR="00AF108E" w:rsidRPr="001B45C6">
              <w:rPr>
                <w:rFonts w:ascii="Arial Narrow" w:hAnsi="Arial Narrow"/>
                <w:i/>
                <w:color w:val="000000" w:themeColor="text1"/>
              </w:rPr>
              <w:t>link</w:t>
            </w:r>
            <w:proofErr w:type="spellEnd"/>
            <w:r w:rsidR="00AF108E" w:rsidRPr="001B45C6">
              <w:rPr>
                <w:rFonts w:ascii="Arial Narrow" w:hAnsi="Arial Narrow"/>
                <w:i/>
                <w:color w:val="000000" w:themeColor="text1"/>
              </w:rPr>
              <w:t xml:space="preserve"> bude doplnený po publikovaní)</w:t>
            </w:r>
          </w:p>
          <w:p w14:paraId="0FAA91F2" w14:textId="77777777" w:rsidR="00397264" w:rsidRPr="000573D7" w:rsidRDefault="00397264" w:rsidP="001D0C4F">
            <w:pPr>
              <w:pStyle w:val="Odsekzoznamu"/>
              <w:spacing w:after="0" w:line="240" w:lineRule="auto"/>
              <w:jc w:val="both"/>
              <w:rPr>
                <w:rFonts w:ascii="Arial Narrow" w:hAnsi="Arial Narrow"/>
              </w:rPr>
            </w:pPr>
          </w:p>
        </w:tc>
      </w:tr>
    </w:tbl>
    <w:p w14:paraId="2D3457B6" w14:textId="77777777" w:rsidR="005A22CF" w:rsidRDefault="005A22CF" w:rsidP="005A22CF"/>
    <w:p w14:paraId="4C15B5A3" w14:textId="77777777" w:rsidR="0056687D" w:rsidRDefault="0056687D" w:rsidP="0056687D">
      <w:pPr>
        <w:pStyle w:val="Nadpis2"/>
        <w:numPr>
          <w:ilvl w:val="2"/>
          <w:numId w:val="1"/>
        </w:numPr>
        <w:spacing w:after="240" w:line="240" w:lineRule="auto"/>
        <w:ind w:left="720"/>
        <w:jc w:val="both"/>
        <w:rPr>
          <w:rFonts w:ascii="Arial Narrow" w:hAnsi="Arial Narrow"/>
          <w:color w:val="2C9ADC"/>
          <w:sz w:val="28"/>
          <w:szCs w:val="28"/>
        </w:rPr>
      </w:pPr>
      <w:bookmarkStart w:id="64" w:name="_Toc386005372"/>
      <w:bookmarkStart w:id="65" w:name="_Toc448824648"/>
      <w:bookmarkStart w:id="66" w:name="_Toc480749811"/>
      <w:bookmarkStart w:id="67" w:name="_Toc508039584"/>
      <w:r w:rsidRPr="00256D89">
        <w:rPr>
          <w:rFonts w:ascii="Arial Narrow" w:hAnsi="Arial Narrow"/>
          <w:color w:val="2C9ADC"/>
          <w:sz w:val="28"/>
          <w:szCs w:val="28"/>
        </w:rPr>
        <w:t>Sociálna inklúzia</w:t>
      </w:r>
      <w:bookmarkEnd w:id="64"/>
      <w:bookmarkEnd w:id="65"/>
      <w:bookmarkEnd w:id="66"/>
      <w:bookmarkEnd w:id="67"/>
    </w:p>
    <w:p w14:paraId="77E603DB" w14:textId="77777777" w:rsidR="0056687D" w:rsidRPr="00FA7C04" w:rsidRDefault="0056687D" w:rsidP="0056687D">
      <w:pPr>
        <w:spacing w:after="0" w:line="240" w:lineRule="auto"/>
        <w:jc w:val="both"/>
        <w:rPr>
          <w:rFonts w:ascii="Arial Narrow" w:hAnsi="Arial Narrow"/>
          <w:b/>
          <w:i/>
          <w:color w:val="000000" w:themeColor="text1"/>
        </w:rPr>
      </w:pPr>
      <w:r w:rsidRPr="00FA7C04">
        <w:rPr>
          <w:rFonts w:ascii="Arial Narrow" w:hAnsi="Arial Narrow"/>
          <w:b/>
          <w:i/>
          <w:color w:val="000000" w:themeColor="text1"/>
        </w:rPr>
        <w:t>Zvyšovanie motivácie osôb v hmotnej núdzi</w:t>
      </w:r>
    </w:p>
    <w:p w14:paraId="4E2EDA00" w14:textId="77777777" w:rsidR="0056687D" w:rsidRDefault="0056687D" w:rsidP="0056687D">
      <w:pPr>
        <w:spacing w:after="0" w:line="240" w:lineRule="auto"/>
        <w:jc w:val="both"/>
        <w:rPr>
          <w:rFonts w:ascii="Arial Narrow" w:hAnsi="Arial Narrow"/>
          <w:color w:val="000000" w:themeColor="text1"/>
        </w:rPr>
      </w:pPr>
      <w:r w:rsidRPr="00C67B88">
        <w:rPr>
          <w:rFonts w:ascii="Arial Narrow" w:hAnsi="Arial Narrow"/>
          <w:color w:val="000000" w:themeColor="text1"/>
        </w:rPr>
        <w:t xml:space="preserve">S účinnosťou od januára 2019 sa podporia nástroje zamerané na </w:t>
      </w:r>
      <w:r w:rsidRPr="005F2413">
        <w:rPr>
          <w:rFonts w:ascii="Arial Narrow" w:hAnsi="Arial Narrow"/>
          <w:b/>
          <w:color w:val="000000" w:themeColor="text1"/>
        </w:rPr>
        <w:t>aktívnu participáciu osôb v systéme pomoci v hmotnej núdzi</w:t>
      </w:r>
      <w:r w:rsidRPr="00C67B88">
        <w:rPr>
          <w:rFonts w:ascii="Arial Narrow" w:hAnsi="Arial Narrow"/>
          <w:color w:val="000000" w:themeColor="text1"/>
        </w:rPr>
        <w:t>. Cieľom je tiež zvýšenie adresnosti sociálnych opatrení zameraných na ľudí, ktorí pomoc v hmotnej núdzi potrebujú.</w:t>
      </w:r>
    </w:p>
    <w:p w14:paraId="766E0C23" w14:textId="77777777" w:rsidR="0056687D" w:rsidRDefault="0056687D" w:rsidP="0056687D">
      <w:pPr>
        <w:spacing w:after="0" w:line="240" w:lineRule="auto"/>
        <w:jc w:val="both"/>
        <w:rPr>
          <w:rFonts w:ascii="Arial Narrow" w:hAnsi="Arial Narrow"/>
          <w:color w:val="000000" w:themeColor="text1"/>
        </w:rPr>
      </w:pPr>
    </w:p>
    <w:p w14:paraId="76D48842" w14:textId="77777777" w:rsidR="0056687D" w:rsidRPr="00C67B88" w:rsidRDefault="0056687D" w:rsidP="0056687D">
      <w:pPr>
        <w:spacing w:after="0" w:line="240" w:lineRule="auto"/>
        <w:jc w:val="both"/>
        <w:rPr>
          <w:rFonts w:ascii="Arial Narrow" w:hAnsi="Arial Narrow"/>
          <w:b/>
          <w:i/>
        </w:rPr>
      </w:pPr>
      <w:r w:rsidRPr="00C67B88">
        <w:rPr>
          <w:rFonts w:ascii="Arial Narrow" w:hAnsi="Arial Narrow"/>
          <w:b/>
          <w:i/>
        </w:rPr>
        <w:t>Sociálna pomoc zdravotne ťažko postihnutým</w:t>
      </w:r>
    </w:p>
    <w:p w14:paraId="527C3B65" w14:textId="77777777" w:rsidR="0056687D" w:rsidRDefault="0056687D" w:rsidP="0056687D">
      <w:pPr>
        <w:spacing w:after="0" w:line="240" w:lineRule="auto"/>
        <w:jc w:val="both"/>
        <w:rPr>
          <w:rFonts w:ascii="Arial Narrow" w:hAnsi="Arial Narrow"/>
        </w:rPr>
      </w:pPr>
      <w:r w:rsidRPr="00C67B88">
        <w:rPr>
          <w:rFonts w:ascii="Arial Narrow" w:hAnsi="Arial Narrow"/>
        </w:rPr>
        <w:t>Zefektívnia sa nástroje sociálnej integrácie osôb so zdravotným postihnutím</w:t>
      </w:r>
      <w:r w:rsidRPr="00C67B88">
        <w:rPr>
          <w:rStyle w:val="Odkaznapoznmkupodiarou"/>
          <w:rFonts w:ascii="Arial Narrow" w:hAnsi="Arial Narrow"/>
        </w:rPr>
        <w:footnoteReference w:id="41"/>
      </w:r>
      <w:r w:rsidRPr="00C67B88">
        <w:rPr>
          <w:rFonts w:ascii="Arial Narrow" w:hAnsi="Arial Narrow"/>
        </w:rPr>
        <w:t xml:space="preserve">. Do roku 2020 sa zváži zvýšenie </w:t>
      </w:r>
      <w:r w:rsidRPr="00C67B88">
        <w:rPr>
          <w:rFonts w:ascii="Arial Narrow" w:hAnsi="Arial Narrow"/>
          <w:b/>
        </w:rPr>
        <w:t>peňažného príspevku na opatrovanie</w:t>
      </w:r>
      <w:r w:rsidRPr="00C67B88">
        <w:rPr>
          <w:rFonts w:ascii="Arial Narrow" w:hAnsi="Arial Narrow"/>
        </w:rPr>
        <w:t xml:space="preserve"> na úroveň čistej minimálnej mzdy najmä pri poberateľoch v produktívnom veku.</w:t>
      </w:r>
      <w:r>
        <w:rPr>
          <w:rFonts w:ascii="Arial Narrow" w:hAnsi="Arial Narrow"/>
        </w:rPr>
        <w:t xml:space="preserve"> </w:t>
      </w:r>
    </w:p>
    <w:p w14:paraId="02FF6F6E" w14:textId="77777777" w:rsidR="0056687D" w:rsidRDefault="0056687D" w:rsidP="0056687D">
      <w:pPr>
        <w:spacing w:after="0" w:line="240" w:lineRule="auto"/>
        <w:jc w:val="both"/>
        <w:rPr>
          <w:rFonts w:ascii="Arial Narrow" w:hAnsi="Arial Narrow"/>
        </w:rPr>
      </w:pPr>
    </w:p>
    <w:p w14:paraId="1C628B5B" w14:textId="77777777" w:rsidR="0056687D" w:rsidRPr="00A12FFB" w:rsidRDefault="0056687D" w:rsidP="0056687D">
      <w:pPr>
        <w:spacing w:after="0" w:line="240" w:lineRule="auto"/>
        <w:rPr>
          <w:rFonts w:ascii="Arial Narrow" w:hAnsi="Arial Narrow"/>
          <w:b/>
          <w:i/>
        </w:rPr>
      </w:pPr>
      <w:r w:rsidRPr="00A12FFB">
        <w:rPr>
          <w:rFonts w:ascii="Arial Narrow" w:hAnsi="Arial Narrow"/>
          <w:b/>
          <w:i/>
        </w:rPr>
        <w:t>Podpora marginalizovaných rómskych komunít</w:t>
      </w:r>
    </w:p>
    <w:p w14:paraId="0B88E4FA" w14:textId="2B34B008" w:rsidR="0056687D" w:rsidRDefault="0056687D" w:rsidP="0056687D">
      <w:pPr>
        <w:spacing w:after="0" w:line="240" w:lineRule="auto"/>
        <w:jc w:val="both"/>
        <w:rPr>
          <w:rFonts w:ascii="Arial Narrow" w:hAnsi="Arial Narrow"/>
        </w:rPr>
      </w:pPr>
      <w:r w:rsidRPr="00A12FFB">
        <w:rPr>
          <w:rFonts w:ascii="Arial Narrow" w:hAnsi="Arial Narrow"/>
        </w:rPr>
        <w:t>V prvej polovici roka 2018 prebehne</w:t>
      </w:r>
      <w:r w:rsidR="009F3259">
        <w:rPr>
          <w:rFonts w:ascii="Arial Narrow" w:hAnsi="Arial Narrow"/>
        </w:rPr>
        <w:t xml:space="preserve"> </w:t>
      </w:r>
      <w:proofErr w:type="spellStart"/>
      <w:r w:rsidR="009F3259">
        <w:rPr>
          <w:rFonts w:ascii="Arial Narrow" w:hAnsi="Arial Narrow"/>
        </w:rPr>
        <w:t>zazmluv</w:t>
      </w:r>
      <w:r w:rsidR="00E42F87">
        <w:rPr>
          <w:rFonts w:ascii="Arial Narrow" w:hAnsi="Arial Narrow"/>
        </w:rPr>
        <w:t>ňovanie</w:t>
      </w:r>
      <w:proofErr w:type="spellEnd"/>
      <w:r w:rsidRPr="00A12FFB">
        <w:rPr>
          <w:rFonts w:ascii="Arial Narrow" w:hAnsi="Arial Narrow"/>
        </w:rPr>
        <w:t xml:space="preserve"> obcí a miest v rámci projektu </w:t>
      </w:r>
      <w:r w:rsidRPr="00A12FFB">
        <w:rPr>
          <w:rFonts w:ascii="Arial Narrow" w:hAnsi="Arial Narrow"/>
          <w:b/>
        </w:rPr>
        <w:t xml:space="preserve">podpory </w:t>
      </w:r>
      <w:proofErr w:type="spellStart"/>
      <w:r w:rsidRPr="00A12FFB">
        <w:rPr>
          <w:rFonts w:ascii="Arial Narrow" w:hAnsi="Arial Narrow"/>
          <w:b/>
        </w:rPr>
        <w:t>vysporiadavania</w:t>
      </w:r>
      <w:proofErr w:type="spellEnd"/>
      <w:r w:rsidRPr="00A12FFB">
        <w:rPr>
          <w:rFonts w:ascii="Arial Narrow" w:hAnsi="Arial Narrow"/>
          <w:b/>
        </w:rPr>
        <w:t xml:space="preserve"> pozemkov v MRK</w:t>
      </w:r>
      <w:r w:rsidRPr="00A12FFB">
        <w:rPr>
          <w:rFonts w:ascii="Arial Narrow" w:hAnsi="Arial Narrow"/>
        </w:rPr>
        <w:t xml:space="preserve">. </w:t>
      </w:r>
    </w:p>
    <w:p w14:paraId="1DC4F6CE" w14:textId="77777777" w:rsidR="0056687D" w:rsidRDefault="0056687D" w:rsidP="0056687D">
      <w:pPr>
        <w:spacing w:after="0" w:line="240" w:lineRule="auto"/>
        <w:jc w:val="both"/>
        <w:rPr>
          <w:rFonts w:ascii="Arial Narrow" w:hAnsi="Arial Narrow"/>
        </w:rPr>
      </w:pPr>
    </w:p>
    <w:p w14:paraId="283D0837" w14:textId="77777777" w:rsidR="0056687D" w:rsidRPr="00A12FFB" w:rsidRDefault="0056687D" w:rsidP="0056687D">
      <w:pPr>
        <w:spacing w:after="0" w:line="240" w:lineRule="auto"/>
        <w:jc w:val="both"/>
        <w:rPr>
          <w:rFonts w:ascii="Arial Narrow" w:hAnsi="Arial Narrow"/>
        </w:rPr>
      </w:pPr>
      <w:r>
        <w:rPr>
          <w:rFonts w:ascii="Arial Narrow" w:hAnsi="Arial Narrow"/>
        </w:rPr>
        <w:t xml:space="preserve">Spustia sa projekty na </w:t>
      </w:r>
      <w:r>
        <w:rPr>
          <w:rFonts w:ascii="Arial Narrow" w:hAnsi="Arial Narrow"/>
          <w:b/>
        </w:rPr>
        <w:t>zlepšenie</w:t>
      </w:r>
      <w:r w:rsidRPr="005F2413">
        <w:rPr>
          <w:rFonts w:ascii="Arial Narrow" w:hAnsi="Arial Narrow"/>
          <w:b/>
        </w:rPr>
        <w:t xml:space="preserve"> podmienok bývania</w:t>
      </w:r>
      <w:r>
        <w:rPr>
          <w:rFonts w:ascii="Arial Narrow" w:hAnsi="Arial Narrow"/>
        </w:rPr>
        <w:t xml:space="preserve"> a </w:t>
      </w:r>
      <w:r>
        <w:rPr>
          <w:rFonts w:ascii="Arial Narrow" w:hAnsi="Arial Narrow"/>
          <w:b/>
        </w:rPr>
        <w:t>zvýšenie</w:t>
      </w:r>
      <w:r w:rsidRPr="005F2413">
        <w:rPr>
          <w:rFonts w:ascii="Arial Narrow" w:hAnsi="Arial Narrow"/>
          <w:b/>
        </w:rPr>
        <w:t xml:space="preserve"> zamestnanosti,</w:t>
      </w:r>
      <w:r>
        <w:rPr>
          <w:rFonts w:ascii="Arial Narrow" w:hAnsi="Arial Narrow"/>
          <w:b/>
        </w:rPr>
        <w:t xml:space="preserve"> vzdelanostnej úrovne a </w:t>
      </w:r>
      <w:r w:rsidRPr="005F2413">
        <w:rPr>
          <w:rFonts w:ascii="Arial Narrow" w:hAnsi="Arial Narrow"/>
          <w:b/>
        </w:rPr>
        <w:t>finančnej gramotnosti</w:t>
      </w:r>
      <w:r>
        <w:rPr>
          <w:rFonts w:ascii="Arial Narrow" w:hAnsi="Arial Narrow"/>
          <w:b/>
        </w:rPr>
        <w:t xml:space="preserve"> </w:t>
      </w:r>
      <w:r w:rsidRPr="005F2413">
        <w:rPr>
          <w:rFonts w:ascii="Arial Narrow" w:hAnsi="Arial Narrow"/>
        </w:rPr>
        <w:t>ľudí z</w:t>
      </w:r>
      <w:r>
        <w:rPr>
          <w:rFonts w:ascii="Arial Narrow" w:hAnsi="Arial Narrow"/>
        </w:rPr>
        <w:t> </w:t>
      </w:r>
      <w:r w:rsidRPr="005F2413">
        <w:rPr>
          <w:rFonts w:ascii="Arial Narrow" w:hAnsi="Arial Narrow"/>
        </w:rPr>
        <w:t>MRK</w:t>
      </w:r>
      <w:r>
        <w:rPr>
          <w:rFonts w:ascii="Arial Narrow" w:hAnsi="Arial Narrow"/>
        </w:rPr>
        <w:t xml:space="preserve">. V </w:t>
      </w:r>
      <w:r w:rsidRPr="00A12FFB">
        <w:rPr>
          <w:rFonts w:ascii="Arial Narrow" w:hAnsi="Arial Narrow"/>
        </w:rPr>
        <w:t>priebehu roka</w:t>
      </w:r>
      <w:r>
        <w:rPr>
          <w:rFonts w:ascii="Arial Narrow" w:hAnsi="Arial Narrow"/>
        </w:rPr>
        <w:t xml:space="preserve"> 2018 budú vyhlásené projektové </w:t>
      </w:r>
      <w:r w:rsidRPr="00A12FFB">
        <w:rPr>
          <w:rFonts w:ascii="Arial Narrow" w:hAnsi="Arial Narrow"/>
        </w:rPr>
        <w:t>výzvy</w:t>
      </w:r>
      <w:r>
        <w:rPr>
          <w:rFonts w:ascii="Arial Narrow" w:hAnsi="Arial Narrow"/>
        </w:rPr>
        <w:t xml:space="preserve"> s celkovou finančnou alokáciou 33,5 mil. eur </w:t>
      </w:r>
      <w:r w:rsidRPr="00A12FFB">
        <w:rPr>
          <w:rFonts w:ascii="Arial Narrow" w:hAnsi="Arial Narrow"/>
        </w:rPr>
        <w:t>zamerané na:</w:t>
      </w:r>
    </w:p>
    <w:p w14:paraId="4870F57B" w14:textId="77777777" w:rsidR="0056687D" w:rsidRPr="00A12FFB" w:rsidRDefault="0056687D" w:rsidP="0056687D">
      <w:pPr>
        <w:pStyle w:val="Odsekzoznamu"/>
        <w:numPr>
          <w:ilvl w:val="0"/>
          <w:numId w:val="18"/>
        </w:numPr>
        <w:spacing w:line="240" w:lineRule="auto"/>
        <w:jc w:val="both"/>
        <w:rPr>
          <w:rFonts w:ascii="Arial Narrow" w:hAnsi="Arial Narrow"/>
        </w:rPr>
      </w:pPr>
      <w:r w:rsidRPr="00A12FFB">
        <w:rPr>
          <w:rFonts w:ascii="Arial Narrow" w:hAnsi="Arial Narrow"/>
        </w:rPr>
        <w:t>podporu programov prestupného bývania;</w:t>
      </w:r>
    </w:p>
    <w:p w14:paraId="30863ECF" w14:textId="77777777" w:rsidR="0056687D" w:rsidRDefault="0056687D" w:rsidP="0056687D">
      <w:pPr>
        <w:pStyle w:val="Odsekzoznamu"/>
        <w:numPr>
          <w:ilvl w:val="0"/>
          <w:numId w:val="18"/>
        </w:numPr>
        <w:spacing w:line="240" w:lineRule="auto"/>
        <w:jc w:val="both"/>
        <w:rPr>
          <w:rFonts w:ascii="Arial Narrow" w:hAnsi="Arial Narrow"/>
        </w:rPr>
      </w:pPr>
      <w:r w:rsidRPr="00A12FFB">
        <w:rPr>
          <w:rFonts w:ascii="Arial Narrow" w:hAnsi="Arial Narrow"/>
        </w:rPr>
        <w:t>dobudovanie základnej technickej infraštruktúry (pozemné komunikácie);</w:t>
      </w:r>
    </w:p>
    <w:p w14:paraId="29245DD9" w14:textId="77777777" w:rsidR="0056687D" w:rsidRPr="005F2413" w:rsidRDefault="0056687D" w:rsidP="0056687D">
      <w:pPr>
        <w:pStyle w:val="Odsekzoznamu"/>
        <w:numPr>
          <w:ilvl w:val="0"/>
          <w:numId w:val="18"/>
        </w:numPr>
        <w:spacing w:line="240" w:lineRule="auto"/>
        <w:jc w:val="both"/>
        <w:rPr>
          <w:rFonts w:ascii="Arial Narrow" w:hAnsi="Arial Narrow"/>
        </w:rPr>
      </w:pPr>
      <w:r w:rsidRPr="00A12FFB">
        <w:rPr>
          <w:rFonts w:ascii="Arial Narrow" w:hAnsi="Arial Narrow"/>
        </w:rPr>
        <w:t>zvýšenie miery zamestnanosti MRK v subjektoch sociálnej ekonomiky;</w:t>
      </w:r>
    </w:p>
    <w:p w14:paraId="73310EB8" w14:textId="77777777" w:rsidR="0056687D" w:rsidRPr="00A12FFB" w:rsidRDefault="0056687D" w:rsidP="0056687D">
      <w:pPr>
        <w:pStyle w:val="Odsekzoznamu"/>
        <w:numPr>
          <w:ilvl w:val="0"/>
          <w:numId w:val="18"/>
        </w:numPr>
        <w:spacing w:line="240" w:lineRule="auto"/>
        <w:jc w:val="both"/>
        <w:rPr>
          <w:rFonts w:ascii="Arial Narrow" w:hAnsi="Arial Narrow"/>
        </w:rPr>
      </w:pPr>
      <w:r w:rsidRPr="00A12FFB">
        <w:rPr>
          <w:rFonts w:ascii="Arial Narrow" w:hAnsi="Arial Narrow"/>
        </w:rPr>
        <w:t xml:space="preserve">poskytovanie štipendií žiakom stredných škôl; </w:t>
      </w:r>
    </w:p>
    <w:p w14:paraId="1572F168" w14:textId="2A023762" w:rsidR="0056687D" w:rsidRPr="00E93DFA" w:rsidRDefault="0056687D" w:rsidP="00E550DB">
      <w:pPr>
        <w:pStyle w:val="Odsekzoznamu"/>
        <w:numPr>
          <w:ilvl w:val="0"/>
          <w:numId w:val="18"/>
        </w:numPr>
        <w:spacing w:after="0" w:line="240" w:lineRule="auto"/>
        <w:jc w:val="both"/>
        <w:rPr>
          <w:rFonts w:ascii="Arial Narrow" w:hAnsi="Arial Narrow"/>
        </w:rPr>
      </w:pPr>
      <w:r w:rsidRPr="00A12FFB">
        <w:rPr>
          <w:rFonts w:ascii="Arial Narrow" w:hAnsi="Arial Narrow"/>
        </w:rPr>
        <w:t>asistentov bývania.</w:t>
      </w:r>
      <w:r w:rsidR="00E550DB" w:rsidRPr="00E93DFA">
        <w:rPr>
          <w:rFonts w:ascii="Arial Narrow" w:hAnsi="Arial Narrow"/>
        </w:rPr>
        <w:br w:type="page"/>
      </w:r>
    </w:p>
    <w:p w14:paraId="75A3EE4E" w14:textId="77777777" w:rsidR="00E550DB" w:rsidRDefault="00E550DB" w:rsidP="00E550DB">
      <w:pPr>
        <w:pStyle w:val="Nadpis2"/>
        <w:numPr>
          <w:ilvl w:val="1"/>
          <w:numId w:val="1"/>
        </w:numPr>
        <w:spacing w:after="240" w:line="240" w:lineRule="auto"/>
        <w:jc w:val="both"/>
        <w:rPr>
          <w:rFonts w:ascii="Arial Narrow" w:hAnsi="Arial Narrow"/>
          <w:color w:val="2C9ADC"/>
          <w:sz w:val="32"/>
          <w:szCs w:val="28"/>
        </w:rPr>
      </w:pPr>
      <w:bookmarkStart w:id="68" w:name="_Toc508039585"/>
      <w:r w:rsidRPr="00256D89">
        <w:rPr>
          <w:rFonts w:ascii="Arial Narrow" w:hAnsi="Arial Narrow"/>
          <w:color w:val="2C9ADC"/>
          <w:sz w:val="32"/>
          <w:szCs w:val="28"/>
        </w:rPr>
        <w:lastRenderedPageBreak/>
        <w:t>Zdravie</w:t>
      </w:r>
      <w:bookmarkEnd w:id="68"/>
    </w:p>
    <w:p w14:paraId="2CFA2A23" w14:textId="1CCC7F2A" w:rsidR="00E550DB" w:rsidRDefault="00E550DB" w:rsidP="00E550DB">
      <w:pPr>
        <w:tabs>
          <w:tab w:val="left" w:pos="426"/>
        </w:tabs>
        <w:spacing w:after="0" w:line="240" w:lineRule="auto"/>
        <w:jc w:val="both"/>
        <w:rPr>
          <w:rFonts w:ascii="Arial Narrow" w:hAnsi="Arial Narrow"/>
          <w:i/>
        </w:rPr>
      </w:pPr>
      <w:r w:rsidRPr="00D34724">
        <w:rPr>
          <w:rFonts w:ascii="Arial Narrow" w:hAnsi="Arial Narrow"/>
          <w:i/>
        </w:rPr>
        <w:t>Revízia výdavkov v zdravotníctve z roku 2016 identifikovala viacero dôležitých systémových problémov a aj ich riešenia. Postupná implementácia záverov revízie priebežne z</w:t>
      </w:r>
      <w:r>
        <w:rPr>
          <w:rFonts w:ascii="Arial Narrow" w:hAnsi="Arial Narrow"/>
          <w:i/>
        </w:rPr>
        <w:t>lepšuje</w:t>
      </w:r>
      <w:r w:rsidRPr="00D34724">
        <w:rPr>
          <w:rFonts w:ascii="Arial Narrow" w:hAnsi="Arial Narrow"/>
          <w:i/>
        </w:rPr>
        <w:t xml:space="preserve"> nákladovú efektívnosť </w:t>
      </w:r>
      <w:r w:rsidR="000747B1">
        <w:rPr>
          <w:rFonts w:ascii="Arial Narrow" w:hAnsi="Arial Narrow"/>
          <w:i/>
        </w:rPr>
        <w:t xml:space="preserve">vybraných častí </w:t>
      </w:r>
      <w:r w:rsidRPr="00D34724">
        <w:rPr>
          <w:rFonts w:ascii="Arial Narrow" w:hAnsi="Arial Narrow"/>
          <w:i/>
        </w:rPr>
        <w:t>systému</w:t>
      </w:r>
      <w:r w:rsidR="007108B3">
        <w:rPr>
          <w:rStyle w:val="Odkaznapoznmkupodiarou"/>
          <w:rFonts w:ascii="Arial Narrow" w:hAnsi="Arial Narrow"/>
          <w:i/>
        </w:rPr>
        <w:footnoteReference w:id="42"/>
      </w:r>
      <w:r w:rsidRPr="00D34724">
        <w:rPr>
          <w:rFonts w:ascii="Arial Narrow" w:hAnsi="Arial Narrow"/>
          <w:i/>
        </w:rPr>
        <w:t xml:space="preserve">. Od roku 2018 začala plná prevádzka niektorých funkcií systému </w:t>
      </w:r>
      <w:proofErr w:type="spellStart"/>
      <w:r w:rsidRPr="00D34724">
        <w:rPr>
          <w:rFonts w:ascii="Arial Narrow" w:hAnsi="Arial Narrow"/>
          <w:i/>
        </w:rPr>
        <w:t>eHealth</w:t>
      </w:r>
      <w:proofErr w:type="spellEnd"/>
      <w:r w:rsidRPr="00D34724">
        <w:rPr>
          <w:rFonts w:ascii="Arial Narrow" w:hAnsi="Arial Narrow"/>
          <w:i/>
        </w:rPr>
        <w:t xml:space="preserve">. </w:t>
      </w:r>
      <w:r>
        <w:rPr>
          <w:rFonts w:ascii="Arial Narrow" w:hAnsi="Arial Narrow"/>
          <w:i/>
        </w:rPr>
        <w:t>V priebehu tohto roka by aj</w:t>
      </w:r>
      <w:r w:rsidRPr="00D34724">
        <w:rPr>
          <w:rFonts w:ascii="Arial Narrow" w:hAnsi="Arial Narrow"/>
          <w:i/>
        </w:rPr>
        <w:t xml:space="preserve"> poskytovatelia záchrannej zdravotnej služby mali byť postupne integrovaní do tohto systému. </w:t>
      </w:r>
      <w:r>
        <w:rPr>
          <w:rFonts w:ascii="Arial Narrow" w:hAnsi="Arial Narrow"/>
          <w:i/>
        </w:rPr>
        <w:t>Postupne sa zavádza systém úhrad za diagnostickú skupinu (DRG). Na začiatku roka</w:t>
      </w:r>
      <w:r w:rsidRPr="00D34724">
        <w:rPr>
          <w:rFonts w:ascii="Arial Narrow" w:hAnsi="Arial Narrow"/>
          <w:i/>
        </w:rPr>
        <w:t xml:space="preserve"> 2018 </w:t>
      </w:r>
      <w:r>
        <w:rPr>
          <w:rFonts w:ascii="Arial Narrow" w:hAnsi="Arial Narrow"/>
          <w:i/>
        </w:rPr>
        <w:t>sa spustil</w:t>
      </w:r>
      <w:r w:rsidRPr="00D34724">
        <w:rPr>
          <w:rFonts w:ascii="Arial Narrow" w:hAnsi="Arial Narrow"/>
          <w:i/>
        </w:rPr>
        <w:t xml:space="preserve"> päťročný proces konvergencie individuálnych sadzieb </w:t>
      </w:r>
      <w:r>
        <w:rPr>
          <w:rFonts w:ascii="Arial Narrow" w:hAnsi="Arial Narrow"/>
          <w:i/>
        </w:rPr>
        <w:t xml:space="preserve">jednotlivých nemocníc </w:t>
      </w:r>
      <w:r w:rsidRPr="00D34724">
        <w:rPr>
          <w:rFonts w:ascii="Arial Narrow" w:hAnsi="Arial Narrow"/>
          <w:i/>
        </w:rPr>
        <w:t xml:space="preserve">do jednej celoslovenskej sadzby. </w:t>
      </w:r>
      <w:r>
        <w:rPr>
          <w:rFonts w:ascii="Arial Narrow" w:hAnsi="Arial Narrow"/>
          <w:i/>
        </w:rPr>
        <w:t xml:space="preserve">V oblasti liekovej politiky </w:t>
      </w:r>
      <w:r w:rsidR="00ED74DA">
        <w:rPr>
          <w:rFonts w:ascii="Arial Narrow" w:hAnsi="Arial Narrow"/>
          <w:i/>
        </w:rPr>
        <w:t>sa realizujú opatrenia vedúce k zníženiu cien, ako aj ich nadspotreby.</w:t>
      </w:r>
      <w:r>
        <w:rPr>
          <w:rFonts w:ascii="Arial Narrow" w:hAnsi="Arial Narrow"/>
          <w:i/>
        </w:rPr>
        <w:t xml:space="preserve"> </w:t>
      </w:r>
      <w:r w:rsidR="00427AF2">
        <w:rPr>
          <w:rFonts w:ascii="Arial Narrow" w:hAnsi="Arial Narrow"/>
          <w:i/>
        </w:rPr>
        <w:t xml:space="preserve">                 V </w:t>
      </w:r>
      <w:r w:rsidR="00BF141D" w:rsidRPr="00BF141D">
        <w:rPr>
          <w:rFonts w:ascii="Arial Narrow" w:hAnsi="Arial Narrow"/>
          <w:i/>
        </w:rPr>
        <w:t xml:space="preserve">roku 2018 </w:t>
      </w:r>
      <w:r w:rsidR="00B5129A">
        <w:rPr>
          <w:rFonts w:ascii="Arial Narrow" w:hAnsi="Arial Narrow"/>
          <w:i/>
        </w:rPr>
        <w:t>sa bude venovať</w:t>
      </w:r>
      <w:r w:rsidR="00BF141D" w:rsidRPr="00BF141D">
        <w:rPr>
          <w:rFonts w:ascii="Arial Narrow" w:hAnsi="Arial Narrow"/>
          <w:i/>
        </w:rPr>
        <w:t xml:space="preserve"> pozornosť pretrvávajúcemu problému reexportu liekov</w:t>
      </w:r>
      <w:r w:rsidR="00CE647D">
        <w:rPr>
          <w:rFonts w:ascii="Arial Narrow" w:hAnsi="Arial Narrow"/>
          <w:i/>
        </w:rPr>
        <w:t xml:space="preserve">. </w:t>
      </w:r>
      <w:r>
        <w:rPr>
          <w:rFonts w:ascii="Arial Narrow" w:hAnsi="Arial Narrow"/>
          <w:i/>
        </w:rPr>
        <w:t xml:space="preserve">Dôjde k budovaniu pevnej siete urgentných príjmov nad rámec existujúcej siete pohotovostnej ambulantnej služby. </w:t>
      </w:r>
      <w:r w:rsidR="00427AF2">
        <w:rPr>
          <w:rFonts w:ascii="Arial Narrow" w:hAnsi="Arial Narrow"/>
          <w:i/>
        </w:rPr>
        <w:t xml:space="preserve">                               V </w:t>
      </w:r>
      <w:r w:rsidRPr="00D34724">
        <w:rPr>
          <w:rFonts w:ascii="Arial Narrow" w:hAnsi="Arial Narrow"/>
          <w:i/>
        </w:rPr>
        <w:t>diagnostike bude postupne dochádzať k zavádzaniu štandardných diagnostických a terapeutických postupov.</w:t>
      </w:r>
    </w:p>
    <w:p w14:paraId="142F47AD" w14:textId="77777777" w:rsidR="00E550DB" w:rsidRPr="00D347DF" w:rsidRDefault="00E550DB" w:rsidP="00E550DB">
      <w:pPr>
        <w:tabs>
          <w:tab w:val="left" w:pos="426"/>
        </w:tabs>
        <w:spacing w:after="0" w:line="240" w:lineRule="auto"/>
        <w:jc w:val="both"/>
        <w:rPr>
          <w:rFonts w:ascii="Arial Narrow" w:hAnsi="Arial Narrow"/>
        </w:rPr>
      </w:pPr>
    </w:p>
    <w:tbl>
      <w:tblPr>
        <w:tblW w:w="8563" w:type="dxa"/>
        <w:jc w:val="center"/>
        <w:tblCellMar>
          <w:left w:w="70" w:type="dxa"/>
          <w:right w:w="70" w:type="dxa"/>
        </w:tblCellMar>
        <w:tblLook w:val="04A0" w:firstRow="1" w:lastRow="0" w:firstColumn="1" w:lastColumn="0" w:noHBand="0" w:noVBand="1"/>
      </w:tblPr>
      <w:tblGrid>
        <w:gridCol w:w="2623"/>
        <w:gridCol w:w="514"/>
        <w:gridCol w:w="593"/>
        <w:gridCol w:w="583"/>
        <w:gridCol w:w="584"/>
        <w:gridCol w:w="585"/>
        <w:gridCol w:w="585"/>
        <w:gridCol w:w="585"/>
        <w:gridCol w:w="585"/>
        <w:gridCol w:w="657"/>
        <w:gridCol w:w="669"/>
      </w:tblGrid>
      <w:tr w:rsidR="00E550DB" w:rsidRPr="00D47D16" w14:paraId="6D7F3FEB" w14:textId="77777777" w:rsidTr="000A6E3E">
        <w:trPr>
          <w:trHeight w:val="219"/>
          <w:jc w:val="center"/>
        </w:trPr>
        <w:tc>
          <w:tcPr>
            <w:tcW w:w="8563" w:type="dxa"/>
            <w:gridSpan w:val="11"/>
            <w:tcBorders>
              <w:top w:val="nil"/>
              <w:left w:val="nil"/>
              <w:bottom w:val="nil"/>
              <w:right w:val="nil"/>
            </w:tcBorders>
            <w:vAlign w:val="center"/>
          </w:tcPr>
          <w:p w14:paraId="74DD6BD8" w14:textId="77777777" w:rsidR="00E550DB" w:rsidRPr="00D47D16" w:rsidRDefault="00E550DB" w:rsidP="000A6E3E">
            <w:pPr>
              <w:spacing w:after="0" w:line="240" w:lineRule="auto"/>
              <w:rPr>
                <w:rFonts w:ascii="Arial Narrow" w:hAnsi="Arial Narrow"/>
                <w:b/>
                <w:bCs/>
                <w:color w:val="2C9ADC"/>
                <w:sz w:val="20"/>
                <w:szCs w:val="20"/>
                <w:highlight w:val="yellow"/>
              </w:rPr>
            </w:pPr>
            <w:r w:rsidRPr="009C3056">
              <w:rPr>
                <w:rFonts w:ascii="Arial Narrow" w:hAnsi="Arial Narrow"/>
                <w:b/>
                <w:bCs/>
                <w:color w:val="2C9ADC"/>
                <w:sz w:val="20"/>
                <w:szCs w:val="20"/>
              </w:rPr>
              <w:t>Výsledkový indikátor pre zdravie</w:t>
            </w:r>
          </w:p>
        </w:tc>
      </w:tr>
      <w:tr w:rsidR="00E550DB" w:rsidRPr="00D47D16" w14:paraId="1B033AD1" w14:textId="77777777" w:rsidTr="000A6E3E">
        <w:trPr>
          <w:trHeight w:val="255"/>
          <w:jc w:val="center"/>
        </w:trPr>
        <w:tc>
          <w:tcPr>
            <w:tcW w:w="2623" w:type="dxa"/>
            <w:tcBorders>
              <w:top w:val="single" w:sz="4" w:space="0" w:color="auto"/>
              <w:left w:val="nil"/>
              <w:bottom w:val="single" w:sz="4" w:space="0" w:color="auto"/>
              <w:right w:val="nil"/>
            </w:tcBorders>
            <w:shd w:val="clear" w:color="auto" w:fill="auto"/>
            <w:vAlign w:val="center"/>
            <w:hideMark/>
          </w:tcPr>
          <w:p w14:paraId="45C3FD5A" w14:textId="77777777" w:rsidR="00E550DB" w:rsidRPr="006A552D" w:rsidRDefault="00E550DB" w:rsidP="000A6E3E">
            <w:pPr>
              <w:spacing w:after="0" w:line="240" w:lineRule="auto"/>
              <w:jc w:val="center"/>
              <w:rPr>
                <w:rFonts w:ascii="Arial Narrow" w:hAnsi="Arial Narrow"/>
                <w:b/>
                <w:bCs/>
                <w:color w:val="000000"/>
                <w:sz w:val="20"/>
                <w:szCs w:val="20"/>
              </w:rPr>
            </w:pPr>
            <w:r w:rsidRPr="006A552D">
              <w:rPr>
                <w:rFonts w:ascii="Arial Narrow" w:hAnsi="Arial Narrow"/>
                <w:b/>
                <w:bCs/>
                <w:color w:val="000000"/>
                <w:sz w:val="20"/>
                <w:szCs w:val="20"/>
              </w:rPr>
              <w:t> </w:t>
            </w:r>
          </w:p>
        </w:tc>
        <w:tc>
          <w:tcPr>
            <w:tcW w:w="511" w:type="dxa"/>
            <w:tcBorders>
              <w:top w:val="single" w:sz="4" w:space="0" w:color="auto"/>
              <w:left w:val="nil"/>
              <w:bottom w:val="single" w:sz="4" w:space="0" w:color="auto"/>
              <w:right w:val="nil"/>
            </w:tcBorders>
            <w:shd w:val="clear" w:color="auto" w:fill="auto"/>
            <w:noWrap/>
            <w:vAlign w:val="center"/>
            <w:hideMark/>
          </w:tcPr>
          <w:p w14:paraId="0ADB3D97" w14:textId="77777777" w:rsidR="00E550DB" w:rsidRPr="006A552D" w:rsidRDefault="00E550DB" w:rsidP="000A6E3E">
            <w:pPr>
              <w:spacing w:after="0" w:line="240" w:lineRule="auto"/>
              <w:jc w:val="center"/>
              <w:rPr>
                <w:rFonts w:ascii="Arial Narrow" w:hAnsi="Arial Narrow"/>
                <w:b/>
                <w:bCs/>
                <w:color w:val="000000"/>
                <w:sz w:val="20"/>
                <w:szCs w:val="20"/>
              </w:rPr>
            </w:pPr>
            <w:r w:rsidRPr="006A552D">
              <w:rPr>
                <w:rFonts w:ascii="Arial Narrow" w:hAnsi="Arial Narrow"/>
                <w:b/>
                <w:bCs/>
                <w:color w:val="000000"/>
                <w:sz w:val="20"/>
                <w:szCs w:val="20"/>
              </w:rPr>
              <w:t> </w:t>
            </w:r>
          </w:p>
        </w:tc>
        <w:tc>
          <w:tcPr>
            <w:tcW w:w="593" w:type="dxa"/>
            <w:tcBorders>
              <w:top w:val="single" w:sz="4" w:space="0" w:color="auto"/>
              <w:left w:val="nil"/>
              <w:bottom w:val="single" w:sz="4" w:space="0" w:color="auto"/>
              <w:right w:val="nil"/>
            </w:tcBorders>
            <w:shd w:val="clear" w:color="auto" w:fill="auto"/>
            <w:noWrap/>
            <w:vAlign w:val="center"/>
          </w:tcPr>
          <w:p w14:paraId="17D67FCE" w14:textId="77777777" w:rsidR="00E550DB" w:rsidRPr="006A552D" w:rsidRDefault="00E550DB" w:rsidP="000A6E3E">
            <w:pPr>
              <w:spacing w:after="0" w:line="240" w:lineRule="auto"/>
              <w:jc w:val="center"/>
              <w:rPr>
                <w:rFonts w:ascii="Arial Narrow" w:hAnsi="Arial Narrow"/>
                <w:b/>
                <w:bCs/>
                <w:color w:val="000000"/>
                <w:sz w:val="20"/>
                <w:szCs w:val="20"/>
              </w:rPr>
            </w:pPr>
            <w:r w:rsidRPr="006A552D">
              <w:rPr>
                <w:rFonts w:ascii="Arial Narrow" w:hAnsi="Arial Narrow"/>
                <w:b/>
                <w:bCs/>
                <w:color w:val="000000"/>
                <w:sz w:val="20"/>
                <w:szCs w:val="20"/>
              </w:rPr>
              <w:t>2008</w:t>
            </w:r>
          </w:p>
        </w:tc>
        <w:tc>
          <w:tcPr>
            <w:tcW w:w="584" w:type="dxa"/>
            <w:tcBorders>
              <w:top w:val="single" w:sz="4" w:space="0" w:color="auto"/>
              <w:left w:val="nil"/>
              <w:bottom w:val="single" w:sz="4" w:space="0" w:color="auto"/>
              <w:right w:val="nil"/>
            </w:tcBorders>
            <w:shd w:val="clear" w:color="auto" w:fill="auto"/>
            <w:vAlign w:val="center"/>
            <w:hideMark/>
          </w:tcPr>
          <w:p w14:paraId="1AF1D349" w14:textId="77777777" w:rsidR="00E550DB" w:rsidRPr="006A552D" w:rsidRDefault="00E550DB" w:rsidP="000A6E3E">
            <w:pPr>
              <w:spacing w:after="0" w:line="240" w:lineRule="auto"/>
              <w:jc w:val="center"/>
              <w:rPr>
                <w:rFonts w:ascii="Arial Narrow" w:hAnsi="Arial Narrow"/>
                <w:b/>
                <w:bCs/>
                <w:color w:val="000000"/>
                <w:sz w:val="20"/>
                <w:szCs w:val="20"/>
              </w:rPr>
            </w:pPr>
            <w:r w:rsidRPr="006A552D">
              <w:rPr>
                <w:rFonts w:ascii="Arial Narrow" w:hAnsi="Arial Narrow"/>
                <w:b/>
                <w:bCs/>
                <w:color w:val="000000"/>
                <w:sz w:val="20"/>
                <w:szCs w:val="20"/>
              </w:rPr>
              <w:t>2009</w:t>
            </w:r>
          </w:p>
        </w:tc>
        <w:tc>
          <w:tcPr>
            <w:tcW w:w="584" w:type="dxa"/>
            <w:tcBorders>
              <w:top w:val="single" w:sz="4" w:space="0" w:color="auto"/>
              <w:left w:val="nil"/>
              <w:bottom w:val="single" w:sz="4" w:space="0" w:color="auto"/>
              <w:right w:val="nil"/>
            </w:tcBorders>
            <w:shd w:val="clear" w:color="auto" w:fill="auto"/>
            <w:vAlign w:val="center"/>
            <w:hideMark/>
          </w:tcPr>
          <w:p w14:paraId="4A435C01" w14:textId="77777777" w:rsidR="00E550DB" w:rsidRPr="006A552D" w:rsidRDefault="00E550DB" w:rsidP="000A6E3E">
            <w:pPr>
              <w:spacing w:after="0" w:line="240" w:lineRule="auto"/>
              <w:jc w:val="center"/>
              <w:rPr>
                <w:rFonts w:ascii="Arial Narrow" w:hAnsi="Arial Narrow"/>
                <w:b/>
                <w:bCs/>
                <w:color w:val="000000"/>
                <w:sz w:val="20"/>
                <w:szCs w:val="20"/>
              </w:rPr>
            </w:pPr>
            <w:r w:rsidRPr="006A552D">
              <w:rPr>
                <w:rFonts w:ascii="Arial Narrow" w:hAnsi="Arial Narrow"/>
                <w:b/>
                <w:bCs/>
                <w:color w:val="000000"/>
                <w:sz w:val="20"/>
                <w:szCs w:val="20"/>
              </w:rPr>
              <w:t>2010</w:t>
            </w:r>
          </w:p>
        </w:tc>
        <w:tc>
          <w:tcPr>
            <w:tcW w:w="585" w:type="dxa"/>
            <w:tcBorders>
              <w:top w:val="single" w:sz="4" w:space="0" w:color="auto"/>
              <w:left w:val="nil"/>
              <w:bottom w:val="single" w:sz="4" w:space="0" w:color="auto"/>
              <w:right w:val="nil"/>
            </w:tcBorders>
            <w:shd w:val="clear" w:color="auto" w:fill="auto"/>
            <w:vAlign w:val="center"/>
            <w:hideMark/>
          </w:tcPr>
          <w:p w14:paraId="152D6CF4" w14:textId="77777777" w:rsidR="00E550DB" w:rsidRPr="006A552D" w:rsidRDefault="00E550DB" w:rsidP="000A6E3E">
            <w:pPr>
              <w:spacing w:after="0" w:line="240" w:lineRule="auto"/>
              <w:jc w:val="center"/>
              <w:rPr>
                <w:rFonts w:ascii="Arial Narrow" w:hAnsi="Arial Narrow"/>
                <w:b/>
                <w:bCs/>
                <w:color w:val="000000"/>
                <w:sz w:val="20"/>
                <w:szCs w:val="20"/>
              </w:rPr>
            </w:pPr>
            <w:r w:rsidRPr="006A552D">
              <w:rPr>
                <w:rFonts w:ascii="Arial Narrow" w:hAnsi="Arial Narrow"/>
                <w:b/>
                <w:bCs/>
                <w:color w:val="000000"/>
                <w:sz w:val="20"/>
                <w:szCs w:val="20"/>
              </w:rPr>
              <w:t>2011</w:t>
            </w:r>
          </w:p>
        </w:tc>
        <w:tc>
          <w:tcPr>
            <w:tcW w:w="585" w:type="dxa"/>
            <w:tcBorders>
              <w:top w:val="single" w:sz="4" w:space="0" w:color="auto"/>
              <w:left w:val="nil"/>
              <w:bottom w:val="single" w:sz="4" w:space="0" w:color="auto"/>
              <w:right w:val="nil"/>
            </w:tcBorders>
            <w:shd w:val="clear" w:color="auto" w:fill="auto"/>
            <w:vAlign w:val="center"/>
            <w:hideMark/>
          </w:tcPr>
          <w:p w14:paraId="0AB99746" w14:textId="77777777" w:rsidR="00E550DB" w:rsidRPr="006A552D" w:rsidRDefault="00E550DB" w:rsidP="000A6E3E">
            <w:pPr>
              <w:spacing w:after="0" w:line="240" w:lineRule="auto"/>
              <w:jc w:val="center"/>
              <w:rPr>
                <w:rFonts w:ascii="Arial Narrow" w:hAnsi="Arial Narrow"/>
                <w:b/>
                <w:bCs/>
                <w:color w:val="000000"/>
                <w:sz w:val="20"/>
                <w:szCs w:val="20"/>
              </w:rPr>
            </w:pPr>
            <w:r w:rsidRPr="006A552D">
              <w:rPr>
                <w:rFonts w:ascii="Arial Narrow" w:hAnsi="Arial Narrow"/>
                <w:b/>
                <w:bCs/>
                <w:color w:val="000000"/>
                <w:sz w:val="20"/>
                <w:szCs w:val="20"/>
              </w:rPr>
              <w:t>2012</w:t>
            </w:r>
          </w:p>
        </w:tc>
        <w:tc>
          <w:tcPr>
            <w:tcW w:w="585" w:type="dxa"/>
            <w:tcBorders>
              <w:top w:val="single" w:sz="4" w:space="0" w:color="auto"/>
              <w:left w:val="nil"/>
              <w:bottom w:val="single" w:sz="4" w:space="0" w:color="auto"/>
              <w:right w:val="nil"/>
            </w:tcBorders>
            <w:shd w:val="clear" w:color="auto" w:fill="auto"/>
            <w:vAlign w:val="center"/>
            <w:hideMark/>
          </w:tcPr>
          <w:p w14:paraId="0CED089D" w14:textId="77777777" w:rsidR="00E550DB" w:rsidRPr="006A552D" w:rsidRDefault="00E550DB" w:rsidP="000A6E3E">
            <w:pPr>
              <w:spacing w:after="0" w:line="240" w:lineRule="auto"/>
              <w:jc w:val="center"/>
              <w:rPr>
                <w:rFonts w:ascii="Arial Narrow" w:hAnsi="Arial Narrow"/>
                <w:b/>
                <w:bCs/>
                <w:color w:val="000000"/>
                <w:sz w:val="20"/>
                <w:szCs w:val="20"/>
              </w:rPr>
            </w:pPr>
            <w:r w:rsidRPr="006A552D">
              <w:rPr>
                <w:rFonts w:ascii="Arial Narrow" w:hAnsi="Arial Narrow"/>
                <w:b/>
                <w:bCs/>
                <w:color w:val="000000"/>
                <w:sz w:val="20"/>
                <w:szCs w:val="20"/>
              </w:rPr>
              <w:t>2013</w:t>
            </w:r>
          </w:p>
        </w:tc>
        <w:tc>
          <w:tcPr>
            <w:tcW w:w="585" w:type="dxa"/>
            <w:tcBorders>
              <w:top w:val="single" w:sz="4" w:space="0" w:color="auto"/>
              <w:left w:val="nil"/>
              <w:bottom w:val="single" w:sz="4" w:space="0" w:color="auto"/>
              <w:right w:val="nil"/>
            </w:tcBorders>
            <w:shd w:val="clear" w:color="auto" w:fill="auto"/>
            <w:vAlign w:val="center"/>
            <w:hideMark/>
          </w:tcPr>
          <w:p w14:paraId="7C701AA4" w14:textId="77777777" w:rsidR="00E550DB" w:rsidRPr="006A552D" w:rsidRDefault="00E550DB" w:rsidP="000A6E3E">
            <w:pPr>
              <w:spacing w:after="0" w:line="240" w:lineRule="auto"/>
              <w:jc w:val="center"/>
              <w:rPr>
                <w:rFonts w:ascii="Arial Narrow" w:hAnsi="Arial Narrow"/>
                <w:b/>
                <w:bCs/>
                <w:color w:val="000000"/>
                <w:sz w:val="20"/>
                <w:szCs w:val="20"/>
              </w:rPr>
            </w:pPr>
            <w:r w:rsidRPr="006A552D">
              <w:rPr>
                <w:rFonts w:ascii="Arial Narrow" w:hAnsi="Arial Narrow"/>
                <w:b/>
                <w:bCs/>
                <w:color w:val="000000"/>
                <w:sz w:val="20"/>
                <w:szCs w:val="20"/>
              </w:rPr>
              <w:t>2014</w:t>
            </w:r>
          </w:p>
        </w:tc>
        <w:tc>
          <w:tcPr>
            <w:tcW w:w="658" w:type="dxa"/>
            <w:tcBorders>
              <w:top w:val="single" w:sz="4" w:space="0" w:color="auto"/>
              <w:left w:val="nil"/>
              <w:bottom w:val="single" w:sz="4" w:space="0" w:color="auto"/>
              <w:right w:val="nil"/>
            </w:tcBorders>
            <w:vAlign w:val="center"/>
          </w:tcPr>
          <w:p w14:paraId="73BAFAD7" w14:textId="77777777" w:rsidR="00E550DB" w:rsidRPr="006A552D" w:rsidRDefault="00E550DB" w:rsidP="000A6E3E">
            <w:pPr>
              <w:spacing w:after="0" w:line="240" w:lineRule="auto"/>
              <w:jc w:val="center"/>
              <w:rPr>
                <w:rFonts w:ascii="Arial Narrow" w:hAnsi="Arial Narrow"/>
                <w:b/>
                <w:bCs/>
                <w:color w:val="000000"/>
                <w:sz w:val="20"/>
                <w:szCs w:val="20"/>
              </w:rPr>
            </w:pPr>
            <w:r w:rsidRPr="006A552D">
              <w:rPr>
                <w:rFonts w:ascii="Arial Narrow" w:hAnsi="Arial Narrow"/>
                <w:b/>
                <w:bCs/>
                <w:color w:val="000000"/>
                <w:sz w:val="20"/>
                <w:szCs w:val="20"/>
              </w:rPr>
              <w:t>2015</w:t>
            </w:r>
          </w:p>
        </w:tc>
        <w:tc>
          <w:tcPr>
            <w:tcW w:w="665" w:type="dxa"/>
            <w:tcBorders>
              <w:top w:val="single" w:sz="4" w:space="0" w:color="auto"/>
              <w:left w:val="nil"/>
              <w:bottom w:val="single" w:sz="4" w:space="0" w:color="auto"/>
              <w:right w:val="nil"/>
            </w:tcBorders>
            <w:shd w:val="clear" w:color="auto" w:fill="auto"/>
            <w:vAlign w:val="center"/>
            <w:hideMark/>
          </w:tcPr>
          <w:p w14:paraId="6735EE48" w14:textId="77777777" w:rsidR="00E550DB" w:rsidRPr="006A552D" w:rsidRDefault="00E550DB" w:rsidP="000A6E3E">
            <w:pPr>
              <w:spacing w:after="0" w:line="240" w:lineRule="auto"/>
              <w:jc w:val="center"/>
              <w:rPr>
                <w:rFonts w:ascii="Arial Narrow" w:hAnsi="Arial Narrow"/>
                <w:b/>
                <w:bCs/>
                <w:color w:val="000000"/>
                <w:sz w:val="20"/>
                <w:szCs w:val="20"/>
              </w:rPr>
            </w:pPr>
            <w:r w:rsidRPr="006A552D">
              <w:rPr>
                <w:rFonts w:ascii="Arial Narrow" w:hAnsi="Arial Narrow"/>
                <w:b/>
                <w:bCs/>
                <w:color w:val="000000"/>
                <w:sz w:val="20"/>
                <w:szCs w:val="20"/>
              </w:rPr>
              <w:t>Cieľ 2020</w:t>
            </w:r>
          </w:p>
        </w:tc>
      </w:tr>
      <w:tr w:rsidR="00E550DB" w:rsidRPr="00D47D16" w14:paraId="4AED11BC" w14:textId="77777777" w:rsidTr="000A6E3E">
        <w:trPr>
          <w:trHeight w:val="219"/>
          <w:jc w:val="center"/>
        </w:trPr>
        <w:tc>
          <w:tcPr>
            <w:tcW w:w="2623" w:type="dxa"/>
            <w:vMerge w:val="restart"/>
            <w:tcBorders>
              <w:top w:val="single" w:sz="4" w:space="0" w:color="auto"/>
              <w:left w:val="nil"/>
              <w:bottom w:val="single" w:sz="4" w:space="0" w:color="auto"/>
            </w:tcBorders>
            <w:shd w:val="clear" w:color="auto" w:fill="auto"/>
            <w:noWrap/>
            <w:vAlign w:val="center"/>
            <w:hideMark/>
          </w:tcPr>
          <w:p w14:paraId="65F424A9" w14:textId="77777777" w:rsidR="00E550DB" w:rsidRPr="006A552D" w:rsidRDefault="00E550DB" w:rsidP="000A6E3E">
            <w:pPr>
              <w:spacing w:after="0" w:line="240" w:lineRule="auto"/>
              <w:rPr>
                <w:rFonts w:ascii="Arial Narrow" w:hAnsi="Arial Narrow"/>
                <w:b/>
                <w:bCs/>
                <w:color w:val="000000"/>
                <w:sz w:val="20"/>
                <w:szCs w:val="20"/>
              </w:rPr>
            </w:pPr>
            <w:r w:rsidRPr="006A552D">
              <w:rPr>
                <w:rFonts w:ascii="Arial Narrow" w:hAnsi="Arial Narrow"/>
                <w:b/>
                <w:bCs/>
                <w:color w:val="000000"/>
                <w:sz w:val="20"/>
                <w:szCs w:val="20"/>
              </w:rPr>
              <w:t>Zdravé roky života</w:t>
            </w:r>
          </w:p>
          <w:p w14:paraId="622F6533" w14:textId="77777777" w:rsidR="00E550DB" w:rsidRPr="006A552D" w:rsidRDefault="00E550DB" w:rsidP="000A6E3E">
            <w:pPr>
              <w:spacing w:after="0" w:line="240" w:lineRule="auto"/>
              <w:rPr>
                <w:rFonts w:ascii="Arial Narrow" w:hAnsi="Arial Narrow"/>
                <w:b/>
                <w:bCs/>
                <w:color w:val="000000"/>
                <w:sz w:val="20"/>
                <w:szCs w:val="20"/>
              </w:rPr>
            </w:pPr>
            <w:r w:rsidRPr="006A552D">
              <w:rPr>
                <w:rFonts w:ascii="Arial Narrow" w:hAnsi="Arial Narrow"/>
                <w:color w:val="000000"/>
                <w:sz w:val="20"/>
                <w:szCs w:val="20"/>
              </w:rPr>
              <w:t>(očakávaný počet rokov prežitých v zdraví pri narodení)</w:t>
            </w:r>
          </w:p>
        </w:tc>
        <w:tc>
          <w:tcPr>
            <w:tcW w:w="511" w:type="dxa"/>
            <w:tcBorders>
              <w:top w:val="nil"/>
              <w:left w:val="nil"/>
              <w:right w:val="nil"/>
            </w:tcBorders>
            <w:shd w:val="clear" w:color="auto" w:fill="auto"/>
            <w:noWrap/>
            <w:vAlign w:val="center"/>
            <w:hideMark/>
          </w:tcPr>
          <w:p w14:paraId="4F4A2E64" w14:textId="77777777" w:rsidR="00E550DB" w:rsidRPr="006A552D" w:rsidRDefault="00E550DB" w:rsidP="000A6E3E">
            <w:pPr>
              <w:spacing w:after="0" w:line="240" w:lineRule="auto"/>
              <w:jc w:val="center"/>
              <w:rPr>
                <w:rFonts w:ascii="Arial Narrow" w:hAnsi="Arial Narrow"/>
                <w:b/>
                <w:bCs/>
                <w:color w:val="000000"/>
                <w:sz w:val="20"/>
                <w:szCs w:val="20"/>
              </w:rPr>
            </w:pPr>
            <w:r w:rsidRPr="006A552D">
              <w:rPr>
                <w:rFonts w:ascii="Arial Narrow" w:hAnsi="Arial Narrow"/>
                <w:b/>
                <w:bCs/>
                <w:color w:val="000000"/>
                <w:sz w:val="20"/>
                <w:szCs w:val="20"/>
              </w:rPr>
              <w:t>SK</w:t>
            </w:r>
          </w:p>
          <w:p w14:paraId="6BE29C80" w14:textId="77777777" w:rsidR="00E550DB" w:rsidRPr="006A552D" w:rsidRDefault="00E550DB" w:rsidP="000A6E3E">
            <w:pPr>
              <w:spacing w:after="0" w:line="240" w:lineRule="auto"/>
              <w:jc w:val="center"/>
              <w:rPr>
                <w:rFonts w:ascii="Arial Narrow" w:hAnsi="Arial Narrow"/>
                <w:b/>
                <w:bCs/>
                <w:color w:val="000000"/>
                <w:sz w:val="20"/>
                <w:szCs w:val="20"/>
              </w:rPr>
            </w:pPr>
            <w:r w:rsidRPr="006A552D">
              <w:rPr>
                <w:rFonts w:ascii="Arial Narrow" w:hAnsi="Arial Narrow"/>
                <w:b/>
                <w:bCs/>
                <w:color w:val="000000"/>
                <w:sz w:val="20"/>
                <w:szCs w:val="20"/>
              </w:rPr>
              <w:t>muži</w:t>
            </w:r>
          </w:p>
        </w:tc>
        <w:tc>
          <w:tcPr>
            <w:tcW w:w="593" w:type="dxa"/>
            <w:tcBorders>
              <w:top w:val="nil"/>
              <w:left w:val="nil"/>
              <w:right w:val="nil"/>
            </w:tcBorders>
            <w:shd w:val="clear" w:color="auto" w:fill="auto"/>
            <w:vAlign w:val="center"/>
          </w:tcPr>
          <w:p w14:paraId="6F9AC319"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52,1</w:t>
            </w:r>
          </w:p>
        </w:tc>
        <w:tc>
          <w:tcPr>
            <w:tcW w:w="584" w:type="dxa"/>
            <w:tcBorders>
              <w:top w:val="nil"/>
              <w:left w:val="nil"/>
              <w:right w:val="nil"/>
            </w:tcBorders>
            <w:shd w:val="clear" w:color="auto" w:fill="auto"/>
            <w:vAlign w:val="center"/>
            <w:hideMark/>
          </w:tcPr>
          <w:p w14:paraId="1F3B85CD"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52,4</w:t>
            </w:r>
          </w:p>
        </w:tc>
        <w:tc>
          <w:tcPr>
            <w:tcW w:w="584" w:type="dxa"/>
            <w:tcBorders>
              <w:top w:val="nil"/>
              <w:left w:val="nil"/>
              <w:right w:val="nil"/>
            </w:tcBorders>
            <w:shd w:val="clear" w:color="auto" w:fill="auto"/>
            <w:vAlign w:val="center"/>
            <w:hideMark/>
          </w:tcPr>
          <w:p w14:paraId="4988DCB8"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52,4</w:t>
            </w:r>
          </w:p>
        </w:tc>
        <w:tc>
          <w:tcPr>
            <w:tcW w:w="585" w:type="dxa"/>
            <w:tcBorders>
              <w:top w:val="nil"/>
              <w:left w:val="nil"/>
              <w:right w:val="nil"/>
            </w:tcBorders>
            <w:shd w:val="clear" w:color="auto" w:fill="auto"/>
            <w:vAlign w:val="center"/>
            <w:hideMark/>
          </w:tcPr>
          <w:p w14:paraId="2288511E"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52,1</w:t>
            </w:r>
          </w:p>
        </w:tc>
        <w:tc>
          <w:tcPr>
            <w:tcW w:w="585" w:type="dxa"/>
            <w:tcBorders>
              <w:top w:val="nil"/>
              <w:left w:val="nil"/>
              <w:right w:val="nil"/>
            </w:tcBorders>
            <w:shd w:val="clear" w:color="auto" w:fill="auto"/>
            <w:vAlign w:val="center"/>
            <w:hideMark/>
          </w:tcPr>
          <w:p w14:paraId="629CB04E"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53,4</w:t>
            </w:r>
          </w:p>
        </w:tc>
        <w:tc>
          <w:tcPr>
            <w:tcW w:w="585" w:type="dxa"/>
            <w:tcBorders>
              <w:top w:val="nil"/>
              <w:left w:val="nil"/>
              <w:right w:val="nil"/>
            </w:tcBorders>
            <w:shd w:val="clear" w:color="auto" w:fill="auto"/>
            <w:vAlign w:val="center"/>
            <w:hideMark/>
          </w:tcPr>
          <w:p w14:paraId="30249A52"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54,5</w:t>
            </w:r>
          </w:p>
        </w:tc>
        <w:tc>
          <w:tcPr>
            <w:tcW w:w="585" w:type="dxa"/>
            <w:tcBorders>
              <w:top w:val="nil"/>
              <w:left w:val="nil"/>
              <w:right w:val="nil"/>
            </w:tcBorders>
            <w:shd w:val="clear" w:color="auto" w:fill="auto"/>
            <w:vAlign w:val="center"/>
            <w:hideMark/>
          </w:tcPr>
          <w:p w14:paraId="07410A8B"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55,5</w:t>
            </w:r>
          </w:p>
        </w:tc>
        <w:tc>
          <w:tcPr>
            <w:tcW w:w="658" w:type="dxa"/>
            <w:tcBorders>
              <w:top w:val="nil"/>
              <w:left w:val="nil"/>
              <w:right w:val="nil"/>
            </w:tcBorders>
            <w:vAlign w:val="center"/>
          </w:tcPr>
          <w:p w14:paraId="653E264C"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54,8</w:t>
            </w:r>
          </w:p>
        </w:tc>
        <w:tc>
          <w:tcPr>
            <w:tcW w:w="665" w:type="dxa"/>
            <w:tcBorders>
              <w:top w:val="nil"/>
              <w:left w:val="nil"/>
              <w:right w:val="nil"/>
            </w:tcBorders>
            <w:shd w:val="clear" w:color="auto" w:fill="auto"/>
            <w:vAlign w:val="center"/>
            <w:hideMark/>
          </w:tcPr>
          <w:p w14:paraId="1C502D78"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59,0</w:t>
            </w:r>
          </w:p>
        </w:tc>
      </w:tr>
      <w:tr w:rsidR="00E550DB" w:rsidRPr="00D47D16" w14:paraId="0F8D72B1" w14:textId="77777777" w:rsidTr="000A6E3E">
        <w:trPr>
          <w:trHeight w:val="219"/>
          <w:jc w:val="center"/>
        </w:trPr>
        <w:tc>
          <w:tcPr>
            <w:tcW w:w="2623" w:type="dxa"/>
            <w:vMerge/>
            <w:tcBorders>
              <w:top w:val="single" w:sz="4" w:space="0" w:color="auto"/>
              <w:left w:val="nil"/>
              <w:bottom w:val="single" w:sz="4" w:space="0" w:color="auto"/>
            </w:tcBorders>
            <w:shd w:val="clear" w:color="auto" w:fill="auto"/>
            <w:noWrap/>
            <w:vAlign w:val="center"/>
            <w:hideMark/>
          </w:tcPr>
          <w:p w14:paraId="03CE3B88" w14:textId="77777777" w:rsidR="00E550DB" w:rsidRPr="006A552D" w:rsidRDefault="00E550DB" w:rsidP="000A6E3E">
            <w:pPr>
              <w:spacing w:after="0" w:line="240" w:lineRule="auto"/>
              <w:rPr>
                <w:rFonts w:ascii="Arial Narrow" w:hAnsi="Arial Narrow"/>
                <w:color w:val="000000"/>
                <w:sz w:val="20"/>
                <w:szCs w:val="20"/>
              </w:rPr>
            </w:pPr>
          </w:p>
        </w:tc>
        <w:tc>
          <w:tcPr>
            <w:tcW w:w="511" w:type="dxa"/>
            <w:tcBorders>
              <w:top w:val="nil"/>
              <w:left w:val="nil"/>
              <w:bottom w:val="single" w:sz="4" w:space="0" w:color="auto"/>
              <w:right w:val="nil"/>
            </w:tcBorders>
            <w:shd w:val="clear" w:color="auto" w:fill="auto"/>
            <w:noWrap/>
            <w:vAlign w:val="center"/>
            <w:hideMark/>
          </w:tcPr>
          <w:p w14:paraId="19CE88E8" w14:textId="77777777" w:rsidR="00E550DB" w:rsidRPr="006A552D" w:rsidRDefault="00E550DB" w:rsidP="000A6E3E">
            <w:pPr>
              <w:spacing w:after="0" w:line="240" w:lineRule="auto"/>
              <w:jc w:val="center"/>
              <w:rPr>
                <w:rFonts w:ascii="Arial Narrow" w:hAnsi="Arial Narrow"/>
                <w:b/>
                <w:bCs/>
                <w:color w:val="000000"/>
                <w:sz w:val="20"/>
                <w:szCs w:val="20"/>
              </w:rPr>
            </w:pPr>
            <w:r w:rsidRPr="006A552D">
              <w:rPr>
                <w:rFonts w:ascii="Arial Narrow" w:hAnsi="Arial Narrow"/>
                <w:b/>
                <w:bCs/>
                <w:color w:val="000000"/>
                <w:sz w:val="20"/>
                <w:szCs w:val="20"/>
              </w:rPr>
              <w:t>EÚ</w:t>
            </w:r>
          </w:p>
          <w:p w14:paraId="2366DE1C" w14:textId="77777777" w:rsidR="00E550DB" w:rsidRPr="006A552D" w:rsidRDefault="00E550DB" w:rsidP="000A6E3E">
            <w:pPr>
              <w:spacing w:after="0" w:line="240" w:lineRule="auto"/>
              <w:jc w:val="center"/>
              <w:rPr>
                <w:rFonts w:ascii="Arial Narrow" w:hAnsi="Arial Narrow"/>
                <w:b/>
                <w:bCs/>
                <w:color w:val="000000"/>
                <w:sz w:val="20"/>
                <w:szCs w:val="20"/>
              </w:rPr>
            </w:pPr>
            <w:r w:rsidRPr="006A552D">
              <w:rPr>
                <w:rFonts w:ascii="Arial Narrow" w:hAnsi="Arial Narrow"/>
                <w:b/>
                <w:bCs/>
                <w:color w:val="000000"/>
                <w:sz w:val="20"/>
                <w:szCs w:val="20"/>
              </w:rPr>
              <w:t>muži</w:t>
            </w:r>
          </w:p>
        </w:tc>
        <w:tc>
          <w:tcPr>
            <w:tcW w:w="593" w:type="dxa"/>
            <w:tcBorders>
              <w:top w:val="nil"/>
              <w:left w:val="nil"/>
              <w:bottom w:val="single" w:sz="4" w:space="0" w:color="auto"/>
              <w:right w:val="nil"/>
            </w:tcBorders>
            <w:shd w:val="clear" w:color="auto" w:fill="auto"/>
            <w:vAlign w:val="center"/>
          </w:tcPr>
          <w:p w14:paraId="3C63A9FE"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61,1</w:t>
            </w:r>
          </w:p>
        </w:tc>
        <w:tc>
          <w:tcPr>
            <w:tcW w:w="584" w:type="dxa"/>
            <w:tcBorders>
              <w:top w:val="nil"/>
              <w:left w:val="nil"/>
              <w:bottom w:val="single" w:sz="4" w:space="0" w:color="auto"/>
              <w:right w:val="nil"/>
            </w:tcBorders>
            <w:shd w:val="clear" w:color="auto" w:fill="auto"/>
            <w:vAlign w:val="center"/>
            <w:hideMark/>
          </w:tcPr>
          <w:p w14:paraId="567D5C99"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61,3</w:t>
            </w:r>
          </w:p>
        </w:tc>
        <w:tc>
          <w:tcPr>
            <w:tcW w:w="584" w:type="dxa"/>
            <w:tcBorders>
              <w:top w:val="nil"/>
              <w:left w:val="nil"/>
              <w:bottom w:val="single" w:sz="4" w:space="0" w:color="auto"/>
              <w:right w:val="nil"/>
            </w:tcBorders>
            <w:shd w:val="clear" w:color="auto" w:fill="auto"/>
            <w:vAlign w:val="center"/>
            <w:hideMark/>
          </w:tcPr>
          <w:p w14:paraId="225645EE"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61,8</w:t>
            </w:r>
          </w:p>
        </w:tc>
        <w:tc>
          <w:tcPr>
            <w:tcW w:w="585" w:type="dxa"/>
            <w:tcBorders>
              <w:top w:val="nil"/>
              <w:left w:val="nil"/>
              <w:bottom w:val="single" w:sz="4" w:space="0" w:color="auto"/>
              <w:right w:val="nil"/>
            </w:tcBorders>
            <w:shd w:val="clear" w:color="auto" w:fill="auto"/>
            <w:vAlign w:val="center"/>
            <w:hideMark/>
          </w:tcPr>
          <w:p w14:paraId="62C587F6"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61,7</w:t>
            </w:r>
          </w:p>
        </w:tc>
        <w:tc>
          <w:tcPr>
            <w:tcW w:w="585" w:type="dxa"/>
            <w:tcBorders>
              <w:top w:val="nil"/>
              <w:left w:val="nil"/>
              <w:bottom w:val="single" w:sz="4" w:space="0" w:color="auto"/>
              <w:right w:val="nil"/>
            </w:tcBorders>
            <w:shd w:val="clear" w:color="auto" w:fill="auto"/>
            <w:vAlign w:val="center"/>
            <w:hideMark/>
          </w:tcPr>
          <w:p w14:paraId="4EFDD3AA"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61,5</w:t>
            </w:r>
          </w:p>
        </w:tc>
        <w:tc>
          <w:tcPr>
            <w:tcW w:w="585" w:type="dxa"/>
            <w:tcBorders>
              <w:top w:val="nil"/>
              <w:left w:val="nil"/>
              <w:bottom w:val="single" w:sz="4" w:space="0" w:color="auto"/>
              <w:right w:val="nil"/>
            </w:tcBorders>
            <w:shd w:val="clear" w:color="auto" w:fill="auto"/>
            <w:vAlign w:val="center"/>
            <w:hideMark/>
          </w:tcPr>
          <w:p w14:paraId="7AADFECA"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61,4</w:t>
            </w:r>
          </w:p>
        </w:tc>
        <w:tc>
          <w:tcPr>
            <w:tcW w:w="585" w:type="dxa"/>
            <w:tcBorders>
              <w:top w:val="nil"/>
              <w:left w:val="nil"/>
              <w:bottom w:val="single" w:sz="4" w:space="0" w:color="auto"/>
              <w:right w:val="nil"/>
            </w:tcBorders>
            <w:shd w:val="clear" w:color="auto" w:fill="auto"/>
            <w:vAlign w:val="center"/>
            <w:hideMark/>
          </w:tcPr>
          <w:p w14:paraId="00148A04"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61,4</w:t>
            </w:r>
          </w:p>
        </w:tc>
        <w:tc>
          <w:tcPr>
            <w:tcW w:w="658" w:type="dxa"/>
            <w:tcBorders>
              <w:top w:val="nil"/>
              <w:left w:val="nil"/>
              <w:bottom w:val="single" w:sz="4" w:space="0" w:color="auto"/>
              <w:right w:val="nil"/>
            </w:tcBorders>
            <w:vAlign w:val="center"/>
          </w:tcPr>
          <w:p w14:paraId="2EFF6E08"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62,6</w:t>
            </w:r>
          </w:p>
        </w:tc>
        <w:tc>
          <w:tcPr>
            <w:tcW w:w="665" w:type="dxa"/>
            <w:tcBorders>
              <w:top w:val="nil"/>
              <w:left w:val="nil"/>
              <w:bottom w:val="single" w:sz="4" w:space="0" w:color="auto"/>
              <w:right w:val="nil"/>
            </w:tcBorders>
            <w:shd w:val="clear" w:color="auto" w:fill="auto"/>
            <w:vAlign w:val="center"/>
            <w:hideMark/>
          </w:tcPr>
          <w:p w14:paraId="182CF3B0"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 xml:space="preserve"> - </w:t>
            </w:r>
          </w:p>
        </w:tc>
      </w:tr>
      <w:tr w:rsidR="00E550DB" w:rsidRPr="00D47D16" w14:paraId="7E15C322" w14:textId="77777777" w:rsidTr="000A6E3E">
        <w:trPr>
          <w:trHeight w:val="219"/>
          <w:jc w:val="center"/>
        </w:trPr>
        <w:tc>
          <w:tcPr>
            <w:tcW w:w="2623" w:type="dxa"/>
            <w:vMerge/>
            <w:tcBorders>
              <w:top w:val="single" w:sz="4" w:space="0" w:color="auto"/>
              <w:left w:val="nil"/>
              <w:bottom w:val="single" w:sz="4" w:space="0" w:color="auto"/>
            </w:tcBorders>
            <w:shd w:val="clear" w:color="auto" w:fill="auto"/>
            <w:noWrap/>
            <w:vAlign w:val="center"/>
          </w:tcPr>
          <w:p w14:paraId="4075BC47" w14:textId="77777777" w:rsidR="00E550DB" w:rsidRPr="006A552D" w:rsidRDefault="00E550DB" w:rsidP="000A6E3E">
            <w:pPr>
              <w:spacing w:after="0" w:line="240" w:lineRule="auto"/>
              <w:rPr>
                <w:rFonts w:ascii="Arial Narrow" w:hAnsi="Arial Narrow"/>
                <w:color w:val="000000"/>
                <w:sz w:val="20"/>
                <w:szCs w:val="20"/>
              </w:rPr>
            </w:pPr>
          </w:p>
        </w:tc>
        <w:tc>
          <w:tcPr>
            <w:tcW w:w="511" w:type="dxa"/>
            <w:tcBorders>
              <w:top w:val="single" w:sz="4" w:space="0" w:color="auto"/>
              <w:left w:val="nil"/>
              <w:bottom w:val="nil"/>
              <w:right w:val="nil"/>
            </w:tcBorders>
            <w:shd w:val="clear" w:color="auto" w:fill="auto"/>
            <w:noWrap/>
            <w:vAlign w:val="center"/>
          </w:tcPr>
          <w:p w14:paraId="7FC4D0AC" w14:textId="77777777" w:rsidR="00E550DB" w:rsidRPr="006A552D" w:rsidRDefault="00E550DB" w:rsidP="000A6E3E">
            <w:pPr>
              <w:spacing w:after="0" w:line="240" w:lineRule="auto"/>
              <w:jc w:val="center"/>
              <w:rPr>
                <w:rFonts w:ascii="Arial Narrow" w:hAnsi="Arial Narrow"/>
                <w:b/>
                <w:bCs/>
                <w:color w:val="000000"/>
                <w:sz w:val="20"/>
                <w:szCs w:val="20"/>
              </w:rPr>
            </w:pPr>
            <w:r w:rsidRPr="006A552D">
              <w:rPr>
                <w:rFonts w:ascii="Arial Narrow" w:hAnsi="Arial Narrow"/>
                <w:b/>
                <w:bCs/>
                <w:color w:val="000000"/>
                <w:sz w:val="20"/>
                <w:szCs w:val="20"/>
              </w:rPr>
              <w:t>SK ženy</w:t>
            </w:r>
          </w:p>
        </w:tc>
        <w:tc>
          <w:tcPr>
            <w:tcW w:w="593" w:type="dxa"/>
            <w:tcBorders>
              <w:top w:val="single" w:sz="4" w:space="0" w:color="auto"/>
              <w:left w:val="nil"/>
              <w:bottom w:val="nil"/>
              <w:right w:val="nil"/>
            </w:tcBorders>
            <w:shd w:val="clear" w:color="auto" w:fill="auto"/>
            <w:vAlign w:val="center"/>
          </w:tcPr>
          <w:p w14:paraId="3C86515E"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52,5</w:t>
            </w:r>
          </w:p>
        </w:tc>
        <w:tc>
          <w:tcPr>
            <w:tcW w:w="584" w:type="dxa"/>
            <w:tcBorders>
              <w:top w:val="single" w:sz="4" w:space="0" w:color="auto"/>
              <w:left w:val="nil"/>
              <w:bottom w:val="nil"/>
              <w:right w:val="nil"/>
            </w:tcBorders>
            <w:shd w:val="clear" w:color="auto" w:fill="auto"/>
            <w:vAlign w:val="center"/>
          </w:tcPr>
          <w:p w14:paraId="07EC58CC"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52,6</w:t>
            </w:r>
          </w:p>
        </w:tc>
        <w:tc>
          <w:tcPr>
            <w:tcW w:w="584" w:type="dxa"/>
            <w:tcBorders>
              <w:top w:val="single" w:sz="4" w:space="0" w:color="auto"/>
              <w:left w:val="nil"/>
              <w:bottom w:val="nil"/>
              <w:right w:val="nil"/>
            </w:tcBorders>
            <w:shd w:val="clear" w:color="auto" w:fill="auto"/>
            <w:vAlign w:val="center"/>
          </w:tcPr>
          <w:p w14:paraId="11172ED4"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52,0</w:t>
            </w:r>
          </w:p>
        </w:tc>
        <w:tc>
          <w:tcPr>
            <w:tcW w:w="585" w:type="dxa"/>
            <w:tcBorders>
              <w:top w:val="single" w:sz="4" w:space="0" w:color="auto"/>
              <w:left w:val="nil"/>
              <w:bottom w:val="nil"/>
              <w:right w:val="nil"/>
            </w:tcBorders>
            <w:shd w:val="clear" w:color="auto" w:fill="auto"/>
            <w:vAlign w:val="center"/>
          </w:tcPr>
          <w:p w14:paraId="416C2EA4"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52,3</w:t>
            </w:r>
          </w:p>
        </w:tc>
        <w:tc>
          <w:tcPr>
            <w:tcW w:w="585" w:type="dxa"/>
            <w:tcBorders>
              <w:top w:val="single" w:sz="4" w:space="0" w:color="auto"/>
              <w:left w:val="nil"/>
              <w:bottom w:val="nil"/>
              <w:right w:val="nil"/>
            </w:tcBorders>
            <w:shd w:val="clear" w:color="auto" w:fill="auto"/>
            <w:vAlign w:val="center"/>
          </w:tcPr>
          <w:p w14:paraId="6E46292F"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53,1</w:t>
            </w:r>
          </w:p>
        </w:tc>
        <w:tc>
          <w:tcPr>
            <w:tcW w:w="585" w:type="dxa"/>
            <w:tcBorders>
              <w:top w:val="single" w:sz="4" w:space="0" w:color="auto"/>
              <w:left w:val="nil"/>
              <w:bottom w:val="nil"/>
              <w:right w:val="nil"/>
            </w:tcBorders>
            <w:shd w:val="clear" w:color="auto" w:fill="auto"/>
            <w:vAlign w:val="center"/>
          </w:tcPr>
          <w:p w14:paraId="14A6E796"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54,3</w:t>
            </w:r>
          </w:p>
        </w:tc>
        <w:tc>
          <w:tcPr>
            <w:tcW w:w="585" w:type="dxa"/>
            <w:tcBorders>
              <w:top w:val="single" w:sz="4" w:space="0" w:color="auto"/>
              <w:left w:val="nil"/>
              <w:bottom w:val="nil"/>
              <w:right w:val="nil"/>
            </w:tcBorders>
            <w:shd w:val="clear" w:color="auto" w:fill="auto"/>
            <w:vAlign w:val="center"/>
          </w:tcPr>
          <w:p w14:paraId="620F348A"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54,6</w:t>
            </w:r>
          </w:p>
        </w:tc>
        <w:tc>
          <w:tcPr>
            <w:tcW w:w="658" w:type="dxa"/>
            <w:tcBorders>
              <w:top w:val="single" w:sz="4" w:space="0" w:color="auto"/>
              <w:left w:val="nil"/>
              <w:bottom w:val="nil"/>
              <w:right w:val="nil"/>
            </w:tcBorders>
            <w:vAlign w:val="center"/>
          </w:tcPr>
          <w:p w14:paraId="7C5F842C"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55,1</w:t>
            </w:r>
          </w:p>
        </w:tc>
        <w:tc>
          <w:tcPr>
            <w:tcW w:w="665" w:type="dxa"/>
            <w:tcBorders>
              <w:top w:val="single" w:sz="4" w:space="0" w:color="auto"/>
              <w:left w:val="nil"/>
              <w:bottom w:val="nil"/>
              <w:right w:val="nil"/>
            </w:tcBorders>
            <w:shd w:val="clear" w:color="auto" w:fill="auto"/>
            <w:vAlign w:val="center"/>
          </w:tcPr>
          <w:p w14:paraId="775E775B"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62,0</w:t>
            </w:r>
          </w:p>
        </w:tc>
      </w:tr>
      <w:tr w:rsidR="00E550DB" w:rsidRPr="00D47D16" w14:paraId="12F65A84" w14:textId="77777777" w:rsidTr="000A6E3E">
        <w:trPr>
          <w:trHeight w:val="33"/>
          <w:jc w:val="center"/>
        </w:trPr>
        <w:tc>
          <w:tcPr>
            <w:tcW w:w="2623" w:type="dxa"/>
            <w:vMerge/>
            <w:tcBorders>
              <w:top w:val="single" w:sz="4" w:space="0" w:color="auto"/>
              <w:left w:val="nil"/>
              <w:bottom w:val="single" w:sz="4" w:space="0" w:color="auto"/>
            </w:tcBorders>
            <w:shd w:val="clear" w:color="auto" w:fill="auto"/>
            <w:noWrap/>
            <w:vAlign w:val="center"/>
          </w:tcPr>
          <w:p w14:paraId="23EBF0E8" w14:textId="77777777" w:rsidR="00E550DB" w:rsidRPr="006A552D" w:rsidRDefault="00E550DB" w:rsidP="000A6E3E">
            <w:pPr>
              <w:spacing w:after="0" w:line="240" w:lineRule="auto"/>
              <w:rPr>
                <w:rFonts w:ascii="Arial Narrow" w:hAnsi="Arial Narrow"/>
                <w:color w:val="000000"/>
                <w:sz w:val="20"/>
                <w:szCs w:val="20"/>
              </w:rPr>
            </w:pPr>
          </w:p>
        </w:tc>
        <w:tc>
          <w:tcPr>
            <w:tcW w:w="511" w:type="dxa"/>
            <w:tcBorders>
              <w:top w:val="nil"/>
              <w:left w:val="nil"/>
              <w:bottom w:val="single" w:sz="4" w:space="0" w:color="auto"/>
              <w:right w:val="nil"/>
            </w:tcBorders>
            <w:shd w:val="clear" w:color="auto" w:fill="auto"/>
            <w:noWrap/>
            <w:vAlign w:val="center"/>
          </w:tcPr>
          <w:p w14:paraId="2D85AA02" w14:textId="77777777" w:rsidR="00E550DB" w:rsidRPr="006A552D" w:rsidRDefault="00E550DB" w:rsidP="000A6E3E">
            <w:pPr>
              <w:spacing w:after="0" w:line="240" w:lineRule="auto"/>
              <w:jc w:val="center"/>
              <w:rPr>
                <w:rFonts w:ascii="Arial Narrow" w:hAnsi="Arial Narrow"/>
                <w:b/>
                <w:bCs/>
                <w:color w:val="000000"/>
                <w:sz w:val="20"/>
                <w:szCs w:val="20"/>
              </w:rPr>
            </w:pPr>
            <w:r w:rsidRPr="006A552D">
              <w:rPr>
                <w:rFonts w:ascii="Arial Narrow" w:hAnsi="Arial Narrow"/>
                <w:b/>
                <w:bCs/>
                <w:color w:val="000000"/>
                <w:sz w:val="20"/>
                <w:szCs w:val="20"/>
              </w:rPr>
              <w:t>EÚ ženy</w:t>
            </w:r>
          </w:p>
        </w:tc>
        <w:tc>
          <w:tcPr>
            <w:tcW w:w="593" w:type="dxa"/>
            <w:tcBorders>
              <w:top w:val="nil"/>
              <w:left w:val="nil"/>
              <w:bottom w:val="single" w:sz="4" w:space="0" w:color="auto"/>
              <w:right w:val="nil"/>
            </w:tcBorders>
            <w:shd w:val="clear" w:color="auto" w:fill="auto"/>
            <w:vAlign w:val="center"/>
          </w:tcPr>
          <w:p w14:paraId="7BD7CB44"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62,2</w:t>
            </w:r>
          </w:p>
        </w:tc>
        <w:tc>
          <w:tcPr>
            <w:tcW w:w="584" w:type="dxa"/>
            <w:tcBorders>
              <w:top w:val="nil"/>
              <w:left w:val="nil"/>
              <w:bottom w:val="single" w:sz="4" w:space="0" w:color="auto"/>
              <w:right w:val="nil"/>
            </w:tcBorders>
            <w:shd w:val="clear" w:color="auto" w:fill="auto"/>
            <w:vAlign w:val="center"/>
          </w:tcPr>
          <w:p w14:paraId="209DE6EB"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62,0</w:t>
            </w:r>
          </w:p>
        </w:tc>
        <w:tc>
          <w:tcPr>
            <w:tcW w:w="584" w:type="dxa"/>
            <w:tcBorders>
              <w:top w:val="nil"/>
              <w:left w:val="nil"/>
              <w:bottom w:val="single" w:sz="4" w:space="0" w:color="auto"/>
              <w:right w:val="nil"/>
            </w:tcBorders>
            <w:shd w:val="clear" w:color="auto" w:fill="auto"/>
            <w:vAlign w:val="center"/>
          </w:tcPr>
          <w:p w14:paraId="64B0788C"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62,6</w:t>
            </w:r>
          </w:p>
        </w:tc>
        <w:tc>
          <w:tcPr>
            <w:tcW w:w="585" w:type="dxa"/>
            <w:tcBorders>
              <w:top w:val="nil"/>
              <w:left w:val="nil"/>
              <w:bottom w:val="single" w:sz="4" w:space="0" w:color="auto"/>
              <w:right w:val="nil"/>
            </w:tcBorders>
            <w:shd w:val="clear" w:color="auto" w:fill="auto"/>
            <w:vAlign w:val="center"/>
          </w:tcPr>
          <w:p w14:paraId="610D6F05"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62,1</w:t>
            </w:r>
          </w:p>
        </w:tc>
        <w:tc>
          <w:tcPr>
            <w:tcW w:w="585" w:type="dxa"/>
            <w:tcBorders>
              <w:top w:val="nil"/>
              <w:left w:val="nil"/>
              <w:bottom w:val="single" w:sz="4" w:space="0" w:color="auto"/>
              <w:right w:val="nil"/>
            </w:tcBorders>
            <w:shd w:val="clear" w:color="auto" w:fill="auto"/>
            <w:vAlign w:val="center"/>
          </w:tcPr>
          <w:p w14:paraId="5B68FCB0"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62,1</w:t>
            </w:r>
          </w:p>
        </w:tc>
        <w:tc>
          <w:tcPr>
            <w:tcW w:w="585" w:type="dxa"/>
            <w:tcBorders>
              <w:top w:val="nil"/>
              <w:left w:val="nil"/>
              <w:bottom w:val="single" w:sz="4" w:space="0" w:color="auto"/>
              <w:right w:val="nil"/>
            </w:tcBorders>
            <w:shd w:val="clear" w:color="auto" w:fill="auto"/>
            <w:vAlign w:val="center"/>
          </w:tcPr>
          <w:p w14:paraId="65B2DF06"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61,5</w:t>
            </w:r>
          </w:p>
        </w:tc>
        <w:tc>
          <w:tcPr>
            <w:tcW w:w="585" w:type="dxa"/>
            <w:tcBorders>
              <w:top w:val="nil"/>
              <w:left w:val="nil"/>
              <w:bottom w:val="single" w:sz="4" w:space="0" w:color="auto"/>
              <w:right w:val="nil"/>
            </w:tcBorders>
            <w:shd w:val="clear" w:color="auto" w:fill="auto"/>
            <w:vAlign w:val="center"/>
          </w:tcPr>
          <w:p w14:paraId="1A22E962"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61,8</w:t>
            </w:r>
          </w:p>
        </w:tc>
        <w:tc>
          <w:tcPr>
            <w:tcW w:w="658" w:type="dxa"/>
            <w:tcBorders>
              <w:top w:val="nil"/>
              <w:left w:val="nil"/>
              <w:bottom w:val="single" w:sz="4" w:space="0" w:color="auto"/>
              <w:right w:val="nil"/>
            </w:tcBorders>
            <w:vAlign w:val="center"/>
          </w:tcPr>
          <w:p w14:paraId="48602646"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63,3</w:t>
            </w:r>
          </w:p>
        </w:tc>
        <w:tc>
          <w:tcPr>
            <w:tcW w:w="665" w:type="dxa"/>
            <w:tcBorders>
              <w:top w:val="nil"/>
              <w:left w:val="nil"/>
              <w:bottom w:val="single" w:sz="4" w:space="0" w:color="auto"/>
              <w:right w:val="nil"/>
            </w:tcBorders>
            <w:shd w:val="clear" w:color="auto" w:fill="auto"/>
            <w:vAlign w:val="center"/>
          </w:tcPr>
          <w:p w14:paraId="2BA924D2" w14:textId="77777777" w:rsidR="00E550DB" w:rsidRPr="006A552D" w:rsidRDefault="00E550DB" w:rsidP="000A6E3E">
            <w:pPr>
              <w:spacing w:after="0" w:line="240" w:lineRule="auto"/>
              <w:jc w:val="center"/>
              <w:rPr>
                <w:rFonts w:ascii="Arial Narrow" w:hAnsi="Arial Narrow"/>
                <w:color w:val="000000"/>
                <w:sz w:val="20"/>
                <w:szCs w:val="20"/>
              </w:rPr>
            </w:pPr>
            <w:r w:rsidRPr="006A552D">
              <w:rPr>
                <w:rFonts w:ascii="Arial Narrow" w:hAnsi="Arial Narrow"/>
                <w:color w:val="000000"/>
                <w:sz w:val="20"/>
                <w:szCs w:val="20"/>
              </w:rPr>
              <w:t>-</w:t>
            </w:r>
          </w:p>
        </w:tc>
      </w:tr>
    </w:tbl>
    <w:p w14:paraId="0FFB45B5" w14:textId="77777777" w:rsidR="00E550DB" w:rsidRDefault="00E550DB" w:rsidP="00E550DB">
      <w:pPr>
        <w:pStyle w:val="Odsekzoznamu"/>
        <w:tabs>
          <w:tab w:val="left" w:pos="426"/>
        </w:tabs>
        <w:spacing w:after="0" w:line="240" w:lineRule="auto"/>
        <w:ind w:left="0"/>
        <w:jc w:val="both"/>
        <w:rPr>
          <w:rFonts w:ascii="Arial Narrow" w:hAnsi="Arial Narrow"/>
          <w:i/>
        </w:rPr>
      </w:pPr>
    </w:p>
    <w:p w14:paraId="35ADFCBB" w14:textId="63BB5C73" w:rsidR="00E550DB" w:rsidRPr="00D47D16" w:rsidRDefault="00E550DB" w:rsidP="00E550DB">
      <w:pPr>
        <w:spacing w:after="0" w:line="240" w:lineRule="auto"/>
        <w:jc w:val="both"/>
        <w:rPr>
          <w:rFonts w:ascii="Arial Narrow" w:hAnsi="Arial Narrow"/>
          <w:highlight w:val="yellow"/>
        </w:rPr>
      </w:pPr>
      <w:r w:rsidRPr="009C3056">
        <w:rPr>
          <w:rFonts w:ascii="Arial Narrow" w:hAnsi="Arial Narrow"/>
          <w:b/>
        </w:rPr>
        <w:t>Dobre fungujúce zdravotníctvo patrí medzí priority hospodársky vyspelých krajín.</w:t>
      </w:r>
      <w:r w:rsidRPr="009C3056">
        <w:rPr>
          <w:rFonts w:ascii="Arial Narrow" w:hAnsi="Arial Narrow"/>
        </w:rPr>
        <w:t xml:space="preserve"> Zdravotný stav obyvateľov ovplyvňuje nielen individuálnu kvalitu života, ale aj ekonomický a sociálny rozvoj celej spoločnosti. Náklady na zdravotníctvo preto predstavujú jednu z najväčších výdavkových položiek. V kontexte starnutia populácie sa očakáva ich dodatočný výrazný rast. </w:t>
      </w:r>
      <w:r>
        <w:rPr>
          <w:rFonts w:ascii="Arial Narrow" w:hAnsi="Arial Narrow"/>
        </w:rPr>
        <w:t>To</w:t>
      </w:r>
      <w:r w:rsidRPr="009C3056">
        <w:rPr>
          <w:rFonts w:ascii="Arial Narrow" w:hAnsi="Arial Narrow"/>
        </w:rPr>
        <w:t xml:space="preserve"> vytvára významný tlak na nákladovú efektívnosť celého systému. </w:t>
      </w:r>
      <w:r w:rsidRPr="00932991">
        <w:rPr>
          <w:rFonts w:ascii="Arial Narrow" w:hAnsi="Arial Narrow"/>
        </w:rPr>
        <w:t>Od roku 2010 si Slovensko udržiava stabilnú úroveň verejných výdavkov na zdravotníctvo (5,5 % HDP).</w:t>
      </w:r>
      <w:r w:rsidRPr="009C3056">
        <w:rPr>
          <w:rFonts w:ascii="Arial Narrow" w:hAnsi="Arial Narrow"/>
        </w:rPr>
        <w:t xml:space="preserve"> </w:t>
      </w:r>
      <w:r w:rsidRPr="00467958">
        <w:rPr>
          <w:rFonts w:ascii="Arial Narrow" w:hAnsi="Arial Narrow"/>
        </w:rPr>
        <w:t>Podie</w:t>
      </w:r>
      <w:r w:rsidR="001A2AC3">
        <w:rPr>
          <w:rFonts w:ascii="Arial Narrow" w:hAnsi="Arial Narrow"/>
        </w:rPr>
        <w:t xml:space="preserve">l výdavkov je výrazne nižší </w:t>
      </w:r>
      <w:r w:rsidRPr="00467958">
        <w:rPr>
          <w:rFonts w:ascii="Arial Narrow" w:hAnsi="Arial Narrow"/>
        </w:rPr>
        <w:t>ako priemer OECD, dlhodobo však mierne</w:t>
      </w:r>
      <w:r>
        <w:rPr>
          <w:rFonts w:ascii="Arial Narrow" w:hAnsi="Arial Narrow"/>
        </w:rPr>
        <w:t xml:space="preserve"> prekračuje priemer krajín V3.</w:t>
      </w:r>
    </w:p>
    <w:p w14:paraId="6EC572D0" w14:textId="77777777" w:rsidR="00E550DB" w:rsidRDefault="00E550DB" w:rsidP="00E550DB">
      <w:pPr>
        <w:spacing w:after="0" w:line="240" w:lineRule="auto"/>
        <w:jc w:val="both"/>
        <w:rPr>
          <w:rFonts w:ascii="Arial Narrow" w:hAnsi="Arial Narrow"/>
        </w:rPr>
      </w:pPr>
    </w:p>
    <w:tbl>
      <w:tblPr>
        <w:tblW w:w="5078"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167"/>
        <w:gridCol w:w="242"/>
        <w:gridCol w:w="4289"/>
      </w:tblGrid>
      <w:tr w:rsidR="00E550DB" w:rsidRPr="00C307B8" w14:paraId="58AD0A08" w14:textId="77777777" w:rsidTr="00833925">
        <w:trPr>
          <w:trHeight w:val="505"/>
          <w:jc w:val="center"/>
        </w:trPr>
        <w:tc>
          <w:tcPr>
            <w:tcW w:w="4166" w:type="dxa"/>
            <w:tcBorders>
              <w:top w:val="nil"/>
              <w:left w:val="nil"/>
              <w:bottom w:val="single" w:sz="4" w:space="0" w:color="auto"/>
              <w:right w:val="nil"/>
            </w:tcBorders>
            <w:vAlign w:val="center"/>
          </w:tcPr>
          <w:p w14:paraId="27D29072" w14:textId="77777777" w:rsidR="00E550DB" w:rsidRPr="00A9370D" w:rsidRDefault="00E550DB" w:rsidP="000A6E3E">
            <w:pPr>
              <w:pStyle w:val="Popis"/>
              <w:rPr>
                <w:rFonts w:cs="Arial"/>
              </w:rPr>
            </w:pPr>
            <w:bookmarkStart w:id="69" w:name="_Toc509513334"/>
            <w:r w:rsidRPr="00256D89">
              <w:t xml:space="preserve">Graf </w:t>
            </w:r>
            <w:fldSimple w:instr=" SEQ Graf \* ARABIC ">
              <w:r w:rsidR="00EE7207">
                <w:rPr>
                  <w:noProof/>
                </w:rPr>
                <w:t>22</w:t>
              </w:r>
            </w:fldSimple>
            <w:r w:rsidRPr="00256D89">
              <w:t xml:space="preserve">: </w:t>
            </w:r>
            <w:r w:rsidRPr="004852D5">
              <w:rPr>
                <w:rFonts w:cs="Arial"/>
              </w:rPr>
              <w:t>V</w:t>
            </w:r>
            <w:r>
              <w:rPr>
                <w:rFonts w:cs="Arial"/>
              </w:rPr>
              <w:t xml:space="preserve">erejné výdavky na zdravotníctvo, 2016 </w:t>
            </w:r>
            <w:r w:rsidRPr="004852D5">
              <w:rPr>
                <w:rFonts w:cs="Arial"/>
              </w:rPr>
              <w:t>(</w:t>
            </w:r>
            <w:r>
              <w:rPr>
                <w:rFonts w:cs="Arial"/>
              </w:rPr>
              <w:t xml:space="preserve">% </w:t>
            </w:r>
            <w:r w:rsidRPr="004852D5">
              <w:rPr>
                <w:rFonts w:cs="Arial"/>
              </w:rPr>
              <w:t>HDP)</w:t>
            </w:r>
            <w:bookmarkEnd w:id="69"/>
          </w:p>
        </w:tc>
        <w:tc>
          <w:tcPr>
            <w:tcW w:w="242" w:type="dxa"/>
            <w:tcBorders>
              <w:top w:val="nil"/>
              <w:left w:val="nil"/>
              <w:bottom w:val="nil"/>
              <w:right w:val="nil"/>
            </w:tcBorders>
            <w:vAlign w:val="center"/>
          </w:tcPr>
          <w:p w14:paraId="53FC3B0E" w14:textId="77777777" w:rsidR="00E550DB" w:rsidRPr="00D02296" w:rsidRDefault="00E550DB" w:rsidP="000A6E3E">
            <w:pPr>
              <w:spacing w:after="0" w:line="240" w:lineRule="auto"/>
              <w:jc w:val="center"/>
              <w:rPr>
                <w:rFonts w:ascii="Arial Narrow" w:hAnsi="Arial Narrow" w:cs="Arial"/>
                <w:b/>
                <w:sz w:val="20"/>
                <w:szCs w:val="20"/>
                <w:highlight w:val="lightGray"/>
              </w:rPr>
            </w:pPr>
          </w:p>
        </w:tc>
        <w:tc>
          <w:tcPr>
            <w:tcW w:w="4289" w:type="dxa"/>
            <w:tcBorders>
              <w:top w:val="nil"/>
              <w:left w:val="nil"/>
              <w:bottom w:val="single" w:sz="4" w:space="0" w:color="auto"/>
              <w:right w:val="nil"/>
            </w:tcBorders>
            <w:vAlign w:val="center"/>
          </w:tcPr>
          <w:p w14:paraId="0E727988" w14:textId="77777777" w:rsidR="00E550DB" w:rsidRPr="00635F68" w:rsidRDefault="00E550DB" w:rsidP="000A6E3E">
            <w:pPr>
              <w:pStyle w:val="Popis"/>
            </w:pPr>
            <w:bookmarkStart w:id="70" w:name="_Toc509513335"/>
            <w:r w:rsidRPr="00256D89">
              <w:t xml:space="preserve">Graf </w:t>
            </w:r>
            <w:fldSimple w:instr=" SEQ Graf \* ARABIC ">
              <w:r w:rsidR="00EE7207">
                <w:rPr>
                  <w:noProof/>
                </w:rPr>
                <w:t>23</w:t>
              </w:r>
            </w:fldSimple>
            <w:r w:rsidRPr="00256D89">
              <w:t>:</w:t>
            </w:r>
            <w:r>
              <w:t xml:space="preserve"> Liečiteľná</w:t>
            </w:r>
            <w:r w:rsidRPr="004852D5">
              <w:t xml:space="preserve"> úmrtnosť</w:t>
            </w:r>
            <w:r>
              <w:t>, 2015</w:t>
            </w:r>
            <w:r w:rsidRPr="004852D5">
              <w:t xml:space="preserve"> (štandardizovaná na 100 tis. obyvateľov)</w:t>
            </w:r>
            <w:bookmarkEnd w:id="70"/>
          </w:p>
        </w:tc>
      </w:tr>
      <w:tr w:rsidR="00E550DB" w:rsidRPr="00C307B8" w14:paraId="0F150869" w14:textId="77777777" w:rsidTr="00833925">
        <w:trPr>
          <w:trHeight w:val="936"/>
          <w:jc w:val="center"/>
        </w:trPr>
        <w:tc>
          <w:tcPr>
            <w:tcW w:w="4166" w:type="dxa"/>
            <w:tcBorders>
              <w:top w:val="single" w:sz="4" w:space="0" w:color="auto"/>
              <w:left w:val="nil"/>
              <w:bottom w:val="single" w:sz="4" w:space="0" w:color="auto"/>
              <w:right w:val="nil"/>
            </w:tcBorders>
            <w:vAlign w:val="center"/>
          </w:tcPr>
          <w:p w14:paraId="0166B485" w14:textId="77777777" w:rsidR="00E550DB" w:rsidRPr="00D02296" w:rsidRDefault="00E550DB" w:rsidP="000A6E3E">
            <w:pPr>
              <w:spacing w:after="0" w:line="240" w:lineRule="auto"/>
              <w:jc w:val="center"/>
              <w:rPr>
                <w:rFonts w:ascii="Arial Narrow" w:hAnsi="Arial Narrow" w:cs="Arial"/>
                <w:b/>
                <w:sz w:val="20"/>
                <w:szCs w:val="20"/>
                <w:highlight w:val="lightGray"/>
              </w:rPr>
            </w:pPr>
            <w:r>
              <w:rPr>
                <w:noProof/>
                <w:lang w:val="en-US" w:eastAsia="en-US"/>
              </w:rPr>
              <w:drawing>
                <wp:inline distT="0" distB="0" distL="0" distR="0" wp14:anchorId="2956AD1F" wp14:editId="67FD7221">
                  <wp:extent cx="2619375" cy="2200275"/>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242" w:type="dxa"/>
            <w:tcBorders>
              <w:top w:val="nil"/>
              <w:left w:val="nil"/>
              <w:bottom w:val="nil"/>
              <w:right w:val="nil"/>
            </w:tcBorders>
            <w:vAlign w:val="center"/>
          </w:tcPr>
          <w:p w14:paraId="5C27FD19" w14:textId="77777777" w:rsidR="00E550DB" w:rsidRPr="00D02296" w:rsidRDefault="00E550DB" w:rsidP="000A6E3E">
            <w:pPr>
              <w:spacing w:after="0" w:line="240" w:lineRule="auto"/>
              <w:jc w:val="center"/>
              <w:rPr>
                <w:rFonts w:ascii="Arial Narrow" w:hAnsi="Arial Narrow" w:cs="Arial"/>
                <w:b/>
                <w:sz w:val="20"/>
                <w:szCs w:val="20"/>
                <w:highlight w:val="lightGray"/>
              </w:rPr>
            </w:pPr>
          </w:p>
        </w:tc>
        <w:tc>
          <w:tcPr>
            <w:tcW w:w="4289" w:type="dxa"/>
            <w:tcBorders>
              <w:top w:val="single" w:sz="4" w:space="0" w:color="auto"/>
              <w:left w:val="nil"/>
              <w:bottom w:val="single" w:sz="4" w:space="0" w:color="auto"/>
              <w:right w:val="nil"/>
            </w:tcBorders>
            <w:vAlign w:val="center"/>
          </w:tcPr>
          <w:p w14:paraId="05259D6D" w14:textId="77777777" w:rsidR="00E550DB" w:rsidRPr="00A14ADA" w:rsidRDefault="00E550DB" w:rsidP="000A6E3E">
            <w:pPr>
              <w:spacing w:after="0" w:line="240" w:lineRule="auto"/>
              <w:jc w:val="center"/>
              <w:rPr>
                <w:rFonts w:ascii="Arial Narrow" w:hAnsi="Arial Narrow" w:cs="Arial"/>
                <w:b/>
                <w:sz w:val="20"/>
                <w:szCs w:val="20"/>
                <w:highlight w:val="lightGray"/>
              </w:rPr>
            </w:pPr>
            <w:r>
              <w:rPr>
                <w:noProof/>
                <w:lang w:val="en-US" w:eastAsia="en-US"/>
              </w:rPr>
              <w:drawing>
                <wp:inline distT="0" distB="0" distL="0" distR="0" wp14:anchorId="0E09FAC3" wp14:editId="671343A1">
                  <wp:extent cx="2667000" cy="2257425"/>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E550DB" w:rsidRPr="00C307B8" w14:paraId="27A12E9C" w14:textId="77777777" w:rsidTr="00833925">
        <w:trPr>
          <w:trHeight w:val="258"/>
          <w:jc w:val="center"/>
        </w:trPr>
        <w:tc>
          <w:tcPr>
            <w:tcW w:w="4166" w:type="dxa"/>
            <w:tcBorders>
              <w:top w:val="single" w:sz="4" w:space="0" w:color="auto"/>
              <w:left w:val="nil"/>
              <w:bottom w:val="nil"/>
              <w:right w:val="nil"/>
            </w:tcBorders>
            <w:vAlign w:val="center"/>
          </w:tcPr>
          <w:p w14:paraId="34F06542" w14:textId="77777777" w:rsidR="00E550DB" w:rsidRPr="00C83F39" w:rsidRDefault="00E550DB" w:rsidP="000A6E3E">
            <w:pPr>
              <w:spacing w:after="0" w:line="240" w:lineRule="auto"/>
              <w:jc w:val="right"/>
              <w:rPr>
                <w:rFonts w:ascii="Arial Narrow" w:hAnsi="Arial Narrow" w:cs="Arial"/>
                <w:i/>
                <w:sz w:val="16"/>
                <w:szCs w:val="18"/>
                <w:highlight w:val="lightGray"/>
              </w:rPr>
            </w:pPr>
            <w:r w:rsidRPr="00C83F39">
              <w:rPr>
                <w:rFonts w:ascii="Arial Narrow" w:hAnsi="Arial Narrow" w:cs="Arial"/>
                <w:i/>
                <w:sz w:val="16"/>
                <w:szCs w:val="18"/>
              </w:rPr>
              <w:t xml:space="preserve">Zdroj: OECD </w:t>
            </w:r>
          </w:p>
        </w:tc>
        <w:tc>
          <w:tcPr>
            <w:tcW w:w="242" w:type="dxa"/>
            <w:tcBorders>
              <w:top w:val="nil"/>
              <w:left w:val="nil"/>
              <w:bottom w:val="nil"/>
              <w:right w:val="nil"/>
            </w:tcBorders>
            <w:vAlign w:val="center"/>
          </w:tcPr>
          <w:p w14:paraId="056968E6" w14:textId="77777777" w:rsidR="00E550DB" w:rsidRPr="00C83F39" w:rsidRDefault="00E550DB" w:rsidP="000A6E3E">
            <w:pPr>
              <w:spacing w:after="0" w:line="240" w:lineRule="auto"/>
              <w:jc w:val="center"/>
              <w:rPr>
                <w:rFonts w:ascii="Arial Narrow" w:hAnsi="Arial Narrow" w:cs="Arial"/>
                <w:i/>
                <w:sz w:val="16"/>
                <w:szCs w:val="18"/>
                <w:highlight w:val="lightGray"/>
              </w:rPr>
            </w:pPr>
          </w:p>
        </w:tc>
        <w:tc>
          <w:tcPr>
            <w:tcW w:w="4289" w:type="dxa"/>
            <w:tcBorders>
              <w:top w:val="single" w:sz="4" w:space="0" w:color="auto"/>
              <w:left w:val="nil"/>
              <w:bottom w:val="nil"/>
              <w:right w:val="nil"/>
            </w:tcBorders>
            <w:vAlign w:val="center"/>
          </w:tcPr>
          <w:p w14:paraId="37EA03D1" w14:textId="77777777" w:rsidR="00E550DB" w:rsidRPr="00C83F39" w:rsidRDefault="00E550DB" w:rsidP="000A6E3E">
            <w:pPr>
              <w:spacing w:after="0" w:line="240" w:lineRule="auto"/>
              <w:jc w:val="right"/>
              <w:rPr>
                <w:rFonts w:ascii="Arial Narrow" w:hAnsi="Arial Narrow" w:cs="Arial"/>
                <w:i/>
                <w:sz w:val="16"/>
                <w:szCs w:val="18"/>
                <w:highlight w:val="lightGray"/>
              </w:rPr>
            </w:pPr>
            <w:r w:rsidRPr="00C83F39">
              <w:rPr>
                <w:rFonts w:ascii="Arial Narrow" w:hAnsi="Arial Narrow" w:cs="Arial"/>
                <w:i/>
                <w:sz w:val="16"/>
                <w:szCs w:val="18"/>
              </w:rPr>
              <w:t xml:space="preserve">Zdroj: </w:t>
            </w:r>
            <w:proofErr w:type="spellStart"/>
            <w:r>
              <w:rPr>
                <w:rFonts w:ascii="Arial Narrow" w:hAnsi="Arial Narrow" w:cs="Arial"/>
                <w:i/>
                <w:sz w:val="16"/>
                <w:szCs w:val="18"/>
              </w:rPr>
              <w:t>Eurostat</w:t>
            </w:r>
            <w:proofErr w:type="spellEnd"/>
            <w:r>
              <w:rPr>
                <w:rFonts w:ascii="Arial Narrow" w:hAnsi="Arial Narrow" w:cs="Arial"/>
                <w:i/>
                <w:sz w:val="16"/>
                <w:szCs w:val="18"/>
              </w:rPr>
              <w:t xml:space="preserve"> (</w:t>
            </w:r>
            <w:proofErr w:type="spellStart"/>
            <w:r w:rsidRPr="00D55F55">
              <w:rPr>
                <w:rFonts w:ascii="Arial Narrow" w:hAnsi="Arial Narrow" w:cs="Arial"/>
                <w:i/>
                <w:sz w:val="16"/>
                <w:szCs w:val="18"/>
              </w:rPr>
              <w:t>hlth_cd_apr</w:t>
            </w:r>
            <w:proofErr w:type="spellEnd"/>
            <w:r>
              <w:rPr>
                <w:rFonts w:ascii="Arial Narrow" w:hAnsi="Arial Narrow" w:cs="Arial"/>
                <w:i/>
                <w:sz w:val="16"/>
                <w:szCs w:val="18"/>
              </w:rPr>
              <w:t>)</w:t>
            </w:r>
            <w:r w:rsidRPr="00C83F39">
              <w:rPr>
                <w:rFonts w:ascii="Arial Narrow" w:hAnsi="Arial Narrow" w:cs="Arial"/>
                <w:i/>
                <w:sz w:val="16"/>
                <w:szCs w:val="18"/>
              </w:rPr>
              <w:t xml:space="preserve"> </w:t>
            </w:r>
          </w:p>
        </w:tc>
      </w:tr>
    </w:tbl>
    <w:p w14:paraId="6D85EDA9" w14:textId="77777777" w:rsidR="00E550DB" w:rsidRDefault="00E550DB" w:rsidP="00E550DB">
      <w:pPr>
        <w:spacing w:after="0" w:line="240" w:lineRule="auto"/>
        <w:jc w:val="both"/>
        <w:rPr>
          <w:rFonts w:ascii="Arial Narrow" w:hAnsi="Arial Narrow"/>
        </w:rPr>
      </w:pPr>
    </w:p>
    <w:p w14:paraId="45FB682D" w14:textId="5FC20F2A" w:rsidR="00E550DB" w:rsidRPr="00D47D16" w:rsidRDefault="00E550DB" w:rsidP="00E550DB">
      <w:pPr>
        <w:spacing w:after="0" w:line="240" w:lineRule="auto"/>
        <w:jc w:val="both"/>
        <w:rPr>
          <w:rFonts w:ascii="Arial Narrow" w:hAnsi="Arial Narrow"/>
          <w:highlight w:val="yellow"/>
        </w:rPr>
      </w:pPr>
      <w:r w:rsidRPr="00145C5F">
        <w:rPr>
          <w:rFonts w:ascii="Arial Narrow" w:hAnsi="Arial Narrow"/>
          <w:b/>
        </w:rPr>
        <w:lastRenderedPageBreak/>
        <w:t>Slovensko zaostáva v hlavných výsledkových ukazovateľoch.</w:t>
      </w:r>
      <w:r w:rsidRPr="00145C5F">
        <w:rPr>
          <w:rFonts w:ascii="Arial Narrow" w:hAnsi="Arial Narrow"/>
        </w:rPr>
        <w:t xml:space="preserve"> </w:t>
      </w:r>
      <w:r>
        <w:rPr>
          <w:rFonts w:ascii="Arial Narrow" w:hAnsi="Arial Narrow"/>
        </w:rPr>
        <w:t>H</w:t>
      </w:r>
      <w:r w:rsidRPr="003C7CFD">
        <w:rPr>
          <w:rFonts w:ascii="Arial Narrow" w:hAnsi="Arial Narrow"/>
        </w:rPr>
        <w:t xml:space="preserve">oršie výsledky </w:t>
      </w:r>
      <w:r>
        <w:rPr>
          <w:rFonts w:ascii="Arial Narrow" w:hAnsi="Arial Narrow"/>
        </w:rPr>
        <w:t xml:space="preserve">máme </w:t>
      </w:r>
      <w:r w:rsidRPr="003C7CFD">
        <w:rPr>
          <w:rFonts w:ascii="Arial Narrow" w:hAnsi="Arial Narrow"/>
        </w:rPr>
        <w:t xml:space="preserve">v porovnaní s priemerom </w:t>
      </w:r>
      <w:r>
        <w:rPr>
          <w:rFonts w:ascii="Arial Narrow" w:hAnsi="Arial Narrow"/>
        </w:rPr>
        <w:t>EÚ</w:t>
      </w:r>
      <w:r w:rsidRPr="003C7CFD">
        <w:rPr>
          <w:rFonts w:ascii="Arial Narrow" w:hAnsi="Arial Narrow"/>
        </w:rPr>
        <w:t xml:space="preserve"> aj V3. </w:t>
      </w:r>
      <w:r w:rsidRPr="006C7DA6">
        <w:rPr>
          <w:rFonts w:ascii="Arial Narrow" w:hAnsi="Arial Narrow"/>
        </w:rPr>
        <w:t>Dosahujeme výrazne menej rokov zdravého života a liečiteľná úmrtnosť</w:t>
      </w:r>
      <w:r w:rsidRPr="006C7DA6">
        <w:rPr>
          <w:rStyle w:val="Odkaznapoznmkupodiarou"/>
          <w:rFonts w:ascii="Arial Narrow" w:hAnsi="Arial Narrow"/>
        </w:rPr>
        <w:footnoteReference w:id="43"/>
      </w:r>
      <w:r w:rsidRPr="006C7DA6">
        <w:rPr>
          <w:rFonts w:ascii="Arial Narrow" w:hAnsi="Arial Narrow"/>
        </w:rPr>
        <w:t xml:space="preserve"> </w:t>
      </w:r>
      <w:r>
        <w:rPr>
          <w:rFonts w:ascii="Arial Narrow" w:hAnsi="Arial Narrow"/>
        </w:rPr>
        <w:t xml:space="preserve">je </w:t>
      </w:r>
      <w:r w:rsidRPr="006C7DA6">
        <w:rPr>
          <w:rFonts w:ascii="Arial Narrow" w:hAnsi="Arial Narrow"/>
        </w:rPr>
        <w:t xml:space="preserve">dvojnásobná v porovnaní s priemerom EÚ 28. </w:t>
      </w:r>
      <w:r w:rsidRPr="004808A5">
        <w:rPr>
          <w:rFonts w:ascii="Arial Narrow" w:hAnsi="Arial Narrow"/>
        </w:rPr>
        <w:t xml:space="preserve">Aktualizácia modelu efektívnosti nášho systému potvrdzuje dlhodobo horšiu efektívnosť slovenského zdravotníctva v porovnaní s Českom alebo Poľskom. Predbiehajú nás aj ďalšie krajiny bývalého východného bloku ako napríklad Estónsko. To pred rokom 2005 ešte dosahovalo porovnateľné výsledky ako Slovensko. Zvýšenie efektívnosti slovenského zdravotníctva </w:t>
      </w:r>
      <w:r w:rsidR="00315673">
        <w:rPr>
          <w:rFonts w:ascii="Arial Narrow" w:hAnsi="Arial Narrow"/>
        </w:rPr>
        <w:t>po roku 2010 môže byť vysvetlené znížením celkových</w:t>
      </w:r>
      <w:r w:rsidR="00315673" w:rsidRPr="004808A5">
        <w:rPr>
          <w:rFonts w:ascii="Arial Narrow" w:hAnsi="Arial Narrow"/>
        </w:rPr>
        <w:t xml:space="preserve"> </w:t>
      </w:r>
      <w:r w:rsidRPr="004808A5">
        <w:rPr>
          <w:rFonts w:ascii="Arial Narrow" w:hAnsi="Arial Narrow"/>
        </w:rPr>
        <w:t xml:space="preserve">výdavkov </w:t>
      </w:r>
      <w:r w:rsidR="002774BD">
        <w:rPr>
          <w:rFonts w:ascii="Arial Narrow" w:hAnsi="Arial Narrow"/>
        </w:rPr>
        <w:t>vynaložených</w:t>
      </w:r>
      <w:r w:rsidRPr="004808A5">
        <w:rPr>
          <w:rFonts w:ascii="Arial Narrow" w:hAnsi="Arial Narrow"/>
        </w:rPr>
        <w:t xml:space="preserve"> </w:t>
      </w:r>
      <w:r w:rsidR="00315673">
        <w:rPr>
          <w:rFonts w:ascii="Arial Narrow" w:hAnsi="Arial Narrow"/>
        </w:rPr>
        <w:t xml:space="preserve">na zdravotníctvo (hlavným faktorom </w:t>
      </w:r>
      <w:r w:rsidR="008D6E9A">
        <w:rPr>
          <w:rFonts w:ascii="Arial Narrow" w:hAnsi="Arial Narrow"/>
        </w:rPr>
        <w:t xml:space="preserve">ovplyvňujúcim zníženie výdavkov </w:t>
      </w:r>
      <w:r w:rsidR="00315673">
        <w:rPr>
          <w:rFonts w:ascii="Arial Narrow" w:hAnsi="Arial Narrow"/>
        </w:rPr>
        <w:t xml:space="preserve">bolo </w:t>
      </w:r>
      <w:proofErr w:type="spellStart"/>
      <w:r w:rsidRPr="004808A5">
        <w:rPr>
          <w:rFonts w:ascii="Arial Narrow" w:hAnsi="Arial Narrow"/>
        </w:rPr>
        <w:t>referencovanie</w:t>
      </w:r>
      <w:proofErr w:type="spellEnd"/>
      <w:r w:rsidRPr="004808A5">
        <w:rPr>
          <w:rFonts w:ascii="Arial Narrow" w:hAnsi="Arial Narrow"/>
        </w:rPr>
        <w:t xml:space="preserve"> cien liekov)</w:t>
      </w:r>
      <w:r>
        <w:rPr>
          <w:rFonts w:ascii="Arial Narrow" w:hAnsi="Arial Narrow"/>
        </w:rPr>
        <w:t>, vplyv revízie a nových opatrení sa ešte nestihol prejaviť</w:t>
      </w:r>
      <w:r w:rsidR="001F0E7E">
        <w:rPr>
          <w:rStyle w:val="Odkaznapoznmkupodiarou"/>
          <w:rFonts w:ascii="Arial Narrow" w:hAnsi="Arial Narrow"/>
        </w:rPr>
        <w:footnoteReference w:id="44"/>
      </w:r>
      <w:r>
        <w:rPr>
          <w:rFonts w:ascii="Arial Narrow" w:hAnsi="Arial Narrow"/>
        </w:rPr>
        <w:t>.</w:t>
      </w:r>
      <w:r w:rsidR="00315673">
        <w:rPr>
          <w:rFonts w:ascii="Arial Narrow" w:hAnsi="Arial Narrow"/>
        </w:rPr>
        <w:t xml:space="preserve"> </w:t>
      </w:r>
    </w:p>
    <w:p w14:paraId="58D862E2" w14:textId="77777777" w:rsidR="00E550DB" w:rsidRDefault="00E550DB" w:rsidP="00E550DB">
      <w:pPr>
        <w:spacing w:after="0" w:line="240" w:lineRule="auto"/>
        <w:rPr>
          <w:rFonts w:ascii="Arial Narrow" w:hAnsi="Arial Narrow"/>
        </w:rPr>
      </w:pPr>
    </w:p>
    <w:p w14:paraId="00565E75" w14:textId="6119BBE2" w:rsidR="00E550DB" w:rsidRPr="00D47D16" w:rsidRDefault="00E550DB" w:rsidP="00E550DB">
      <w:pPr>
        <w:spacing w:after="0" w:line="240" w:lineRule="auto"/>
        <w:jc w:val="both"/>
        <w:rPr>
          <w:rFonts w:ascii="Arial Narrow" w:hAnsi="Arial Narrow"/>
          <w:highlight w:val="yellow"/>
        </w:rPr>
      </w:pPr>
      <w:r w:rsidRPr="00726002">
        <w:rPr>
          <w:rFonts w:ascii="Arial Narrow" w:hAnsi="Arial Narrow"/>
          <w:b/>
        </w:rPr>
        <w:t>Fakultné a univerzitné nemocnice sa naďalej zadlžujú.</w:t>
      </w:r>
      <w:r w:rsidRPr="00726002">
        <w:rPr>
          <w:rFonts w:ascii="Arial Narrow" w:hAnsi="Arial Narrow"/>
        </w:rPr>
        <w:t xml:space="preserve"> </w:t>
      </w:r>
      <w:r w:rsidRPr="000F6513">
        <w:rPr>
          <w:rFonts w:ascii="Arial Narrow" w:hAnsi="Arial Narrow"/>
        </w:rPr>
        <w:t xml:space="preserve">V roku 2017 dosiahli ich záväzky </w:t>
      </w:r>
      <w:r w:rsidRPr="00B14433">
        <w:rPr>
          <w:rFonts w:ascii="Arial Narrow" w:hAnsi="Arial Narrow"/>
        </w:rPr>
        <w:t>756 mil. eur</w:t>
      </w:r>
      <w:r w:rsidRPr="000F6513">
        <w:rPr>
          <w:rFonts w:ascii="Arial Narrow" w:hAnsi="Arial Narrow"/>
        </w:rPr>
        <w:t xml:space="preserve">. </w:t>
      </w:r>
      <w:r>
        <w:rPr>
          <w:rFonts w:ascii="Arial Narrow" w:hAnsi="Arial Narrow"/>
        </w:rPr>
        <w:t xml:space="preserve">Rast </w:t>
      </w:r>
      <w:r w:rsidRPr="00573E07">
        <w:rPr>
          <w:rFonts w:ascii="Arial Narrow" w:hAnsi="Arial Narrow"/>
        </w:rPr>
        <w:t>záväzkov po lehote splatnosti opäť rástol rýchlejšie</w:t>
      </w:r>
      <w:r>
        <w:rPr>
          <w:rFonts w:ascii="Arial Narrow" w:hAnsi="Arial Narrow"/>
        </w:rPr>
        <w:t xml:space="preserve"> po miernom spomalení v</w:t>
      </w:r>
      <w:r w:rsidRPr="00573E07">
        <w:rPr>
          <w:rFonts w:ascii="Arial Narrow" w:hAnsi="Arial Narrow"/>
        </w:rPr>
        <w:t xml:space="preserve"> minul</w:t>
      </w:r>
      <w:r>
        <w:rPr>
          <w:rFonts w:ascii="Arial Narrow" w:hAnsi="Arial Narrow"/>
        </w:rPr>
        <w:t>om</w:t>
      </w:r>
      <w:r w:rsidRPr="00573E07">
        <w:rPr>
          <w:rFonts w:ascii="Arial Narrow" w:hAnsi="Arial Narrow"/>
        </w:rPr>
        <w:t xml:space="preserve"> rok</w:t>
      </w:r>
      <w:r>
        <w:rPr>
          <w:rFonts w:ascii="Arial Narrow" w:hAnsi="Arial Narrow"/>
        </w:rPr>
        <w:t xml:space="preserve">u. </w:t>
      </w:r>
      <w:r w:rsidRPr="00573E07">
        <w:rPr>
          <w:rFonts w:ascii="Arial Narrow" w:hAnsi="Arial Narrow"/>
        </w:rPr>
        <w:t xml:space="preserve">Medziročne sa tieto záväzky </w:t>
      </w:r>
      <w:r>
        <w:rPr>
          <w:rFonts w:ascii="Arial Narrow" w:hAnsi="Arial Narrow"/>
        </w:rPr>
        <w:t>zvýšili o 118</w:t>
      </w:r>
      <w:r w:rsidRPr="00573E07">
        <w:rPr>
          <w:rFonts w:ascii="Arial Narrow" w:hAnsi="Arial Narrow"/>
        </w:rPr>
        <w:t xml:space="preserve"> mil. eur. Z 13 fakultných nemocníc spadajúcich pod MZ SR sa ani jednej </w:t>
      </w:r>
      <w:r>
        <w:rPr>
          <w:rFonts w:ascii="Arial Narrow" w:hAnsi="Arial Narrow"/>
        </w:rPr>
        <w:t xml:space="preserve">z nich </w:t>
      </w:r>
      <w:r w:rsidRPr="00573E07">
        <w:rPr>
          <w:rFonts w:ascii="Arial Narrow" w:hAnsi="Arial Narrow"/>
        </w:rPr>
        <w:t>nepodarilo znížiť stav záväzkov po splatnosti.</w:t>
      </w:r>
      <w:r>
        <w:rPr>
          <w:rFonts w:ascii="Arial Narrow" w:hAnsi="Arial Narrow"/>
        </w:rPr>
        <w:t xml:space="preserve"> </w:t>
      </w:r>
      <w:r w:rsidRPr="008F0985">
        <w:rPr>
          <w:rFonts w:ascii="Arial Narrow" w:hAnsi="Arial Narrow"/>
        </w:rPr>
        <w:t xml:space="preserve">V novembri 2017 </w:t>
      </w:r>
      <w:r w:rsidR="00B67023">
        <w:rPr>
          <w:rFonts w:ascii="Arial Narrow" w:hAnsi="Arial Narrow"/>
        </w:rPr>
        <w:t>vyslovila NR SR súhlas s uznesením upravujúcim použitie štátnych aktív na realizáciu koncepcie oddlženia zdravotníckych zariadení</w:t>
      </w:r>
      <w:r w:rsidR="00B20423">
        <w:rPr>
          <w:rFonts w:ascii="Arial Narrow" w:hAnsi="Arial Narrow"/>
        </w:rPr>
        <w:t xml:space="preserve"> (ZZ)</w:t>
      </w:r>
      <w:r w:rsidR="004375E4">
        <w:rPr>
          <w:rFonts w:ascii="Arial Narrow" w:hAnsi="Arial Narrow"/>
        </w:rPr>
        <w:t xml:space="preserve">. Týmto uznesením sa </w:t>
      </w:r>
      <w:r w:rsidRPr="008F0985">
        <w:rPr>
          <w:rFonts w:ascii="Arial Narrow" w:hAnsi="Arial Narrow"/>
        </w:rPr>
        <w:t>vyhradil</w:t>
      </w:r>
      <w:r w:rsidR="004375E4">
        <w:rPr>
          <w:rFonts w:ascii="Arial Narrow" w:hAnsi="Arial Narrow"/>
        </w:rPr>
        <w:t>o</w:t>
      </w:r>
      <w:r w:rsidRPr="008F0985">
        <w:rPr>
          <w:rFonts w:ascii="Arial Narrow" w:hAnsi="Arial Narrow"/>
        </w:rPr>
        <w:t xml:space="preserve"> 585 mil. eur. na oddlžovanie ZZ. Tieto financie sú určené na vyrovnanie záväzkov ZZ po lehote splatnosti. </w:t>
      </w:r>
      <w:r w:rsidR="00C965FD">
        <w:rPr>
          <w:rFonts w:ascii="Arial Narrow" w:hAnsi="Arial Narrow"/>
        </w:rPr>
        <w:t>Prvé kolo oddlžovania by malo začať na prelome marca a apríla 2018, pričom dôjde k vy</w:t>
      </w:r>
      <w:r w:rsidR="001324D7">
        <w:rPr>
          <w:rFonts w:ascii="Arial Narrow" w:hAnsi="Arial Narrow"/>
        </w:rPr>
        <w:t>rovnaniu</w:t>
      </w:r>
      <w:r w:rsidR="00C965FD">
        <w:rPr>
          <w:rFonts w:ascii="Arial Narrow" w:hAnsi="Arial Narrow"/>
        </w:rPr>
        <w:t xml:space="preserve"> </w:t>
      </w:r>
      <w:r w:rsidR="00F042A6">
        <w:rPr>
          <w:rFonts w:ascii="Arial Narrow" w:hAnsi="Arial Narrow"/>
        </w:rPr>
        <w:t>naj</w:t>
      </w:r>
      <w:r w:rsidR="00C965FD">
        <w:rPr>
          <w:rFonts w:ascii="Arial Narrow" w:hAnsi="Arial Narrow"/>
        </w:rPr>
        <w:t xml:space="preserve">starších dlhov. Účasť v tomto kole ešte nebude podmienená </w:t>
      </w:r>
      <w:r w:rsidR="00F042A6">
        <w:rPr>
          <w:rFonts w:ascii="Arial Narrow" w:hAnsi="Arial Narrow"/>
        </w:rPr>
        <w:t xml:space="preserve">schválením ozdravného plánu. </w:t>
      </w:r>
      <w:r w:rsidR="00C965FD">
        <w:rPr>
          <w:rFonts w:ascii="Arial Narrow" w:hAnsi="Arial Narrow"/>
        </w:rPr>
        <w:t xml:space="preserve">Druhé kolo je naplánované tiež na rok 2018, </w:t>
      </w:r>
      <w:r w:rsidR="00326C05">
        <w:rPr>
          <w:rFonts w:ascii="Arial Narrow" w:hAnsi="Arial Narrow"/>
        </w:rPr>
        <w:t xml:space="preserve">no </w:t>
      </w:r>
      <w:r w:rsidR="00C965FD">
        <w:rPr>
          <w:rFonts w:ascii="Arial Narrow" w:hAnsi="Arial Narrow"/>
        </w:rPr>
        <w:t>účasť v ňom už bude podmienená. Posledné (tretie) kolo oddlžovania je naplánované na rok 2019.</w:t>
      </w:r>
    </w:p>
    <w:p w14:paraId="0C7266A1" w14:textId="77777777" w:rsidR="00E550DB" w:rsidRDefault="00E550DB" w:rsidP="00E550DB">
      <w:pPr>
        <w:spacing w:after="0" w:line="240" w:lineRule="auto"/>
        <w:rPr>
          <w:rFonts w:ascii="Arial Narrow" w:hAnsi="Arial Narrow"/>
        </w:rPr>
      </w:pPr>
    </w:p>
    <w:tbl>
      <w:tblPr>
        <w:tblW w:w="5131"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246"/>
        <w:gridCol w:w="173"/>
        <w:gridCol w:w="4369"/>
      </w:tblGrid>
      <w:tr w:rsidR="00E550DB" w:rsidRPr="00C307B8" w14:paraId="55FD6C49" w14:textId="77777777" w:rsidTr="00833925">
        <w:trPr>
          <w:trHeight w:val="371"/>
          <w:jc w:val="center"/>
        </w:trPr>
        <w:tc>
          <w:tcPr>
            <w:tcW w:w="4246" w:type="dxa"/>
            <w:tcBorders>
              <w:top w:val="nil"/>
              <w:left w:val="nil"/>
              <w:bottom w:val="single" w:sz="4" w:space="0" w:color="auto"/>
              <w:right w:val="nil"/>
            </w:tcBorders>
            <w:vAlign w:val="center"/>
          </w:tcPr>
          <w:p w14:paraId="1BD7E3D7" w14:textId="77777777" w:rsidR="00E550DB" w:rsidRPr="00D34724" w:rsidRDefault="00E550DB" w:rsidP="000A6E3E">
            <w:pPr>
              <w:pStyle w:val="Popis"/>
              <w:rPr>
                <w:rFonts w:cs="Arial"/>
                <w:highlight w:val="yellow"/>
              </w:rPr>
            </w:pPr>
            <w:bookmarkStart w:id="71" w:name="_Toc509513336"/>
            <w:r w:rsidRPr="00D34724">
              <w:t xml:space="preserve">Graf </w:t>
            </w:r>
            <w:fldSimple w:instr=" SEQ Graf \* ARABIC ">
              <w:r w:rsidR="00EE7207">
                <w:rPr>
                  <w:noProof/>
                </w:rPr>
                <w:t>24</w:t>
              </w:r>
            </w:fldSimple>
            <w:r w:rsidRPr="00D34724">
              <w:rPr>
                <w:noProof/>
              </w:rPr>
              <w:t>:</w:t>
            </w:r>
            <w:r w:rsidRPr="00D34724">
              <w:rPr>
                <w:rFonts w:cs="Arial"/>
              </w:rPr>
              <w:t xml:space="preserve"> </w:t>
            </w:r>
            <w:r w:rsidRPr="001B4951">
              <w:rPr>
                <w:rFonts w:cs="Arial"/>
              </w:rPr>
              <w:t>Efektívnosť zdravotníctva krajín OECD</w:t>
            </w:r>
            <w:r w:rsidRPr="00F659FA">
              <w:rPr>
                <w:rStyle w:val="Odkaznapoznmkupodiarou"/>
                <w:rFonts w:cs="Arial"/>
              </w:rPr>
              <w:footnoteReference w:id="45"/>
            </w:r>
            <w:bookmarkEnd w:id="71"/>
          </w:p>
        </w:tc>
        <w:tc>
          <w:tcPr>
            <w:tcW w:w="173" w:type="dxa"/>
            <w:tcBorders>
              <w:top w:val="nil"/>
              <w:left w:val="nil"/>
              <w:bottom w:val="nil"/>
              <w:right w:val="nil"/>
            </w:tcBorders>
            <w:vAlign w:val="center"/>
          </w:tcPr>
          <w:p w14:paraId="444C7D8C" w14:textId="77777777" w:rsidR="00E550DB" w:rsidRPr="00D02296" w:rsidRDefault="00E550DB" w:rsidP="000A6E3E">
            <w:pPr>
              <w:spacing w:after="0" w:line="240" w:lineRule="auto"/>
              <w:jc w:val="center"/>
              <w:rPr>
                <w:rFonts w:ascii="Arial Narrow" w:hAnsi="Arial Narrow" w:cs="Arial"/>
                <w:b/>
                <w:sz w:val="20"/>
                <w:szCs w:val="20"/>
                <w:highlight w:val="lightGray"/>
              </w:rPr>
            </w:pPr>
          </w:p>
        </w:tc>
        <w:tc>
          <w:tcPr>
            <w:tcW w:w="4369" w:type="dxa"/>
            <w:tcBorders>
              <w:top w:val="nil"/>
              <w:left w:val="nil"/>
              <w:bottom w:val="single" w:sz="4" w:space="0" w:color="auto"/>
              <w:right w:val="nil"/>
            </w:tcBorders>
            <w:vAlign w:val="center"/>
          </w:tcPr>
          <w:p w14:paraId="45793545" w14:textId="77777777" w:rsidR="00E550DB" w:rsidRPr="00635F68" w:rsidRDefault="00E550DB" w:rsidP="000A6E3E">
            <w:pPr>
              <w:pStyle w:val="Popis"/>
            </w:pPr>
            <w:bookmarkStart w:id="72" w:name="_Toc509513337"/>
            <w:r w:rsidRPr="00256D89">
              <w:t xml:space="preserve">Graf </w:t>
            </w:r>
            <w:fldSimple w:instr=" SEQ Graf \* ARABIC ">
              <w:r w:rsidR="00EE7207">
                <w:rPr>
                  <w:noProof/>
                </w:rPr>
                <w:t>25</w:t>
              </w:r>
            </w:fldSimple>
            <w:r>
              <w:rPr>
                <w:noProof/>
              </w:rPr>
              <w:t xml:space="preserve">: </w:t>
            </w:r>
            <w:r w:rsidRPr="00462047">
              <w:t>Záväzky 13 fakultných a</w:t>
            </w:r>
            <w:r>
              <w:t> </w:t>
            </w:r>
            <w:r w:rsidRPr="00462047">
              <w:t>univerzitných</w:t>
            </w:r>
            <w:r>
              <w:t xml:space="preserve"> nemocníc</w:t>
            </w:r>
            <w:r w:rsidRPr="00462047">
              <w:t xml:space="preserve"> rezortu zdravotníctva (</w:t>
            </w:r>
            <w:r>
              <w:t xml:space="preserve">31.12.17, </w:t>
            </w:r>
            <w:r w:rsidRPr="00462047">
              <w:t>mil. eur)</w:t>
            </w:r>
            <w:bookmarkEnd w:id="72"/>
          </w:p>
        </w:tc>
      </w:tr>
      <w:tr w:rsidR="00E550DB" w:rsidRPr="00C307B8" w14:paraId="4CF94C2C" w14:textId="77777777" w:rsidTr="00833925">
        <w:trPr>
          <w:trHeight w:val="2199"/>
          <w:jc w:val="center"/>
        </w:trPr>
        <w:tc>
          <w:tcPr>
            <w:tcW w:w="4246" w:type="dxa"/>
            <w:tcBorders>
              <w:top w:val="single" w:sz="4" w:space="0" w:color="auto"/>
              <w:left w:val="nil"/>
              <w:bottom w:val="single" w:sz="4" w:space="0" w:color="auto"/>
              <w:right w:val="nil"/>
            </w:tcBorders>
            <w:vAlign w:val="center"/>
          </w:tcPr>
          <w:p w14:paraId="76300CA6" w14:textId="77777777" w:rsidR="00E550DB" w:rsidRPr="00D34724" w:rsidRDefault="00E550DB" w:rsidP="000A6E3E">
            <w:pPr>
              <w:spacing w:after="0" w:line="240" w:lineRule="auto"/>
              <w:jc w:val="center"/>
              <w:rPr>
                <w:rFonts w:ascii="Arial Narrow" w:hAnsi="Arial Narrow" w:cs="Arial"/>
                <w:b/>
                <w:sz w:val="20"/>
                <w:szCs w:val="20"/>
                <w:highlight w:val="yellow"/>
              </w:rPr>
            </w:pPr>
            <w:r>
              <w:rPr>
                <w:noProof/>
                <w:lang w:val="en-US" w:eastAsia="en-US"/>
              </w:rPr>
              <w:drawing>
                <wp:inline distT="0" distB="0" distL="0" distR="0" wp14:anchorId="19C911DD" wp14:editId="1FF7F77F">
                  <wp:extent cx="2538730" cy="2105025"/>
                  <wp:effectExtent l="0" t="0" r="0"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173" w:type="dxa"/>
            <w:tcBorders>
              <w:top w:val="nil"/>
              <w:left w:val="nil"/>
              <w:bottom w:val="nil"/>
              <w:right w:val="nil"/>
            </w:tcBorders>
            <w:vAlign w:val="center"/>
          </w:tcPr>
          <w:p w14:paraId="2C623E3B" w14:textId="77777777" w:rsidR="00E550DB" w:rsidRPr="00D02296" w:rsidRDefault="00E550DB" w:rsidP="000A6E3E">
            <w:pPr>
              <w:spacing w:after="0" w:line="240" w:lineRule="auto"/>
              <w:jc w:val="center"/>
              <w:rPr>
                <w:rFonts w:ascii="Arial Narrow" w:hAnsi="Arial Narrow" w:cs="Arial"/>
                <w:b/>
                <w:sz w:val="20"/>
                <w:szCs w:val="20"/>
                <w:highlight w:val="lightGray"/>
              </w:rPr>
            </w:pPr>
          </w:p>
        </w:tc>
        <w:tc>
          <w:tcPr>
            <w:tcW w:w="4369" w:type="dxa"/>
            <w:tcBorders>
              <w:top w:val="single" w:sz="4" w:space="0" w:color="auto"/>
              <w:left w:val="nil"/>
              <w:bottom w:val="single" w:sz="4" w:space="0" w:color="auto"/>
              <w:right w:val="nil"/>
            </w:tcBorders>
            <w:vAlign w:val="center"/>
          </w:tcPr>
          <w:p w14:paraId="4FFA3613" w14:textId="77777777" w:rsidR="00E550DB" w:rsidRPr="00462047" w:rsidRDefault="00E550DB" w:rsidP="000A6E3E">
            <w:pPr>
              <w:spacing w:after="0" w:line="240" w:lineRule="auto"/>
              <w:jc w:val="center"/>
              <w:rPr>
                <w:rFonts w:ascii="Arial Narrow" w:hAnsi="Arial Narrow" w:cs="Arial"/>
                <w:b/>
                <w:sz w:val="16"/>
                <w:szCs w:val="16"/>
                <w:highlight w:val="lightGray"/>
              </w:rPr>
            </w:pPr>
            <w:r>
              <w:rPr>
                <w:noProof/>
                <w:lang w:val="en-US" w:eastAsia="en-US"/>
              </w:rPr>
              <w:drawing>
                <wp:inline distT="0" distB="0" distL="0" distR="0" wp14:anchorId="26A5177F" wp14:editId="6A9D8F4C">
                  <wp:extent cx="2614295" cy="2114550"/>
                  <wp:effectExtent l="0" t="0" r="0" b="0"/>
                  <wp:docPr id="226" name="Graf 2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E550DB" w:rsidRPr="00C307B8" w14:paraId="79C85A4E" w14:textId="77777777" w:rsidTr="00833925">
        <w:trPr>
          <w:trHeight w:val="114"/>
          <w:jc w:val="center"/>
        </w:trPr>
        <w:tc>
          <w:tcPr>
            <w:tcW w:w="4246" w:type="dxa"/>
            <w:tcBorders>
              <w:top w:val="single" w:sz="4" w:space="0" w:color="auto"/>
              <w:left w:val="nil"/>
              <w:bottom w:val="nil"/>
              <w:right w:val="nil"/>
            </w:tcBorders>
            <w:vAlign w:val="center"/>
          </w:tcPr>
          <w:p w14:paraId="12EC0296" w14:textId="77777777" w:rsidR="00E550DB" w:rsidRPr="00C83F39" w:rsidRDefault="00E550DB" w:rsidP="000A6E3E">
            <w:pPr>
              <w:spacing w:after="0" w:line="240" w:lineRule="auto"/>
              <w:jc w:val="right"/>
              <w:rPr>
                <w:rFonts w:ascii="Arial Narrow" w:hAnsi="Arial Narrow" w:cs="Arial"/>
                <w:i/>
                <w:sz w:val="16"/>
                <w:szCs w:val="18"/>
                <w:highlight w:val="lightGray"/>
              </w:rPr>
            </w:pPr>
            <w:r w:rsidRPr="00C83F39">
              <w:rPr>
                <w:rFonts w:ascii="Arial Narrow" w:hAnsi="Arial Narrow" w:cs="Arial"/>
                <w:i/>
                <w:sz w:val="16"/>
                <w:szCs w:val="18"/>
              </w:rPr>
              <w:t xml:space="preserve">Zdroj: </w:t>
            </w:r>
            <w:r>
              <w:rPr>
                <w:rFonts w:ascii="Arial Narrow" w:hAnsi="Arial Narrow" w:cs="Arial"/>
                <w:i/>
                <w:sz w:val="16"/>
                <w:szCs w:val="18"/>
              </w:rPr>
              <w:t xml:space="preserve">IFP na základe údajov z </w:t>
            </w:r>
            <w:r w:rsidRPr="00C83F39">
              <w:rPr>
                <w:rFonts w:ascii="Arial Narrow" w:hAnsi="Arial Narrow" w:cs="Arial"/>
                <w:i/>
                <w:sz w:val="16"/>
                <w:szCs w:val="18"/>
              </w:rPr>
              <w:t xml:space="preserve">OECD </w:t>
            </w:r>
          </w:p>
        </w:tc>
        <w:tc>
          <w:tcPr>
            <w:tcW w:w="173" w:type="dxa"/>
            <w:tcBorders>
              <w:top w:val="nil"/>
              <w:left w:val="nil"/>
              <w:bottom w:val="nil"/>
              <w:right w:val="nil"/>
            </w:tcBorders>
            <w:vAlign w:val="center"/>
          </w:tcPr>
          <w:p w14:paraId="032BFCBA" w14:textId="77777777" w:rsidR="00E550DB" w:rsidRPr="00C83F39" w:rsidRDefault="00E550DB" w:rsidP="000A6E3E">
            <w:pPr>
              <w:spacing w:after="0" w:line="240" w:lineRule="auto"/>
              <w:jc w:val="center"/>
              <w:rPr>
                <w:rFonts w:ascii="Arial Narrow" w:hAnsi="Arial Narrow" w:cs="Arial"/>
                <w:i/>
                <w:sz w:val="16"/>
                <w:szCs w:val="18"/>
                <w:highlight w:val="lightGray"/>
              </w:rPr>
            </w:pPr>
          </w:p>
        </w:tc>
        <w:tc>
          <w:tcPr>
            <w:tcW w:w="4369" w:type="dxa"/>
            <w:tcBorders>
              <w:top w:val="single" w:sz="4" w:space="0" w:color="auto"/>
              <w:left w:val="nil"/>
              <w:bottom w:val="nil"/>
              <w:right w:val="nil"/>
            </w:tcBorders>
            <w:vAlign w:val="center"/>
          </w:tcPr>
          <w:p w14:paraId="498B22F1" w14:textId="77777777" w:rsidR="00E550DB" w:rsidRPr="00C83F39" w:rsidRDefault="00E550DB" w:rsidP="000A6E3E">
            <w:pPr>
              <w:spacing w:after="0" w:line="240" w:lineRule="auto"/>
              <w:jc w:val="right"/>
              <w:rPr>
                <w:rFonts w:ascii="Arial Narrow" w:hAnsi="Arial Narrow" w:cs="Arial"/>
                <w:i/>
                <w:sz w:val="16"/>
                <w:szCs w:val="18"/>
                <w:highlight w:val="lightGray"/>
              </w:rPr>
            </w:pPr>
            <w:r>
              <w:rPr>
                <w:rFonts w:ascii="Arial Narrow" w:hAnsi="Arial Narrow" w:cs="Arial"/>
                <w:i/>
                <w:sz w:val="16"/>
                <w:szCs w:val="18"/>
              </w:rPr>
              <w:t xml:space="preserve">Poznámka: Lineárna projekcia na roky 2018-2021            </w:t>
            </w:r>
            <w:r w:rsidRPr="00C83F39">
              <w:rPr>
                <w:rFonts w:ascii="Arial Narrow" w:hAnsi="Arial Narrow" w:cs="Arial"/>
                <w:i/>
                <w:sz w:val="16"/>
                <w:szCs w:val="18"/>
              </w:rPr>
              <w:t xml:space="preserve">Zdroj: </w:t>
            </w:r>
            <w:r>
              <w:rPr>
                <w:rFonts w:ascii="Arial Narrow" w:hAnsi="Arial Narrow" w:cs="Arial"/>
                <w:i/>
                <w:sz w:val="16"/>
                <w:szCs w:val="18"/>
              </w:rPr>
              <w:t>MZ SR</w:t>
            </w:r>
            <w:r w:rsidRPr="00C83F39">
              <w:rPr>
                <w:rFonts w:ascii="Arial Narrow" w:hAnsi="Arial Narrow" w:cs="Arial"/>
                <w:i/>
                <w:sz w:val="16"/>
                <w:szCs w:val="18"/>
              </w:rPr>
              <w:t xml:space="preserve"> </w:t>
            </w:r>
          </w:p>
        </w:tc>
      </w:tr>
    </w:tbl>
    <w:p w14:paraId="163D629E" w14:textId="77777777" w:rsidR="00E550DB" w:rsidRDefault="00E550DB" w:rsidP="00E550DB">
      <w:pPr>
        <w:spacing w:after="0" w:line="240" w:lineRule="auto"/>
        <w:jc w:val="both"/>
        <w:rPr>
          <w:rFonts w:ascii="Arial Narrow" w:hAnsi="Arial Narrow"/>
        </w:rPr>
      </w:pPr>
    </w:p>
    <w:p w14:paraId="4BFCF9AD" w14:textId="77777777" w:rsidR="00E550DB" w:rsidRPr="00CD34E1" w:rsidRDefault="00E550DB" w:rsidP="00E550DB">
      <w:pPr>
        <w:spacing w:after="0" w:line="240" w:lineRule="auto"/>
        <w:rPr>
          <w:rFonts w:ascii="Arial Narrow" w:hAnsi="Arial Narrow"/>
          <w:b/>
          <w:i/>
        </w:rPr>
      </w:pPr>
      <w:r w:rsidRPr="00CD34E1">
        <w:rPr>
          <w:rFonts w:ascii="Arial Narrow" w:hAnsi="Arial Narrow"/>
          <w:b/>
          <w:i/>
        </w:rPr>
        <w:t xml:space="preserve">Implementácia </w:t>
      </w:r>
      <w:proofErr w:type="spellStart"/>
      <w:r w:rsidRPr="00CD34E1">
        <w:rPr>
          <w:rFonts w:ascii="Arial Narrow" w:hAnsi="Arial Narrow"/>
          <w:b/>
          <w:i/>
        </w:rPr>
        <w:t>eHealth</w:t>
      </w:r>
      <w:proofErr w:type="spellEnd"/>
      <w:r w:rsidRPr="00CD34E1">
        <w:rPr>
          <w:rFonts w:ascii="Arial Narrow" w:hAnsi="Arial Narrow"/>
          <w:b/>
          <w:i/>
        </w:rPr>
        <w:t xml:space="preserve"> </w:t>
      </w:r>
    </w:p>
    <w:p w14:paraId="4303371E" w14:textId="669BF5E9" w:rsidR="00E550DB" w:rsidRDefault="00E550DB" w:rsidP="00E550DB">
      <w:pPr>
        <w:pStyle w:val="Odsekzoznamu"/>
        <w:spacing w:after="160" w:line="240" w:lineRule="auto"/>
        <w:ind w:left="0"/>
        <w:contextualSpacing w:val="0"/>
        <w:jc w:val="both"/>
        <w:rPr>
          <w:rFonts w:ascii="Arial Narrow" w:hAnsi="Arial Narrow"/>
          <w:b/>
          <w:i/>
        </w:rPr>
      </w:pPr>
      <w:r w:rsidRPr="00CD34E1">
        <w:rPr>
          <w:rFonts w:ascii="Arial Narrow" w:hAnsi="Arial Narrow"/>
        </w:rPr>
        <w:t xml:space="preserve">Od začiatku roka 2018 </w:t>
      </w:r>
      <w:r>
        <w:rPr>
          <w:rFonts w:ascii="Arial Narrow" w:hAnsi="Arial Narrow"/>
        </w:rPr>
        <w:t>sú</w:t>
      </w:r>
      <w:r w:rsidRPr="00CD34E1">
        <w:rPr>
          <w:rFonts w:ascii="Arial Narrow" w:hAnsi="Arial Narrow"/>
        </w:rPr>
        <w:t xml:space="preserve"> </w:t>
      </w:r>
      <w:r w:rsidRPr="00BA6E1A">
        <w:rPr>
          <w:rFonts w:ascii="Arial Narrow" w:hAnsi="Arial Narrow"/>
          <w:b/>
        </w:rPr>
        <w:t>vybrané časti systému</w:t>
      </w:r>
      <w:r>
        <w:rPr>
          <w:rFonts w:ascii="Arial Narrow" w:hAnsi="Arial Narrow"/>
        </w:rPr>
        <w:t xml:space="preserve"> </w:t>
      </w:r>
      <w:proofErr w:type="spellStart"/>
      <w:r w:rsidRPr="00BA6E1A">
        <w:rPr>
          <w:rFonts w:ascii="Arial Narrow" w:hAnsi="Arial Narrow"/>
          <w:b/>
          <w:i/>
        </w:rPr>
        <w:t>eHealth</w:t>
      </w:r>
      <w:proofErr w:type="spellEnd"/>
      <w:r w:rsidRPr="00CD34E1">
        <w:rPr>
          <w:rFonts w:ascii="Arial Narrow" w:hAnsi="Arial Narrow"/>
        </w:rPr>
        <w:t xml:space="preserve"> plne funkčné</w:t>
      </w:r>
      <w:r>
        <w:rPr>
          <w:rFonts w:ascii="Arial Narrow" w:hAnsi="Arial Narrow"/>
        </w:rPr>
        <w:t>.</w:t>
      </w:r>
      <w:r w:rsidRPr="00CD34E1">
        <w:rPr>
          <w:rFonts w:ascii="Arial Narrow" w:hAnsi="Arial Narrow"/>
        </w:rPr>
        <w:t xml:space="preserve"> </w:t>
      </w:r>
      <w:r>
        <w:rPr>
          <w:rFonts w:ascii="Arial Narrow" w:hAnsi="Arial Narrow"/>
        </w:rPr>
        <w:t>Aktuálne prebieha pripájani</w:t>
      </w:r>
      <w:r w:rsidR="00BE2911">
        <w:rPr>
          <w:rFonts w:ascii="Arial Narrow" w:hAnsi="Arial Narrow"/>
        </w:rPr>
        <w:t xml:space="preserve">e jednotlivých poskytovateľov zdravotníckych služieb </w:t>
      </w:r>
      <w:r>
        <w:rPr>
          <w:rFonts w:ascii="Arial Narrow" w:hAnsi="Arial Narrow"/>
        </w:rPr>
        <w:t xml:space="preserve">do Národného zdravotníckeho informačného systému (NZIS). Poskytovatelia tak môžu využívať možnosť zápisu alebo čítania vyšetrení v rámci </w:t>
      </w:r>
      <w:r w:rsidRPr="00BA6E1A">
        <w:rPr>
          <w:rFonts w:ascii="Arial Narrow" w:hAnsi="Arial Narrow"/>
          <w:i/>
        </w:rPr>
        <w:t>Pacientskeho sumáru</w:t>
      </w:r>
      <w:r>
        <w:rPr>
          <w:rFonts w:ascii="Arial Narrow" w:hAnsi="Arial Narrow"/>
        </w:rPr>
        <w:t xml:space="preserve">, či možnosť predpisovania elektronických receptov. </w:t>
      </w:r>
      <w:r w:rsidRPr="001D09ED">
        <w:rPr>
          <w:rFonts w:ascii="Arial Narrow" w:hAnsi="Arial Narrow"/>
        </w:rPr>
        <w:t>Súbežne sú začleňované aj sestry</w:t>
      </w:r>
      <w:r>
        <w:rPr>
          <w:rFonts w:ascii="Arial Narrow" w:hAnsi="Arial Narrow"/>
        </w:rPr>
        <w:t>,</w:t>
      </w:r>
      <w:r w:rsidRPr="001D09ED">
        <w:rPr>
          <w:rFonts w:ascii="Arial Narrow" w:hAnsi="Arial Narrow"/>
        </w:rPr>
        <w:t xml:space="preserve"> pôrodné asistentky a zdravotní asistenti, a</w:t>
      </w:r>
      <w:r>
        <w:rPr>
          <w:rFonts w:ascii="Arial Narrow" w:hAnsi="Arial Narrow"/>
        </w:rPr>
        <w:t xml:space="preserve">by sa zmenšila administratívna </w:t>
      </w:r>
      <w:r w:rsidRPr="001D09ED">
        <w:rPr>
          <w:rFonts w:ascii="Arial Narrow" w:hAnsi="Arial Narrow"/>
        </w:rPr>
        <w:t xml:space="preserve">náročnosť pre lekárov. </w:t>
      </w:r>
      <w:r>
        <w:rPr>
          <w:rFonts w:ascii="Arial Narrow" w:hAnsi="Arial Narrow"/>
        </w:rPr>
        <w:t xml:space="preserve">V priebehu tohto roka by malo dôjsť aj k integrácii poskytovateľov záchrannej zdravotnej služby (ZZS). </w:t>
      </w:r>
    </w:p>
    <w:p w14:paraId="6D66487F" w14:textId="77777777" w:rsidR="00E550DB" w:rsidRPr="00D162AA" w:rsidRDefault="00E550DB" w:rsidP="00E550DB">
      <w:pPr>
        <w:pStyle w:val="Odsekzoznamu"/>
        <w:spacing w:line="240" w:lineRule="auto"/>
        <w:ind w:left="0"/>
        <w:jc w:val="both"/>
        <w:rPr>
          <w:rFonts w:ascii="Arial Narrow" w:hAnsi="Arial Narrow"/>
        </w:rPr>
      </w:pPr>
      <w:r w:rsidRPr="00D162AA">
        <w:rPr>
          <w:rFonts w:ascii="Arial Narrow" w:hAnsi="Arial Narrow"/>
          <w:b/>
          <w:i/>
        </w:rPr>
        <w:lastRenderedPageBreak/>
        <w:t>Zavedenie DRG</w:t>
      </w:r>
    </w:p>
    <w:p w14:paraId="07F81EBC" w14:textId="399B3B81" w:rsidR="00E550DB" w:rsidRDefault="00E550DB" w:rsidP="00E550DB">
      <w:pPr>
        <w:pStyle w:val="Odsekzoznamu"/>
        <w:spacing w:line="240" w:lineRule="auto"/>
        <w:ind w:left="0"/>
        <w:jc w:val="both"/>
        <w:rPr>
          <w:rFonts w:ascii="Arial Narrow" w:hAnsi="Arial Narrow"/>
        </w:rPr>
      </w:pPr>
      <w:r w:rsidRPr="00C54301">
        <w:rPr>
          <w:rFonts w:ascii="Arial Narrow" w:hAnsi="Arial Narrow"/>
        </w:rPr>
        <w:t xml:space="preserve">V roku 2017 bol spustený </w:t>
      </w:r>
      <w:r w:rsidRPr="00BA6E1A">
        <w:rPr>
          <w:rFonts w:ascii="Arial Narrow" w:hAnsi="Arial Narrow"/>
          <w:b/>
        </w:rPr>
        <w:t>úhradový mechanizmus naviazaný na diagnostickú skupinu (DRG)</w:t>
      </w:r>
      <w:r w:rsidRPr="00C54301">
        <w:rPr>
          <w:rFonts w:ascii="Arial Narrow" w:hAnsi="Arial Narrow"/>
        </w:rPr>
        <w:t>.</w:t>
      </w:r>
      <w:r>
        <w:rPr>
          <w:rFonts w:ascii="Arial Narrow" w:hAnsi="Arial Narrow"/>
        </w:rPr>
        <w:t xml:space="preserve"> Aj špecializované ústavy, ktoré na tento syst</w:t>
      </w:r>
      <w:r w:rsidR="00BE2911">
        <w:rPr>
          <w:rFonts w:ascii="Arial Narrow" w:hAnsi="Arial Narrow"/>
        </w:rPr>
        <w:t xml:space="preserve">ém zatiaľ neprešli, rokujú so zdravotnými poisťovňami </w:t>
      </w:r>
      <w:r>
        <w:rPr>
          <w:rFonts w:ascii="Arial Narrow" w:hAnsi="Arial Narrow"/>
        </w:rPr>
        <w:t>o prechode na túto formu platieb.</w:t>
      </w:r>
      <w:r w:rsidRPr="00580629">
        <w:rPr>
          <w:rFonts w:ascii="Arial Narrow" w:hAnsi="Arial Narrow"/>
        </w:rPr>
        <w:t xml:space="preserve"> Od roku 2018 začína päťročný proces približovania individuálnych sadzieb</w:t>
      </w:r>
      <w:r>
        <w:rPr>
          <w:rFonts w:ascii="Arial Narrow" w:hAnsi="Arial Narrow"/>
        </w:rPr>
        <w:t xml:space="preserve"> jednotlivých nemocníc</w:t>
      </w:r>
      <w:r w:rsidRPr="00580629">
        <w:rPr>
          <w:rFonts w:ascii="Arial Narrow" w:hAnsi="Arial Narrow"/>
        </w:rPr>
        <w:t>. Cieľom je ich</w:t>
      </w:r>
      <w:r>
        <w:rPr>
          <w:rFonts w:ascii="Arial Narrow" w:hAnsi="Arial Narrow"/>
        </w:rPr>
        <w:t xml:space="preserve"> úplná</w:t>
      </w:r>
      <w:r w:rsidRPr="00580629">
        <w:rPr>
          <w:rFonts w:ascii="Arial Narrow" w:hAnsi="Arial Narrow"/>
        </w:rPr>
        <w:t xml:space="preserve"> konvergencia do jednej celoslovenskej referenčnej základnej sadzby. Tento proces sa má zavŕšiť v roku 2022.</w:t>
      </w:r>
      <w:r>
        <w:rPr>
          <w:rFonts w:ascii="Arial Narrow" w:hAnsi="Arial Narrow"/>
        </w:rPr>
        <w:t xml:space="preserve"> </w:t>
      </w:r>
    </w:p>
    <w:p w14:paraId="54BFC9AB" w14:textId="77777777" w:rsidR="00E550DB" w:rsidRPr="00406B5B" w:rsidRDefault="00E550DB" w:rsidP="00E550DB">
      <w:pPr>
        <w:pStyle w:val="Odsekzoznamu"/>
        <w:spacing w:line="240" w:lineRule="auto"/>
        <w:ind w:left="0"/>
        <w:jc w:val="both"/>
        <w:rPr>
          <w:rFonts w:ascii="Arial Narrow" w:hAnsi="Arial Narrow"/>
          <w:b/>
          <w:i/>
        </w:rPr>
      </w:pPr>
    </w:p>
    <w:p w14:paraId="5CA887E0" w14:textId="77777777" w:rsidR="00E550DB" w:rsidRPr="001A1424" w:rsidRDefault="00E550DB" w:rsidP="00E550DB">
      <w:pPr>
        <w:pStyle w:val="Odsekzoznamu"/>
        <w:spacing w:line="240" w:lineRule="auto"/>
        <w:ind w:left="0"/>
        <w:jc w:val="both"/>
        <w:rPr>
          <w:rFonts w:ascii="Arial Narrow" w:hAnsi="Arial Narrow"/>
          <w:b/>
          <w:i/>
        </w:rPr>
      </w:pPr>
      <w:r w:rsidRPr="001A1424">
        <w:rPr>
          <w:rFonts w:ascii="Arial Narrow" w:hAnsi="Arial Narrow"/>
          <w:b/>
          <w:i/>
        </w:rPr>
        <w:t>Lieky a</w:t>
      </w:r>
      <w:r>
        <w:rPr>
          <w:rFonts w:ascii="Arial Narrow" w:hAnsi="Arial Narrow"/>
          <w:b/>
          <w:i/>
        </w:rPr>
        <w:t> zdravotnícke pomôcky</w:t>
      </w:r>
    </w:p>
    <w:p w14:paraId="487185A6" w14:textId="544B1905" w:rsidR="00194344" w:rsidRDefault="00E550DB" w:rsidP="00E550DB">
      <w:pPr>
        <w:pStyle w:val="Odsekzoznamu"/>
        <w:spacing w:after="0" w:line="240" w:lineRule="auto"/>
        <w:ind w:left="0"/>
        <w:contextualSpacing w:val="0"/>
        <w:jc w:val="both"/>
        <w:rPr>
          <w:rFonts w:ascii="Arial Narrow" w:hAnsi="Arial Narrow"/>
        </w:rPr>
      </w:pPr>
      <w:r w:rsidRPr="003B74FF">
        <w:rPr>
          <w:rFonts w:ascii="Arial Narrow" w:hAnsi="Arial Narrow"/>
        </w:rPr>
        <w:t xml:space="preserve">V priebehu roka 2017 bolo prijatých niekoľko </w:t>
      </w:r>
      <w:r w:rsidRPr="00BA6E1A">
        <w:rPr>
          <w:rFonts w:ascii="Arial Narrow" w:hAnsi="Arial Narrow"/>
          <w:b/>
        </w:rPr>
        <w:t>legislatívnych zmien</w:t>
      </w:r>
      <w:r w:rsidRPr="003B74FF">
        <w:rPr>
          <w:rFonts w:ascii="Arial Narrow" w:hAnsi="Arial Narrow"/>
        </w:rPr>
        <w:t xml:space="preserve">, ktorých cieľom je </w:t>
      </w:r>
      <w:r w:rsidR="00194344">
        <w:rPr>
          <w:rFonts w:ascii="Arial Narrow" w:hAnsi="Arial Narrow"/>
        </w:rPr>
        <w:t>upresniť podmienky pri preplácaní liekov na výnimku a</w:t>
      </w:r>
      <w:r w:rsidR="00A34E9D">
        <w:rPr>
          <w:rFonts w:ascii="Arial Narrow" w:hAnsi="Arial Narrow"/>
        </w:rPr>
        <w:t xml:space="preserve"> upraviť možnosti </w:t>
      </w:r>
      <w:r w:rsidR="00194344">
        <w:rPr>
          <w:rFonts w:ascii="Arial Narrow" w:hAnsi="Arial Narrow"/>
        </w:rPr>
        <w:t>vstup</w:t>
      </w:r>
      <w:r w:rsidR="00A34E9D">
        <w:rPr>
          <w:rFonts w:ascii="Arial Narrow" w:hAnsi="Arial Narrow"/>
        </w:rPr>
        <w:t>u</w:t>
      </w:r>
      <w:r w:rsidR="00194344">
        <w:rPr>
          <w:rFonts w:ascii="Arial Narrow" w:hAnsi="Arial Narrow"/>
        </w:rPr>
        <w:t xml:space="preserve"> inovatívnych a generických liekov na trh. </w:t>
      </w:r>
      <w:r w:rsidR="00A34E9D">
        <w:rPr>
          <w:rFonts w:ascii="Arial Narrow" w:hAnsi="Arial Narrow"/>
        </w:rPr>
        <w:t>V priebehu</w:t>
      </w:r>
      <w:r w:rsidRPr="00390FD6">
        <w:rPr>
          <w:rFonts w:ascii="Arial Narrow" w:hAnsi="Arial Narrow"/>
        </w:rPr>
        <w:t xml:space="preserve"> roka 2018 </w:t>
      </w:r>
      <w:r w:rsidR="00EB35C0">
        <w:rPr>
          <w:rFonts w:ascii="Arial Narrow" w:hAnsi="Arial Narrow"/>
        </w:rPr>
        <w:t xml:space="preserve">by </w:t>
      </w:r>
      <w:r w:rsidRPr="00390FD6">
        <w:rPr>
          <w:rFonts w:ascii="Arial Narrow" w:hAnsi="Arial Narrow"/>
        </w:rPr>
        <w:t xml:space="preserve">sa </w:t>
      </w:r>
      <w:r w:rsidR="00A34E9D">
        <w:rPr>
          <w:rFonts w:ascii="Arial Narrow" w:hAnsi="Arial Narrow"/>
        </w:rPr>
        <w:t>mali</w:t>
      </w:r>
      <w:r w:rsidR="00194344" w:rsidRPr="00390FD6">
        <w:rPr>
          <w:rFonts w:ascii="Arial Narrow" w:hAnsi="Arial Narrow"/>
        </w:rPr>
        <w:t xml:space="preserve"> </w:t>
      </w:r>
      <w:r w:rsidRPr="00390FD6">
        <w:rPr>
          <w:rFonts w:ascii="Arial Narrow" w:hAnsi="Arial Narrow"/>
        </w:rPr>
        <w:t>zav</w:t>
      </w:r>
      <w:r w:rsidR="00A34E9D">
        <w:rPr>
          <w:rFonts w:ascii="Arial Narrow" w:hAnsi="Arial Narrow"/>
        </w:rPr>
        <w:t>iesť</w:t>
      </w:r>
      <w:r w:rsidRPr="00390FD6">
        <w:rPr>
          <w:rFonts w:ascii="Arial Narrow" w:hAnsi="Arial Narrow"/>
        </w:rPr>
        <w:t xml:space="preserve"> predpisové limity pre ambulantných poskytovateľov, ktoré by mali bojovať s nadspotrebou liekov. </w:t>
      </w:r>
      <w:r>
        <w:rPr>
          <w:rFonts w:ascii="Arial Narrow" w:hAnsi="Arial Narrow"/>
        </w:rPr>
        <w:t>Nákladovo neefektívne lieky budú v</w:t>
      </w:r>
      <w:r w:rsidR="004A26DD">
        <w:rPr>
          <w:rFonts w:ascii="Arial Narrow" w:hAnsi="Arial Narrow"/>
        </w:rPr>
        <w:t xml:space="preserve"> ešte</w:t>
      </w:r>
      <w:r>
        <w:rPr>
          <w:rFonts w:ascii="Arial Narrow" w:hAnsi="Arial Narrow"/>
        </w:rPr>
        <w:t xml:space="preserve"> väčšej miere centrálne obstarávané a nakupované.</w:t>
      </w:r>
      <w:r w:rsidRPr="003B74FF">
        <w:rPr>
          <w:rFonts w:ascii="Arial Narrow" w:hAnsi="Arial Narrow"/>
        </w:rPr>
        <w:t xml:space="preserve"> </w:t>
      </w:r>
      <w:r>
        <w:rPr>
          <w:rFonts w:ascii="Arial Narrow" w:hAnsi="Arial Narrow"/>
        </w:rPr>
        <w:t>Navyše budú môcť lekári vydať pacientom recept</w:t>
      </w:r>
      <w:r w:rsidR="007108B3">
        <w:rPr>
          <w:rFonts w:ascii="Arial Narrow" w:hAnsi="Arial Narrow"/>
        </w:rPr>
        <w:t xml:space="preserve">, </w:t>
      </w:r>
      <w:r>
        <w:rPr>
          <w:rFonts w:ascii="Arial Narrow" w:hAnsi="Arial Narrow"/>
        </w:rPr>
        <w:t>kde bude predpísaná iba účinná látka a nie konkrétny liek</w:t>
      </w:r>
      <w:r w:rsidR="004330D8">
        <w:rPr>
          <w:rStyle w:val="Odkaznapoznmkupodiarou"/>
          <w:rFonts w:ascii="Arial Narrow" w:hAnsi="Arial Narrow"/>
        </w:rPr>
        <w:footnoteReference w:id="46"/>
      </w:r>
      <w:r>
        <w:rPr>
          <w:rFonts w:ascii="Arial Narrow" w:hAnsi="Arial Narrow"/>
        </w:rPr>
        <w:t xml:space="preserve">. V priebehu tohto roka dôjde aj k postupnému </w:t>
      </w:r>
      <w:proofErr w:type="spellStart"/>
      <w:r>
        <w:rPr>
          <w:rFonts w:ascii="Arial Narrow" w:hAnsi="Arial Narrow"/>
        </w:rPr>
        <w:t>referencovaniu</w:t>
      </w:r>
      <w:proofErr w:type="spellEnd"/>
      <w:r>
        <w:rPr>
          <w:rFonts w:ascii="Arial Narrow" w:hAnsi="Arial Narrow"/>
        </w:rPr>
        <w:t xml:space="preserve"> cien špeciálneho zdravotníckeho materiálu a zdravotníckych pomôcok.</w:t>
      </w:r>
      <w:r w:rsidR="00CE647D">
        <w:rPr>
          <w:rFonts w:ascii="Arial Narrow" w:hAnsi="Arial Narrow"/>
        </w:rPr>
        <w:t xml:space="preserve"> </w:t>
      </w:r>
      <w:r w:rsidR="00CE647D" w:rsidRPr="00CE647D">
        <w:rPr>
          <w:rFonts w:ascii="Arial Narrow" w:hAnsi="Arial Narrow"/>
        </w:rPr>
        <w:t>V roku 2018 sa bude venovať pozornosť pretrvávajúcemu problému reexportu liekov, ktorý sa objavil aj po schválenom zákone o liekoch a zdravotníckych pomôckach.</w:t>
      </w:r>
    </w:p>
    <w:p w14:paraId="46211303" w14:textId="77777777" w:rsidR="00E550DB" w:rsidRDefault="00E550DB" w:rsidP="00E550DB">
      <w:pPr>
        <w:pStyle w:val="Odsekzoznamu"/>
        <w:spacing w:line="240" w:lineRule="auto"/>
        <w:ind w:left="0"/>
        <w:jc w:val="both"/>
        <w:rPr>
          <w:rFonts w:ascii="Arial Narrow" w:hAnsi="Arial Narrow"/>
          <w:b/>
          <w:i/>
          <w:color w:val="222222"/>
        </w:rPr>
      </w:pPr>
    </w:p>
    <w:p w14:paraId="7DE32E88" w14:textId="77777777" w:rsidR="00E550DB" w:rsidRPr="000C5F9D" w:rsidRDefault="00E550DB" w:rsidP="00E550DB">
      <w:pPr>
        <w:pStyle w:val="Odsekzoznamu"/>
        <w:spacing w:line="240" w:lineRule="auto"/>
        <w:ind w:left="0"/>
        <w:jc w:val="both"/>
        <w:rPr>
          <w:rFonts w:ascii="Arial Narrow" w:hAnsi="Arial Narrow"/>
          <w:b/>
          <w:i/>
          <w:color w:val="222222"/>
        </w:rPr>
      </w:pPr>
      <w:r>
        <w:rPr>
          <w:rFonts w:ascii="Arial Narrow" w:hAnsi="Arial Narrow"/>
          <w:b/>
          <w:i/>
          <w:color w:val="222222"/>
        </w:rPr>
        <w:t>Optimalizácia siete poskytovateľov zdravotnej starostlivosti</w:t>
      </w:r>
    </w:p>
    <w:p w14:paraId="0F7D0C73" w14:textId="600BAE34" w:rsidR="00E550DB" w:rsidRDefault="00E550DB" w:rsidP="00E550DB">
      <w:pPr>
        <w:pStyle w:val="Odsekzoznamu"/>
        <w:spacing w:after="0" w:line="240" w:lineRule="auto"/>
        <w:ind w:left="0"/>
        <w:contextualSpacing w:val="0"/>
        <w:jc w:val="both"/>
        <w:rPr>
          <w:rFonts w:ascii="Arial Narrow" w:hAnsi="Arial Narrow"/>
        </w:rPr>
      </w:pPr>
      <w:r w:rsidRPr="00DE0D48">
        <w:rPr>
          <w:rFonts w:ascii="Arial Narrow" w:hAnsi="Arial Narrow"/>
        </w:rPr>
        <w:t xml:space="preserve">Dôjde k </w:t>
      </w:r>
      <w:r w:rsidRPr="00BA6E1A">
        <w:rPr>
          <w:rFonts w:ascii="Arial Narrow" w:hAnsi="Arial Narrow"/>
          <w:b/>
        </w:rPr>
        <w:t>optimalizácii medicínskych procesov</w:t>
      </w:r>
      <w:r>
        <w:rPr>
          <w:rFonts w:ascii="Arial Narrow" w:hAnsi="Arial Narrow"/>
          <w:b/>
        </w:rPr>
        <w:t xml:space="preserve">, </w:t>
      </w:r>
      <w:r w:rsidRPr="00B14433">
        <w:rPr>
          <w:rFonts w:ascii="Arial Narrow" w:hAnsi="Arial Narrow"/>
        </w:rPr>
        <w:t xml:space="preserve">čo by malo byť docielené pomocou úpravy siete akútnych nemocníc a ich </w:t>
      </w:r>
      <w:proofErr w:type="spellStart"/>
      <w:r w:rsidRPr="00B14433">
        <w:rPr>
          <w:rFonts w:ascii="Arial Narrow" w:hAnsi="Arial Narrow"/>
        </w:rPr>
        <w:t>reprofilizáciou</w:t>
      </w:r>
      <w:proofErr w:type="spellEnd"/>
      <w:r w:rsidRPr="00B14433">
        <w:rPr>
          <w:rFonts w:ascii="Arial Narrow" w:hAnsi="Arial Narrow"/>
        </w:rPr>
        <w:t xml:space="preserve">. Výraznou zmenou prejde najmä sieť nepretržitej zdravotnej starostlivosti pričom novela zákona umožní vznik dvoch </w:t>
      </w:r>
      <w:r>
        <w:rPr>
          <w:rFonts w:ascii="Arial Narrow" w:hAnsi="Arial Narrow"/>
        </w:rPr>
        <w:t xml:space="preserve">nových </w:t>
      </w:r>
      <w:r w:rsidRPr="00B14433">
        <w:rPr>
          <w:rFonts w:ascii="Arial Narrow" w:hAnsi="Arial Narrow"/>
        </w:rPr>
        <w:t>typov urgentných príjmov. Tie budú slúžiť ako nadstavba k už existujúcej sieti ústavnej pohotovostnej služby</w:t>
      </w:r>
      <w:r>
        <w:rPr>
          <w:rFonts w:ascii="Arial Narrow" w:hAnsi="Arial Narrow"/>
        </w:rPr>
        <w:t>. T</w:t>
      </w:r>
      <w:r w:rsidRPr="00B14433">
        <w:rPr>
          <w:rFonts w:ascii="Arial Narrow" w:hAnsi="Arial Narrow"/>
        </w:rPr>
        <w:t>á sa bude postupne zmenšovať s</w:t>
      </w:r>
      <w:r>
        <w:rPr>
          <w:rFonts w:ascii="Arial Narrow" w:hAnsi="Arial Narrow"/>
        </w:rPr>
        <w:t> </w:t>
      </w:r>
      <w:r w:rsidRPr="00B14433">
        <w:rPr>
          <w:rFonts w:ascii="Arial Narrow" w:hAnsi="Arial Narrow"/>
        </w:rPr>
        <w:t>tým</w:t>
      </w:r>
      <w:r>
        <w:rPr>
          <w:rFonts w:ascii="Arial Narrow" w:hAnsi="Arial Narrow"/>
        </w:rPr>
        <w:t>,</w:t>
      </w:r>
      <w:r w:rsidRPr="00B14433">
        <w:rPr>
          <w:rFonts w:ascii="Arial Narrow" w:hAnsi="Arial Narrow"/>
        </w:rPr>
        <w:t xml:space="preserve"> ako sa budú budovať </w:t>
      </w:r>
      <w:proofErr w:type="spellStart"/>
      <w:r w:rsidRPr="00B14433">
        <w:rPr>
          <w:rFonts w:ascii="Arial Narrow" w:hAnsi="Arial Narrow"/>
        </w:rPr>
        <w:t>urgenty</w:t>
      </w:r>
      <w:proofErr w:type="spellEnd"/>
      <w:r w:rsidRPr="00B14433">
        <w:rPr>
          <w:rFonts w:ascii="Arial Narrow" w:hAnsi="Arial Narrow"/>
        </w:rPr>
        <w:t xml:space="preserve"> I. a II. typu. Návrh zákona definoval minimálnu pevnú sieť poskytovateľov takejto starostlivosti a títo poskytovatelia </w:t>
      </w:r>
      <w:r w:rsidR="00D826C7">
        <w:rPr>
          <w:rFonts w:ascii="Arial Narrow" w:hAnsi="Arial Narrow"/>
        </w:rPr>
        <w:t>zdravotnej starostlivosti</w:t>
      </w:r>
      <w:r w:rsidRPr="00B14433">
        <w:rPr>
          <w:rFonts w:ascii="Arial Narrow" w:hAnsi="Arial Narrow"/>
        </w:rPr>
        <w:t xml:space="preserve"> budú mať nárok na finančnú pomoc zo strany štátu.</w:t>
      </w:r>
      <w:r>
        <w:rPr>
          <w:rFonts w:ascii="Arial Narrow" w:hAnsi="Arial Narrow"/>
        </w:rPr>
        <w:t xml:space="preserve"> V roku 2018 sa plánuje výstavba prvých troch urgentných príjmov II. typu, z čoho dva sa budú nachádzať v Bratislave (jeden pre deti a druhý zvlášť pre dospelých) a jeden v Poprade. V roku 2019 by mali byť vybudované ďalšie tri urgentné príjmy II. typu (dva v Banskej Bystrici, jeden v Košiciach). Celá sieť by mala byť dokončená do roku 2021 výstavbou dodatočných troch urgentných príjmov II. typu v Nitre, Košiciach a Prešove. V roku 2018 sa tiež predpokladá výstavba 7 urgentných príjmov I. typu. Celkovo by do roku 2021 malo byť vybudovaných až 32 urgentných príjmov I. typu. Náklady na výstavbu už sú pokryté v rámci kapitoly MZ SR. </w:t>
      </w:r>
      <w:r w:rsidRPr="00801F44">
        <w:rPr>
          <w:rFonts w:ascii="Arial Narrow" w:hAnsi="Arial Narrow"/>
        </w:rPr>
        <w:t>Návrh zákona je momentálne po druhom čítaní v NR SR</w:t>
      </w:r>
      <w:r w:rsidR="00801F44">
        <w:rPr>
          <w:rFonts w:ascii="Arial Narrow" w:hAnsi="Arial Narrow"/>
        </w:rPr>
        <w:t xml:space="preserve"> </w:t>
      </w:r>
      <w:r w:rsidR="00801F44" w:rsidRPr="00801F44">
        <w:rPr>
          <w:rFonts w:ascii="Arial Narrow" w:hAnsi="Arial Narrow"/>
          <w:i/>
        </w:rPr>
        <w:t>(bude aktualizované)</w:t>
      </w:r>
      <w:r w:rsidRPr="00801F44">
        <w:rPr>
          <w:rFonts w:ascii="Arial Narrow" w:hAnsi="Arial Narrow"/>
        </w:rPr>
        <w:t>.</w:t>
      </w:r>
    </w:p>
    <w:p w14:paraId="4B5340C3" w14:textId="77777777" w:rsidR="00E550DB" w:rsidRDefault="00E550DB" w:rsidP="00E550DB">
      <w:pPr>
        <w:pStyle w:val="Odsekzoznamu"/>
        <w:spacing w:after="0" w:line="240" w:lineRule="auto"/>
        <w:ind w:left="0"/>
        <w:contextualSpacing w:val="0"/>
        <w:jc w:val="both"/>
        <w:rPr>
          <w:rFonts w:ascii="Arial Narrow" w:hAnsi="Arial Narrow"/>
        </w:rPr>
      </w:pPr>
    </w:p>
    <w:p w14:paraId="53E86064" w14:textId="77777777" w:rsidR="00E550DB" w:rsidRPr="00B14433" w:rsidRDefault="00E550DB" w:rsidP="00E550DB">
      <w:pPr>
        <w:pStyle w:val="Odsekzoznamu"/>
        <w:spacing w:line="240" w:lineRule="auto"/>
        <w:ind w:left="0"/>
        <w:jc w:val="both"/>
        <w:rPr>
          <w:rFonts w:ascii="Arial Narrow" w:hAnsi="Arial Narrow"/>
          <w:b/>
          <w:i/>
          <w:color w:val="222222"/>
        </w:rPr>
      </w:pPr>
      <w:r w:rsidRPr="00B14433">
        <w:rPr>
          <w:rFonts w:ascii="Arial Narrow" w:hAnsi="Arial Narrow"/>
          <w:b/>
          <w:i/>
          <w:color w:val="222222"/>
        </w:rPr>
        <w:t>Optimalizácia procesov pri poskytovaní zdravotnej starostlivosti</w:t>
      </w:r>
    </w:p>
    <w:p w14:paraId="14C6B738" w14:textId="77777777" w:rsidR="00E550DB" w:rsidRDefault="00E550DB" w:rsidP="00E550DB">
      <w:pPr>
        <w:pStyle w:val="Odsekzoznamu"/>
        <w:spacing w:after="0" w:line="240" w:lineRule="auto"/>
        <w:ind w:left="0"/>
        <w:contextualSpacing w:val="0"/>
        <w:jc w:val="both"/>
        <w:rPr>
          <w:rFonts w:ascii="Arial Narrow" w:hAnsi="Arial Narrow"/>
        </w:rPr>
      </w:pPr>
      <w:r w:rsidRPr="00DE0D48">
        <w:rPr>
          <w:rFonts w:ascii="Arial Narrow" w:hAnsi="Arial Narrow"/>
        </w:rPr>
        <w:t xml:space="preserve">V diagnostike bude postupne dochádzať k zavádzaniu štandardných diagnostických a terapeutických postupov. </w:t>
      </w:r>
      <w:r>
        <w:rPr>
          <w:rFonts w:ascii="Arial Narrow" w:hAnsi="Arial Narrow"/>
        </w:rPr>
        <w:t xml:space="preserve">Tiež by malo dôjsť k posilneniu kompetencií všeobecných lekárov, zdravotníckych sestier a asistentov. Diagnostika niektorých ochorení tak prejde zo špecialistov na všeobecných lekárov a zo všeobecných lekárov na ich sestry a asistentov. </w:t>
      </w:r>
      <w:r w:rsidRPr="00DE0D48">
        <w:rPr>
          <w:rFonts w:ascii="Arial Narrow" w:hAnsi="Arial Narrow"/>
        </w:rPr>
        <w:t>V priebehu tohto roka by aj poskytovatelia dopravnej záchrannej služby mali byť postupne zapájaní do integrovaného záchranného systému. Komunikácia medzi operačnými strediskami a vozidlami ZZS by mala začať prebi</w:t>
      </w:r>
      <w:r>
        <w:rPr>
          <w:rFonts w:ascii="Arial Narrow" w:hAnsi="Arial Narrow"/>
        </w:rPr>
        <w:t>ehať na báze presnej GPS polohy, čo by malo zrýchliť a zefektívniť celý systém.</w:t>
      </w:r>
    </w:p>
    <w:p w14:paraId="266F9F7C" w14:textId="77777777" w:rsidR="00E550DB" w:rsidRPr="00EE3E98" w:rsidRDefault="00E550DB" w:rsidP="00E550DB">
      <w:pPr>
        <w:pStyle w:val="Odsekzoznamu"/>
        <w:spacing w:after="0" w:line="240" w:lineRule="auto"/>
        <w:ind w:left="0"/>
        <w:contextualSpacing w:val="0"/>
        <w:jc w:val="both"/>
        <w:rPr>
          <w:rFonts w:ascii="Arial Narrow" w:hAnsi="Arial Narrow"/>
        </w:rPr>
      </w:pPr>
    </w:p>
    <w:p w14:paraId="23461E1B" w14:textId="77777777" w:rsidR="00E550DB" w:rsidRPr="00B62F3A" w:rsidRDefault="00E550DB" w:rsidP="00E550DB">
      <w:pPr>
        <w:pStyle w:val="Odsekzoznamu"/>
        <w:spacing w:line="240" w:lineRule="auto"/>
        <w:ind w:left="0"/>
        <w:jc w:val="both"/>
        <w:rPr>
          <w:rFonts w:ascii="Arial Narrow" w:hAnsi="Arial Narrow"/>
          <w:b/>
          <w:i/>
        </w:rPr>
      </w:pPr>
      <w:r w:rsidRPr="00B62F3A">
        <w:rPr>
          <w:rFonts w:ascii="Arial Narrow" w:hAnsi="Arial Narrow"/>
          <w:b/>
          <w:i/>
        </w:rPr>
        <w:t xml:space="preserve">Transparentnosť </w:t>
      </w:r>
    </w:p>
    <w:p w14:paraId="53FDC547" w14:textId="77777777" w:rsidR="00E550DB" w:rsidRDefault="00E550DB" w:rsidP="005303A5">
      <w:pPr>
        <w:pStyle w:val="Odsekzoznamu"/>
        <w:spacing w:after="0" w:line="240" w:lineRule="auto"/>
        <w:ind w:left="0"/>
        <w:contextualSpacing w:val="0"/>
        <w:jc w:val="both"/>
        <w:rPr>
          <w:rFonts w:ascii="Arial Narrow" w:hAnsi="Arial Narrow"/>
        </w:rPr>
      </w:pPr>
      <w:proofErr w:type="spellStart"/>
      <w:r w:rsidRPr="00BC27B4">
        <w:rPr>
          <w:rFonts w:ascii="Arial Narrow" w:hAnsi="Arial Narrow"/>
        </w:rPr>
        <w:t>VšZP</w:t>
      </w:r>
      <w:proofErr w:type="spellEnd"/>
      <w:r w:rsidRPr="00BC27B4">
        <w:rPr>
          <w:rFonts w:ascii="Arial Narrow" w:hAnsi="Arial Narrow"/>
        </w:rPr>
        <w:t xml:space="preserve"> plánuje navýšiť </w:t>
      </w:r>
      <w:r w:rsidRPr="00BA6E1A">
        <w:rPr>
          <w:rFonts w:ascii="Arial Narrow" w:hAnsi="Arial Narrow"/>
          <w:b/>
        </w:rPr>
        <w:t>počet revíznych kontrol a konaní</w:t>
      </w:r>
      <w:r w:rsidRPr="00BC27B4">
        <w:rPr>
          <w:rFonts w:ascii="Arial Narrow" w:hAnsi="Arial Narrow"/>
        </w:rPr>
        <w:t>.</w:t>
      </w:r>
      <w:r w:rsidR="00B4471A">
        <w:rPr>
          <w:rFonts w:ascii="Arial Narrow" w:hAnsi="Arial Narrow"/>
        </w:rPr>
        <w:t xml:space="preserve"> </w:t>
      </w:r>
      <w:r w:rsidRPr="00EE3E98">
        <w:rPr>
          <w:rFonts w:ascii="Arial Narrow" w:hAnsi="Arial Narrow"/>
        </w:rPr>
        <w:t xml:space="preserve">Bude </w:t>
      </w:r>
      <w:r>
        <w:rPr>
          <w:rFonts w:ascii="Arial Narrow" w:hAnsi="Arial Narrow"/>
        </w:rPr>
        <w:t xml:space="preserve">pokračovať proces </w:t>
      </w:r>
      <w:r w:rsidRPr="00EE3E98">
        <w:rPr>
          <w:rFonts w:ascii="Arial Narrow" w:hAnsi="Arial Narrow"/>
        </w:rPr>
        <w:t>rozš</w:t>
      </w:r>
      <w:r>
        <w:rPr>
          <w:rFonts w:ascii="Arial Narrow" w:hAnsi="Arial Narrow"/>
        </w:rPr>
        <w:t>irovania</w:t>
      </w:r>
      <w:r w:rsidRPr="00EE3E98">
        <w:rPr>
          <w:rFonts w:ascii="Arial Narrow" w:hAnsi="Arial Narrow"/>
        </w:rPr>
        <w:t xml:space="preserve"> zoznam</w:t>
      </w:r>
      <w:r>
        <w:rPr>
          <w:rFonts w:ascii="Arial Narrow" w:hAnsi="Arial Narrow"/>
        </w:rPr>
        <w:t>u</w:t>
      </w:r>
      <w:r w:rsidRPr="00EE3E98">
        <w:rPr>
          <w:rFonts w:ascii="Arial Narrow" w:hAnsi="Arial Narrow"/>
        </w:rPr>
        <w:t xml:space="preserve"> </w:t>
      </w:r>
      <w:r w:rsidRPr="00BA6E1A">
        <w:rPr>
          <w:rFonts w:ascii="Arial Narrow" w:hAnsi="Arial Narrow"/>
          <w:b/>
        </w:rPr>
        <w:t xml:space="preserve">verejne prístupných dát </w:t>
      </w:r>
      <w:r w:rsidRPr="00EE3E98">
        <w:rPr>
          <w:rFonts w:ascii="Arial Narrow" w:hAnsi="Arial Narrow"/>
        </w:rPr>
        <w:t xml:space="preserve">v užívateľsky prístupnom formáte. Posilnenie transparentnosti prinesie aj </w:t>
      </w:r>
      <w:r w:rsidRPr="00BA6E1A">
        <w:rPr>
          <w:rFonts w:ascii="Arial Narrow" w:hAnsi="Arial Narrow"/>
          <w:b/>
        </w:rPr>
        <w:t>reorganizácia výberových procesov členov do kategorizačných orgánov</w:t>
      </w:r>
      <w:r>
        <w:rPr>
          <w:rFonts w:ascii="Arial Narrow" w:hAnsi="Arial Narrow"/>
        </w:rPr>
        <w:t>.</w:t>
      </w:r>
      <w:r w:rsidRPr="00EE3E98">
        <w:rPr>
          <w:rFonts w:ascii="Arial Narrow" w:hAnsi="Arial Narrow"/>
        </w:rPr>
        <w:t xml:space="preserve"> </w:t>
      </w:r>
      <w:r>
        <w:rPr>
          <w:rFonts w:ascii="Arial Narrow" w:hAnsi="Arial Narrow"/>
        </w:rPr>
        <w:t>Bude sa zvyšovať aj počet nezávislých zahraničných spolupracovníkov, ktorí budú kontrolovať činnosť kategorizačných orgánov.</w:t>
      </w:r>
      <w:r w:rsidRPr="00EE3E98">
        <w:rPr>
          <w:rFonts w:ascii="Arial Narrow" w:hAnsi="Arial Narrow"/>
        </w:rPr>
        <w:t xml:space="preserve"> </w:t>
      </w:r>
    </w:p>
    <w:p w14:paraId="46E34AB2" w14:textId="18B57851" w:rsidR="008860C3" w:rsidRPr="00833925" w:rsidRDefault="00833925" w:rsidP="00833925">
      <w:pPr>
        <w:spacing w:after="0" w:line="240" w:lineRule="auto"/>
        <w:rPr>
          <w:rFonts w:ascii="Arial Narrow" w:hAnsi="Arial Narrow"/>
        </w:rPr>
      </w:pPr>
      <w:r w:rsidRPr="00833925">
        <w:rPr>
          <w:rFonts w:ascii="Arial Narrow" w:hAnsi="Arial Narrow"/>
        </w:rPr>
        <w:br w:type="page"/>
      </w:r>
    </w:p>
    <w:tbl>
      <w:tblPr>
        <w:tblStyle w:val="Mriekatabuky1"/>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4"/>
      </w:tblGrid>
      <w:tr w:rsidR="001F0E7E" w:rsidRPr="002B1C6B" w14:paraId="45557F6B" w14:textId="77777777" w:rsidTr="002B2F6D">
        <w:trPr>
          <w:jc w:val="center"/>
        </w:trPr>
        <w:tc>
          <w:tcPr>
            <w:tcW w:w="8564" w:type="dxa"/>
            <w:shd w:val="clear" w:color="auto" w:fill="AAD3F2"/>
          </w:tcPr>
          <w:p w14:paraId="7468692C" w14:textId="28B1F398" w:rsidR="00F65176" w:rsidRDefault="001F0E7E" w:rsidP="00B15601">
            <w:pPr>
              <w:spacing w:before="120" w:line="240" w:lineRule="auto"/>
              <w:jc w:val="both"/>
              <w:rPr>
                <w:rFonts w:ascii="Arial Narrow" w:hAnsi="Arial Narrow"/>
                <w:b/>
              </w:rPr>
            </w:pPr>
            <w:r>
              <w:rPr>
                <w:rFonts w:ascii="Arial Narrow" w:hAnsi="Arial Narrow"/>
                <w:b/>
              </w:rPr>
              <w:lastRenderedPageBreak/>
              <w:t xml:space="preserve">Box </w:t>
            </w:r>
            <w:r w:rsidR="005303A5" w:rsidRPr="005303A5">
              <w:rPr>
                <w:rFonts w:ascii="Arial Narrow" w:hAnsi="Arial Narrow"/>
                <w:b/>
              </w:rPr>
              <w:t>4</w:t>
            </w:r>
            <w:r w:rsidRPr="002B1C6B">
              <w:rPr>
                <w:rFonts w:ascii="Arial Narrow" w:hAnsi="Arial Narrow"/>
                <w:b/>
              </w:rPr>
              <w:t xml:space="preserve">: </w:t>
            </w:r>
            <w:r>
              <w:rPr>
                <w:rFonts w:ascii="Arial Narrow" w:hAnsi="Arial Narrow"/>
                <w:b/>
              </w:rPr>
              <w:t>Revízia výdavkov na</w:t>
            </w:r>
            <w:r w:rsidR="00F65176">
              <w:rPr>
                <w:rFonts w:ascii="Arial Narrow" w:hAnsi="Arial Narrow"/>
                <w:b/>
              </w:rPr>
              <w:t> zdravotníctvo II</w:t>
            </w:r>
          </w:p>
          <w:p w14:paraId="73723075" w14:textId="2872F80B" w:rsidR="00F65176" w:rsidRPr="005303A5" w:rsidRDefault="00F65176" w:rsidP="00B15601">
            <w:pPr>
              <w:spacing w:before="120" w:line="240" w:lineRule="auto"/>
              <w:jc w:val="both"/>
              <w:rPr>
                <w:rFonts w:ascii="Arial Narrow" w:hAnsi="Arial Narrow"/>
              </w:rPr>
            </w:pPr>
            <w:r>
              <w:rPr>
                <w:rFonts w:ascii="Arial Narrow" w:hAnsi="Arial Narrow"/>
                <w:b/>
              </w:rPr>
              <w:t>Počas roka 2018 by malo dôjsť k novému kolu revízie výdavkov v zdravotníctve.</w:t>
            </w:r>
            <w:r w:rsidR="008860C3">
              <w:rPr>
                <w:rFonts w:ascii="Arial Narrow" w:hAnsi="Arial Narrow"/>
                <w:b/>
              </w:rPr>
              <w:t xml:space="preserve"> </w:t>
            </w:r>
            <w:r w:rsidR="008860C3" w:rsidRPr="005303A5">
              <w:rPr>
                <w:rFonts w:ascii="Arial Narrow" w:hAnsi="Arial Narrow"/>
              </w:rPr>
              <w:t>Nové</w:t>
            </w:r>
            <w:r w:rsidR="008860C3">
              <w:rPr>
                <w:rFonts w:ascii="Arial Narrow" w:hAnsi="Arial Narrow"/>
              </w:rPr>
              <w:t xml:space="preserve"> kolo si vytýčilo presadenie niekoľkých najdôležitejších systémových zmien:</w:t>
            </w:r>
          </w:p>
          <w:p w14:paraId="05AA5A36" w14:textId="4F950F36" w:rsidR="001F0E7E" w:rsidRDefault="008860C3" w:rsidP="005303A5">
            <w:pPr>
              <w:pStyle w:val="Odsekzoznamu"/>
              <w:numPr>
                <w:ilvl w:val="0"/>
                <w:numId w:val="31"/>
              </w:numPr>
              <w:spacing w:after="160" w:line="259" w:lineRule="auto"/>
              <w:jc w:val="both"/>
              <w:rPr>
                <w:rFonts w:ascii="Arial Narrow" w:hAnsi="Arial Narrow"/>
              </w:rPr>
            </w:pPr>
            <w:r>
              <w:rPr>
                <w:rFonts w:ascii="Arial Narrow" w:hAnsi="Arial Narrow"/>
                <w:b/>
              </w:rPr>
              <w:t xml:space="preserve">Bude navrhnutý nový </w:t>
            </w:r>
            <w:r w:rsidR="001F0E7E" w:rsidRPr="009B4EEC">
              <w:rPr>
                <w:rFonts w:ascii="Arial Narrow" w:hAnsi="Arial Narrow"/>
                <w:b/>
              </w:rPr>
              <w:t>systém</w:t>
            </w:r>
            <w:r w:rsidR="002B2F6D">
              <w:rPr>
                <w:rFonts w:ascii="Arial Narrow" w:hAnsi="Arial Narrow"/>
                <w:b/>
              </w:rPr>
              <w:t xml:space="preserve"> financovania, ktorý bude vychádzať zo stanovenia celkových potrebných zdrojov v zdravotníctve. </w:t>
            </w:r>
            <w:r>
              <w:rPr>
                <w:rFonts w:ascii="Arial Narrow" w:hAnsi="Arial Narrow"/>
              </w:rPr>
              <w:t>N</w:t>
            </w:r>
            <w:r w:rsidR="001F0E7E" w:rsidRPr="009B4EEC">
              <w:rPr>
                <w:rFonts w:ascii="Arial Narrow" w:hAnsi="Arial Narrow"/>
              </w:rPr>
              <w:t xml:space="preserve">ový postup nahradí súčasné rozpočtovanie zdrojov za poistencov štátu, ktoré je </w:t>
            </w:r>
            <w:proofErr w:type="spellStart"/>
            <w:r w:rsidR="001F0E7E" w:rsidRPr="009B4EEC">
              <w:rPr>
                <w:rFonts w:ascii="Arial Narrow" w:hAnsi="Arial Narrow"/>
              </w:rPr>
              <w:t>volatilné</w:t>
            </w:r>
            <w:proofErr w:type="spellEnd"/>
            <w:r w:rsidR="001F0E7E" w:rsidRPr="009B4EEC">
              <w:rPr>
                <w:rFonts w:ascii="Arial Narrow" w:hAnsi="Arial Narrow"/>
              </w:rPr>
              <w:t xml:space="preserve"> a nesleduje skutočné potreby. </w:t>
            </w:r>
            <w:r w:rsidR="001F0E7E" w:rsidRPr="00DC0F69">
              <w:rPr>
                <w:rFonts w:ascii="Arial Narrow" w:hAnsi="Arial Narrow"/>
              </w:rPr>
              <w:t xml:space="preserve">Platba za poistencov štátu bude určená ako rozdiel stanovených celkových výdavkov a príjmov od ekonomicky aktívnych osôb. Financovanie založené na potrebných výdavkoch tak nebude pôsobiť </w:t>
            </w:r>
            <w:proofErr w:type="spellStart"/>
            <w:r w:rsidR="001F0E7E" w:rsidRPr="00DC0F69">
              <w:rPr>
                <w:rFonts w:ascii="Arial Narrow" w:hAnsi="Arial Narrow"/>
              </w:rPr>
              <w:t>procyklicky</w:t>
            </w:r>
            <w:proofErr w:type="spellEnd"/>
            <w:r w:rsidR="001F0E7E" w:rsidRPr="00DC0F69">
              <w:rPr>
                <w:rFonts w:ascii="Arial Narrow" w:hAnsi="Arial Narrow"/>
              </w:rPr>
              <w:t>.</w:t>
            </w:r>
          </w:p>
          <w:p w14:paraId="081A3291" w14:textId="1689C181" w:rsidR="008860C3" w:rsidRPr="005303A5" w:rsidRDefault="00F65176" w:rsidP="005303A5">
            <w:pPr>
              <w:pStyle w:val="Odsekzoznamu"/>
              <w:numPr>
                <w:ilvl w:val="0"/>
                <w:numId w:val="29"/>
              </w:numPr>
              <w:spacing w:after="160" w:line="259" w:lineRule="auto"/>
              <w:jc w:val="both"/>
              <w:rPr>
                <w:rFonts w:ascii="Arial Narrow" w:hAnsi="Arial Narrow"/>
              </w:rPr>
            </w:pPr>
            <w:r w:rsidRPr="008860C3">
              <w:rPr>
                <w:rFonts w:ascii="Arial Narrow" w:hAnsi="Arial Narrow"/>
                <w:b/>
              </w:rPr>
              <w:t>V</w:t>
            </w:r>
            <w:r w:rsidR="001F0E7E" w:rsidRPr="008860C3">
              <w:rPr>
                <w:rFonts w:ascii="Arial Narrow" w:hAnsi="Arial Narrow"/>
                <w:b/>
              </w:rPr>
              <w:t>ýdavk</w:t>
            </w:r>
            <w:r w:rsidRPr="008860C3">
              <w:rPr>
                <w:rFonts w:ascii="Arial Narrow" w:hAnsi="Arial Narrow"/>
                <w:b/>
              </w:rPr>
              <w:t>y</w:t>
            </w:r>
            <w:r w:rsidR="001F0E7E" w:rsidRPr="008860C3">
              <w:rPr>
                <w:rFonts w:ascii="Arial Narrow" w:hAnsi="Arial Narrow"/>
                <w:b/>
              </w:rPr>
              <w:t xml:space="preserve"> </w:t>
            </w:r>
            <w:r w:rsidRPr="008860C3">
              <w:rPr>
                <w:rFonts w:ascii="Arial Narrow" w:hAnsi="Arial Narrow"/>
                <w:b/>
              </w:rPr>
              <w:t xml:space="preserve">by mali rásť </w:t>
            </w:r>
            <w:r w:rsidR="001F0E7E" w:rsidRPr="008860C3">
              <w:rPr>
                <w:rFonts w:ascii="Arial Narrow" w:hAnsi="Arial Narrow"/>
                <w:b/>
              </w:rPr>
              <w:t xml:space="preserve">na úrovni inflácie </w:t>
            </w:r>
            <w:r w:rsidR="001F0E7E" w:rsidRPr="005303A5">
              <w:rPr>
                <w:rFonts w:ascii="Arial Narrow" w:hAnsi="Arial Narrow"/>
              </w:rPr>
              <w:t>(</w:t>
            </w:r>
            <w:r w:rsidRPr="005303A5">
              <w:rPr>
                <w:rFonts w:ascii="Arial Narrow" w:hAnsi="Arial Narrow"/>
              </w:rPr>
              <w:t>scenár</w:t>
            </w:r>
            <w:r w:rsidR="001F0E7E" w:rsidRPr="005303A5">
              <w:rPr>
                <w:rFonts w:ascii="Arial Narrow" w:hAnsi="Arial Narrow"/>
              </w:rPr>
              <w:t xml:space="preserve"> </w:t>
            </w:r>
            <w:proofErr w:type="spellStart"/>
            <w:r w:rsidRPr="005303A5">
              <w:rPr>
                <w:rFonts w:ascii="Arial Narrow" w:hAnsi="Arial Narrow"/>
              </w:rPr>
              <w:t>VfM</w:t>
            </w:r>
            <w:proofErr w:type="spellEnd"/>
            <w:r w:rsidR="001F0E7E" w:rsidRPr="005303A5">
              <w:rPr>
                <w:rFonts w:ascii="Arial Narrow" w:hAnsi="Arial Narrow"/>
              </w:rPr>
              <w:t>)</w:t>
            </w:r>
            <w:r w:rsidR="008860C3" w:rsidRPr="008860C3">
              <w:rPr>
                <w:rFonts w:ascii="Arial Narrow" w:hAnsi="Arial Narrow"/>
              </w:rPr>
              <w:t>, pričom celková obálka by mohla rásť aj rýchlejšie pri splnení</w:t>
            </w:r>
            <w:r w:rsidR="00F40D70">
              <w:rPr>
                <w:rFonts w:ascii="Arial Narrow" w:hAnsi="Arial Narrow"/>
              </w:rPr>
              <w:t xml:space="preserve"> jednej z</w:t>
            </w:r>
            <w:r w:rsidR="008860C3" w:rsidRPr="008860C3">
              <w:rPr>
                <w:rFonts w:ascii="Arial Narrow" w:hAnsi="Arial Narrow"/>
              </w:rPr>
              <w:t xml:space="preserve"> nasledujúcich podmienok:</w:t>
            </w:r>
          </w:p>
          <w:p w14:paraId="625811CE" w14:textId="60A43B6F" w:rsidR="001F0E7E" w:rsidRPr="009B4EEC" w:rsidRDefault="001F0E7E" w:rsidP="005303A5">
            <w:pPr>
              <w:pStyle w:val="Odsekzoznamu"/>
              <w:numPr>
                <w:ilvl w:val="0"/>
                <w:numId w:val="30"/>
              </w:numPr>
              <w:spacing w:after="160" w:line="259" w:lineRule="auto"/>
              <w:jc w:val="both"/>
              <w:rPr>
                <w:rFonts w:ascii="Arial Narrow" w:hAnsi="Arial Narrow"/>
              </w:rPr>
            </w:pPr>
            <w:r>
              <w:rPr>
                <w:rFonts w:ascii="Arial Narrow" w:hAnsi="Arial Narrow"/>
                <w:b/>
              </w:rPr>
              <w:t>po splnení</w:t>
            </w:r>
            <w:r w:rsidRPr="009B4EEC">
              <w:rPr>
                <w:rFonts w:ascii="Arial Narrow" w:hAnsi="Arial Narrow"/>
                <w:b/>
              </w:rPr>
              <w:t xml:space="preserve"> </w:t>
            </w:r>
            <w:r>
              <w:rPr>
                <w:rFonts w:ascii="Arial Narrow" w:hAnsi="Arial Narrow"/>
                <w:b/>
              </w:rPr>
              <w:t xml:space="preserve">vopred určených </w:t>
            </w:r>
            <w:r w:rsidRPr="009B4EEC">
              <w:rPr>
                <w:rFonts w:ascii="Arial Narrow" w:hAnsi="Arial Narrow"/>
                <w:b/>
              </w:rPr>
              <w:t xml:space="preserve">kľúčových </w:t>
            </w:r>
            <w:r>
              <w:rPr>
                <w:rFonts w:ascii="Arial Narrow" w:hAnsi="Arial Narrow"/>
                <w:b/>
              </w:rPr>
              <w:t>podmienok</w:t>
            </w:r>
            <w:r w:rsidR="00F40D70">
              <w:rPr>
                <w:rFonts w:ascii="Arial Narrow" w:hAnsi="Arial Narrow"/>
              </w:rPr>
              <w:t xml:space="preserve">. </w:t>
            </w:r>
            <w:r>
              <w:rPr>
                <w:rFonts w:ascii="Arial Narrow" w:hAnsi="Arial Narrow"/>
              </w:rPr>
              <w:t xml:space="preserve">Tie sa určia </w:t>
            </w:r>
            <w:r w:rsidRPr="009B4EEC">
              <w:rPr>
                <w:rFonts w:ascii="Arial Narrow" w:hAnsi="Arial Narrow"/>
              </w:rPr>
              <w:t>po vzájomnej dohode</w:t>
            </w:r>
            <w:r>
              <w:rPr>
                <w:rFonts w:ascii="Arial Narrow" w:hAnsi="Arial Narrow"/>
              </w:rPr>
              <w:t xml:space="preserve"> </w:t>
            </w:r>
            <w:r w:rsidR="00BE2911">
              <w:rPr>
                <w:rFonts w:ascii="Arial Narrow" w:hAnsi="Arial Narrow"/>
              </w:rPr>
              <w:t xml:space="preserve">v apríli 2018 </w:t>
            </w:r>
            <w:r w:rsidRPr="009B4EEC">
              <w:rPr>
                <w:rFonts w:ascii="Arial Narrow" w:hAnsi="Arial Narrow"/>
              </w:rPr>
              <w:t>(</w:t>
            </w:r>
            <w:r w:rsidRPr="006E76F6">
              <w:rPr>
                <w:rFonts w:ascii="Arial Narrow" w:hAnsi="Arial Narrow"/>
              </w:rPr>
              <w:t>napr. zlepšenie hospodárskeho výsledku nemocníc, zavedenie limitov na predpisovanie liekov</w:t>
            </w:r>
            <w:r>
              <w:rPr>
                <w:rFonts w:ascii="Arial Narrow" w:hAnsi="Arial Narrow"/>
              </w:rPr>
              <w:t>, podiel ľudí ktorí absolvujú preventívnu prehliadku</w:t>
            </w:r>
            <w:r w:rsidRPr="006E76F6">
              <w:rPr>
                <w:rFonts w:ascii="Arial Narrow" w:hAnsi="Arial Narrow"/>
              </w:rPr>
              <w:t>)</w:t>
            </w:r>
            <w:r w:rsidR="00F40D70">
              <w:rPr>
                <w:rFonts w:ascii="Arial Narrow" w:hAnsi="Arial Narrow"/>
              </w:rPr>
              <w:t>.</w:t>
            </w:r>
          </w:p>
          <w:p w14:paraId="67AFF27C" w14:textId="77777777" w:rsidR="001F0E7E" w:rsidRPr="009B4EEC" w:rsidRDefault="001F0E7E" w:rsidP="005303A5">
            <w:pPr>
              <w:pStyle w:val="Odsekzoznamu"/>
              <w:numPr>
                <w:ilvl w:val="0"/>
                <w:numId w:val="30"/>
              </w:numPr>
              <w:spacing w:after="160" w:line="259" w:lineRule="auto"/>
              <w:jc w:val="both"/>
              <w:rPr>
                <w:rFonts w:ascii="Arial Narrow" w:hAnsi="Arial Narrow"/>
              </w:rPr>
            </w:pPr>
            <w:r>
              <w:rPr>
                <w:rFonts w:ascii="Arial Narrow" w:hAnsi="Arial Narrow"/>
                <w:b/>
              </w:rPr>
              <w:t xml:space="preserve">priebežné </w:t>
            </w:r>
            <w:r w:rsidRPr="009B4EEC">
              <w:rPr>
                <w:rFonts w:ascii="Arial Narrow" w:hAnsi="Arial Narrow"/>
                <w:b/>
              </w:rPr>
              <w:t xml:space="preserve">navýšenie po tom, čo MZ preukáže pozitívny vplyv </w:t>
            </w:r>
            <w:r>
              <w:rPr>
                <w:rFonts w:ascii="Arial Narrow" w:hAnsi="Arial Narrow"/>
                <w:b/>
              </w:rPr>
              <w:t>navrhovaných</w:t>
            </w:r>
            <w:r w:rsidRPr="009B4EEC">
              <w:rPr>
                <w:rFonts w:ascii="Arial Narrow" w:hAnsi="Arial Narrow"/>
                <w:b/>
              </w:rPr>
              <w:t xml:space="preserve"> opatrení</w:t>
            </w:r>
            <w:r>
              <w:rPr>
                <w:rFonts w:ascii="Arial Narrow" w:hAnsi="Arial Narrow"/>
                <w:b/>
              </w:rPr>
              <w:t xml:space="preserve"> na zdravie a kvantifikuje ich náklady</w:t>
            </w:r>
            <w:r w:rsidRPr="009B4EEC">
              <w:rPr>
                <w:rFonts w:ascii="Arial Narrow" w:hAnsi="Arial Narrow"/>
                <w:b/>
              </w:rPr>
              <w:t xml:space="preserve"> </w:t>
            </w:r>
            <w:r w:rsidRPr="009B4EEC">
              <w:rPr>
                <w:rFonts w:ascii="Arial Narrow" w:hAnsi="Arial Narrow"/>
              </w:rPr>
              <w:t xml:space="preserve">(napr. zavedenie paušálnej platby sociálnym zariadeniam, ktoré po novom poskytujú aj zdravotnú starostlivosť). </w:t>
            </w:r>
          </w:p>
          <w:p w14:paraId="63F67967" w14:textId="2FFE61A3" w:rsidR="001F0E7E" w:rsidRDefault="004E6065" w:rsidP="005303A5">
            <w:pPr>
              <w:pStyle w:val="Odsekzoznamu"/>
              <w:numPr>
                <w:ilvl w:val="0"/>
                <w:numId w:val="32"/>
              </w:numPr>
              <w:spacing w:after="160" w:line="259" w:lineRule="auto"/>
              <w:jc w:val="both"/>
              <w:rPr>
                <w:rFonts w:ascii="Arial Narrow" w:hAnsi="Arial Narrow"/>
              </w:rPr>
            </w:pPr>
            <w:r>
              <w:rPr>
                <w:rFonts w:ascii="Arial Narrow" w:hAnsi="Arial Narrow"/>
                <w:b/>
              </w:rPr>
              <w:t xml:space="preserve">Malo by dôjsť k </w:t>
            </w:r>
            <w:r w:rsidR="001F0E7E" w:rsidRPr="006E76F6">
              <w:rPr>
                <w:rFonts w:ascii="Arial Narrow" w:hAnsi="Arial Narrow"/>
                <w:b/>
              </w:rPr>
              <w:t>lepšie</w:t>
            </w:r>
            <w:r w:rsidR="006B52B4">
              <w:rPr>
                <w:rFonts w:ascii="Arial Narrow" w:hAnsi="Arial Narrow"/>
                <w:b/>
              </w:rPr>
              <w:t>mu sledovaniu</w:t>
            </w:r>
            <w:r w:rsidR="001F0E7E" w:rsidRPr="006E76F6">
              <w:rPr>
                <w:rFonts w:ascii="Arial Narrow" w:hAnsi="Arial Narrow"/>
                <w:b/>
              </w:rPr>
              <w:t xml:space="preserve"> výsledkov pre ver</w:t>
            </w:r>
            <w:r w:rsidR="006B52B4">
              <w:rPr>
                <w:rFonts w:ascii="Arial Narrow" w:hAnsi="Arial Narrow"/>
                <w:b/>
              </w:rPr>
              <w:t>ejné zdravotné poistenie</w:t>
            </w:r>
            <w:r w:rsidR="00F40D70">
              <w:rPr>
                <w:rFonts w:ascii="Arial Narrow" w:hAnsi="Arial Narrow"/>
                <w:b/>
              </w:rPr>
              <w:t xml:space="preserve"> </w:t>
            </w:r>
            <w:r w:rsidR="00F40D70" w:rsidRPr="008745FE">
              <w:rPr>
                <w:rFonts w:ascii="Arial Narrow" w:hAnsi="Arial Narrow"/>
              </w:rPr>
              <w:t>(prostredníctvom programového rozpočtovania a výkonnostných indikátorov)</w:t>
            </w:r>
            <w:r w:rsidR="006B52B4">
              <w:rPr>
                <w:rFonts w:ascii="Arial Narrow" w:hAnsi="Arial Narrow"/>
              </w:rPr>
              <w:t xml:space="preserve">. </w:t>
            </w:r>
            <w:r w:rsidR="00F40D70">
              <w:rPr>
                <w:rFonts w:ascii="Arial Narrow" w:hAnsi="Arial Narrow"/>
              </w:rPr>
              <w:t>Malo by dôjsť k rozšíreniu</w:t>
            </w:r>
            <w:r w:rsidR="001F0E7E" w:rsidRPr="006E76F6">
              <w:rPr>
                <w:rFonts w:ascii="Arial Narrow" w:hAnsi="Arial Narrow"/>
              </w:rPr>
              <w:t xml:space="preserve"> </w:t>
            </w:r>
            <w:r w:rsidR="00F40D70">
              <w:rPr>
                <w:rFonts w:ascii="Arial Narrow" w:hAnsi="Arial Narrow"/>
              </w:rPr>
              <w:t xml:space="preserve">systému </w:t>
            </w:r>
            <w:r w:rsidR="001F0E7E" w:rsidRPr="006E76F6">
              <w:rPr>
                <w:rFonts w:ascii="Arial Narrow" w:hAnsi="Arial Narrow"/>
              </w:rPr>
              <w:t>programové</w:t>
            </w:r>
            <w:r w:rsidR="00F40D70">
              <w:rPr>
                <w:rFonts w:ascii="Arial Narrow" w:hAnsi="Arial Narrow"/>
              </w:rPr>
              <w:t>ho rozpočtovania</w:t>
            </w:r>
            <w:r w:rsidR="001F0E7E" w:rsidRPr="006E76F6">
              <w:rPr>
                <w:rFonts w:ascii="Arial Narrow" w:hAnsi="Arial Narrow"/>
              </w:rPr>
              <w:t xml:space="preserve"> aj na </w:t>
            </w:r>
            <w:r w:rsidR="005303A5">
              <w:rPr>
                <w:rFonts w:ascii="Arial Narrow" w:hAnsi="Arial Narrow"/>
              </w:rPr>
              <w:t>verejné zdravotné poistenie</w:t>
            </w:r>
            <w:r w:rsidR="00F40D70">
              <w:rPr>
                <w:rFonts w:ascii="Arial Narrow" w:hAnsi="Arial Narrow"/>
              </w:rPr>
              <w:t>. C</w:t>
            </w:r>
            <w:r w:rsidR="001F0E7E" w:rsidRPr="006E76F6">
              <w:rPr>
                <w:rFonts w:ascii="Arial Narrow" w:hAnsi="Arial Narrow"/>
              </w:rPr>
              <w:t>ieľom je lepšie plánovanie a monitorovanie výdavkov v hlavných kategóriách (najmä lieky, nemocnice, spoločné vyšetrovacie a liečebné zložk</w:t>
            </w:r>
            <w:r w:rsidR="005303A5">
              <w:rPr>
                <w:rFonts w:ascii="Arial Narrow" w:hAnsi="Arial Narrow"/>
              </w:rPr>
              <w:t>y</w:t>
            </w:r>
            <w:r w:rsidR="001F0E7E" w:rsidRPr="006E76F6">
              <w:rPr>
                <w:rFonts w:ascii="Arial Narrow" w:hAnsi="Arial Narrow"/>
              </w:rPr>
              <w:t xml:space="preserve">, ambulancie). </w:t>
            </w:r>
          </w:p>
          <w:p w14:paraId="20A3C1FB" w14:textId="77777777" w:rsidR="001F0E7E" w:rsidRPr="000573D7" w:rsidRDefault="001F0E7E" w:rsidP="00B15601">
            <w:pPr>
              <w:pStyle w:val="Odsekzoznamu"/>
              <w:spacing w:after="0" w:line="240" w:lineRule="auto"/>
              <w:ind w:left="357"/>
              <w:jc w:val="both"/>
              <w:rPr>
                <w:rFonts w:ascii="Arial Narrow" w:hAnsi="Arial Narrow"/>
              </w:rPr>
            </w:pPr>
          </w:p>
        </w:tc>
      </w:tr>
    </w:tbl>
    <w:p w14:paraId="49861BF8" w14:textId="77777777" w:rsidR="0056687D" w:rsidRPr="005A22CF" w:rsidRDefault="00E42F87" w:rsidP="00E42F87">
      <w:pPr>
        <w:spacing w:after="0" w:line="240" w:lineRule="auto"/>
      </w:pPr>
      <w:r>
        <w:br w:type="page"/>
      </w:r>
    </w:p>
    <w:p w14:paraId="38EBD781" w14:textId="77777777" w:rsidR="007D2366" w:rsidRPr="00493A26" w:rsidRDefault="007D2366" w:rsidP="007D2366">
      <w:pPr>
        <w:pStyle w:val="Nadpis2"/>
        <w:numPr>
          <w:ilvl w:val="1"/>
          <w:numId w:val="1"/>
        </w:numPr>
        <w:spacing w:after="240" w:line="240" w:lineRule="auto"/>
        <w:jc w:val="both"/>
        <w:rPr>
          <w:rFonts w:ascii="Arial Narrow" w:hAnsi="Arial Narrow"/>
          <w:color w:val="2C9ADC"/>
          <w:sz w:val="32"/>
          <w:szCs w:val="28"/>
        </w:rPr>
      </w:pPr>
      <w:bookmarkStart w:id="73" w:name="_Toc448745612"/>
      <w:bookmarkStart w:id="74" w:name="_Toc448745613"/>
      <w:bookmarkStart w:id="75" w:name="_Toc480749813"/>
      <w:bookmarkStart w:id="76" w:name="_Toc508039586"/>
      <w:bookmarkEnd w:id="73"/>
      <w:bookmarkEnd w:id="74"/>
      <w:r w:rsidRPr="00493A26">
        <w:rPr>
          <w:rFonts w:ascii="Arial Narrow" w:hAnsi="Arial Narrow"/>
          <w:color w:val="2C9ADC"/>
          <w:sz w:val="32"/>
          <w:szCs w:val="28"/>
        </w:rPr>
        <w:lastRenderedPageBreak/>
        <w:t>Modernizácia verejnej správy a podnikateľské prostredie</w:t>
      </w:r>
      <w:bookmarkEnd w:id="75"/>
      <w:bookmarkEnd w:id="76"/>
    </w:p>
    <w:p w14:paraId="4AB7449B" w14:textId="1C36507C" w:rsidR="007D2366" w:rsidRPr="003D1EF0" w:rsidRDefault="007D2366" w:rsidP="007D2366">
      <w:pPr>
        <w:spacing w:after="0" w:line="240" w:lineRule="auto"/>
        <w:jc w:val="both"/>
        <w:rPr>
          <w:rFonts w:ascii="Arial Narrow" w:hAnsi="Arial Narrow" w:cs="Arial Narrow"/>
          <w:i/>
        </w:rPr>
      </w:pPr>
      <w:r>
        <w:rPr>
          <w:rFonts w:ascii="Arial Narrow" w:hAnsi="Arial Narrow" w:cs="Arial Narrow"/>
          <w:i/>
        </w:rPr>
        <w:t xml:space="preserve">Rozširovanie </w:t>
      </w:r>
      <w:r w:rsidRPr="006A0EC8">
        <w:rPr>
          <w:rFonts w:ascii="Arial Narrow" w:hAnsi="Arial Narrow" w:cs="Arial Narrow"/>
          <w:i/>
        </w:rPr>
        <w:t>podpor</w:t>
      </w:r>
      <w:r>
        <w:rPr>
          <w:rFonts w:ascii="Arial Narrow" w:hAnsi="Arial Narrow" w:cs="Arial Narrow"/>
          <w:i/>
        </w:rPr>
        <w:t>y</w:t>
      </w:r>
      <w:r w:rsidRPr="006A0EC8">
        <w:rPr>
          <w:rFonts w:ascii="Arial Narrow" w:hAnsi="Arial Narrow" w:cs="Arial Narrow"/>
          <w:i/>
        </w:rPr>
        <w:t xml:space="preserve"> elektronickej a automatizovanej komunikácie</w:t>
      </w:r>
      <w:r>
        <w:rPr>
          <w:rFonts w:ascii="Arial Narrow" w:hAnsi="Arial Narrow" w:cs="Arial Narrow"/>
          <w:i/>
        </w:rPr>
        <w:t xml:space="preserve"> s finančnou správou</w:t>
      </w:r>
      <w:r w:rsidRPr="006A0EC8">
        <w:rPr>
          <w:rFonts w:ascii="Arial Narrow" w:hAnsi="Arial Narrow" w:cs="Arial Narrow"/>
          <w:i/>
        </w:rPr>
        <w:t xml:space="preserve">, </w:t>
      </w:r>
      <w:r w:rsidR="00FB5FE9">
        <w:rPr>
          <w:rFonts w:ascii="Arial Narrow" w:hAnsi="Arial Narrow" w:cs="Arial Narrow"/>
          <w:i/>
        </w:rPr>
        <w:t>implementácia opatrení lepšej regulácie</w:t>
      </w:r>
      <w:r w:rsidRPr="006A0EC8">
        <w:rPr>
          <w:rFonts w:ascii="Arial Narrow" w:hAnsi="Arial Narrow" w:cs="Arial Narrow"/>
          <w:i/>
        </w:rPr>
        <w:t xml:space="preserve">, či ďalšia optimalizácia služieb </w:t>
      </w:r>
      <w:r>
        <w:rPr>
          <w:rFonts w:ascii="Arial Narrow" w:hAnsi="Arial Narrow" w:cs="Arial Narrow"/>
          <w:i/>
        </w:rPr>
        <w:t>o</w:t>
      </w:r>
      <w:r w:rsidRPr="006A0EC8">
        <w:rPr>
          <w:rFonts w:ascii="Arial Narrow" w:hAnsi="Arial Narrow" w:cs="Arial Narrow"/>
          <w:i/>
        </w:rPr>
        <w:t>bcho</w:t>
      </w:r>
      <w:r>
        <w:rPr>
          <w:rFonts w:ascii="Arial Narrow" w:hAnsi="Arial Narrow" w:cs="Arial Narrow"/>
          <w:i/>
        </w:rPr>
        <w:t>d</w:t>
      </w:r>
      <w:r w:rsidRPr="006A0EC8">
        <w:rPr>
          <w:rFonts w:ascii="Arial Narrow" w:hAnsi="Arial Narrow" w:cs="Arial Narrow"/>
          <w:i/>
        </w:rPr>
        <w:t>ného registra</w:t>
      </w:r>
      <w:r>
        <w:rPr>
          <w:rFonts w:ascii="Arial Narrow" w:hAnsi="Arial Narrow" w:cs="Arial Narrow"/>
          <w:i/>
        </w:rPr>
        <w:t xml:space="preserve"> prispejú k zníženiu </w:t>
      </w:r>
      <w:r w:rsidRPr="006A0EC8">
        <w:rPr>
          <w:rFonts w:ascii="Arial Narrow" w:hAnsi="Arial Narrow" w:cs="Arial Narrow"/>
          <w:i/>
        </w:rPr>
        <w:t>administratívn</w:t>
      </w:r>
      <w:r>
        <w:rPr>
          <w:rFonts w:ascii="Arial Narrow" w:hAnsi="Arial Narrow" w:cs="Arial Narrow"/>
          <w:i/>
        </w:rPr>
        <w:t>ej</w:t>
      </w:r>
      <w:r w:rsidRPr="006A0EC8">
        <w:rPr>
          <w:rFonts w:ascii="Arial Narrow" w:hAnsi="Arial Narrow" w:cs="Arial Narrow"/>
          <w:i/>
        </w:rPr>
        <w:t xml:space="preserve"> záťaž</w:t>
      </w:r>
      <w:r>
        <w:rPr>
          <w:rFonts w:ascii="Arial Narrow" w:hAnsi="Arial Narrow" w:cs="Arial Narrow"/>
          <w:i/>
        </w:rPr>
        <w:t>e</w:t>
      </w:r>
      <w:r w:rsidRPr="006A0EC8">
        <w:rPr>
          <w:rFonts w:ascii="Arial Narrow" w:hAnsi="Arial Narrow" w:cs="Arial Narrow"/>
          <w:i/>
        </w:rPr>
        <w:t xml:space="preserve"> pre podnikateľov.</w:t>
      </w:r>
      <w:r w:rsidRPr="00F118CF">
        <w:rPr>
          <w:rFonts w:ascii="Arial Narrow" w:hAnsi="Arial Narrow" w:cs="Arial Narrow"/>
          <w:i/>
        </w:rPr>
        <w:t xml:space="preserve"> </w:t>
      </w:r>
      <w:r w:rsidR="00FB5FE9">
        <w:rPr>
          <w:rFonts w:ascii="Arial Narrow" w:hAnsi="Arial Narrow" w:cs="Arial Narrow"/>
          <w:i/>
        </w:rPr>
        <w:t>MH SR</w:t>
      </w:r>
      <w:r w:rsidR="001C7441">
        <w:rPr>
          <w:rFonts w:ascii="Arial Narrow" w:hAnsi="Arial Narrow" w:cs="Arial Narrow"/>
          <w:i/>
        </w:rPr>
        <w:t xml:space="preserve"> v spolupráci s MV SR</w:t>
      </w:r>
      <w:r w:rsidR="00FB5FE9">
        <w:rPr>
          <w:rFonts w:ascii="Arial Narrow" w:hAnsi="Arial Narrow" w:cs="Arial Narrow"/>
          <w:i/>
        </w:rPr>
        <w:t xml:space="preserve"> predstaví nový balíček opatrení, ktorý zníži byrokratickú </w:t>
      </w:r>
      <w:r w:rsidR="001015A7">
        <w:rPr>
          <w:rFonts w:ascii="Arial Narrow" w:hAnsi="Arial Narrow" w:cs="Arial Narrow"/>
          <w:i/>
        </w:rPr>
        <w:t>záťaž</w:t>
      </w:r>
      <w:r w:rsidR="00FB5FE9">
        <w:rPr>
          <w:rFonts w:ascii="Arial Narrow" w:hAnsi="Arial Narrow" w:cs="Arial Narrow"/>
          <w:i/>
        </w:rPr>
        <w:t xml:space="preserve"> podnikateľov a zjednoduší samotné podnikanie na Slovensku. </w:t>
      </w:r>
    </w:p>
    <w:p w14:paraId="73CFD8DB" w14:textId="77777777" w:rsidR="007D2366" w:rsidRDefault="007D2366" w:rsidP="007D2366">
      <w:pPr>
        <w:spacing w:after="0" w:line="240" w:lineRule="auto"/>
        <w:jc w:val="both"/>
        <w:rPr>
          <w:rFonts w:ascii="Arial Narrow" w:hAnsi="Arial Narrow" w:cs="Arial Narrow"/>
          <w:i/>
        </w:rPr>
      </w:pPr>
    </w:p>
    <w:p w14:paraId="07BF2EA4" w14:textId="4C4EE72F" w:rsidR="007D2366" w:rsidRPr="00153FA0" w:rsidRDefault="00285AC3" w:rsidP="007D2366">
      <w:pPr>
        <w:spacing w:after="0" w:line="240" w:lineRule="auto"/>
        <w:jc w:val="both"/>
        <w:rPr>
          <w:rFonts w:ascii="Arial Narrow" w:hAnsi="Arial Narrow"/>
          <w:i/>
        </w:rPr>
      </w:pPr>
      <w:r w:rsidRPr="00285AC3">
        <w:rPr>
          <w:rFonts w:ascii="Arial Narrow" w:hAnsi="Arial Narrow"/>
          <w:i/>
        </w:rPr>
        <w:t>Pozornosť v súdnictve v roku 2018 bude zameraná na</w:t>
      </w:r>
      <w:r w:rsidRPr="00285AC3">
        <w:rPr>
          <w:rFonts w:ascii="Arial Narrow" w:hAnsi="Arial Narrow"/>
          <w:bCs/>
          <w:i/>
        </w:rPr>
        <w:t xml:space="preserve"> riešenie problému starých exekučných konaní</w:t>
      </w:r>
      <w:r w:rsidR="007D2366" w:rsidRPr="00285AC3">
        <w:rPr>
          <w:rFonts w:ascii="Arial Narrow" w:hAnsi="Arial Narrow"/>
          <w:i/>
        </w:rPr>
        <w:t>.</w:t>
      </w:r>
      <w:r w:rsidR="007D2366" w:rsidRPr="00F81906">
        <w:rPr>
          <w:rFonts w:ascii="Arial Narrow" w:hAnsi="Arial Narrow"/>
          <w:i/>
        </w:rPr>
        <w:t xml:space="preserve"> </w:t>
      </w:r>
      <w:r w:rsidR="008E749B" w:rsidRPr="008E749B">
        <w:rPr>
          <w:rFonts w:ascii="Arial Narrow" w:hAnsi="Arial Narrow"/>
          <w:i/>
        </w:rPr>
        <w:t>Pripraví sa reforma opatrovníckeho práva, ktorej cieľom je zlepšiť postavenie osôb so zdravotným postihnutím</w:t>
      </w:r>
      <w:r w:rsidR="0057217C">
        <w:rPr>
          <w:rFonts w:ascii="Arial Narrow" w:hAnsi="Arial Narrow"/>
          <w:i/>
        </w:rPr>
        <w:t xml:space="preserve"> a</w:t>
      </w:r>
      <w:r w:rsidR="008E749B" w:rsidRPr="008E749B">
        <w:rPr>
          <w:rFonts w:ascii="Arial Narrow" w:hAnsi="Arial Narrow"/>
          <w:i/>
        </w:rPr>
        <w:t xml:space="preserve"> ochranu seniorov.</w:t>
      </w:r>
      <w:r w:rsidR="008E749B">
        <w:rPr>
          <w:rFonts w:ascii="Arial Narrow" w:hAnsi="Arial Narrow"/>
          <w:i/>
        </w:rPr>
        <w:t xml:space="preserve"> </w:t>
      </w:r>
      <w:r w:rsidR="008E749B" w:rsidRPr="008E749B">
        <w:rPr>
          <w:rFonts w:ascii="Arial Narrow" w:hAnsi="Arial Narrow"/>
          <w:i/>
        </w:rPr>
        <w:t>V súlade</w:t>
      </w:r>
      <w:r w:rsidR="00D87145">
        <w:rPr>
          <w:rFonts w:ascii="Arial Narrow" w:hAnsi="Arial Narrow"/>
          <w:i/>
        </w:rPr>
        <w:t xml:space="preserve"> s Programovým vyhlásením vlády SR </w:t>
      </w:r>
      <w:r w:rsidR="008E749B" w:rsidRPr="008E749B">
        <w:rPr>
          <w:rFonts w:ascii="Arial Narrow" w:hAnsi="Arial Narrow"/>
          <w:i/>
        </w:rPr>
        <w:t>sa pripraví zákon o justičnej štátnej službe</w:t>
      </w:r>
      <w:r w:rsidR="008E749B">
        <w:rPr>
          <w:rFonts w:ascii="Arial Narrow" w:hAnsi="Arial Narrow"/>
          <w:i/>
        </w:rPr>
        <w:t>.</w:t>
      </w:r>
      <w:r w:rsidR="008E749B" w:rsidRPr="008E749B">
        <w:rPr>
          <w:rFonts w:ascii="Arial Narrow" w:hAnsi="Arial Narrow"/>
          <w:i/>
        </w:rPr>
        <w:t xml:space="preserve"> </w:t>
      </w:r>
      <w:r w:rsidR="008E749B">
        <w:rPr>
          <w:rFonts w:ascii="Arial Narrow" w:hAnsi="Arial Narrow"/>
          <w:i/>
        </w:rPr>
        <w:t>R</w:t>
      </w:r>
      <w:r w:rsidR="007D2366">
        <w:rPr>
          <w:rFonts w:ascii="Arial Narrow" w:hAnsi="Arial Narrow"/>
          <w:i/>
        </w:rPr>
        <w:t>ezort spravodlivosti plánuje</w:t>
      </w:r>
      <w:r w:rsidR="009A14D9">
        <w:rPr>
          <w:rFonts w:ascii="Arial Narrow" w:hAnsi="Arial Narrow"/>
          <w:i/>
        </w:rPr>
        <w:t xml:space="preserve"> pokračovať v</w:t>
      </w:r>
      <w:r w:rsidR="007D2366">
        <w:rPr>
          <w:rFonts w:ascii="Arial Narrow" w:hAnsi="Arial Narrow"/>
          <w:i/>
        </w:rPr>
        <w:t xml:space="preserve"> audit</w:t>
      </w:r>
      <w:r w:rsidR="009A14D9">
        <w:rPr>
          <w:rFonts w:ascii="Arial Narrow" w:hAnsi="Arial Narrow"/>
          <w:i/>
        </w:rPr>
        <w:t>e</w:t>
      </w:r>
      <w:r w:rsidR="007D2366">
        <w:rPr>
          <w:rFonts w:ascii="Arial Narrow" w:hAnsi="Arial Narrow"/>
          <w:i/>
        </w:rPr>
        <w:t xml:space="preserve"> výkonu súdnictva</w:t>
      </w:r>
      <w:r w:rsidR="00497878">
        <w:rPr>
          <w:rFonts w:ascii="Arial Narrow" w:hAnsi="Arial Narrow"/>
          <w:i/>
        </w:rPr>
        <w:t>. Vypracuje sa</w:t>
      </w:r>
      <w:r w:rsidR="008B19B9">
        <w:rPr>
          <w:rFonts w:ascii="Arial Narrow" w:hAnsi="Arial Narrow"/>
          <w:i/>
        </w:rPr>
        <w:t xml:space="preserve"> </w:t>
      </w:r>
      <w:r w:rsidR="00497878">
        <w:rPr>
          <w:rFonts w:ascii="Arial Narrow" w:hAnsi="Arial Narrow"/>
          <w:i/>
        </w:rPr>
        <w:t xml:space="preserve">akčný plán </w:t>
      </w:r>
      <w:r w:rsidR="00497878">
        <w:rPr>
          <w:rFonts w:ascii="Arial Narrow" w:hAnsi="Arial Narrow"/>
          <w:bCs/>
          <w:i/>
        </w:rPr>
        <w:t xml:space="preserve">implementácie </w:t>
      </w:r>
      <w:r w:rsidR="008B19B9">
        <w:rPr>
          <w:rFonts w:ascii="Arial Narrow" w:hAnsi="Arial Narrow"/>
          <w:bCs/>
          <w:i/>
        </w:rPr>
        <w:t>záverov a odporúčaní</w:t>
      </w:r>
      <w:r w:rsidR="008B19B9" w:rsidRPr="001D608F">
        <w:rPr>
          <w:rFonts w:ascii="Arial Narrow" w:hAnsi="Arial Narrow"/>
          <w:bCs/>
          <w:i/>
        </w:rPr>
        <w:t xml:space="preserve"> zo Správy k stave justície</w:t>
      </w:r>
      <w:r w:rsidR="008B19B9">
        <w:rPr>
          <w:rFonts w:ascii="Arial Narrow" w:hAnsi="Arial Narrow"/>
          <w:bCs/>
          <w:i/>
        </w:rPr>
        <w:t xml:space="preserve"> (CEPEJ 2017)</w:t>
      </w:r>
      <w:r w:rsidR="008B19B9" w:rsidRPr="001D608F">
        <w:rPr>
          <w:rFonts w:ascii="Arial Narrow" w:hAnsi="Arial Narrow"/>
          <w:i/>
        </w:rPr>
        <w:t xml:space="preserve">. </w:t>
      </w:r>
      <w:r w:rsidR="007D2366">
        <w:rPr>
          <w:rFonts w:ascii="Arial Narrow" w:hAnsi="Arial Narrow"/>
          <w:i/>
        </w:rPr>
        <w:t xml:space="preserve">Analytické kapacity štátu sa posilnia na viacerých ministerstvách a iných </w:t>
      </w:r>
      <w:r w:rsidR="001015A7">
        <w:rPr>
          <w:rFonts w:ascii="Arial Narrow" w:hAnsi="Arial Narrow"/>
          <w:i/>
        </w:rPr>
        <w:t>inštitúciách</w:t>
      </w:r>
      <w:r w:rsidR="007D2366">
        <w:rPr>
          <w:rFonts w:ascii="Arial Narrow" w:hAnsi="Arial Narrow"/>
          <w:i/>
        </w:rPr>
        <w:t>.</w:t>
      </w:r>
    </w:p>
    <w:p w14:paraId="4C6CFE67" w14:textId="77777777" w:rsidR="007D2366" w:rsidRDefault="007D2366" w:rsidP="007D2366">
      <w:pPr>
        <w:spacing w:after="0" w:line="240" w:lineRule="auto"/>
        <w:jc w:val="both"/>
        <w:rPr>
          <w:sz w:val="20"/>
          <w:szCs w:val="20"/>
        </w:rPr>
      </w:pPr>
    </w:p>
    <w:tbl>
      <w:tblPr>
        <w:tblW w:w="8647" w:type="dxa"/>
        <w:tblLayout w:type="fixed"/>
        <w:tblCellMar>
          <w:left w:w="70" w:type="dxa"/>
          <w:right w:w="70" w:type="dxa"/>
        </w:tblCellMar>
        <w:tblLook w:val="04A0" w:firstRow="1" w:lastRow="0" w:firstColumn="1" w:lastColumn="0" w:noHBand="0" w:noVBand="1"/>
      </w:tblPr>
      <w:tblGrid>
        <w:gridCol w:w="2675"/>
        <w:gridCol w:w="708"/>
        <w:gridCol w:w="617"/>
        <w:gridCol w:w="505"/>
        <w:gridCol w:w="505"/>
        <w:gridCol w:w="505"/>
        <w:gridCol w:w="505"/>
        <w:gridCol w:w="505"/>
        <w:gridCol w:w="505"/>
        <w:gridCol w:w="505"/>
        <w:gridCol w:w="505"/>
        <w:gridCol w:w="607"/>
      </w:tblGrid>
      <w:tr w:rsidR="007D2366" w:rsidRPr="00451A15" w14:paraId="22A004E6" w14:textId="77777777" w:rsidTr="00F21BF4">
        <w:trPr>
          <w:trHeight w:val="263"/>
        </w:trPr>
        <w:tc>
          <w:tcPr>
            <w:tcW w:w="8647" w:type="dxa"/>
            <w:gridSpan w:val="12"/>
            <w:tcBorders>
              <w:top w:val="nil"/>
              <w:left w:val="nil"/>
              <w:bottom w:val="single" w:sz="4" w:space="0" w:color="auto"/>
              <w:right w:val="nil"/>
            </w:tcBorders>
            <w:shd w:val="clear" w:color="auto" w:fill="auto"/>
            <w:noWrap/>
            <w:vAlign w:val="center"/>
            <w:hideMark/>
          </w:tcPr>
          <w:p w14:paraId="0C68916F" w14:textId="230D5456" w:rsidR="007D2366" w:rsidRPr="00451A15" w:rsidRDefault="00D87145" w:rsidP="00342E82">
            <w:pPr>
              <w:spacing w:after="0" w:line="240" w:lineRule="auto"/>
              <w:rPr>
                <w:rFonts w:ascii="Arial Narrow" w:hAnsi="Arial Narrow"/>
                <w:b/>
                <w:bCs/>
                <w:color w:val="2C9ADC"/>
                <w:sz w:val="20"/>
                <w:szCs w:val="20"/>
              </w:rPr>
            </w:pPr>
            <w:r>
              <w:rPr>
                <w:rFonts w:ascii="Arial Narrow" w:hAnsi="Arial Narrow"/>
                <w:b/>
                <w:bCs/>
                <w:color w:val="2C9ADC"/>
                <w:sz w:val="20"/>
                <w:szCs w:val="20"/>
              </w:rPr>
              <w:t>Výsledkové</w:t>
            </w:r>
            <w:r w:rsidR="007D2366" w:rsidRPr="00451A15">
              <w:rPr>
                <w:rFonts w:ascii="Arial Narrow" w:hAnsi="Arial Narrow"/>
                <w:b/>
                <w:bCs/>
                <w:color w:val="2C9ADC"/>
                <w:sz w:val="20"/>
                <w:szCs w:val="20"/>
              </w:rPr>
              <w:t xml:space="preserve"> indikátor</w:t>
            </w:r>
            <w:r>
              <w:rPr>
                <w:rFonts w:ascii="Arial Narrow" w:hAnsi="Arial Narrow"/>
                <w:b/>
                <w:bCs/>
                <w:color w:val="2C9ADC"/>
                <w:sz w:val="20"/>
                <w:szCs w:val="20"/>
              </w:rPr>
              <w:t>y</w:t>
            </w:r>
            <w:r w:rsidR="007D2366" w:rsidRPr="00451A15">
              <w:rPr>
                <w:rFonts w:ascii="Arial Narrow" w:hAnsi="Arial Narrow"/>
                <w:b/>
                <w:bCs/>
                <w:color w:val="2C9ADC"/>
                <w:sz w:val="20"/>
                <w:szCs w:val="20"/>
              </w:rPr>
              <w:t xml:space="preserve"> pre modernizá</w:t>
            </w:r>
            <w:r w:rsidR="007D2366">
              <w:rPr>
                <w:rFonts w:ascii="Arial Narrow" w:hAnsi="Arial Narrow"/>
                <w:b/>
                <w:bCs/>
                <w:color w:val="2C9ADC"/>
                <w:sz w:val="20"/>
                <w:szCs w:val="20"/>
              </w:rPr>
              <w:t>ciu verejnej správy a podnikateľ</w:t>
            </w:r>
            <w:r w:rsidR="007D2366" w:rsidRPr="00451A15">
              <w:rPr>
                <w:rFonts w:ascii="Arial Narrow" w:hAnsi="Arial Narrow"/>
                <w:b/>
                <w:bCs/>
                <w:color w:val="2C9ADC"/>
                <w:sz w:val="20"/>
                <w:szCs w:val="20"/>
              </w:rPr>
              <w:t>ské prostredie</w:t>
            </w:r>
          </w:p>
        </w:tc>
      </w:tr>
      <w:tr w:rsidR="00492E68" w:rsidRPr="00451A15" w14:paraId="255AF455" w14:textId="77777777" w:rsidTr="00F21BF4">
        <w:trPr>
          <w:trHeight w:val="369"/>
        </w:trPr>
        <w:tc>
          <w:tcPr>
            <w:tcW w:w="2675" w:type="dxa"/>
            <w:tcBorders>
              <w:top w:val="nil"/>
              <w:left w:val="nil"/>
              <w:bottom w:val="single" w:sz="4" w:space="0" w:color="auto"/>
              <w:right w:val="nil"/>
            </w:tcBorders>
            <w:shd w:val="clear" w:color="auto" w:fill="auto"/>
            <w:noWrap/>
            <w:vAlign w:val="center"/>
            <w:hideMark/>
          </w:tcPr>
          <w:p w14:paraId="6FE8C085" w14:textId="77777777" w:rsidR="00492E68" w:rsidRPr="00451A15" w:rsidRDefault="00492E68" w:rsidP="00492E68">
            <w:pPr>
              <w:spacing w:after="0" w:line="240" w:lineRule="auto"/>
              <w:rPr>
                <w:rFonts w:ascii="Arial Narrow" w:hAnsi="Arial Narrow"/>
                <w:b/>
                <w:bCs/>
                <w:color w:val="FFFFFF"/>
                <w:sz w:val="20"/>
                <w:szCs w:val="20"/>
              </w:rPr>
            </w:pPr>
            <w:r w:rsidRPr="00451A15">
              <w:rPr>
                <w:rFonts w:ascii="Arial Narrow" w:hAnsi="Arial Narrow"/>
                <w:b/>
                <w:bCs/>
                <w:color w:val="FFFFFF"/>
                <w:sz w:val="20"/>
                <w:szCs w:val="20"/>
              </w:rPr>
              <w:t> </w:t>
            </w:r>
          </w:p>
        </w:tc>
        <w:tc>
          <w:tcPr>
            <w:tcW w:w="708" w:type="dxa"/>
            <w:tcBorders>
              <w:top w:val="nil"/>
              <w:left w:val="nil"/>
              <w:bottom w:val="single" w:sz="4" w:space="0" w:color="auto"/>
              <w:right w:val="nil"/>
            </w:tcBorders>
            <w:shd w:val="clear" w:color="auto" w:fill="auto"/>
            <w:noWrap/>
            <w:vAlign w:val="center"/>
            <w:hideMark/>
          </w:tcPr>
          <w:p w14:paraId="4F2EADC5" w14:textId="77777777" w:rsidR="00492E68" w:rsidRPr="00451A15" w:rsidRDefault="00492E68" w:rsidP="00492E68">
            <w:pPr>
              <w:spacing w:after="0" w:line="240" w:lineRule="auto"/>
              <w:rPr>
                <w:rFonts w:ascii="Arial Narrow" w:hAnsi="Arial Narrow"/>
                <w:b/>
                <w:bCs/>
                <w:color w:val="FFFFFF"/>
                <w:sz w:val="20"/>
                <w:szCs w:val="20"/>
              </w:rPr>
            </w:pPr>
            <w:r w:rsidRPr="00451A15">
              <w:rPr>
                <w:rFonts w:ascii="Arial Narrow" w:hAnsi="Arial Narrow"/>
                <w:b/>
                <w:bCs/>
                <w:color w:val="FFFFFF"/>
                <w:sz w:val="20"/>
                <w:szCs w:val="20"/>
              </w:rPr>
              <w:t> </w:t>
            </w:r>
          </w:p>
        </w:tc>
        <w:tc>
          <w:tcPr>
            <w:tcW w:w="617" w:type="dxa"/>
            <w:tcBorders>
              <w:top w:val="nil"/>
              <w:left w:val="nil"/>
              <w:bottom w:val="single" w:sz="4" w:space="0" w:color="auto"/>
              <w:right w:val="nil"/>
            </w:tcBorders>
            <w:shd w:val="clear" w:color="auto" w:fill="auto"/>
            <w:vAlign w:val="center"/>
            <w:hideMark/>
          </w:tcPr>
          <w:p w14:paraId="4CCD375B" w14:textId="77777777" w:rsidR="00492E68" w:rsidRPr="00451A15" w:rsidRDefault="00492E68" w:rsidP="00492E68">
            <w:pPr>
              <w:spacing w:after="0" w:line="240" w:lineRule="auto"/>
              <w:jc w:val="center"/>
              <w:rPr>
                <w:rFonts w:ascii="Arial Narrow" w:hAnsi="Arial Narrow"/>
                <w:b/>
                <w:bCs/>
                <w:sz w:val="20"/>
                <w:szCs w:val="20"/>
              </w:rPr>
            </w:pPr>
            <w:r w:rsidRPr="00451A15">
              <w:rPr>
                <w:rFonts w:ascii="Arial Narrow" w:hAnsi="Arial Narrow"/>
                <w:b/>
                <w:bCs/>
                <w:sz w:val="20"/>
                <w:szCs w:val="20"/>
              </w:rPr>
              <w:t>2008</w:t>
            </w:r>
          </w:p>
        </w:tc>
        <w:tc>
          <w:tcPr>
            <w:tcW w:w="505" w:type="dxa"/>
            <w:tcBorders>
              <w:top w:val="nil"/>
              <w:left w:val="nil"/>
              <w:bottom w:val="single" w:sz="4" w:space="0" w:color="auto"/>
              <w:right w:val="nil"/>
            </w:tcBorders>
            <w:shd w:val="clear" w:color="auto" w:fill="auto"/>
            <w:vAlign w:val="center"/>
            <w:hideMark/>
          </w:tcPr>
          <w:p w14:paraId="77D18143" w14:textId="77777777" w:rsidR="00492E68" w:rsidRPr="00451A15" w:rsidRDefault="00492E68" w:rsidP="00492E68">
            <w:pPr>
              <w:spacing w:after="0" w:line="240" w:lineRule="auto"/>
              <w:jc w:val="center"/>
              <w:rPr>
                <w:rFonts w:ascii="Arial Narrow" w:hAnsi="Arial Narrow"/>
                <w:b/>
                <w:bCs/>
                <w:sz w:val="20"/>
                <w:szCs w:val="20"/>
              </w:rPr>
            </w:pPr>
            <w:r w:rsidRPr="00451A15">
              <w:rPr>
                <w:rFonts w:ascii="Arial Narrow" w:hAnsi="Arial Narrow"/>
                <w:b/>
                <w:bCs/>
                <w:sz w:val="20"/>
                <w:szCs w:val="20"/>
              </w:rPr>
              <w:t>2011</w:t>
            </w:r>
          </w:p>
        </w:tc>
        <w:tc>
          <w:tcPr>
            <w:tcW w:w="505" w:type="dxa"/>
            <w:tcBorders>
              <w:top w:val="nil"/>
              <w:left w:val="nil"/>
              <w:bottom w:val="single" w:sz="4" w:space="0" w:color="auto"/>
              <w:right w:val="nil"/>
            </w:tcBorders>
            <w:shd w:val="clear" w:color="auto" w:fill="auto"/>
            <w:vAlign w:val="center"/>
            <w:hideMark/>
          </w:tcPr>
          <w:p w14:paraId="3B58D410" w14:textId="77777777" w:rsidR="00492E68" w:rsidRPr="00451A15" w:rsidRDefault="00492E68" w:rsidP="00492E68">
            <w:pPr>
              <w:spacing w:after="0" w:line="240" w:lineRule="auto"/>
              <w:jc w:val="center"/>
              <w:rPr>
                <w:rFonts w:ascii="Arial Narrow" w:hAnsi="Arial Narrow"/>
                <w:b/>
                <w:bCs/>
                <w:sz w:val="20"/>
                <w:szCs w:val="20"/>
              </w:rPr>
            </w:pPr>
            <w:r w:rsidRPr="00451A15">
              <w:rPr>
                <w:rFonts w:ascii="Arial Narrow" w:hAnsi="Arial Narrow"/>
                <w:b/>
                <w:bCs/>
                <w:sz w:val="20"/>
                <w:szCs w:val="20"/>
              </w:rPr>
              <w:t>2012</w:t>
            </w:r>
          </w:p>
        </w:tc>
        <w:tc>
          <w:tcPr>
            <w:tcW w:w="505" w:type="dxa"/>
            <w:tcBorders>
              <w:top w:val="nil"/>
              <w:left w:val="nil"/>
              <w:bottom w:val="single" w:sz="4" w:space="0" w:color="auto"/>
              <w:right w:val="nil"/>
            </w:tcBorders>
            <w:shd w:val="clear" w:color="auto" w:fill="auto"/>
            <w:vAlign w:val="center"/>
          </w:tcPr>
          <w:p w14:paraId="59CC32DE" w14:textId="77777777" w:rsidR="00492E68" w:rsidRPr="00451A15" w:rsidRDefault="00492E68" w:rsidP="00492E68">
            <w:pPr>
              <w:spacing w:after="0" w:line="240" w:lineRule="auto"/>
              <w:jc w:val="center"/>
              <w:rPr>
                <w:rFonts w:ascii="Arial Narrow" w:hAnsi="Arial Narrow"/>
                <w:b/>
                <w:bCs/>
                <w:sz w:val="20"/>
                <w:szCs w:val="20"/>
              </w:rPr>
            </w:pPr>
            <w:r w:rsidRPr="00451A15">
              <w:rPr>
                <w:rFonts w:ascii="Arial Narrow" w:hAnsi="Arial Narrow"/>
                <w:b/>
                <w:bCs/>
                <w:sz w:val="20"/>
                <w:szCs w:val="20"/>
              </w:rPr>
              <w:t>2013</w:t>
            </w:r>
          </w:p>
        </w:tc>
        <w:tc>
          <w:tcPr>
            <w:tcW w:w="505" w:type="dxa"/>
            <w:tcBorders>
              <w:top w:val="nil"/>
              <w:left w:val="nil"/>
              <w:bottom w:val="single" w:sz="4" w:space="0" w:color="auto"/>
              <w:right w:val="nil"/>
            </w:tcBorders>
            <w:shd w:val="clear" w:color="auto" w:fill="auto"/>
            <w:vAlign w:val="center"/>
          </w:tcPr>
          <w:p w14:paraId="09C84C50" w14:textId="77777777" w:rsidR="00492E68" w:rsidRPr="00451A15" w:rsidRDefault="00492E68" w:rsidP="00492E68">
            <w:pPr>
              <w:spacing w:after="0" w:line="240" w:lineRule="auto"/>
              <w:jc w:val="center"/>
              <w:rPr>
                <w:rFonts w:ascii="Arial Narrow" w:hAnsi="Arial Narrow"/>
                <w:b/>
                <w:bCs/>
                <w:sz w:val="20"/>
                <w:szCs w:val="20"/>
              </w:rPr>
            </w:pPr>
            <w:r w:rsidRPr="00451A15">
              <w:rPr>
                <w:rFonts w:ascii="Arial Narrow" w:hAnsi="Arial Narrow"/>
                <w:b/>
                <w:bCs/>
                <w:sz w:val="20"/>
                <w:szCs w:val="20"/>
              </w:rPr>
              <w:t>2014</w:t>
            </w:r>
          </w:p>
        </w:tc>
        <w:tc>
          <w:tcPr>
            <w:tcW w:w="505" w:type="dxa"/>
            <w:tcBorders>
              <w:top w:val="nil"/>
              <w:left w:val="nil"/>
              <w:bottom w:val="single" w:sz="4" w:space="0" w:color="auto"/>
              <w:right w:val="nil"/>
            </w:tcBorders>
            <w:shd w:val="clear" w:color="auto" w:fill="auto"/>
            <w:vAlign w:val="center"/>
          </w:tcPr>
          <w:p w14:paraId="64244E7C" w14:textId="77777777" w:rsidR="00492E68" w:rsidRPr="00451A15" w:rsidRDefault="00492E68" w:rsidP="00492E68">
            <w:pPr>
              <w:spacing w:after="0" w:line="240" w:lineRule="auto"/>
              <w:jc w:val="center"/>
              <w:rPr>
                <w:rFonts w:ascii="Arial Narrow" w:hAnsi="Arial Narrow"/>
                <w:b/>
                <w:bCs/>
                <w:sz w:val="20"/>
                <w:szCs w:val="20"/>
              </w:rPr>
            </w:pPr>
            <w:r w:rsidRPr="00451A15">
              <w:rPr>
                <w:rFonts w:ascii="Arial Narrow" w:hAnsi="Arial Narrow"/>
                <w:b/>
                <w:bCs/>
                <w:sz w:val="20"/>
                <w:szCs w:val="20"/>
              </w:rPr>
              <w:t>2015</w:t>
            </w:r>
          </w:p>
        </w:tc>
        <w:tc>
          <w:tcPr>
            <w:tcW w:w="505" w:type="dxa"/>
            <w:tcBorders>
              <w:top w:val="nil"/>
              <w:left w:val="nil"/>
              <w:bottom w:val="single" w:sz="4" w:space="0" w:color="auto"/>
              <w:right w:val="nil"/>
            </w:tcBorders>
            <w:shd w:val="clear" w:color="auto" w:fill="auto"/>
            <w:vAlign w:val="center"/>
          </w:tcPr>
          <w:p w14:paraId="5FE3D871" w14:textId="77777777" w:rsidR="00492E68" w:rsidRPr="00451A15" w:rsidRDefault="00492E68" w:rsidP="00492E68">
            <w:pPr>
              <w:spacing w:after="0" w:line="240" w:lineRule="auto"/>
              <w:jc w:val="center"/>
              <w:rPr>
                <w:rFonts w:ascii="Arial Narrow" w:hAnsi="Arial Narrow"/>
                <w:b/>
                <w:bCs/>
                <w:sz w:val="20"/>
                <w:szCs w:val="20"/>
              </w:rPr>
            </w:pPr>
            <w:r w:rsidRPr="00451A15">
              <w:rPr>
                <w:rFonts w:ascii="Arial Narrow" w:hAnsi="Arial Narrow"/>
                <w:b/>
                <w:bCs/>
                <w:sz w:val="20"/>
                <w:szCs w:val="20"/>
              </w:rPr>
              <w:t>2016</w:t>
            </w:r>
          </w:p>
        </w:tc>
        <w:tc>
          <w:tcPr>
            <w:tcW w:w="505" w:type="dxa"/>
            <w:tcBorders>
              <w:top w:val="nil"/>
              <w:left w:val="nil"/>
              <w:bottom w:val="single" w:sz="4" w:space="0" w:color="auto"/>
              <w:right w:val="nil"/>
            </w:tcBorders>
            <w:shd w:val="clear" w:color="auto" w:fill="auto"/>
            <w:vAlign w:val="center"/>
          </w:tcPr>
          <w:p w14:paraId="42F34862" w14:textId="77777777" w:rsidR="00492E68" w:rsidRPr="00451A15" w:rsidRDefault="00492E68" w:rsidP="00492E68">
            <w:pPr>
              <w:spacing w:after="0" w:line="240" w:lineRule="auto"/>
              <w:jc w:val="center"/>
              <w:rPr>
                <w:rFonts w:ascii="Arial Narrow" w:hAnsi="Arial Narrow"/>
                <w:b/>
                <w:bCs/>
                <w:sz w:val="20"/>
                <w:szCs w:val="20"/>
              </w:rPr>
            </w:pPr>
            <w:r>
              <w:rPr>
                <w:rFonts w:ascii="Arial Narrow" w:hAnsi="Arial Narrow"/>
                <w:b/>
                <w:bCs/>
                <w:sz w:val="20"/>
                <w:szCs w:val="20"/>
              </w:rPr>
              <w:t>2017</w:t>
            </w:r>
          </w:p>
        </w:tc>
        <w:tc>
          <w:tcPr>
            <w:tcW w:w="505" w:type="dxa"/>
            <w:tcBorders>
              <w:top w:val="nil"/>
              <w:left w:val="nil"/>
              <w:bottom w:val="single" w:sz="4" w:space="0" w:color="auto"/>
              <w:right w:val="nil"/>
            </w:tcBorders>
            <w:shd w:val="clear" w:color="auto" w:fill="auto"/>
            <w:vAlign w:val="center"/>
          </w:tcPr>
          <w:p w14:paraId="0A2CAF92" w14:textId="77777777" w:rsidR="00492E68" w:rsidRPr="00451A15" w:rsidRDefault="00492E68" w:rsidP="00492E68">
            <w:pPr>
              <w:spacing w:after="0" w:line="240" w:lineRule="auto"/>
              <w:jc w:val="center"/>
              <w:rPr>
                <w:rFonts w:ascii="Arial Narrow" w:hAnsi="Arial Narrow"/>
                <w:b/>
                <w:bCs/>
                <w:sz w:val="20"/>
                <w:szCs w:val="20"/>
              </w:rPr>
            </w:pPr>
            <w:r>
              <w:rPr>
                <w:rFonts w:ascii="Arial Narrow" w:hAnsi="Arial Narrow"/>
                <w:b/>
                <w:bCs/>
                <w:sz w:val="20"/>
                <w:szCs w:val="20"/>
              </w:rPr>
              <w:t>2018</w:t>
            </w:r>
          </w:p>
        </w:tc>
        <w:tc>
          <w:tcPr>
            <w:tcW w:w="607" w:type="dxa"/>
            <w:tcBorders>
              <w:top w:val="nil"/>
              <w:left w:val="nil"/>
              <w:bottom w:val="single" w:sz="4" w:space="0" w:color="auto"/>
              <w:right w:val="nil"/>
            </w:tcBorders>
            <w:shd w:val="clear" w:color="auto" w:fill="auto"/>
            <w:vAlign w:val="center"/>
            <w:hideMark/>
          </w:tcPr>
          <w:p w14:paraId="6F5830F4" w14:textId="77777777" w:rsidR="00492E68" w:rsidRPr="00451A15" w:rsidRDefault="00492E68" w:rsidP="00492E68">
            <w:pPr>
              <w:spacing w:after="0" w:line="240" w:lineRule="auto"/>
              <w:jc w:val="center"/>
              <w:rPr>
                <w:rFonts w:ascii="Arial Narrow" w:hAnsi="Arial Narrow"/>
                <w:b/>
                <w:bCs/>
                <w:sz w:val="20"/>
                <w:szCs w:val="20"/>
              </w:rPr>
            </w:pPr>
            <w:r w:rsidRPr="00451A15">
              <w:rPr>
                <w:rFonts w:ascii="Arial Narrow" w:hAnsi="Arial Narrow"/>
                <w:b/>
                <w:bCs/>
                <w:sz w:val="20"/>
                <w:szCs w:val="20"/>
              </w:rPr>
              <w:t xml:space="preserve">Cieľ </w:t>
            </w:r>
            <w:r>
              <w:rPr>
                <w:rFonts w:ascii="Arial Narrow" w:hAnsi="Arial Narrow"/>
                <w:b/>
                <w:bCs/>
                <w:sz w:val="20"/>
                <w:szCs w:val="20"/>
              </w:rPr>
              <w:br/>
            </w:r>
            <w:r w:rsidRPr="00451A15">
              <w:rPr>
                <w:rFonts w:ascii="Arial Narrow" w:hAnsi="Arial Narrow"/>
                <w:b/>
                <w:bCs/>
                <w:sz w:val="20"/>
                <w:szCs w:val="20"/>
              </w:rPr>
              <w:t>2020</w:t>
            </w:r>
          </w:p>
        </w:tc>
      </w:tr>
      <w:tr w:rsidR="00492E68" w:rsidRPr="00451A15" w14:paraId="2230764B" w14:textId="77777777" w:rsidTr="00F21BF4">
        <w:trPr>
          <w:trHeight w:val="249"/>
        </w:trPr>
        <w:tc>
          <w:tcPr>
            <w:tcW w:w="2675" w:type="dxa"/>
            <w:tcBorders>
              <w:top w:val="single" w:sz="4" w:space="0" w:color="auto"/>
              <w:left w:val="nil"/>
              <w:bottom w:val="nil"/>
              <w:right w:val="nil"/>
            </w:tcBorders>
            <w:shd w:val="clear" w:color="auto" w:fill="auto"/>
            <w:noWrap/>
            <w:vAlign w:val="center"/>
            <w:hideMark/>
          </w:tcPr>
          <w:p w14:paraId="2D5C25BD" w14:textId="77777777" w:rsidR="00492E68" w:rsidRPr="00451A15" w:rsidRDefault="00492E68" w:rsidP="00492E68">
            <w:pPr>
              <w:spacing w:after="0" w:line="240" w:lineRule="auto"/>
              <w:jc w:val="both"/>
              <w:rPr>
                <w:rFonts w:ascii="Arial Narrow" w:hAnsi="Arial Narrow"/>
                <w:b/>
                <w:bCs/>
                <w:color w:val="000000"/>
                <w:sz w:val="20"/>
                <w:szCs w:val="20"/>
              </w:rPr>
            </w:pPr>
            <w:proofErr w:type="spellStart"/>
            <w:r w:rsidRPr="00451A15">
              <w:rPr>
                <w:rFonts w:ascii="Arial Narrow" w:hAnsi="Arial Narrow"/>
                <w:b/>
                <w:bCs/>
                <w:color w:val="000000"/>
                <w:sz w:val="20"/>
                <w:szCs w:val="20"/>
              </w:rPr>
              <w:t>Doing</w:t>
            </w:r>
            <w:proofErr w:type="spellEnd"/>
            <w:r w:rsidRPr="00451A15">
              <w:rPr>
                <w:rFonts w:ascii="Arial Narrow" w:hAnsi="Arial Narrow"/>
                <w:b/>
                <w:bCs/>
                <w:color w:val="000000"/>
                <w:sz w:val="20"/>
                <w:szCs w:val="20"/>
              </w:rPr>
              <w:t xml:space="preserve"> Business</w:t>
            </w:r>
          </w:p>
        </w:tc>
        <w:tc>
          <w:tcPr>
            <w:tcW w:w="708" w:type="dxa"/>
            <w:tcBorders>
              <w:top w:val="single" w:sz="4" w:space="0" w:color="auto"/>
              <w:left w:val="nil"/>
              <w:bottom w:val="nil"/>
              <w:right w:val="nil"/>
            </w:tcBorders>
            <w:shd w:val="clear" w:color="auto" w:fill="auto"/>
            <w:noWrap/>
            <w:vAlign w:val="center"/>
            <w:hideMark/>
          </w:tcPr>
          <w:p w14:paraId="43209ABA" w14:textId="77777777" w:rsidR="00492E68" w:rsidRPr="00451A15" w:rsidRDefault="00492E68" w:rsidP="00492E68">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SK</w:t>
            </w:r>
          </w:p>
        </w:tc>
        <w:tc>
          <w:tcPr>
            <w:tcW w:w="617" w:type="dxa"/>
            <w:tcBorders>
              <w:top w:val="single" w:sz="4" w:space="0" w:color="auto"/>
              <w:left w:val="nil"/>
              <w:bottom w:val="nil"/>
              <w:right w:val="nil"/>
            </w:tcBorders>
            <w:shd w:val="clear" w:color="auto" w:fill="auto"/>
            <w:vAlign w:val="center"/>
            <w:hideMark/>
          </w:tcPr>
          <w:p w14:paraId="54DCADF5" w14:textId="77777777" w:rsidR="00492E68" w:rsidRPr="00451A15" w:rsidRDefault="00492E68" w:rsidP="00492E68">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5" w:type="dxa"/>
            <w:tcBorders>
              <w:top w:val="nil"/>
              <w:left w:val="nil"/>
              <w:bottom w:val="nil"/>
              <w:right w:val="nil"/>
            </w:tcBorders>
            <w:shd w:val="clear" w:color="auto" w:fill="auto"/>
            <w:vAlign w:val="center"/>
            <w:hideMark/>
          </w:tcPr>
          <w:p w14:paraId="310A686C" w14:textId="77777777" w:rsidR="00492E68" w:rsidRPr="00451A15" w:rsidRDefault="00492E68" w:rsidP="00492E68">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5" w:type="dxa"/>
            <w:tcBorders>
              <w:top w:val="nil"/>
              <w:left w:val="nil"/>
              <w:bottom w:val="nil"/>
              <w:right w:val="nil"/>
            </w:tcBorders>
            <w:shd w:val="clear" w:color="auto" w:fill="auto"/>
            <w:vAlign w:val="center"/>
            <w:hideMark/>
          </w:tcPr>
          <w:p w14:paraId="7754B798" w14:textId="77777777" w:rsidR="00492E68" w:rsidRPr="00451A15" w:rsidRDefault="00492E68" w:rsidP="00492E68">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5" w:type="dxa"/>
            <w:tcBorders>
              <w:top w:val="nil"/>
              <w:left w:val="nil"/>
              <w:bottom w:val="nil"/>
              <w:right w:val="nil"/>
            </w:tcBorders>
            <w:shd w:val="clear" w:color="auto" w:fill="auto"/>
            <w:vAlign w:val="center"/>
          </w:tcPr>
          <w:p w14:paraId="0814438C" w14:textId="77777777" w:rsidR="00492E68" w:rsidRPr="00451A15" w:rsidRDefault="00492E68" w:rsidP="00492E68">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5" w:type="dxa"/>
            <w:tcBorders>
              <w:top w:val="nil"/>
              <w:left w:val="nil"/>
              <w:bottom w:val="nil"/>
              <w:right w:val="nil"/>
            </w:tcBorders>
            <w:shd w:val="clear" w:color="auto" w:fill="auto"/>
            <w:vAlign w:val="center"/>
          </w:tcPr>
          <w:p w14:paraId="0C70191F" w14:textId="77777777" w:rsidR="00492E68" w:rsidRPr="00451A15" w:rsidRDefault="00492E68" w:rsidP="00492E68">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5" w:type="dxa"/>
            <w:tcBorders>
              <w:top w:val="nil"/>
              <w:left w:val="nil"/>
              <w:bottom w:val="nil"/>
              <w:right w:val="nil"/>
            </w:tcBorders>
            <w:shd w:val="clear" w:color="auto" w:fill="auto"/>
            <w:vAlign w:val="center"/>
          </w:tcPr>
          <w:p w14:paraId="438063C6" w14:textId="77777777" w:rsidR="00492E68" w:rsidRPr="00451A15" w:rsidRDefault="00362F60" w:rsidP="00492E68">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5" w:type="dxa"/>
            <w:tcBorders>
              <w:top w:val="nil"/>
              <w:left w:val="nil"/>
              <w:bottom w:val="nil"/>
              <w:right w:val="nil"/>
            </w:tcBorders>
            <w:shd w:val="clear" w:color="auto" w:fill="auto"/>
            <w:vAlign w:val="center"/>
          </w:tcPr>
          <w:p w14:paraId="2F806E89" w14:textId="77777777" w:rsidR="00492E68" w:rsidRPr="00451A15" w:rsidRDefault="00362F60" w:rsidP="00492E68">
            <w:pPr>
              <w:spacing w:after="0" w:line="240" w:lineRule="auto"/>
              <w:jc w:val="center"/>
              <w:rPr>
                <w:rFonts w:ascii="Arial Narrow" w:hAnsi="Arial Narrow"/>
                <w:color w:val="000000"/>
                <w:sz w:val="20"/>
                <w:szCs w:val="20"/>
              </w:rPr>
            </w:pPr>
            <w:r>
              <w:rPr>
                <w:rFonts w:ascii="Arial Narrow" w:hAnsi="Arial Narrow"/>
                <w:color w:val="000000"/>
                <w:sz w:val="20"/>
                <w:szCs w:val="20"/>
              </w:rPr>
              <w:t>33</w:t>
            </w:r>
          </w:p>
        </w:tc>
        <w:tc>
          <w:tcPr>
            <w:tcW w:w="505" w:type="dxa"/>
            <w:tcBorders>
              <w:top w:val="nil"/>
              <w:left w:val="nil"/>
              <w:bottom w:val="nil"/>
              <w:right w:val="nil"/>
            </w:tcBorders>
            <w:shd w:val="clear" w:color="auto" w:fill="auto"/>
            <w:vAlign w:val="center"/>
          </w:tcPr>
          <w:p w14:paraId="6D1D3BCF" w14:textId="77777777" w:rsidR="00492E68" w:rsidRPr="00451A15" w:rsidRDefault="00362F60" w:rsidP="00492E68">
            <w:pPr>
              <w:spacing w:after="0" w:line="240" w:lineRule="auto"/>
              <w:jc w:val="center"/>
              <w:rPr>
                <w:rFonts w:ascii="Arial Narrow" w:hAnsi="Arial Narrow"/>
                <w:color w:val="000000"/>
                <w:sz w:val="20"/>
                <w:szCs w:val="20"/>
              </w:rPr>
            </w:pPr>
            <w:r>
              <w:rPr>
                <w:rFonts w:ascii="Arial Narrow" w:hAnsi="Arial Narrow"/>
                <w:color w:val="000000"/>
                <w:sz w:val="20"/>
                <w:szCs w:val="20"/>
              </w:rPr>
              <w:t>34</w:t>
            </w:r>
          </w:p>
        </w:tc>
        <w:tc>
          <w:tcPr>
            <w:tcW w:w="505" w:type="dxa"/>
            <w:tcBorders>
              <w:top w:val="nil"/>
              <w:left w:val="nil"/>
              <w:bottom w:val="nil"/>
              <w:right w:val="nil"/>
            </w:tcBorders>
            <w:shd w:val="clear" w:color="auto" w:fill="auto"/>
            <w:vAlign w:val="center"/>
          </w:tcPr>
          <w:p w14:paraId="158C5D54" w14:textId="77777777" w:rsidR="00492E68" w:rsidRPr="00451A15" w:rsidRDefault="00362F60" w:rsidP="00492E68">
            <w:pPr>
              <w:spacing w:after="0" w:line="240" w:lineRule="auto"/>
              <w:jc w:val="center"/>
              <w:rPr>
                <w:rFonts w:ascii="Arial Narrow" w:hAnsi="Arial Narrow"/>
                <w:color w:val="000000"/>
                <w:sz w:val="20"/>
                <w:szCs w:val="20"/>
              </w:rPr>
            </w:pPr>
            <w:r>
              <w:rPr>
                <w:rFonts w:ascii="Arial Narrow" w:hAnsi="Arial Narrow"/>
                <w:color w:val="000000"/>
                <w:sz w:val="20"/>
                <w:szCs w:val="20"/>
              </w:rPr>
              <w:t>39</w:t>
            </w:r>
          </w:p>
        </w:tc>
        <w:tc>
          <w:tcPr>
            <w:tcW w:w="607" w:type="dxa"/>
            <w:tcBorders>
              <w:top w:val="nil"/>
              <w:left w:val="nil"/>
              <w:bottom w:val="nil"/>
              <w:right w:val="nil"/>
            </w:tcBorders>
            <w:shd w:val="clear" w:color="auto" w:fill="auto"/>
            <w:vAlign w:val="center"/>
            <w:hideMark/>
          </w:tcPr>
          <w:p w14:paraId="44E50CFF" w14:textId="77777777" w:rsidR="00492E68" w:rsidRPr="00451A15" w:rsidRDefault="00492E68" w:rsidP="00492E68">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15</w:t>
            </w:r>
          </w:p>
        </w:tc>
      </w:tr>
      <w:tr w:rsidR="00492E68" w:rsidRPr="00451A15" w14:paraId="0F11C086" w14:textId="77777777" w:rsidTr="00153FA0">
        <w:trPr>
          <w:trHeight w:val="168"/>
        </w:trPr>
        <w:tc>
          <w:tcPr>
            <w:tcW w:w="2675" w:type="dxa"/>
            <w:tcBorders>
              <w:top w:val="nil"/>
              <w:left w:val="nil"/>
              <w:right w:val="nil"/>
            </w:tcBorders>
            <w:shd w:val="clear" w:color="auto" w:fill="auto"/>
            <w:noWrap/>
            <w:vAlign w:val="center"/>
            <w:hideMark/>
          </w:tcPr>
          <w:p w14:paraId="3836E50D" w14:textId="77777777" w:rsidR="00492E68" w:rsidRPr="00451A15" w:rsidRDefault="00492E68" w:rsidP="00492E68">
            <w:pPr>
              <w:spacing w:after="0" w:line="240" w:lineRule="auto"/>
              <w:jc w:val="both"/>
              <w:rPr>
                <w:rFonts w:ascii="Arial Narrow" w:hAnsi="Arial Narrow"/>
                <w:color w:val="000000"/>
                <w:sz w:val="20"/>
                <w:szCs w:val="20"/>
              </w:rPr>
            </w:pPr>
            <w:r w:rsidRPr="00451A15">
              <w:rPr>
                <w:rFonts w:ascii="Arial Narrow" w:hAnsi="Arial Narrow"/>
                <w:color w:val="000000"/>
                <w:sz w:val="20"/>
                <w:szCs w:val="20"/>
              </w:rPr>
              <w:t>(poradie v rebríčku Svetovej banky)</w:t>
            </w:r>
          </w:p>
        </w:tc>
        <w:tc>
          <w:tcPr>
            <w:tcW w:w="708" w:type="dxa"/>
            <w:tcBorders>
              <w:top w:val="nil"/>
              <w:left w:val="nil"/>
              <w:right w:val="nil"/>
            </w:tcBorders>
            <w:shd w:val="clear" w:color="auto" w:fill="auto"/>
            <w:noWrap/>
            <w:vAlign w:val="center"/>
            <w:hideMark/>
          </w:tcPr>
          <w:p w14:paraId="2CFDFA57" w14:textId="77777777" w:rsidR="00492E68" w:rsidRPr="00451A15" w:rsidRDefault="00492E68" w:rsidP="00492E68">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EÚ</w:t>
            </w:r>
          </w:p>
        </w:tc>
        <w:tc>
          <w:tcPr>
            <w:tcW w:w="617" w:type="dxa"/>
            <w:tcBorders>
              <w:top w:val="nil"/>
              <w:left w:val="nil"/>
              <w:right w:val="nil"/>
            </w:tcBorders>
            <w:shd w:val="clear" w:color="auto" w:fill="auto"/>
            <w:vAlign w:val="center"/>
            <w:hideMark/>
          </w:tcPr>
          <w:p w14:paraId="2679B48C" w14:textId="77777777" w:rsidR="00492E68" w:rsidRPr="00451A15" w:rsidRDefault="00492E68" w:rsidP="00492E68">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5" w:type="dxa"/>
            <w:tcBorders>
              <w:top w:val="nil"/>
              <w:left w:val="nil"/>
              <w:right w:val="nil"/>
            </w:tcBorders>
            <w:shd w:val="clear" w:color="auto" w:fill="auto"/>
            <w:vAlign w:val="center"/>
            <w:hideMark/>
          </w:tcPr>
          <w:p w14:paraId="261029A4" w14:textId="77777777" w:rsidR="00492E68" w:rsidRPr="00451A15" w:rsidRDefault="00492E68" w:rsidP="00492E68">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5" w:type="dxa"/>
            <w:tcBorders>
              <w:top w:val="nil"/>
              <w:left w:val="nil"/>
              <w:right w:val="nil"/>
            </w:tcBorders>
            <w:shd w:val="clear" w:color="auto" w:fill="auto"/>
            <w:vAlign w:val="center"/>
            <w:hideMark/>
          </w:tcPr>
          <w:p w14:paraId="551A36B1" w14:textId="77777777" w:rsidR="00492E68" w:rsidRPr="00451A15" w:rsidRDefault="00492E68" w:rsidP="00492E68">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5" w:type="dxa"/>
            <w:tcBorders>
              <w:top w:val="nil"/>
              <w:left w:val="nil"/>
              <w:right w:val="nil"/>
            </w:tcBorders>
            <w:shd w:val="clear" w:color="auto" w:fill="auto"/>
            <w:vAlign w:val="center"/>
          </w:tcPr>
          <w:p w14:paraId="69B11464" w14:textId="77777777" w:rsidR="00492E68" w:rsidRPr="00451A15" w:rsidRDefault="00492E68" w:rsidP="00492E68">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5" w:type="dxa"/>
            <w:tcBorders>
              <w:top w:val="nil"/>
              <w:left w:val="nil"/>
              <w:right w:val="nil"/>
            </w:tcBorders>
            <w:shd w:val="clear" w:color="auto" w:fill="auto"/>
            <w:vAlign w:val="center"/>
          </w:tcPr>
          <w:p w14:paraId="49683657" w14:textId="77777777" w:rsidR="00492E68" w:rsidRPr="00451A15" w:rsidRDefault="00492E68" w:rsidP="00492E68">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5" w:type="dxa"/>
            <w:tcBorders>
              <w:top w:val="nil"/>
              <w:left w:val="nil"/>
              <w:right w:val="nil"/>
            </w:tcBorders>
            <w:shd w:val="clear" w:color="auto" w:fill="auto"/>
            <w:vAlign w:val="center"/>
          </w:tcPr>
          <w:p w14:paraId="3DF984AB" w14:textId="77777777" w:rsidR="00492E68" w:rsidRPr="00451A15" w:rsidRDefault="009F4666" w:rsidP="00492E68">
            <w:pPr>
              <w:spacing w:after="0" w:line="240" w:lineRule="auto"/>
              <w:jc w:val="center"/>
              <w:rPr>
                <w:rFonts w:ascii="Arial Narrow" w:hAnsi="Arial Narrow"/>
                <w:color w:val="000000"/>
                <w:sz w:val="20"/>
                <w:szCs w:val="20"/>
              </w:rPr>
            </w:pPr>
            <w:r>
              <w:rPr>
                <w:rFonts w:ascii="Arial Narrow" w:hAnsi="Arial Narrow"/>
                <w:color w:val="000000"/>
                <w:sz w:val="20"/>
                <w:szCs w:val="20"/>
              </w:rPr>
              <w:t>-</w:t>
            </w:r>
            <w:r w:rsidR="00492E68" w:rsidRPr="00451A15">
              <w:rPr>
                <w:rFonts w:ascii="Arial Narrow" w:hAnsi="Arial Narrow"/>
                <w:color w:val="000000"/>
                <w:sz w:val="20"/>
                <w:szCs w:val="20"/>
              </w:rPr>
              <w:t> </w:t>
            </w:r>
          </w:p>
        </w:tc>
        <w:tc>
          <w:tcPr>
            <w:tcW w:w="505" w:type="dxa"/>
            <w:tcBorders>
              <w:top w:val="nil"/>
              <w:left w:val="nil"/>
              <w:right w:val="nil"/>
            </w:tcBorders>
            <w:shd w:val="clear" w:color="auto" w:fill="auto"/>
            <w:vAlign w:val="center"/>
          </w:tcPr>
          <w:p w14:paraId="28635E87" w14:textId="77777777" w:rsidR="00492E68" w:rsidRPr="00451A15" w:rsidRDefault="00492E68" w:rsidP="00492E68">
            <w:pPr>
              <w:spacing w:after="0" w:line="240" w:lineRule="auto"/>
              <w:jc w:val="center"/>
              <w:rPr>
                <w:rFonts w:ascii="Arial Narrow" w:hAnsi="Arial Narrow"/>
                <w:color w:val="000000"/>
                <w:sz w:val="20"/>
                <w:szCs w:val="20"/>
              </w:rPr>
            </w:pPr>
            <w:r>
              <w:rPr>
                <w:rFonts w:ascii="Arial Narrow" w:hAnsi="Arial Narrow"/>
                <w:color w:val="000000"/>
                <w:sz w:val="20"/>
                <w:szCs w:val="20"/>
              </w:rPr>
              <w:t>30</w:t>
            </w:r>
          </w:p>
        </w:tc>
        <w:tc>
          <w:tcPr>
            <w:tcW w:w="505" w:type="dxa"/>
            <w:tcBorders>
              <w:top w:val="nil"/>
              <w:left w:val="nil"/>
              <w:right w:val="nil"/>
            </w:tcBorders>
            <w:shd w:val="clear" w:color="auto" w:fill="auto"/>
            <w:vAlign w:val="center"/>
          </w:tcPr>
          <w:p w14:paraId="072E22AF" w14:textId="77777777" w:rsidR="00492E68" w:rsidRPr="00451A15" w:rsidRDefault="004728A9" w:rsidP="00492E68">
            <w:pPr>
              <w:spacing w:after="0" w:line="240" w:lineRule="auto"/>
              <w:jc w:val="center"/>
              <w:rPr>
                <w:rFonts w:ascii="Arial Narrow" w:hAnsi="Arial Narrow"/>
                <w:color w:val="000000"/>
                <w:sz w:val="20"/>
                <w:szCs w:val="20"/>
              </w:rPr>
            </w:pPr>
            <w:r>
              <w:rPr>
                <w:rFonts w:ascii="Arial Narrow" w:hAnsi="Arial Narrow"/>
                <w:color w:val="000000"/>
                <w:sz w:val="20"/>
                <w:szCs w:val="20"/>
              </w:rPr>
              <w:t>32</w:t>
            </w:r>
          </w:p>
        </w:tc>
        <w:tc>
          <w:tcPr>
            <w:tcW w:w="505" w:type="dxa"/>
            <w:tcBorders>
              <w:top w:val="nil"/>
              <w:left w:val="nil"/>
              <w:right w:val="nil"/>
            </w:tcBorders>
            <w:shd w:val="clear" w:color="auto" w:fill="auto"/>
            <w:vAlign w:val="center"/>
          </w:tcPr>
          <w:p w14:paraId="0FF54B8D" w14:textId="77777777" w:rsidR="00492E68" w:rsidRPr="00451A15" w:rsidRDefault="002F5C4A" w:rsidP="00492E68">
            <w:pPr>
              <w:spacing w:after="0" w:line="240" w:lineRule="auto"/>
              <w:jc w:val="center"/>
              <w:rPr>
                <w:rFonts w:ascii="Arial Narrow" w:hAnsi="Arial Narrow"/>
                <w:color w:val="000000"/>
                <w:sz w:val="20"/>
                <w:szCs w:val="20"/>
              </w:rPr>
            </w:pPr>
            <w:r>
              <w:rPr>
                <w:rFonts w:ascii="Arial Narrow" w:hAnsi="Arial Narrow"/>
                <w:color w:val="000000"/>
                <w:sz w:val="20"/>
                <w:szCs w:val="20"/>
              </w:rPr>
              <w:t>34</w:t>
            </w:r>
          </w:p>
        </w:tc>
        <w:tc>
          <w:tcPr>
            <w:tcW w:w="607" w:type="dxa"/>
            <w:tcBorders>
              <w:top w:val="nil"/>
              <w:left w:val="nil"/>
              <w:right w:val="nil"/>
            </w:tcBorders>
            <w:shd w:val="clear" w:color="auto" w:fill="auto"/>
            <w:vAlign w:val="center"/>
            <w:hideMark/>
          </w:tcPr>
          <w:p w14:paraId="506007A2" w14:textId="77777777" w:rsidR="00492E68" w:rsidRPr="00451A15" w:rsidRDefault="00492E68" w:rsidP="00492E68">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r>
      <w:tr w:rsidR="00153FA0" w:rsidRPr="00451A15" w14:paraId="481D37F0" w14:textId="77777777" w:rsidTr="00F21BF4">
        <w:trPr>
          <w:trHeight w:val="249"/>
        </w:trPr>
        <w:tc>
          <w:tcPr>
            <w:tcW w:w="2675" w:type="dxa"/>
            <w:tcBorders>
              <w:top w:val="nil"/>
              <w:left w:val="nil"/>
              <w:bottom w:val="single" w:sz="4" w:space="0" w:color="auto"/>
              <w:right w:val="nil"/>
            </w:tcBorders>
            <w:shd w:val="clear" w:color="auto" w:fill="auto"/>
            <w:noWrap/>
            <w:vAlign w:val="center"/>
          </w:tcPr>
          <w:p w14:paraId="37139305" w14:textId="77777777" w:rsidR="00153FA0" w:rsidRPr="00451A15" w:rsidRDefault="00153FA0" w:rsidP="00492E68">
            <w:pPr>
              <w:spacing w:after="0" w:line="240" w:lineRule="auto"/>
              <w:jc w:val="both"/>
              <w:rPr>
                <w:rFonts w:ascii="Arial Narrow" w:hAnsi="Arial Narrow"/>
                <w:color w:val="000000"/>
                <w:sz w:val="20"/>
                <w:szCs w:val="20"/>
              </w:rPr>
            </w:pPr>
          </w:p>
        </w:tc>
        <w:tc>
          <w:tcPr>
            <w:tcW w:w="708" w:type="dxa"/>
            <w:tcBorders>
              <w:top w:val="nil"/>
              <w:left w:val="nil"/>
              <w:bottom w:val="single" w:sz="4" w:space="0" w:color="auto"/>
              <w:right w:val="nil"/>
            </w:tcBorders>
            <w:shd w:val="clear" w:color="auto" w:fill="auto"/>
            <w:noWrap/>
            <w:vAlign w:val="center"/>
          </w:tcPr>
          <w:p w14:paraId="04FC0574" w14:textId="77777777" w:rsidR="00153FA0" w:rsidRPr="00451A15" w:rsidRDefault="00153FA0" w:rsidP="00492E68">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V3</w:t>
            </w:r>
          </w:p>
        </w:tc>
        <w:tc>
          <w:tcPr>
            <w:tcW w:w="617" w:type="dxa"/>
            <w:tcBorders>
              <w:top w:val="nil"/>
              <w:left w:val="nil"/>
              <w:bottom w:val="single" w:sz="4" w:space="0" w:color="auto"/>
              <w:right w:val="nil"/>
            </w:tcBorders>
            <w:shd w:val="clear" w:color="auto" w:fill="auto"/>
            <w:vAlign w:val="center"/>
          </w:tcPr>
          <w:p w14:paraId="5369F66D" w14:textId="77777777" w:rsidR="00153FA0" w:rsidRPr="00451A15" w:rsidRDefault="00153FA0" w:rsidP="00492E68">
            <w:pPr>
              <w:spacing w:after="0" w:line="240" w:lineRule="auto"/>
              <w:jc w:val="center"/>
              <w:rPr>
                <w:rFonts w:ascii="Arial Narrow" w:hAnsi="Arial Narrow"/>
                <w:color w:val="000000"/>
                <w:sz w:val="20"/>
                <w:szCs w:val="20"/>
              </w:rPr>
            </w:pPr>
          </w:p>
        </w:tc>
        <w:tc>
          <w:tcPr>
            <w:tcW w:w="505" w:type="dxa"/>
            <w:tcBorders>
              <w:top w:val="nil"/>
              <w:left w:val="nil"/>
              <w:bottom w:val="single" w:sz="4" w:space="0" w:color="auto"/>
              <w:right w:val="nil"/>
            </w:tcBorders>
            <w:shd w:val="clear" w:color="auto" w:fill="auto"/>
            <w:vAlign w:val="center"/>
          </w:tcPr>
          <w:p w14:paraId="231F91C9" w14:textId="77777777" w:rsidR="00153FA0" w:rsidRPr="00451A15" w:rsidRDefault="00153FA0" w:rsidP="00492E68">
            <w:pPr>
              <w:spacing w:after="0" w:line="240" w:lineRule="auto"/>
              <w:jc w:val="center"/>
              <w:rPr>
                <w:rFonts w:ascii="Arial Narrow" w:hAnsi="Arial Narrow"/>
                <w:color w:val="000000"/>
                <w:sz w:val="20"/>
                <w:szCs w:val="20"/>
              </w:rPr>
            </w:pPr>
          </w:p>
        </w:tc>
        <w:tc>
          <w:tcPr>
            <w:tcW w:w="505" w:type="dxa"/>
            <w:tcBorders>
              <w:top w:val="nil"/>
              <w:left w:val="nil"/>
              <w:bottom w:val="single" w:sz="4" w:space="0" w:color="auto"/>
              <w:right w:val="nil"/>
            </w:tcBorders>
            <w:shd w:val="clear" w:color="auto" w:fill="auto"/>
            <w:vAlign w:val="center"/>
          </w:tcPr>
          <w:p w14:paraId="0D288BDD" w14:textId="77777777" w:rsidR="00153FA0" w:rsidRPr="00451A15" w:rsidRDefault="00153FA0" w:rsidP="00492E68">
            <w:pPr>
              <w:spacing w:after="0" w:line="240" w:lineRule="auto"/>
              <w:jc w:val="center"/>
              <w:rPr>
                <w:rFonts w:ascii="Arial Narrow" w:hAnsi="Arial Narrow"/>
                <w:color w:val="000000"/>
                <w:sz w:val="20"/>
                <w:szCs w:val="20"/>
              </w:rPr>
            </w:pPr>
          </w:p>
        </w:tc>
        <w:tc>
          <w:tcPr>
            <w:tcW w:w="505" w:type="dxa"/>
            <w:tcBorders>
              <w:top w:val="nil"/>
              <w:left w:val="nil"/>
              <w:bottom w:val="single" w:sz="4" w:space="0" w:color="auto"/>
              <w:right w:val="nil"/>
            </w:tcBorders>
            <w:shd w:val="clear" w:color="auto" w:fill="auto"/>
            <w:vAlign w:val="center"/>
          </w:tcPr>
          <w:p w14:paraId="678A4778" w14:textId="77777777" w:rsidR="00153FA0" w:rsidRPr="00451A15" w:rsidRDefault="00153FA0" w:rsidP="00492E68">
            <w:pPr>
              <w:spacing w:after="0" w:line="240" w:lineRule="auto"/>
              <w:jc w:val="center"/>
              <w:rPr>
                <w:rFonts w:ascii="Arial Narrow" w:hAnsi="Arial Narrow"/>
                <w:color w:val="000000"/>
                <w:sz w:val="20"/>
                <w:szCs w:val="20"/>
              </w:rPr>
            </w:pPr>
          </w:p>
        </w:tc>
        <w:tc>
          <w:tcPr>
            <w:tcW w:w="505" w:type="dxa"/>
            <w:tcBorders>
              <w:top w:val="nil"/>
              <w:left w:val="nil"/>
              <w:bottom w:val="single" w:sz="4" w:space="0" w:color="auto"/>
              <w:right w:val="nil"/>
            </w:tcBorders>
            <w:shd w:val="clear" w:color="auto" w:fill="auto"/>
            <w:vAlign w:val="center"/>
          </w:tcPr>
          <w:p w14:paraId="3EE4AA8C" w14:textId="77777777" w:rsidR="00153FA0" w:rsidRPr="00451A15" w:rsidRDefault="00153FA0" w:rsidP="00492E68">
            <w:pPr>
              <w:spacing w:after="0" w:line="240" w:lineRule="auto"/>
              <w:jc w:val="center"/>
              <w:rPr>
                <w:rFonts w:ascii="Arial Narrow" w:hAnsi="Arial Narrow"/>
                <w:color w:val="000000"/>
                <w:sz w:val="20"/>
                <w:szCs w:val="20"/>
              </w:rPr>
            </w:pPr>
          </w:p>
        </w:tc>
        <w:tc>
          <w:tcPr>
            <w:tcW w:w="505" w:type="dxa"/>
            <w:tcBorders>
              <w:top w:val="nil"/>
              <w:left w:val="nil"/>
              <w:bottom w:val="single" w:sz="4" w:space="0" w:color="auto"/>
              <w:right w:val="nil"/>
            </w:tcBorders>
            <w:shd w:val="clear" w:color="auto" w:fill="auto"/>
            <w:vAlign w:val="center"/>
          </w:tcPr>
          <w:p w14:paraId="656FA289" w14:textId="77777777" w:rsidR="00153FA0" w:rsidRDefault="00153FA0" w:rsidP="00492E68">
            <w:pPr>
              <w:spacing w:after="0" w:line="240" w:lineRule="auto"/>
              <w:jc w:val="center"/>
              <w:rPr>
                <w:rFonts w:ascii="Arial Narrow" w:hAnsi="Arial Narrow"/>
                <w:color w:val="000000"/>
                <w:sz w:val="20"/>
                <w:szCs w:val="20"/>
              </w:rPr>
            </w:pPr>
          </w:p>
        </w:tc>
        <w:tc>
          <w:tcPr>
            <w:tcW w:w="505" w:type="dxa"/>
            <w:tcBorders>
              <w:top w:val="nil"/>
              <w:left w:val="nil"/>
              <w:bottom w:val="single" w:sz="4" w:space="0" w:color="auto"/>
              <w:right w:val="nil"/>
            </w:tcBorders>
            <w:shd w:val="clear" w:color="auto" w:fill="auto"/>
            <w:vAlign w:val="center"/>
          </w:tcPr>
          <w:p w14:paraId="06BB4E45" w14:textId="77777777" w:rsidR="00153FA0" w:rsidRDefault="00153FA0" w:rsidP="00492E68">
            <w:pPr>
              <w:spacing w:after="0" w:line="240" w:lineRule="auto"/>
              <w:jc w:val="center"/>
              <w:rPr>
                <w:rFonts w:ascii="Arial Narrow" w:hAnsi="Arial Narrow"/>
                <w:color w:val="000000"/>
                <w:sz w:val="20"/>
                <w:szCs w:val="20"/>
              </w:rPr>
            </w:pPr>
            <w:r>
              <w:rPr>
                <w:rFonts w:ascii="Arial Narrow" w:hAnsi="Arial Narrow"/>
                <w:color w:val="000000"/>
                <w:sz w:val="20"/>
                <w:szCs w:val="20"/>
              </w:rPr>
              <w:t>31</w:t>
            </w:r>
          </w:p>
        </w:tc>
        <w:tc>
          <w:tcPr>
            <w:tcW w:w="505" w:type="dxa"/>
            <w:tcBorders>
              <w:top w:val="nil"/>
              <w:left w:val="nil"/>
              <w:bottom w:val="single" w:sz="4" w:space="0" w:color="auto"/>
              <w:right w:val="nil"/>
            </w:tcBorders>
            <w:shd w:val="clear" w:color="auto" w:fill="auto"/>
            <w:vAlign w:val="center"/>
          </w:tcPr>
          <w:p w14:paraId="5AB66124" w14:textId="77777777" w:rsidR="00153FA0" w:rsidRDefault="00153FA0" w:rsidP="00492E68">
            <w:pPr>
              <w:spacing w:after="0" w:line="240" w:lineRule="auto"/>
              <w:jc w:val="center"/>
              <w:rPr>
                <w:rFonts w:ascii="Arial Narrow" w:hAnsi="Arial Narrow"/>
                <w:color w:val="000000"/>
                <w:sz w:val="20"/>
                <w:szCs w:val="20"/>
              </w:rPr>
            </w:pPr>
            <w:r>
              <w:rPr>
                <w:rFonts w:ascii="Arial Narrow" w:hAnsi="Arial Narrow"/>
                <w:color w:val="000000"/>
                <w:sz w:val="20"/>
                <w:szCs w:val="20"/>
              </w:rPr>
              <w:t>31</w:t>
            </w:r>
          </w:p>
        </w:tc>
        <w:tc>
          <w:tcPr>
            <w:tcW w:w="505" w:type="dxa"/>
            <w:tcBorders>
              <w:top w:val="nil"/>
              <w:left w:val="nil"/>
              <w:bottom w:val="single" w:sz="4" w:space="0" w:color="auto"/>
              <w:right w:val="nil"/>
            </w:tcBorders>
            <w:shd w:val="clear" w:color="auto" w:fill="auto"/>
            <w:vAlign w:val="center"/>
          </w:tcPr>
          <w:p w14:paraId="21B98523" w14:textId="77777777" w:rsidR="00153FA0" w:rsidRDefault="00153FA0" w:rsidP="00492E68">
            <w:pPr>
              <w:spacing w:after="0" w:line="240" w:lineRule="auto"/>
              <w:jc w:val="center"/>
              <w:rPr>
                <w:rFonts w:ascii="Arial Narrow" w:hAnsi="Arial Narrow"/>
                <w:color w:val="000000"/>
                <w:sz w:val="20"/>
                <w:szCs w:val="20"/>
              </w:rPr>
            </w:pPr>
            <w:r>
              <w:rPr>
                <w:rFonts w:ascii="Arial Narrow" w:hAnsi="Arial Narrow"/>
                <w:color w:val="000000"/>
                <w:sz w:val="20"/>
                <w:szCs w:val="20"/>
              </w:rPr>
              <w:t>35</w:t>
            </w:r>
          </w:p>
        </w:tc>
        <w:tc>
          <w:tcPr>
            <w:tcW w:w="607" w:type="dxa"/>
            <w:tcBorders>
              <w:top w:val="nil"/>
              <w:left w:val="nil"/>
              <w:bottom w:val="single" w:sz="4" w:space="0" w:color="auto"/>
              <w:right w:val="nil"/>
            </w:tcBorders>
            <w:shd w:val="clear" w:color="auto" w:fill="auto"/>
            <w:vAlign w:val="center"/>
          </w:tcPr>
          <w:p w14:paraId="65354822" w14:textId="77777777" w:rsidR="00153FA0" w:rsidRPr="00451A15" w:rsidRDefault="00153FA0" w:rsidP="00492E68">
            <w:pPr>
              <w:spacing w:after="0" w:line="240" w:lineRule="auto"/>
              <w:jc w:val="center"/>
              <w:rPr>
                <w:rFonts w:ascii="Arial Narrow" w:hAnsi="Arial Narrow"/>
                <w:color w:val="000000"/>
                <w:sz w:val="20"/>
                <w:szCs w:val="20"/>
              </w:rPr>
            </w:pPr>
          </w:p>
        </w:tc>
      </w:tr>
      <w:tr w:rsidR="00492E68" w:rsidRPr="00451A15" w14:paraId="0F86C2B7" w14:textId="77777777" w:rsidTr="00F21BF4">
        <w:trPr>
          <w:trHeight w:val="249"/>
        </w:trPr>
        <w:tc>
          <w:tcPr>
            <w:tcW w:w="2675" w:type="dxa"/>
            <w:tcBorders>
              <w:top w:val="nil"/>
              <w:left w:val="nil"/>
              <w:right w:val="nil"/>
            </w:tcBorders>
            <w:shd w:val="clear" w:color="auto" w:fill="auto"/>
            <w:noWrap/>
            <w:vAlign w:val="center"/>
            <w:hideMark/>
          </w:tcPr>
          <w:p w14:paraId="23F7C822" w14:textId="77777777" w:rsidR="00492E68" w:rsidRPr="00451A15" w:rsidRDefault="00492E68" w:rsidP="00492E68">
            <w:pPr>
              <w:spacing w:after="0" w:line="240" w:lineRule="auto"/>
              <w:rPr>
                <w:rFonts w:ascii="Arial Narrow" w:hAnsi="Arial Narrow"/>
                <w:b/>
                <w:bCs/>
                <w:color w:val="000000"/>
                <w:sz w:val="20"/>
                <w:szCs w:val="20"/>
              </w:rPr>
            </w:pPr>
            <w:r w:rsidRPr="00451A15">
              <w:rPr>
                <w:rFonts w:ascii="Arial Narrow" w:hAnsi="Arial Narrow"/>
                <w:b/>
                <w:bCs/>
                <w:color w:val="000000"/>
                <w:sz w:val="20"/>
                <w:szCs w:val="20"/>
              </w:rPr>
              <w:t>Index regulácie trhu produktov</w:t>
            </w:r>
          </w:p>
        </w:tc>
        <w:tc>
          <w:tcPr>
            <w:tcW w:w="708" w:type="dxa"/>
            <w:tcBorders>
              <w:top w:val="nil"/>
              <w:left w:val="nil"/>
              <w:right w:val="nil"/>
            </w:tcBorders>
            <w:shd w:val="clear" w:color="auto" w:fill="auto"/>
            <w:vAlign w:val="center"/>
            <w:hideMark/>
          </w:tcPr>
          <w:p w14:paraId="73C580F0" w14:textId="77777777" w:rsidR="00492E68" w:rsidRPr="00451A15" w:rsidRDefault="00492E68" w:rsidP="00492E68">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SK</w:t>
            </w:r>
          </w:p>
        </w:tc>
        <w:tc>
          <w:tcPr>
            <w:tcW w:w="617" w:type="dxa"/>
            <w:tcBorders>
              <w:top w:val="nil"/>
              <w:left w:val="nil"/>
              <w:right w:val="nil"/>
            </w:tcBorders>
            <w:shd w:val="clear" w:color="auto" w:fill="auto"/>
            <w:noWrap/>
            <w:vAlign w:val="bottom"/>
            <w:hideMark/>
          </w:tcPr>
          <w:p w14:paraId="7AF0670D" w14:textId="77777777" w:rsidR="00492E68" w:rsidRPr="00451A15" w:rsidRDefault="00492E68" w:rsidP="00492E68">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1,62</w:t>
            </w:r>
          </w:p>
        </w:tc>
        <w:tc>
          <w:tcPr>
            <w:tcW w:w="505" w:type="dxa"/>
            <w:tcBorders>
              <w:top w:val="nil"/>
              <w:left w:val="nil"/>
              <w:right w:val="nil"/>
            </w:tcBorders>
            <w:shd w:val="clear" w:color="auto" w:fill="auto"/>
            <w:noWrap/>
            <w:vAlign w:val="bottom"/>
            <w:hideMark/>
          </w:tcPr>
          <w:p w14:paraId="73AE6544" w14:textId="77777777" w:rsidR="00492E68" w:rsidRPr="00451A15" w:rsidRDefault="00492E68" w:rsidP="00492E68">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 xml:space="preserve"> - </w:t>
            </w:r>
          </w:p>
        </w:tc>
        <w:tc>
          <w:tcPr>
            <w:tcW w:w="505" w:type="dxa"/>
            <w:tcBorders>
              <w:top w:val="nil"/>
              <w:left w:val="nil"/>
              <w:right w:val="nil"/>
            </w:tcBorders>
            <w:shd w:val="clear" w:color="auto" w:fill="auto"/>
            <w:noWrap/>
            <w:vAlign w:val="bottom"/>
            <w:hideMark/>
          </w:tcPr>
          <w:p w14:paraId="046FD22D" w14:textId="77777777" w:rsidR="00492E68" w:rsidRPr="00451A15" w:rsidRDefault="00492E68" w:rsidP="00492E68">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 xml:space="preserve"> - </w:t>
            </w:r>
          </w:p>
        </w:tc>
        <w:tc>
          <w:tcPr>
            <w:tcW w:w="505" w:type="dxa"/>
            <w:tcBorders>
              <w:top w:val="nil"/>
              <w:left w:val="nil"/>
              <w:right w:val="nil"/>
            </w:tcBorders>
            <w:shd w:val="clear" w:color="auto" w:fill="auto"/>
            <w:noWrap/>
            <w:vAlign w:val="bottom"/>
          </w:tcPr>
          <w:p w14:paraId="50DEAE30" w14:textId="77777777" w:rsidR="00492E68" w:rsidRPr="00451A15" w:rsidRDefault="00492E68" w:rsidP="00492E68">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1,29</w:t>
            </w:r>
          </w:p>
        </w:tc>
        <w:tc>
          <w:tcPr>
            <w:tcW w:w="505" w:type="dxa"/>
            <w:tcBorders>
              <w:top w:val="nil"/>
              <w:left w:val="nil"/>
              <w:right w:val="nil"/>
            </w:tcBorders>
            <w:shd w:val="clear" w:color="auto" w:fill="auto"/>
            <w:noWrap/>
            <w:vAlign w:val="bottom"/>
          </w:tcPr>
          <w:p w14:paraId="09CD36DD" w14:textId="77777777" w:rsidR="00492E68" w:rsidRPr="00451A15" w:rsidRDefault="00492E68" w:rsidP="00492E68">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 xml:space="preserve"> - </w:t>
            </w:r>
          </w:p>
        </w:tc>
        <w:tc>
          <w:tcPr>
            <w:tcW w:w="505" w:type="dxa"/>
            <w:tcBorders>
              <w:top w:val="nil"/>
              <w:left w:val="nil"/>
              <w:right w:val="nil"/>
            </w:tcBorders>
            <w:shd w:val="clear" w:color="auto" w:fill="auto"/>
            <w:noWrap/>
            <w:vAlign w:val="bottom"/>
          </w:tcPr>
          <w:p w14:paraId="20BE8471" w14:textId="77777777" w:rsidR="00492E68" w:rsidRPr="00451A15" w:rsidRDefault="00492E68" w:rsidP="00492E68">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5" w:type="dxa"/>
            <w:tcBorders>
              <w:top w:val="nil"/>
              <w:left w:val="nil"/>
              <w:right w:val="nil"/>
            </w:tcBorders>
            <w:shd w:val="clear" w:color="auto" w:fill="auto"/>
            <w:noWrap/>
            <w:vAlign w:val="bottom"/>
          </w:tcPr>
          <w:p w14:paraId="47EBB9D1" w14:textId="77777777" w:rsidR="00492E68" w:rsidRPr="00451A15" w:rsidRDefault="00492E68" w:rsidP="00492E68">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5" w:type="dxa"/>
            <w:tcBorders>
              <w:top w:val="nil"/>
              <w:left w:val="nil"/>
              <w:right w:val="nil"/>
            </w:tcBorders>
            <w:shd w:val="clear" w:color="auto" w:fill="auto"/>
            <w:noWrap/>
            <w:vAlign w:val="bottom"/>
          </w:tcPr>
          <w:p w14:paraId="39446DCE" w14:textId="77777777" w:rsidR="00492E68" w:rsidRPr="00451A15" w:rsidRDefault="00492E68" w:rsidP="00492E68">
            <w:pPr>
              <w:spacing w:after="0" w:line="240" w:lineRule="auto"/>
              <w:jc w:val="center"/>
              <w:rPr>
                <w:rFonts w:ascii="Arial Narrow" w:hAnsi="Arial Narrow"/>
                <w:color w:val="000000"/>
                <w:sz w:val="20"/>
                <w:szCs w:val="20"/>
              </w:rPr>
            </w:pPr>
          </w:p>
        </w:tc>
        <w:tc>
          <w:tcPr>
            <w:tcW w:w="505" w:type="dxa"/>
            <w:tcBorders>
              <w:top w:val="nil"/>
              <w:left w:val="nil"/>
              <w:right w:val="nil"/>
            </w:tcBorders>
            <w:shd w:val="clear" w:color="auto" w:fill="auto"/>
            <w:noWrap/>
            <w:vAlign w:val="bottom"/>
          </w:tcPr>
          <w:p w14:paraId="11353A60" w14:textId="77777777" w:rsidR="00492E68" w:rsidRPr="00451A15" w:rsidRDefault="00492E68" w:rsidP="00492E68">
            <w:pPr>
              <w:spacing w:after="0" w:line="240" w:lineRule="auto"/>
              <w:jc w:val="center"/>
              <w:rPr>
                <w:rFonts w:ascii="Arial Narrow" w:hAnsi="Arial Narrow"/>
                <w:color w:val="000000"/>
                <w:sz w:val="20"/>
                <w:szCs w:val="20"/>
              </w:rPr>
            </w:pPr>
          </w:p>
        </w:tc>
        <w:tc>
          <w:tcPr>
            <w:tcW w:w="607" w:type="dxa"/>
            <w:tcBorders>
              <w:top w:val="nil"/>
              <w:left w:val="nil"/>
              <w:right w:val="nil"/>
            </w:tcBorders>
            <w:shd w:val="clear" w:color="auto" w:fill="auto"/>
            <w:noWrap/>
            <w:vAlign w:val="bottom"/>
            <w:hideMark/>
          </w:tcPr>
          <w:p w14:paraId="420D33BD" w14:textId="77777777" w:rsidR="00492E68" w:rsidRPr="00451A15" w:rsidRDefault="00492E68" w:rsidP="00492E68">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1,2</w:t>
            </w:r>
          </w:p>
        </w:tc>
      </w:tr>
      <w:tr w:rsidR="00492E68" w:rsidRPr="00451A15" w14:paraId="387E86FE" w14:textId="77777777" w:rsidTr="00F21BF4">
        <w:trPr>
          <w:trHeight w:val="249"/>
        </w:trPr>
        <w:tc>
          <w:tcPr>
            <w:tcW w:w="2675" w:type="dxa"/>
            <w:tcBorders>
              <w:top w:val="nil"/>
              <w:left w:val="nil"/>
              <w:bottom w:val="single" w:sz="4" w:space="0" w:color="auto"/>
              <w:right w:val="nil"/>
            </w:tcBorders>
            <w:shd w:val="clear" w:color="auto" w:fill="auto"/>
            <w:noWrap/>
            <w:vAlign w:val="center"/>
            <w:hideMark/>
          </w:tcPr>
          <w:p w14:paraId="3FE88CEB" w14:textId="77777777" w:rsidR="00492E68" w:rsidRPr="00451A15" w:rsidRDefault="00492E68" w:rsidP="00492E68">
            <w:pPr>
              <w:spacing w:after="0" w:line="240" w:lineRule="auto"/>
              <w:jc w:val="both"/>
              <w:rPr>
                <w:rFonts w:ascii="Arial Narrow" w:hAnsi="Arial Narrow"/>
                <w:color w:val="000000"/>
                <w:sz w:val="20"/>
                <w:szCs w:val="20"/>
              </w:rPr>
            </w:pPr>
            <w:r w:rsidRPr="00451A15">
              <w:rPr>
                <w:rFonts w:ascii="Arial Narrow" w:hAnsi="Arial Narrow"/>
                <w:color w:val="000000"/>
                <w:sz w:val="20"/>
                <w:szCs w:val="20"/>
              </w:rPr>
              <w:t>(bodové hodnotenie)</w:t>
            </w:r>
          </w:p>
        </w:tc>
        <w:tc>
          <w:tcPr>
            <w:tcW w:w="708" w:type="dxa"/>
            <w:tcBorders>
              <w:top w:val="nil"/>
              <w:left w:val="nil"/>
              <w:bottom w:val="single" w:sz="4" w:space="0" w:color="auto"/>
              <w:right w:val="nil"/>
            </w:tcBorders>
            <w:shd w:val="clear" w:color="auto" w:fill="auto"/>
            <w:vAlign w:val="center"/>
            <w:hideMark/>
          </w:tcPr>
          <w:p w14:paraId="5772F42D" w14:textId="77777777" w:rsidR="00492E68" w:rsidRPr="00451A15" w:rsidRDefault="00492E68" w:rsidP="00492E68">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OECD</w:t>
            </w:r>
          </w:p>
        </w:tc>
        <w:tc>
          <w:tcPr>
            <w:tcW w:w="617" w:type="dxa"/>
            <w:tcBorders>
              <w:top w:val="nil"/>
              <w:left w:val="nil"/>
              <w:bottom w:val="single" w:sz="4" w:space="0" w:color="auto"/>
              <w:right w:val="nil"/>
            </w:tcBorders>
            <w:shd w:val="clear" w:color="auto" w:fill="auto"/>
            <w:noWrap/>
            <w:vAlign w:val="bottom"/>
            <w:hideMark/>
          </w:tcPr>
          <w:p w14:paraId="700E5642" w14:textId="77777777" w:rsidR="00492E68" w:rsidRPr="00451A15" w:rsidRDefault="00492E68" w:rsidP="00492E68">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1,53</w:t>
            </w:r>
          </w:p>
        </w:tc>
        <w:tc>
          <w:tcPr>
            <w:tcW w:w="505" w:type="dxa"/>
            <w:tcBorders>
              <w:top w:val="nil"/>
              <w:left w:val="nil"/>
              <w:bottom w:val="single" w:sz="4" w:space="0" w:color="auto"/>
              <w:right w:val="nil"/>
            </w:tcBorders>
            <w:shd w:val="clear" w:color="auto" w:fill="auto"/>
            <w:noWrap/>
            <w:vAlign w:val="bottom"/>
            <w:hideMark/>
          </w:tcPr>
          <w:p w14:paraId="7110221A" w14:textId="77777777" w:rsidR="00492E68" w:rsidRPr="00451A15" w:rsidRDefault="00492E68" w:rsidP="00492E68">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 xml:space="preserve"> - </w:t>
            </w:r>
          </w:p>
        </w:tc>
        <w:tc>
          <w:tcPr>
            <w:tcW w:w="505" w:type="dxa"/>
            <w:tcBorders>
              <w:top w:val="nil"/>
              <w:left w:val="nil"/>
              <w:bottom w:val="single" w:sz="4" w:space="0" w:color="auto"/>
              <w:right w:val="nil"/>
            </w:tcBorders>
            <w:shd w:val="clear" w:color="auto" w:fill="auto"/>
            <w:noWrap/>
            <w:vAlign w:val="bottom"/>
            <w:hideMark/>
          </w:tcPr>
          <w:p w14:paraId="12F930AA" w14:textId="77777777" w:rsidR="00492E68" w:rsidRPr="00451A15" w:rsidRDefault="00492E68" w:rsidP="00492E68">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 xml:space="preserve"> - </w:t>
            </w:r>
          </w:p>
        </w:tc>
        <w:tc>
          <w:tcPr>
            <w:tcW w:w="505" w:type="dxa"/>
            <w:tcBorders>
              <w:top w:val="nil"/>
              <w:left w:val="nil"/>
              <w:bottom w:val="single" w:sz="4" w:space="0" w:color="auto"/>
              <w:right w:val="nil"/>
            </w:tcBorders>
            <w:shd w:val="clear" w:color="auto" w:fill="auto"/>
            <w:noWrap/>
            <w:vAlign w:val="bottom"/>
          </w:tcPr>
          <w:p w14:paraId="7CCCAEEA" w14:textId="77777777" w:rsidR="00492E68" w:rsidRPr="00451A15" w:rsidRDefault="00492E68" w:rsidP="00492E68">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1,44</w:t>
            </w:r>
          </w:p>
        </w:tc>
        <w:tc>
          <w:tcPr>
            <w:tcW w:w="505" w:type="dxa"/>
            <w:tcBorders>
              <w:top w:val="nil"/>
              <w:left w:val="nil"/>
              <w:bottom w:val="single" w:sz="4" w:space="0" w:color="auto"/>
              <w:right w:val="nil"/>
            </w:tcBorders>
            <w:shd w:val="clear" w:color="auto" w:fill="auto"/>
            <w:noWrap/>
            <w:vAlign w:val="bottom"/>
          </w:tcPr>
          <w:p w14:paraId="535F39F2" w14:textId="77777777" w:rsidR="00492E68" w:rsidRPr="00451A15" w:rsidRDefault="00492E68" w:rsidP="00492E68">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 xml:space="preserve"> - </w:t>
            </w:r>
          </w:p>
        </w:tc>
        <w:tc>
          <w:tcPr>
            <w:tcW w:w="505" w:type="dxa"/>
            <w:tcBorders>
              <w:top w:val="nil"/>
              <w:left w:val="nil"/>
              <w:bottom w:val="single" w:sz="4" w:space="0" w:color="auto"/>
              <w:right w:val="nil"/>
            </w:tcBorders>
            <w:shd w:val="clear" w:color="auto" w:fill="auto"/>
            <w:noWrap/>
            <w:vAlign w:val="bottom"/>
          </w:tcPr>
          <w:p w14:paraId="073EEB55" w14:textId="77777777" w:rsidR="00492E68" w:rsidRPr="00451A15" w:rsidRDefault="00492E68" w:rsidP="00492E68">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5" w:type="dxa"/>
            <w:tcBorders>
              <w:top w:val="nil"/>
              <w:left w:val="nil"/>
              <w:bottom w:val="single" w:sz="4" w:space="0" w:color="auto"/>
              <w:right w:val="nil"/>
            </w:tcBorders>
            <w:shd w:val="clear" w:color="auto" w:fill="auto"/>
            <w:noWrap/>
            <w:vAlign w:val="bottom"/>
          </w:tcPr>
          <w:p w14:paraId="13D6DD5F" w14:textId="77777777" w:rsidR="00492E68" w:rsidRPr="00451A15" w:rsidRDefault="00492E68" w:rsidP="00492E68">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c>
          <w:tcPr>
            <w:tcW w:w="505" w:type="dxa"/>
            <w:tcBorders>
              <w:top w:val="nil"/>
              <w:left w:val="nil"/>
              <w:bottom w:val="single" w:sz="4" w:space="0" w:color="auto"/>
              <w:right w:val="nil"/>
            </w:tcBorders>
            <w:shd w:val="clear" w:color="auto" w:fill="auto"/>
            <w:noWrap/>
            <w:vAlign w:val="bottom"/>
          </w:tcPr>
          <w:p w14:paraId="34F72F8C" w14:textId="77777777" w:rsidR="00492E68" w:rsidRPr="00451A15" w:rsidRDefault="00492E68" w:rsidP="00492E68">
            <w:pPr>
              <w:spacing w:after="0" w:line="240" w:lineRule="auto"/>
              <w:jc w:val="center"/>
              <w:rPr>
                <w:rFonts w:ascii="Arial Narrow" w:hAnsi="Arial Narrow"/>
                <w:color w:val="000000"/>
                <w:sz w:val="20"/>
                <w:szCs w:val="20"/>
              </w:rPr>
            </w:pPr>
          </w:p>
        </w:tc>
        <w:tc>
          <w:tcPr>
            <w:tcW w:w="505" w:type="dxa"/>
            <w:tcBorders>
              <w:top w:val="nil"/>
              <w:left w:val="nil"/>
              <w:bottom w:val="single" w:sz="4" w:space="0" w:color="auto"/>
              <w:right w:val="nil"/>
            </w:tcBorders>
            <w:shd w:val="clear" w:color="auto" w:fill="auto"/>
            <w:noWrap/>
            <w:vAlign w:val="bottom"/>
          </w:tcPr>
          <w:p w14:paraId="09E7E3E1" w14:textId="77777777" w:rsidR="00492E68" w:rsidRPr="00451A15" w:rsidRDefault="00492E68" w:rsidP="00492E68">
            <w:pPr>
              <w:spacing w:after="0" w:line="240" w:lineRule="auto"/>
              <w:jc w:val="center"/>
              <w:rPr>
                <w:rFonts w:ascii="Arial Narrow" w:hAnsi="Arial Narrow"/>
                <w:color w:val="000000"/>
                <w:sz w:val="20"/>
                <w:szCs w:val="20"/>
              </w:rPr>
            </w:pPr>
          </w:p>
        </w:tc>
        <w:tc>
          <w:tcPr>
            <w:tcW w:w="607" w:type="dxa"/>
            <w:tcBorders>
              <w:top w:val="nil"/>
              <w:left w:val="nil"/>
              <w:bottom w:val="single" w:sz="4" w:space="0" w:color="auto"/>
              <w:right w:val="nil"/>
            </w:tcBorders>
            <w:shd w:val="clear" w:color="auto" w:fill="auto"/>
            <w:noWrap/>
            <w:vAlign w:val="bottom"/>
            <w:hideMark/>
          </w:tcPr>
          <w:p w14:paraId="201DF64C" w14:textId="77777777" w:rsidR="00492E68" w:rsidRPr="00451A15" w:rsidRDefault="00492E68" w:rsidP="00492E68">
            <w:pPr>
              <w:spacing w:after="0" w:line="240" w:lineRule="auto"/>
              <w:jc w:val="center"/>
              <w:rPr>
                <w:rFonts w:ascii="Arial Narrow" w:hAnsi="Arial Narrow"/>
                <w:color w:val="000000"/>
                <w:sz w:val="20"/>
                <w:szCs w:val="20"/>
              </w:rPr>
            </w:pPr>
            <w:r w:rsidRPr="00451A15">
              <w:rPr>
                <w:rFonts w:ascii="Arial Narrow" w:hAnsi="Arial Narrow"/>
                <w:color w:val="000000"/>
                <w:sz w:val="20"/>
                <w:szCs w:val="20"/>
              </w:rPr>
              <w:t>-</w:t>
            </w:r>
          </w:p>
        </w:tc>
      </w:tr>
      <w:tr w:rsidR="00492E68" w:rsidRPr="00451A15" w14:paraId="4877DEB2" w14:textId="77777777" w:rsidTr="00F21BF4">
        <w:trPr>
          <w:trHeight w:val="249"/>
        </w:trPr>
        <w:tc>
          <w:tcPr>
            <w:tcW w:w="2675" w:type="dxa"/>
            <w:tcBorders>
              <w:top w:val="single" w:sz="4" w:space="0" w:color="auto"/>
              <w:left w:val="nil"/>
              <w:right w:val="nil"/>
            </w:tcBorders>
            <w:shd w:val="clear" w:color="auto" w:fill="auto"/>
            <w:noWrap/>
          </w:tcPr>
          <w:p w14:paraId="690D9FC1" w14:textId="77777777" w:rsidR="00492E68" w:rsidRPr="00863B23" w:rsidRDefault="00492E68" w:rsidP="00492E68">
            <w:pPr>
              <w:spacing w:after="0" w:line="240" w:lineRule="auto"/>
              <w:jc w:val="both"/>
              <w:rPr>
                <w:rFonts w:ascii="Arial Narrow" w:hAnsi="Arial Narrow"/>
                <w:b/>
                <w:color w:val="000000"/>
                <w:sz w:val="20"/>
                <w:szCs w:val="20"/>
              </w:rPr>
            </w:pPr>
            <w:r w:rsidRPr="00863B23">
              <w:rPr>
                <w:rFonts w:ascii="Arial Narrow" w:hAnsi="Arial Narrow"/>
                <w:b/>
                <w:sz w:val="20"/>
              </w:rPr>
              <w:t>E-</w:t>
            </w:r>
            <w:proofErr w:type="spellStart"/>
            <w:r w:rsidRPr="00863B23">
              <w:rPr>
                <w:rFonts w:ascii="Arial Narrow" w:hAnsi="Arial Narrow"/>
                <w:b/>
                <w:sz w:val="20"/>
              </w:rPr>
              <w:t>government</w:t>
            </w:r>
            <w:proofErr w:type="spellEnd"/>
            <w:r w:rsidRPr="00863B23">
              <w:rPr>
                <w:rFonts w:ascii="Arial Narrow" w:hAnsi="Arial Narrow"/>
                <w:b/>
                <w:sz w:val="20"/>
              </w:rPr>
              <w:t xml:space="preserve"> index</w:t>
            </w:r>
          </w:p>
        </w:tc>
        <w:tc>
          <w:tcPr>
            <w:tcW w:w="708" w:type="dxa"/>
            <w:tcBorders>
              <w:top w:val="single" w:sz="4" w:space="0" w:color="auto"/>
              <w:left w:val="nil"/>
              <w:right w:val="nil"/>
            </w:tcBorders>
            <w:shd w:val="clear" w:color="auto" w:fill="auto"/>
          </w:tcPr>
          <w:p w14:paraId="4AB69504" w14:textId="77777777" w:rsidR="00492E68" w:rsidRPr="00362F60" w:rsidRDefault="00492E68" w:rsidP="00492E68">
            <w:pPr>
              <w:spacing w:after="0" w:line="240" w:lineRule="auto"/>
              <w:jc w:val="center"/>
              <w:rPr>
                <w:rFonts w:ascii="Arial Narrow" w:hAnsi="Arial Narrow"/>
                <w:b/>
                <w:bCs/>
                <w:color w:val="000000"/>
                <w:sz w:val="20"/>
                <w:szCs w:val="20"/>
              </w:rPr>
            </w:pPr>
            <w:r w:rsidRPr="00362F60">
              <w:rPr>
                <w:rFonts w:ascii="Arial Narrow" w:hAnsi="Arial Narrow"/>
                <w:b/>
                <w:sz w:val="20"/>
              </w:rPr>
              <w:t>SK</w:t>
            </w:r>
          </w:p>
        </w:tc>
        <w:tc>
          <w:tcPr>
            <w:tcW w:w="617" w:type="dxa"/>
            <w:tcBorders>
              <w:top w:val="single" w:sz="4" w:space="0" w:color="auto"/>
              <w:left w:val="nil"/>
              <w:right w:val="nil"/>
            </w:tcBorders>
            <w:shd w:val="clear" w:color="auto" w:fill="auto"/>
            <w:noWrap/>
          </w:tcPr>
          <w:p w14:paraId="597F957D" w14:textId="77777777" w:rsidR="00492E68" w:rsidRPr="00863B23" w:rsidRDefault="00492E68" w:rsidP="00492E68">
            <w:pPr>
              <w:spacing w:after="0" w:line="240" w:lineRule="auto"/>
              <w:jc w:val="center"/>
              <w:rPr>
                <w:rFonts w:ascii="Arial Narrow" w:hAnsi="Arial Narrow"/>
                <w:color w:val="000000"/>
                <w:sz w:val="20"/>
                <w:szCs w:val="20"/>
              </w:rPr>
            </w:pPr>
            <w:r w:rsidRPr="00863B23">
              <w:rPr>
                <w:rFonts w:ascii="Arial Narrow" w:hAnsi="Arial Narrow"/>
                <w:sz w:val="20"/>
              </w:rPr>
              <w:t>40</w:t>
            </w:r>
          </w:p>
        </w:tc>
        <w:tc>
          <w:tcPr>
            <w:tcW w:w="505" w:type="dxa"/>
            <w:tcBorders>
              <w:top w:val="single" w:sz="4" w:space="0" w:color="auto"/>
              <w:left w:val="nil"/>
              <w:right w:val="nil"/>
            </w:tcBorders>
            <w:shd w:val="clear" w:color="auto" w:fill="auto"/>
            <w:noWrap/>
          </w:tcPr>
          <w:p w14:paraId="0E96D0DA" w14:textId="77777777" w:rsidR="00492E68" w:rsidRPr="00863B23" w:rsidRDefault="00492E68" w:rsidP="00492E68">
            <w:pPr>
              <w:spacing w:after="0" w:line="240" w:lineRule="auto"/>
              <w:jc w:val="center"/>
              <w:rPr>
                <w:rFonts w:ascii="Arial Narrow" w:hAnsi="Arial Narrow"/>
                <w:color w:val="000000"/>
                <w:sz w:val="20"/>
                <w:szCs w:val="20"/>
              </w:rPr>
            </w:pPr>
            <w:r w:rsidRPr="00863B23">
              <w:rPr>
                <w:rFonts w:ascii="Arial Narrow" w:hAnsi="Arial Narrow"/>
                <w:sz w:val="20"/>
              </w:rPr>
              <w:t>48</w:t>
            </w:r>
          </w:p>
        </w:tc>
        <w:tc>
          <w:tcPr>
            <w:tcW w:w="505" w:type="dxa"/>
            <w:tcBorders>
              <w:top w:val="single" w:sz="4" w:space="0" w:color="auto"/>
              <w:left w:val="nil"/>
              <w:right w:val="nil"/>
            </w:tcBorders>
            <w:shd w:val="clear" w:color="auto" w:fill="auto"/>
            <w:noWrap/>
          </w:tcPr>
          <w:p w14:paraId="4AD6F903" w14:textId="77777777" w:rsidR="00492E68" w:rsidRPr="00863B23" w:rsidRDefault="00492E68" w:rsidP="00492E68">
            <w:pPr>
              <w:spacing w:after="0" w:line="240" w:lineRule="auto"/>
              <w:jc w:val="center"/>
              <w:rPr>
                <w:rFonts w:ascii="Arial Narrow" w:hAnsi="Arial Narrow"/>
                <w:color w:val="000000"/>
                <w:sz w:val="20"/>
                <w:szCs w:val="20"/>
              </w:rPr>
            </w:pPr>
            <w:r w:rsidRPr="00863B23">
              <w:rPr>
                <w:rFonts w:ascii="Arial Narrow" w:hAnsi="Arial Narrow"/>
                <w:sz w:val="20"/>
              </w:rPr>
              <w:t>42</w:t>
            </w:r>
          </w:p>
        </w:tc>
        <w:tc>
          <w:tcPr>
            <w:tcW w:w="505" w:type="dxa"/>
            <w:tcBorders>
              <w:top w:val="single" w:sz="4" w:space="0" w:color="auto"/>
              <w:left w:val="nil"/>
              <w:right w:val="nil"/>
            </w:tcBorders>
            <w:shd w:val="clear" w:color="auto" w:fill="auto"/>
            <w:noWrap/>
          </w:tcPr>
          <w:p w14:paraId="341BBC4F" w14:textId="77777777" w:rsidR="00492E68" w:rsidRPr="00863B23" w:rsidRDefault="00492E68" w:rsidP="00492E68">
            <w:pPr>
              <w:spacing w:after="0" w:line="240" w:lineRule="auto"/>
              <w:jc w:val="center"/>
              <w:rPr>
                <w:rFonts w:ascii="Arial Narrow" w:hAnsi="Arial Narrow"/>
                <w:color w:val="000000"/>
                <w:sz w:val="20"/>
                <w:szCs w:val="20"/>
              </w:rPr>
            </w:pPr>
            <w:r w:rsidRPr="00863B23">
              <w:rPr>
                <w:rFonts w:ascii="Arial Narrow" w:hAnsi="Arial Narrow"/>
                <w:sz w:val="20"/>
              </w:rPr>
              <w:t>33</w:t>
            </w:r>
          </w:p>
        </w:tc>
        <w:tc>
          <w:tcPr>
            <w:tcW w:w="505" w:type="dxa"/>
            <w:tcBorders>
              <w:top w:val="single" w:sz="4" w:space="0" w:color="auto"/>
              <w:left w:val="nil"/>
              <w:right w:val="nil"/>
            </w:tcBorders>
            <w:shd w:val="clear" w:color="auto" w:fill="auto"/>
            <w:noWrap/>
          </w:tcPr>
          <w:p w14:paraId="271402D6" w14:textId="77777777" w:rsidR="00492E68" w:rsidRPr="00863B23" w:rsidRDefault="00492E68" w:rsidP="00492E68">
            <w:pPr>
              <w:spacing w:after="0" w:line="240" w:lineRule="auto"/>
              <w:jc w:val="center"/>
              <w:rPr>
                <w:rFonts w:ascii="Arial Narrow" w:hAnsi="Arial Narrow"/>
                <w:color w:val="000000"/>
                <w:sz w:val="20"/>
                <w:szCs w:val="20"/>
              </w:rPr>
            </w:pPr>
            <w:r w:rsidRPr="00863B23">
              <w:rPr>
                <w:rFonts w:ascii="Arial Narrow" w:hAnsi="Arial Narrow"/>
                <w:sz w:val="20"/>
              </w:rPr>
              <w:t>57</w:t>
            </w:r>
          </w:p>
        </w:tc>
        <w:tc>
          <w:tcPr>
            <w:tcW w:w="505" w:type="dxa"/>
            <w:tcBorders>
              <w:top w:val="single" w:sz="4" w:space="0" w:color="auto"/>
              <w:left w:val="nil"/>
              <w:right w:val="nil"/>
            </w:tcBorders>
            <w:shd w:val="clear" w:color="auto" w:fill="auto"/>
            <w:noWrap/>
          </w:tcPr>
          <w:p w14:paraId="45BD80F1" w14:textId="77777777" w:rsidR="00492E68" w:rsidRPr="00863B23" w:rsidRDefault="00492E68" w:rsidP="00492E68">
            <w:pPr>
              <w:spacing w:after="0" w:line="240" w:lineRule="auto"/>
              <w:jc w:val="center"/>
              <w:rPr>
                <w:rFonts w:ascii="Arial Narrow" w:hAnsi="Arial Narrow"/>
                <w:color w:val="000000"/>
                <w:sz w:val="20"/>
                <w:szCs w:val="20"/>
              </w:rPr>
            </w:pPr>
            <w:r w:rsidRPr="00863B23">
              <w:rPr>
                <w:rFonts w:ascii="Arial Narrow" w:hAnsi="Arial Narrow"/>
                <w:sz w:val="20"/>
              </w:rPr>
              <w:t>51</w:t>
            </w:r>
          </w:p>
        </w:tc>
        <w:tc>
          <w:tcPr>
            <w:tcW w:w="505" w:type="dxa"/>
            <w:tcBorders>
              <w:top w:val="single" w:sz="4" w:space="0" w:color="auto"/>
              <w:left w:val="nil"/>
              <w:right w:val="nil"/>
            </w:tcBorders>
            <w:shd w:val="clear" w:color="auto" w:fill="auto"/>
            <w:noWrap/>
          </w:tcPr>
          <w:p w14:paraId="1208760B" w14:textId="77777777" w:rsidR="00492E68" w:rsidRPr="00863B23" w:rsidRDefault="00492E68" w:rsidP="00492E68">
            <w:pPr>
              <w:spacing w:after="0" w:line="240" w:lineRule="auto"/>
              <w:jc w:val="center"/>
              <w:rPr>
                <w:rFonts w:ascii="Arial Narrow" w:hAnsi="Arial Narrow"/>
                <w:color w:val="000000"/>
                <w:sz w:val="20"/>
                <w:szCs w:val="20"/>
              </w:rPr>
            </w:pPr>
            <w:r w:rsidRPr="00863B23">
              <w:rPr>
                <w:rFonts w:ascii="Arial Narrow" w:hAnsi="Arial Narrow"/>
                <w:sz w:val="20"/>
              </w:rPr>
              <w:t>48</w:t>
            </w:r>
          </w:p>
        </w:tc>
        <w:tc>
          <w:tcPr>
            <w:tcW w:w="505" w:type="dxa"/>
            <w:tcBorders>
              <w:top w:val="single" w:sz="4" w:space="0" w:color="auto"/>
              <w:left w:val="nil"/>
              <w:right w:val="nil"/>
            </w:tcBorders>
            <w:shd w:val="clear" w:color="auto" w:fill="auto"/>
            <w:noWrap/>
          </w:tcPr>
          <w:p w14:paraId="69A54B53" w14:textId="77777777" w:rsidR="00492E68" w:rsidRPr="00863B23" w:rsidRDefault="00987CF0" w:rsidP="00492E68">
            <w:pPr>
              <w:spacing w:after="0" w:line="240" w:lineRule="auto"/>
              <w:jc w:val="center"/>
              <w:rPr>
                <w:rFonts w:ascii="Arial Narrow" w:hAnsi="Arial Narrow"/>
                <w:color w:val="000000"/>
                <w:sz w:val="20"/>
                <w:szCs w:val="20"/>
              </w:rPr>
            </w:pPr>
            <w:r>
              <w:rPr>
                <w:rFonts w:ascii="Arial Narrow" w:hAnsi="Arial Narrow"/>
                <w:color w:val="000000"/>
                <w:sz w:val="20"/>
                <w:szCs w:val="20"/>
              </w:rPr>
              <w:t>47</w:t>
            </w:r>
          </w:p>
        </w:tc>
        <w:tc>
          <w:tcPr>
            <w:tcW w:w="505" w:type="dxa"/>
            <w:tcBorders>
              <w:top w:val="single" w:sz="4" w:space="0" w:color="auto"/>
              <w:left w:val="nil"/>
              <w:right w:val="nil"/>
            </w:tcBorders>
            <w:shd w:val="clear" w:color="auto" w:fill="auto"/>
            <w:noWrap/>
          </w:tcPr>
          <w:p w14:paraId="0547AC5D" w14:textId="77777777" w:rsidR="00492E68" w:rsidRPr="00863B23" w:rsidRDefault="00492E68" w:rsidP="00492E68">
            <w:pPr>
              <w:spacing w:after="0" w:line="240" w:lineRule="auto"/>
              <w:jc w:val="center"/>
              <w:rPr>
                <w:rFonts w:ascii="Arial Narrow" w:hAnsi="Arial Narrow"/>
                <w:color w:val="000000"/>
                <w:sz w:val="20"/>
                <w:szCs w:val="20"/>
              </w:rPr>
            </w:pPr>
          </w:p>
        </w:tc>
        <w:tc>
          <w:tcPr>
            <w:tcW w:w="607" w:type="dxa"/>
            <w:tcBorders>
              <w:top w:val="single" w:sz="4" w:space="0" w:color="auto"/>
              <w:left w:val="nil"/>
              <w:right w:val="nil"/>
            </w:tcBorders>
            <w:shd w:val="clear" w:color="auto" w:fill="auto"/>
            <w:noWrap/>
          </w:tcPr>
          <w:p w14:paraId="29AC0CE8" w14:textId="77777777" w:rsidR="00492E68" w:rsidRPr="00863B23" w:rsidRDefault="00492E68" w:rsidP="00492E68">
            <w:pPr>
              <w:spacing w:after="0" w:line="240" w:lineRule="auto"/>
              <w:jc w:val="center"/>
              <w:rPr>
                <w:rFonts w:ascii="Arial Narrow" w:hAnsi="Arial Narrow"/>
                <w:color w:val="000000"/>
                <w:sz w:val="20"/>
                <w:szCs w:val="20"/>
              </w:rPr>
            </w:pPr>
            <w:r w:rsidRPr="00863B23">
              <w:rPr>
                <w:rFonts w:ascii="Arial Narrow" w:hAnsi="Arial Narrow"/>
                <w:sz w:val="20"/>
              </w:rPr>
              <w:t>71,7</w:t>
            </w:r>
          </w:p>
        </w:tc>
      </w:tr>
      <w:tr w:rsidR="00492E68" w:rsidRPr="00451A15" w14:paraId="2BEE0017" w14:textId="77777777" w:rsidTr="00F21BF4">
        <w:trPr>
          <w:trHeight w:val="249"/>
        </w:trPr>
        <w:tc>
          <w:tcPr>
            <w:tcW w:w="2675" w:type="dxa"/>
            <w:tcBorders>
              <w:left w:val="nil"/>
              <w:bottom w:val="single" w:sz="4" w:space="0" w:color="auto"/>
              <w:right w:val="nil"/>
            </w:tcBorders>
            <w:shd w:val="clear" w:color="auto" w:fill="auto"/>
            <w:noWrap/>
          </w:tcPr>
          <w:p w14:paraId="39A73844" w14:textId="77777777" w:rsidR="00492E68" w:rsidRPr="00863B23" w:rsidRDefault="00492E68" w:rsidP="00492E68">
            <w:pPr>
              <w:spacing w:after="0" w:line="240" w:lineRule="auto"/>
              <w:jc w:val="both"/>
              <w:rPr>
                <w:rFonts w:ascii="Arial Narrow" w:hAnsi="Arial Narrow"/>
                <w:color w:val="000000"/>
                <w:sz w:val="20"/>
                <w:szCs w:val="20"/>
              </w:rPr>
            </w:pPr>
            <w:r w:rsidRPr="00863B23">
              <w:rPr>
                <w:rFonts w:ascii="Arial Narrow" w:hAnsi="Arial Narrow"/>
                <w:sz w:val="20"/>
              </w:rPr>
              <w:t>(%)</w:t>
            </w:r>
          </w:p>
        </w:tc>
        <w:tc>
          <w:tcPr>
            <w:tcW w:w="708" w:type="dxa"/>
            <w:tcBorders>
              <w:left w:val="nil"/>
              <w:bottom w:val="single" w:sz="4" w:space="0" w:color="auto"/>
              <w:right w:val="nil"/>
            </w:tcBorders>
            <w:shd w:val="clear" w:color="auto" w:fill="auto"/>
          </w:tcPr>
          <w:p w14:paraId="5F266E3B" w14:textId="77777777" w:rsidR="00492E68" w:rsidRPr="00362F60" w:rsidRDefault="00492E68" w:rsidP="00492E68">
            <w:pPr>
              <w:spacing w:after="0" w:line="240" w:lineRule="auto"/>
              <w:jc w:val="center"/>
              <w:rPr>
                <w:rFonts w:ascii="Arial Narrow" w:hAnsi="Arial Narrow"/>
                <w:b/>
                <w:bCs/>
                <w:color w:val="000000"/>
                <w:sz w:val="20"/>
                <w:szCs w:val="20"/>
              </w:rPr>
            </w:pPr>
            <w:r w:rsidRPr="00362F60">
              <w:rPr>
                <w:rFonts w:ascii="Arial Narrow" w:hAnsi="Arial Narrow"/>
                <w:b/>
                <w:sz w:val="20"/>
              </w:rPr>
              <w:t>EÚ</w:t>
            </w:r>
          </w:p>
        </w:tc>
        <w:tc>
          <w:tcPr>
            <w:tcW w:w="617" w:type="dxa"/>
            <w:tcBorders>
              <w:left w:val="nil"/>
              <w:bottom w:val="single" w:sz="4" w:space="0" w:color="auto"/>
              <w:right w:val="nil"/>
            </w:tcBorders>
            <w:shd w:val="clear" w:color="auto" w:fill="auto"/>
            <w:noWrap/>
          </w:tcPr>
          <w:p w14:paraId="605FABFE" w14:textId="77777777" w:rsidR="00492E68" w:rsidRPr="00863B23" w:rsidRDefault="00492E68" w:rsidP="00492E68">
            <w:pPr>
              <w:spacing w:after="0" w:line="240" w:lineRule="auto"/>
              <w:jc w:val="center"/>
              <w:rPr>
                <w:rFonts w:ascii="Arial Narrow" w:hAnsi="Arial Narrow"/>
                <w:color w:val="000000"/>
                <w:sz w:val="20"/>
                <w:szCs w:val="20"/>
              </w:rPr>
            </w:pPr>
            <w:r w:rsidRPr="00863B23">
              <w:rPr>
                <w:rFonts w:ascii="Arial Narrow" w:hAnsi="Arial Narrow"/>
                <w:sz w:val="20"/>
              </w:rPr>
              <w:t>35</w:t>
            </w:r>
          </w:p>
        </w:tc>
        <w:tc>
          <w:tcPr>
            <w:tcW w:w="505" w:type="dxa"/>
            <w:tcBorders>
              <w:left w:val="nil"/>
              <w:bottom w:val="single" w:sz="4" w:space="0" w:color="auto"/>
              <w:right w:val="nil"/>
            </w:tcBorders>
            <w:shd w:val="clear" w:color="auto" w:fill="auto"/>
            <w:noWrap/>
          </w:tcPr>
          <w:p w14:paraId="515611F4" w14:textId="77777777" w:rsidR="00492E68" w:rsidRPr="00863B23" w:rsidRDefault="00492E68" w:rsidP="00492E68">
            <w:pPr>
              <w:spacing w:after="0" w:line="240" w:lineRule="auto"/>
              <w:jc w:val="center"/>
              <w:rPr>
                <w:rFonts w:ascii="Arial Narrow" w:hAnsi="Arial Narrow"/>
                <w:color w:val="000000"/>
                <w:sz w:val="20"/>
                <w:szCs w:val="20"/>
              </w:rPr>
            </w:pPr>
            <w:r w:rsidRPr="00863B23">
              <w:rPr>
                <w:rFonts w:ascii="Arial Narrow" w:hAnsi="Arial Narrow"/>
                <w:sz w:val="20"/>
              </w:rPr>
              <w:t>41</w:t>
            </w:r>
          </w:p>
        </w:tc>
        <w:tc>
          <w:tcPr>
            <w:tcW w:w="505" w:type="dxa"/>
            <w:tcBorders>
              <w:left w:val="nil"/>
              <w:bottom w:val="single" w:sz="4" w:space="0" w:color="auto"/>
              <w:right w:val="nil"/>
            </w:tcBorders>
            <w:shd w:val="clear" w:color="auto" w:fill="auto"/>
            <w:noWrap/>
          </w:tcPr>
          <w:p w14:paraId="6DFB9FF2" w14:textId="77777777" w:rsidR="00492E68" w:rsidRPr="00863B23" w:rsidRDefault="00492E68" w:rsidP="00492E68">
            <w:pPr>
              <w:spacing w:after="0" w:line="240" w:lineRule="auto"/>
              <w:jc w:val="center"/>
              <w:rPr>
                <w:rFonts w:ascii="Arial Narrow" w:hAnsi="Arial Narrow"/>
                <w:color w:val="000000"/>
                <w:sz w:val="20"/>
                <w:szCs w:val="20"/>
              </w:rPr>
            </w:pPr>
            <w:r w:rsidRPr="00863B23">
              <w:rPr>
                <w:rFonts w:ascii="Arial Narrow" w:hAnsi="Arial Narrow"/>
                <w:sz w:val="20"/>
              </w:rPr>
              <w:t>44</w:t>
            </w:r>
          </w:p>
        </w:tc>
        <w:tc>
          <w:tcPr>
            <w:tcW w:w="505" w:type="dxa"/>
            <w:tcBorders>
              <w:left w:val="nil"/>
              <w:bottom w:val="single" w:sz="4" w:space="0" w:color="auto"/>
              <w:right w:val="nil"/>
            </w:tcBorders>
            <w:shd w:val="clear" w:color="auto" w:fill="auto"/>
            <w:noWrap/>
          </w:tcPr>
          <w:p w14:paraId="6933ECBD" w14:textId="77777777" w:rsidR="00492E68" w:rsidRPr="00863B23" w:rsidRDefault="00492E68" w:rsidP="00492E68">
            <w:pPr>
              <w:spacing w:after="0" w:line="240" w:lineRule="auto"/>
              <w:jc w:val="center"/>
              <w:rPr>
                <w:rFonts w:ascii="Arial Narrow" w:hAnsi="Arial Narrow"/>
                <w:color w:val="000000"/>
                <w:sz w:val="20"/>
                <w:szCs w:val="20"/>
              </w:rPr>
            </w:pPr>
            <w:r w:rsidRPr="00863B23">
              <w:rPr>
                <w:rFonts w:ascii="Arial Narrow" w:hAnsi="Arial Narrow"/>
                <w:sz w:val="20"/>
              </w:rPr>
              <w:t>41</w:t>
            </w:r>
          </w:p>
        </w:tc>
        <w:tc>
          <w:tcPr>
            <w:tcW w:w="505" w:type="dxa"/>
            <w:tcBorders>
              <w:left w:val="nil"/>
              <w:bottom w:val="single" w:sz="4" w:space="0" w:color="auto"/>
              <w:right w:val="nil"/>
            </w:tcBorders>
            <w:shd w:val="clear" w:color="auto" w:fill="auto"/>
            <w:noWrap/>
          </w:tcPr>
          <w:p w14:paraId="080E092C" w14:textId="77777777" w:rsidR="00492E68" w:rsidRPr="00863B23" w:rsidRDefault="00492E68" w:rsidP="00492E68">
            <w:pPr>
              <w:spacing w:after="0" w:line="240" w:lineRule="auto"/>
              <w:jc w:val="center"/>
              <w:rPr>
                <w:rFonts w:ascii="Arial Narrow" w:hAnsi="Arial Narrow"/>
                <w:color w:val="000000"/>
                <w:sz w:val="20"/>
                <w:szCs w:val="20"/>
              </w:rPr>
            </w:pPr>
            <w:r w:rsidRPr="00863B23">
              <w:rPr>
                <w:rFonts w:ascii="Arial Narrow" w:hAnsi="Arial Narrow"/>
                <w:sz w:val="20"/>
              </w:rPr>
              <w:t>47</w:t>
            </w:r>
          </w:p>
        </w:tc>
        <w:tc>
          <w:tcPr>
            <w:tcW w:w="505" w:type="dxa"/>
            <w:tcBorders>
              <w:left w:val="nil"/>
              <w:bottom w:val="single" w:sz="4" w:space="0" w:color="auto"/>
              <w:right w:val="nil"/>
            </w:tcBorders>
            <w:shd w:val="clear" w:color="auto" w:fill="auto"/>
            <w:noWrap/>
          </w:tcPr>
          <w:p w14:paraId="1D828FCA" w14:textId="77777777" w:rsidR="00492E68" w:rsidRPr="00863B23" w:rsidRDefault="00492E68" w:rsidP="00492E68">
            <w:pPr>
              <w:spacing w:after="0" w:line="240" w:lineRule="auto"/>
              <w:jc w:val="center"/>
              <w:rPr>
                <w:rFonts w:ascii="Arial Narrow" w:hAnsi="Arial Narrow"/>
                <w:color w:val="000000"/>
                <w:sz w:val="20"/>
                <w:szCs w:val="20"/>
              </w:rPr>
            </w:pPr>
            <w:r w:rsidRPr="00863B23">
              <w:rPr>
                <w:rFonts w:ascii="Arial Narrow" w:hAnsi="Arial Narrow"/>
                <w:sz w:val="20"/>
              </w:rPr>
              <w:t>46</w:t>
            </w:r>
          </w:p>
        </w:tc>
        <w:tc>
          <w:tcPr>
            <w:tcW w:w="505" w:type="dxa"/>
            <w:tcBorders>
              <w:left w:val="nil"/>
              <w:bottom w:val="single" w:sz="4" w:space="0" w:color="auto"/>
              <w:right w:val="nil"/>
            </w:tcBorders>
            <w:shd w:val="clear" w:color="auto" w:fill="auto"/>
            <w:noWrap/>
          </w:tcPr>
          <w:p w14:paraId="34D2F1B4" w14:textId="77777777" w:rsidR="00492E68" w:rsidRPr="00863B23" w:rsidRDefault="00492E68" w:rsidP="00492E68">
            <w:pPr>
              <w:spacing w:after="0" w:line="240" w:lineRule="auto"/>
              <w:jc w:val="center"/>
              <w:rPr>
                <w:rFonts w:ascii="Arial Narrow" w:hAnsi="Arial Narrow"/>
                <w:color w:val="000000"/>
                <w:sz w:val="20"/>
                <w:szCs w:val="20"/>
              </w:rPr>
            </w:pPr>
            <w:r w:rsidRPr="00863B23">
              <w:rPr>
                <w:rFonts w:ascii="Arial Narrow" w:hAnsi="Arial Narrow"/>
                <w:sz w:val="20"/>
              </w:rPr>
              <w:t>48</w:t>
            </w:r>
          </w:p>
        </w:tc>
        <w:tc>
          <w:tcPr>
            <w:tcW w:w="505" w:type="dxa"/>
            <w:tcBorders>
              <w:left w:val="nil"/>
              <w:bottom w:val="single" w:sz="4" w:space="0" w:color="auto"/>
              <w:right w:val="nil"/>
            </w:tcBorders>
            <w:shd w:val="clear" w:color="auto" w:fill="auto"/>
            <w:noWrap/>
          </w:tcPr>
          <w:p w14:paraId="1B8F5E82" w14:textId="77777777" w:rsidR="00492E68" w:rsidRPr="00863B23" w:rsidRDefault="00987CF0" w:rsidP="00492E68">
            <w:pPr>
              <w:spacing w:after="0" w:line="240" w:lineRule="auto"/>
              <w:jc w:val="center"/>
              <w:rPr>
                <w:rFonts w:ascii="Arial Narrow" w:hAnsi="Arial Narrow"/>
                <w:color w:val="000000"/>
                <w:sz w:val="20"/>
                <w:szCs w:val="20"/>
              </w:rPr>
            </w:pPr>
            <w:r>
              <w:rPr>
                <w:rFonts w:ascii="Arial Narrow" w:hAnsi="Arial Narrow"/>
                <w:color w:val="000000"/>
                <w:sz w:val="20"/>
                <w:szCs w:val="20"/>
              </w:rPr>
              <w:t>49</w:t>
            </w:r>
          </w:p>
        </w:tc>
        <w:tc>
          <w:tcPr>
            <w:tcW w:w="505" w:type="dxa"/>
            <w:tcBorders>
              <w:left w:val="nil"/>
              <w:bottom w:val="single" w:sz="4" w:space="0" w:color="auto"/>
              <w:right w:val="nil"/>
            </w:tcBorders>
            <w:shd w:val="clear" w:color="auto" w:fill="auto"/>
            <w:noWrap/>
          </w:tcPr>
          <w:p w14:paraId="66296C14" w14:textId="77777777" w:rsidR="00492E68" w:rsidRPr="00863B23" w:rsidRDefault="00492E68" w:rsidP="00492E68">
            <w:pPr>
              <w:spacing w:after="0" w:line="240" w:lineRule="auto"/>
              <w:jc w:val="center"/>
              <w:rPr>
                <w:rFonts w:ascii="Arial Narrow" w:hAnsi="Arial Narrow"/>
                <w:color w:val="000000"/>
                <w:sz w:val="20"/>
                <w:szCs w:val="20"/>
              </w:rPr>
            </w:pPr>
          </w:p>
        </w:tc>
        <w:tc>
          <w:tcPr>
            <w:tcW w:w="607" w:type="dxa"/>
            <w:tcBorders>
              <w:left w:val="nil"/>
              <w:bottom w:val="single" w:sz="4" w:space="0" w:color="auto"/>
              <w:right w:val="nil"/>
            </w:tcBorders>
            <w:shd w:val="clear" w:color="auto" w:fill="auto"/>
            <w:noWrap/>
          </w:tcPr>
          <w:p w14:paraId="5E2426B6" w14:textId="77777777" w:rsidR="00492E68" w:rsidRPr="00863B23" w:rsidRDefault="00492E68" w:rsidP="00492E68">
            <w:pPr>
              <w:spacing w:after="0" w:line="240" w:lineRule="auto"/>
              <w:jc w:val="center"/>
              <w:rPr>
                <w:rFonts w:ascii="Arial Narrow" w:hAnsi="Arial Narrow"/>
                <w:color w:val="000000"/>
                <w:sz w:val="20"/>
                <w:szCs w:val="20"/>
              </w:rPr>
            </w:pPr>
            <w:r w:rsidRPr="00863B23">
              <w:rPr>
                <w:rFonts w:ascii="Arial Narrow" w:hAnsi="Arial Narrow"/>
                <w:sz w:val="20"/>
              </w:rPr>
              <w:t>-</w:t>
            </w:r>
          </w:p>
        </w:tc>
      </w:tr>
      <w:tr w:rsidR="0057217C" w:rsidRPr="00451A15" w14:paraId="4EDEC3C9" w14:textId="77777777" w:rsidTr="00B14433">
        <w:trPr>
          <w:trHeight w:val="249"/>
        </w:trPr>
        <w:tc>
          <w:tcPr>
            <w:tcW w:w="2675" w:type="dxa"/>
            <w:tcBorders>
              <w:top w:val="single" w:sz="4" w:space="0" w:color="auto"/>
              <w:left w:val="nil"/>
              <w:bottom w:val="nil"/>
              <w:right w:val="nil"/>
            </w:tcBorders>
            <w:shd w:val="clear" w:color="auto" w:fill="auto"/>
            <w:noWrap/>
            <w:vAlign w:val="center"/>
          </w:tcPr>
          <w:p w14:paraId="64864261" w14:textId="77777777" w:rsidR="0057217C" w:rsidRPr="00451A15" w:rsidRDefault="0057217C" w:rsidP="0057217C">
            <w:pPr>
              <w:spacing w:after="0" w:line="240" w:lineRule="auto"/>
              <w:jc w:val="both"/>
              <w:rPr>
                <w:rFonts w:ascii="Arial Narrow" w:hAnsi="Arial Narrow"/>
                <w:color w:val="000000"/>
                <w:sz w:val="20"/>
                <w:szCs w:val="20"/>
              </w:rPr>
            </w:pPr>
            <w:r w:rsidRPr="00587538">
              <w:rPr>
                <w:rFonts w:ascii="Arial Narrow" w:hAnsi="Arial Narrow"/>
                <w:b/>
                <w:bCs/>
                <w:color w:val="000000"/>
                <w:sz w:val="20"/>
                <w:szCs w:val="20"/>
              </w:rPr>
              <w:t>Vnímanie korupcie</w:t>
            </w:r>
          </w:p>
        </w:tc>
        <w:tc>
          <w:tcPr>
            <w:tcW w:w="708" w:type="dxa"/>
            <w:tcBorders>
              <w:top w:val="single" w:sz="4" w:space="0" w:color="auto"/>
              <w:left w:val="nil"/>
              <w:bottom w:val="nil"/>
              <w:right w:val="nil"/>
            </w:tcBorders>
            <w:shd w:val="clear" w:color="auto" w:fill="auto"/>
            <w:vAlign w:val="center"/>
          </w:tcPr>
          <w:p w14:paraId="0DAD5CC8" w14:textId="77777777" w:rsidR="0057217C" w:rsidRPr="00451A15" w:rsidRDefault="0057217C" w:rsidP="0057217C">
            <w:pPr>
              <w:spacing w:after="0" w:line="240" w:lineRule="auto"/>
              <w:jc w:val="center"/>
              <w:rPr>
                <w:rFonts w:ascii="Arial Narrow" w:hAnsi="Arial Narrow"/>
                <w:b/>
                <w:bCs/>
                <w:color w:val="000000"/>
                <w:sz w:val="20"/>
                <w:szCs w:val="20"/>
              </w:rPr>
            </w:pPr>
            <w:r w:rsidRPr="00587538">
              <w:rPr>
                <w:rFonts w:ascii="Arial Narrow" w:hAnsi="Arial Narrow"/>
                <w:b/>
                <w:bCs/>
                <w:color w:val="000000"/>
                <w:sz w:val="20"/>
                <w:szCs w:val="20"/>
              </w:rPr>
              <w:t>SK</w:t>
            </w:r>
          </w:p>
        </w:tc>
        <w:tc>
          <w:tcPr>
            <w:tcW w:w="617" w:type="dxa"/>
            <w:tcBorders>
              <w:top w:val="single" w:sz="4" w:space="0" w:color="auto"/>
              <w:left w:val="nil"/>
              <w:bottom w:val="nil"/>
              <w:right w:val="nil"/>
            </w:tcBorders>
            <w:shd w:val="clear" w:color="auto" w:fill="auto"/>
            <w:noWrap/>
            <w:vAlign w:val="center"/>
          </w:tcPr>
          <w:p w14:paraId="4ECD1A74" w14:textId="77777777" w:rsidR="0057217C" w:rsidRPr="00451A15" w:rsidRDefault="0057217C" w:rsidP="0057217C">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5" w:type="dxa"/>
            <w:tcBorders>
              <w:top w:val="single" w:sz="4" w:space="0" w:color="auto"/>
              <w:left w:val="nil"/>
              <w:bottom w:val="nil"/>
              <w:right w:val="nil"/>
            </w:tcBorders>
            <w:shd w:val="clear" w:color="auto" w:fill="auto"/>
            <w:noWrap/>
            <w:vAlign w:val="center"/>
          </w:tcPr>
          <w:p w14:paraId="2D7CBE04" w14:textId="77777777" w:rsidR="0057217C" w:rsidRPr="00451A15" w:rsidRDefault="0057217C" w:rsidP="0057217C">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5" w:type="dxa"/>
            <w:tcBorders>
              <w:top w:val="single" w:sz="4" w:space="0" w:color="auto"/>
              <w:left w:val="nil"/>
              <w:bottom w:val="nil"/>
              <w:right w:val="nil"/>
            </w:tcBorders>
            <w:shd w:val="clear" w:color="auto" w:fill="auto"/>
            <w:noWrap/>
            <w:vAlign w:val="center"/>
          </w:tcPr>
          <w:p w14:paraId="25926C2E" w14:textId="77777777" w:rsidR="0057217C" w:rsidRPr="00451A15" w:rsidRDefault="0057217C" w:rsidP="0057217C">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5" w:type="dxa"/>
            <w:tcBorders>
              <w:top w:val="nil"/>
              <w:left w:val="nil"/>
              <w:bottom w:val="nil"/>
              <w:right w:val="nil"/>
            </w:tcBorders>
            <w:shd w:val="clear" w:color="auto" w:fill="auto"/>
            <w:noWrap/>
            <w:vAlign w:val="center"/>
          </w:tcPr>
          <w:p w14:paraId="7D4CFA8C" w14:textId="77777777" w:rsidR="0057217C" w:rsidRPr="00451A15" w:rsidRDefault="0057217C" w:rsidP="0057217C">
            <w:pPr>
              <w:spacing w:after="0" w:line="240" w:lineRule="auto"/>
              <w:jc w:val="center"/>
              <w:rPr>
                <w:rFonts w:ascii="Arial Narrow" w:hAnsi="Arial Narrow"/>
                <w:color w:val="000000"/>
                <w:sz w:val="20"/>
                <w:szCs w:val="20"/>
              </w:rPr>
            </w:pPr>
            <w:r>
              <w:rPr>
                <w:rFonts w:ascii="Arial Narrow" w:hAnsi="Arial Narrow"/>
                <w:color w:val="000000"/>
                <w:sz w:val="20"/>
                <w:szCs w:val="20"/>
              </w:rPr>
              <w:t>39,5</w:t>
            </w:r>
          </w:p>
        </w:tc>
        <w:tc>
          <w:tcPr>
            <w:tcW w:w="505" w:type="dxa"/>
            <w:tcBorders>
              <w:top w:val="nil"/>
              <w:left w:val="nil"/>
              <w:bottom w:val="nil"/>
              <w:right w:val="nil"/>
            </w:tcBorders>
            <w:shd w:val="clear" w:color="auto" w:fill="auto"/>
            <w:noWrap/>
            <w:vAlign w:val="center"/>
          </w:tcPr>
          <w:p w14:paraId="0D34C4E6" w14:textId="77777777" w:rsidR="0057217C" w:rsidRPr="00451A15" w:rsidRDefault="0057217C" w:rsidP="0057217C">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5" w:type="dxa"/>
            <w:tcBorders>
              <w:top w:val="nil"/>
              <w:left w:val="nil"/>
              <w:bottom w:val="nil"/>
              <w:right w:val="nil"/>
            </w:tcBorders>
            <w:shd w:val="clear" w:color="auto" w:fill="auto"/>
            <w:noWrap/>
            <w:vAlign w:val="center"/>
          </w:tcPr>
          <w:p w14:paraId="3C725EBB" w14:textId="77777777" w:rsidR="0057217C" w:rsidRPr="00451A15" w:rsidRDefault="0057217C" w:rsidP="0057217C">
            <w:pPr>
              <w:spacing w:after="0" w:line="240" w:lineRule="auto"/>
              <w:jc w:val="center"/>
              <w:rPr>
                <w:rFonts w:ascii="Arial Narrow" w:hAnsi="Arial Narrow"/>
                <w:color w:val="000000"/>
                <w:sz w:val="20"/>
                <w:szCs w:val="20"/>
              </w:rPr>
            </w:pPr>
            <w:r>
              <w:rPr>
                <w:rFonts w:ascii="Arial Narrow" w:hAnsi="Arial Narrow"/>
                <w:color w:val="000000"/>
                <w:sz w:val="20"/>
                <w:szCs w:val="20"/>
              </w:rPr>
              <w:t>45,6</w:t>
            </w:r>
          </w:p>
        </w:tc>
        <w:tc>
          <w:tcPr>
            <w:tcW w:w="505" w:type="dxa"/>
            <w:tcBorders>
              <w:top w:val="nil"/>
              <w:left w:val="nil"/>
              <w:bottom w:val="nil"/>
              <w:right w:val="nil"/>
            </w:tcBorders>
            <w:shd w:val="clear" w:color="auto" w:fill="auto"/>
            <w:noWrap/>
            <w:vAlign w:val="center"/>
          </w:tcPr>
          <w:p w14:paraId="0AA90819" w14:textId="77777777" w:rsidR="0057217C" w:rsidRPr="00451A15" w:rsidRDefault="0057217C" w:rsidP="0057217C">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5" w:type="dxa"/>
            <w:tcBorders>
              <w:top w:val="nil"/>
              <w:left w:val="nil"/>
              <w:bottom w:val="nil"/>
              <w:right w:val="nil"/>
            </w:tcBorders>
            <w:shd w:val="clear" w:color="auto" w:fill="auto"/>
            <w:noWrap/>
            <w:vAlign w:val="center"/>
          </w:tcPr>
          <w:p w14:paraId="11A86A98" w14:textId="77777777" w:rsidR="0057217C" w:rsidRPr="00451A15" w:rsidRDefault="0057217C">
            <w:pPr>
              <w:spacing w:after="0" w:line="240" w:lineRule="auto"/>
              <w:jc w:val="center"/>
              <w:rPr>
                <w:rFonts w:ascii="Arial Narrow" w:hAnsi="Arial Narrow"/>
                <w:color w:val="000000"/>
                <w:sz w:val="20"/>
                <w:szCs w:val="20"/>
              </w:rPr>
            </w:pPr>
            <w:r>
              <w:rPr>
                <w:rFonts w:ascii="Arial Narrow" w:hAnsi="Arial Narrow"/>
                <w:color w:val="000000"/>
                <w:sz w:val="20"/>
                <w:szCs w:val="20"/>
              </w:rPr>
              <w:t>46,</w:t>
            </w:r>
            <w:r w:rsidR="009473BA">
              <w:rPr>
                <w:rFonts w:ascii="Arial Narrow" w:hAnsi="Arial Narrow"/>
                <w:color w:val="000000"/>
                <w:sz w:val="20"/>
                <w:szCs w:val="20"/>
              </w:rPr>
              <w:t>4</w:t>
            </w:r>
          </w:p>
        </w:tc>
        <w:tc>
          <w:tcPr>
            <w:tcW w:w="505" w:type="dxa"/>
            <w:tcBorders>
              <w:top w:val="single" w:sz="4" w:space="0" w:color="auto"/>
              <w:left w:val="nil"/>
              <w:bottom w:val="nil"/>
              <w:right w:val="nil"/>
            </w:tcBorders>
            <w:shd w:val="clear" w:color="auto" w:fill="auto"/>
            <w:noWrap/>
            <w:vAlign w:val="bottom"/>
          </w:tcPr>
          <w:p w14:paraId="050E15F3" w14:textId="77777777" w:rsidR="0057217C" w:rsidRPr="00451A15" w:rsidRDefault="0057217C" w:rsidP="0057217C">
            <w:pPr>
              <w:spacing w:after="0" w:line="240" w:lineRule="auto"/>
              <w:jc w:val="center"/>
              <w:rPr>
                <w:rFonts w:ascii="Arial Narrow" w:hAnsi="Arial Narrow"/>
                <w:color w:val="000000"/>
                <w:sz w:val="20"/>
                <w:szCs w:val="20"/>
              </w:rPr>
            </w:pPr>
          </w:p>
        </w:tc>
        <w:tc>
          <w:tcPr>
            <w:tcW w:w="607" w:type="dxa"/>
            <w:tcBorders>
              <w:top w:val="single" w:sz="4" w:space="0" w:color="auto"/>
              <w:left w:val="nil"/>
              <w:bottom w:val="nil"/>
              <w:right w:val="nil"/>
            </w:tcBorders>
            <w:shd w:val="clear" w:color="auto" w:fill="auto"/>
            <w:noWrap/>
            <w:vAlign w:val="center"/>
          </w:tcPr>
          <w:p w14:paraId="086CBEC2" w14:textId="77777777" w:rsidR="0057217C" w:rsidRPr="00451A15" w:rsidRDefault="0057217C">
            <w:pPr>
              <w:spacing w:after="0" w:line="240" w:lineRule="auto"/>
              <w:jc w:val="center"/>
              <w:rPr>
                <w:rFonts w:ascii="Arial Narrow" w:hAnsi="Arial Narrow"/>
                <w:color w:val="000000"/>
                <w:sz w:val="20"/>
                <w:szCs w:val="20"/>
              </w:rPr>
            </w:pPr>
            <w:r>
              <w:rPr>
                <w:rFonts w:ascii="Arial Narrow" w:hAnsi="Arial Narrow"/>
                <w:color w:val="000000"/>
                <w:sz w:val="20"/>
                <w:szCs w:val="20"/>
              </w:rPr>
              <w:t>62,</w:t>
            </w:r>
            <w:r w:rsidR="009473BA">
              <w:rPr>
                <w:rFonts w:ascii="Arial Narrow" w:hAnsi="Arial Narrow"/>
                <w:color w:val="000000"/>
                <w:sz w:val="20"/>
                <w:szCs w:val="20"/>
              </w:rPr>
              <w:t>6</w:t>
            </w:r>
          </w:p>
        </w:tc>
      </w:tr>
      <w:tr w:rsidR="0057217C" w:rsidRPr="00451A15" w14:paraId="11C1D7C0" w14:textId="77777777" w:rsidTr="00B14433">
        <w:trPr>
          <w:trHeight w:val="188"/>
        </w:trPr>
        <w:tc>
          <w:tcPr>
            <w:tcW w:w="2675" w:type="dxa"/>
            <w:tcBorders>
              <w:top w:val="nil"/>
              <w:left w:val="nil"/>
              <w:bottom w:val="single" w:sz="4" w:space="0" w:color="auto"/>
              <w:right w:val="nil"/>
            </w:tcBorders>
            <w:shd w:val="clear" w:color="auto" w:fill="auto"/>
            <w:noWrap/>
            <w:vAlign w:val="center"/>
          </w:tcPr>
          <w:p w14:paraId="5309CF68" w14:textId="77777777" w:rsidR="0057217C" w:rsidRPr="00451A15" w:rsidRDefault="0057217C" w:rsidP="0057217C">
            <w:pPr>
              <w:spacing w:after="0" w:line="240" w:lineRule="auto"/>
              <w:jc w:val="both"/>
              <w:rPr>
                <w:rFonts w:ascii="Arial Narrow" w:hAnsi="Arial Narrow"/>
                <w:color w:val="000000"/>
                <w:sz w:val="20"/>
                <w:szCs w:val="20"/>
              </w:rPr>
            </w:pPr>
            <w:r w:rsidRPr="00587538">
              <w:rPr>
                <w:rFonts w:ascii="Arial Narrow" w:hAnsi="Arial Narrow"/>
                <w:color w:val="000000"/>
                <w:sz w:val="20"/>
                <w:szCs w:val="20"/>
              </w:rPr>
              <w:t>(%)</w:t>
            </w:r>
          </w:p>
        </w:tc>
        <w:tc>
          <w:tcPr>
            <w:tcW w:w="708" w:type="dxa"/>
            <w:tcBorders>
              <w:top w:val="nil"/>
              <w:left w:val="nil"/>
              <w:bottom w:val="single" w:sz="4" w:space="0" w:color="auto"/>
              <w:right w:val="nil"/>
            </w:tcBorders>
            <w:shd w:val="clear" w:color="auto" w:fill="auto"/>
            <w:vAlign w:val="center"/>
          </w:tcPr>
          <w:p w14:paraId="3A66BD5F" w14:textId="77777777" w:rsidR="0057217C" w:rsidRPr="00451A15" w:rsidRDefault="0057217C" w:rsidP="0057217C">
            <w:pPr>
              <w:spacing w:after="0" w:line="240" w:lineRule="auto"/>
              <w:jc w:val="center"/>
              <w:rPr>
                <w:rFonts w:ascii="Arial Narrow" w:hAnsi="Arial Narrow"/>
                <w:b/>
                <w:bCs/>
                <w:color w:val="000000"/>
                <w:sz w:val="20"/>
                <w:szCs w:val="20"/>
              </w:rPr>
            </w:pPr>
            <w:r w:rsidRPr="00587538">
              <w:rPr>
                <w:rFonts w:ascii="Arial Narrow" w:hAnsi="Arial Narrow"/>
                <w:b/>
                <w:bCs/>
                <w:color w:val="000000"/>
                <w:sz w:val="20"/>
                <w:szCs w:val="20"/>
              </w:rPr>
              <w:t>EÚ</w:t>
            </w:r>
          </w:p>
        </w:tc>
        <w:tc>
          <w:tcPr>
            <w:tcW w:w="617" w:type="dxa"/>
            <w:tcBorders>
              <w:top w:val="nil"/>
              <w:left w:val="nil"/>
              <w:bottom w:val="single" w:sz="4" w:space="0" w:color="auto"/>
              <w:right w:val="nil"/>
            </w:tcBorders>
            <w:shd w:val="clear" w:color="auto" w:fill="auto"/>
            <w:noWrap/>
            <w:vAlign w:val="center"/>
          </w:tcPr>
          <w:p w14:paraId="127BB144" w14:textId="77777777" w:rsidR="0057217C" w:rsidRPr="00451A15" w:rsidRDefault="0057217C" w:rsidP="0057217C">
            <w:pPr>
              <w:spacing w:after="0" w:line="240" w:lineRule="auto"/>
              <w:jc w:val="center"/>
              <w:rPr>
                <w:rFonts w:ascii="Arial Narrow" w:hAnsi="Arial Narrow"/>
                <w:color w:val="000000"/>
                <w:sz w:val="20"/>
                <w:szCs w:val="20"/>
              </w:rPr>
            </w:pPr>
            <w:r w:rsidRPr="00587538">
              <w:rPr>
                <w:rFonts w:ascii="Arial Narrow" w:hAnsi="Arial Narrow"/>
                <w:color w:val="000000"/>
                <w:sz w:val="20"/>
                <w:szCs w:val="20"/>
              </w:rPr>
              <w:t> </w:t>
            </w:r>
            <w:r>
              <w:rPr>
                <w:rFonts w:ascii="Arial Narrow" w:hAnsi="Arial Narrow"/>
                <w:color w:val="000000"/>
                <w:sz w:val="20"/>
                <w:szCs w:val="20"/>
              </w:rPr>
              <w:t>-</w:t>
            </w:r>
          </w:p>
        </w:tc>
        <w:tc>
          <w:tcPr>
            <w:tcW w:w="505" w:type="dxa"/>
            <w:tcBorders>
              <w:top w:val="nil"/>
              <w:left w:val="nil"/>
              <w:bottom w:val="single" w:sz="4" w:space="0" w:color="auto"/>
              <w:right w:val="nil"/>
            </w:tcBorders>
            <w:shd w:val="clear" w:color="auto" w:fill="auto"/>
            <w:noWrap/>
            <w:vAlign w:val="center"/>
          </w:tcPr>
          <w:p w14:paraId="2E4C49AF" w14:textId="77777777" w:rsidR="0057217C" w:rsidRPr="00451A15" w:rsidRDefault="0057217C" w:rsidP="0057217C">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5" w:type="dxa"/>
            <w:tcBorders>
              <w:top w:val="nil"/>
              <w:left w:val="nil"/>
              <w:bottom w:val="single" w:sz="4" w:space="0" w:color="auto"/>
              <w:right w:val="nil"/>
            </w:tcBorders>
            <w:shd w:val="clear" w:color="auto" w:fill="auto"/>
            <w:noWrap/>
            <w:vAlign w:val="center"/>
          </w:tcPr>
          <w:p w14:paraId="3FB37918" w14:textId="77777777" w:rsidR="0057217C" w:rsidRPr="00451A15" w:rsidRDefault="0057217C" w:rsidP="0057217C">
            <w:pPr>
              <w:spacing w:after="0" w:line="240" w:lineRule="auto"/>
              <w:jc w:val="center"/>
              <w:rPr>
                <w:rFonts w:ascii="Arial Narrow" w:hAnsi="Arial Narrow"/>
                <w:color w:val="000000"/>
                <w:sz w:val="20"/>
                <w:szCs w:val="20"/>
              </w:rPr>
            </w:pPr>
            <w:r w:rsidRPr="00587538">
              <w:rPr>
                <w:rFonts w:ascii="Arial Narrow" w:hAnsi="Arial Narrow"/>
                <w:color w:val="000000"/>
                <w:sz w:val="20"/>
                <w:szCs w:val="20"/>
              </w:rPr>
              <w:t> </w:t>
            </w:r>
            <w:r>
              <w:rPr>
                <w:rFonts w:ascii="Arial Narrow" w:hAnsi="Arial Narrow"/>
                <w:color w:val="000000"/>
                <w:sz w:val="20"/>
                <w:szCs w:val="20"/>
              </w:rPr>
              <w:t>-</w:t>
            </w:r>
          </w:p>
        </w:tc>
        <w:tc>
          <w:tcPr>
            <w:tcW w:w="505" w:type="dxa"/>
            <w:tcBorders>
              <w:top w:val="nil"/>
              <w:left w:val="nil"/>
              <w:bottom w:val="single" w:sz="4" w:space="0" w:color="auto"/>
              <w:right w:val="nil"/>
            </w:tcBorders>
            <w:shd w:val="clear" w:color="auto" w:fill="auto"/>
            <w:noWrap/>
            <w:vAlign w:val="center"/>
          </w:tcPr>
          <w:p w14:paraId="6339623C" w14:textId="77777777" w:rsidR="0057217C" w:rsidRPr="00451A15" w:rsidRDefault="0057217C" w:rsidP="0057217C">
            <w:pPr>
              <w:spacing w:after="0" w:line="240" w:lineRule="auto"/>
              <w:jc w:val="center"/>
              <w:rPr>
                <w:rFonts w:ascii="Arial Narrow" w:hAnsi="Arial Narrow"/>
                <w:color w:val="000000"/>
                <w:sz w:val="20"/>
                <w:szCs w:val="20"/>
              </w:rPr>
            </w:pPr>
            <w:r>
              <w:rPr>
                <w:rFonts w:ascii="Arial Narrow" w:hAnsi="Arial Narrow"/>
                <w:color w:val="000000"/>
                <w:sz w:val="20"/>
                <w:szCs w:val="20"/>
              </w:rPr>
              <w:t>61,1</w:t>
            </w:r>
          </w:p>
        </w:tc>
        <w:tc>
          <w:tcPr>
            <w:tcW w:w="505" w:type="dxa"/>
            <w:tcBorders>
              <w:top w:val="nil"/>
              <w:left w:val="nil"/>
              <w:bottom w:val="single" w:sz="4" w:space="0" w:color="auto"/>
              <w:right w:val="nil"/>
            </w:tcBorders>
            <w:shd w:val="clear" w:color="auto" w:fill="auto"/>
            <w:noWrap/>
            <w:vAlign w:val="center"/>
          </w:tcPr>
          <w:p w14:paraId="2B7A93CE" w14:textId="77777777" w:rsidR="0057217C" w:rsidRPr="00451A15" w:rsidRDefault="0057217C" w:rsidP="0057217C">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5" w:type="dxa"/>
            <w:tcBorders>
              <w:top w:val="nil"/>
              <w:left w:val="nil"/>
              <w:bottom w:val="single" w:sz="4" w:space="0" w:color="auto"/>
              <w:right w:val="nil"/>
            </w:tcBorders>
            <w:shd w:val="clear" w:color="auto" w:fill="auto"/>
            <w:noWrap/>
            <w:vAlign w:val="center"/>
          </w:tcPr>
          <w:p w14:paraId="188510EB" w14:textId="77777777" w:rsidR="0057217C" w:rsidRPr="00451A15" w:rsidRDefault="0057217C" w:rsidP="0057217C">
            <w:pPr>
              <w:spacing w:after="0" w:line="240" w:lineRule="auto"/>
              <w:jc w:val="center"/>
              <w:rPr>
                <w:rFonts w:ascii="Arial Narrow" w:hAnsi="Arial Narrow"/>
                <w:color w:val="000000"/>
                <w:sz w:val="20"/>
                <w:szCs w:val="20"/>
              </w:rPr>
            </w:pPr>
            <w:r>
              <w:rPr>
                <w:rFonts w:ascii="Arial Narrow" w:hAnsi="Arial Narrow"/>
                <w:color w:val="000000"/>
                <w:sz w:val="20"/>
                <w:szCs w:val="20"/>
              </w:rPr>
              <w:t>63,1</w:t>
            </w:r>
          </w:p>
        </w:tc>
        <w:tc>
          <w:tcPr>
            <w:tcW w:w="505" w:type="dxa"/>
            <w:tcBorders>
              <w:top w:val="nil"/>
              <w:left w:val="nil"/>
              <w:bottom w:val="single" w:sz="4" w:space="0" w:color="auto"/>
              <w:right w:val="nil"/>
            </w:tcBorders>
            <w:shd w:val="clear" w:color="auto" w:fill="auto"/>
            <w:noWrap/>
            <w:vAlign w:val="center"/>
          </w:tcPr>
          <w:p w14:paraId="43E6BAFF" w14:textId="77777777" w:rsidR="0057217C" w:rsidRPr="00451A15" w:rsidRDefault="0057217C" w:rsidP="0057217C">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505" w:type="dxa"/>
            <w:tcBorders>
              <w:top w:val="nil"/>
              <w:left w:val="nil"/>
              <w:bottom w:val="single" w:sz="4" w:space="0" w:color="auto"/>
              <w:right w:val="nil"/>
            </w:tcBorders>
            <w:shd w:val="clear" w:color="auto" w:fill="auto"/>
            <w:noWrap/>
            <w:vAlign w:val="center"/>
          </w:tcPr>
          <w:p w14:paraId="05A0A840" w14:textId="77777777" w:rsidR="0057217C" w:rsidRPr="00451A15" w:rsidRDefault="0057217C">
            <w:pPr>
              <w:spacing w:after="0" w:line="240" w:lineRule="auto"/>
              <w:jc w:val="center"/>
              <w:rPr>
                <w:rFonts w:ascii="Arial Narrow" w:hAnsi="Arial Narrow"/>
                <w:color w:val="000000"/>
                <w:sz w:val="20"/>
                <w:szCs w:val="20"/>
              </w:rPr>
            </w:pPr>
            <w:r>
              <w:rPr>
                <w:rFonts w:ascii="Arial Narrow" w:hAnsi="Arial Narrow"/>
                <w:color w:val="000000"/>
                <w:sz w:val="20"/>
                <w:szCs w:val="20"/>
              </w:rPr>
              <w:t>62,</w:t>
            </w:r>
            <w:r w:rsidR="009473BA">
              <w:rPr>
                <w:rFonts w:ascii="Arial Narrow" w:hAnsi="Arial Narrow"/>
                <w:color w:val="000000"/>
                <w:sz w:val="20"/>
                <w:szCs w:val="20"/>
              </w:rPr>
              <w:t>4</w:t>
            </w:r>
          </w:p>
        </w:tc>
        <w:tc>
          <w:tcPr>
            <w:tcW w:w="505" w:type="dxa"/>
            <w:tcBorders>
              <w:top w:val="nil"/>
              <w:left w:val="nil"/>
              <w:bottom w:val="single" w:sz="4" w:space="0" w:color="auto"/>
              <w:right w:val="nil"/>
            </w:tcBorders>
            <w:shd w:val="clear" w:color="auto" w:fill="auto"/>
            <w:noWrap/>
            <w:vAlign w:val="bottom"/>
          </w:tcPr>
          <w:p w14:paraId="7F634A08" w14:textId="77777777" w:rsidR="0057217C" w:rsidRPr="00451A15" w:rsidRDefault="0057217C" w:rsidP="0057217C">
            <w:pPr>
              <w:spacing w:after="0" w:line="240" w:lineRule="auto"/>
              <w:jc w:val="center"/>
              <w:rPr>
                <w:rFonts w:ascii="Arial Narrow" w:hAnsi="Arial Narrow"/>
                <w:color w:val="000000"/>
                <w:sz w:val="20"/>
                <w:szCs w:val="20"/>
              </w:rPr>
            </w:pPr>
          </w:p>
        </w:tc>
        <w:tc>
          <w:tcPr>
            <w:tcW w:w="607" w:type="dxa"/>
            <w:tcBorders>
              <w:top w:val="nil"/>
              <w:left w:val="nil"/>
              <w:bottom w:val="single" w:sz="4" w:space="0" w:color="auto"/>
              <w:right w:val="nil"/>
            </w:tcBorders>
            <w:shd w:val="clear" w:color="auto" w:fill="auto"/>
            <w:noWrap/>
            <w:vAlign w:val="center"/>
          </w:tcPr>
          <w:p w14:paraId="1F1C0A3F" w14:textId="77777777" w:rsidR="0057217C" w:rsidRPr="00451A15" w:rsidRDefault="0057217C" w:rsidP="0057217C">
            <w:pPr>
              <w:spacing w:after="0" w:line="240" w:lineRule="auto"/>
              <w:jc w:val="center"/>
              <w:rPr>
                <w:rFonts w:ascii="Arial Narrow" w:hAnsi="Arial Narrow"/>
                <w:color w:val="000000"/>
                <w:sz w:val="20"/>
                <w:szCs w:val="20"/>
              </w:rPr>
            </w:pPr>
            <w:r w:rsidRPr="00587538">
              <w:rPr>
                <w:rFonts w:ascii="Arial Narrow" w:hAnsi="Arial Narrow"/>
                <w:color w:val="000000"/>
                <w:sz w:val="20"/>
                <w:szCs w:val="20"/>
              </w:rPr>
              <w:t>-</w:t>
            </w:r>
          </w:p>
        </w:tc>
      </w:tr>
    </w:tbl>
    <w:p w14:paraId="547E9174" w14:textId="77777777" w:rsidR="007D2366" w:rsidRPr="00493A26" w:rsidRDefault="007D2366" w:rsidP="007D2366">
      <w:pPr>
        <w:spacing w:after="0" w:line="240" w:lineRule="auto"/>
        <w:jc w:val="both"/>
        <w:rPr>
          <w:rFonts w:ascii="Arial Narrow" w:hAnsi="Arial Narrow" w:cs="Arial Narrow"/>
        </w:rPr>
      </w:pPr>
    </w:p>
    <w:p w14:paraId="169EEB88" w14:textId="77777777" w:rsidR="007D2366" w:rsidRDefault="007D2366" w:rsidP="007D2366">
      <w:pPr>
        <w:spacing w:after="0" w:line="240" w:lineRule="auto"/>
        <w:jc w:val="both"/>
        <w:rPr>
          <w:rFonts w:ascii="Arial Narrow" w:hAnsi="Arial Narrow" w:cs="Arial Narrow"/>
          <w:lang w:eastAsia="en-US"/>
        </w:rPr>
      </w:pPr>
      <w:r w:rsidRPr="00493A26">
        <w:rPr>
          <w:rFonts w:ascii="Arial Narrow" w:hAnsi="Arial Narrow" w:cs="Arial Narrow"/>
          <w:lang w:eastAsia="en-US"/>
        </w:rPr>
        <w:t>Slovensko sa v </w:t>
      </w:r>
      <w:r w:rsidRPr="00493A26">
        <w:rPr>
          <w:rFonts w:ascii="Arial Narrow" w:hAnsi="Arial Narrow" w:cs="Arial Narrow"/>
          <w:b/>
          <w:lang w:eastAsia="en-US"/>
        </w:rPr>
        <w:t>hodnotení regulačného prostredia</w:t>
      </w:r>
      <w:r w:rsidRPr="00493A26">
        <w:rPr>
          <w:rFonts w:ascii="Arial Narrow" w:hAnsi="Arial Narrow" w:cs="Arial Narrow"/>
          <w:lang w:eastAsia="en-US"/>
        </w:rPr>
        <w:t xml:space="preserve"> </w:t>
      </w:r>
      <w:r w:rsidRPr="00493A26">
        <w:rPr>
          <w:rFonts w:ascii="Arial Narrow" w:hAnsi="Arial Narrow" w:cs="Arial Narrow"/>
          <w:b/>
          <w:lang w:eastAsia="en-US"/>
        </w:rPr>
        <w:t>pre podnikanie</w:t>
      </w:r>
      <w:r w:rsidRPr="00493A26">
        <w:rPr>
          <w:rFonts w:ascii="Arial Narrow" w:hAnsi="Arial Narrow" w:cs="Arial Narrow"/>
          <w:lang w:eastAsia="en-US"/>
        </w:rPr>
        <w:t xml:space="preserve"> podľa </w:t>
      </w:r>
      <w:proofErr w:type="spellStart"/>
      <w:r w:rsidRPr="00493A26">
        <w:rPr>
          <w:rFonts w:ascii="Arial Narrow" w:hAnsi="Arial Narrow" w:cs="Arial Narrow"/>
          <w:lang w:eastAsia="en-US"/>
        </w:rPr>
        <w:t>Doing</w:t>
      </w:r>
      <w:proofErr w:type="spellEnd"/>
      <w:r w:rsidRPr="00493A26">
        <w:rPr>
          <w:rFonts w:ascii="Arial Narrow" w:hAnsi="Arial Narrow" w:cs="Arial Narrow"/>
          <w:lang w:eastAsia="en-US"/>
        </w:rPr>
        <w:t xml:space="preserve"> Business </w:t>
      </w:r>
      <w:r w:rsidR="00770227">
        <w:rPr>
          <w:rFonts w:ascii="Arial Narrow" w:hAnsi="Arial Narrow" w:cs="Arial Narrow"/>
          <w:lang w:eastAsia="en-US"/>
        </w:rPr>
        <w:t>2018</w:t>
      </w:r>
      <w:r w:rsidRPr="00493A26">
        <w:rPr>
          <w:rFonts w:ascii="Arial Narrow" w:hAnsi="Arial Narrow" w:cs="Arial Narrow"/>
          <w:lang w:eastAsia="en-US"/>
        </w:rPr>
        <w:t xml:space="preserve"> </w:t>
      </w:r>
      <w:r w:rsidR="00770227" w:rsidRPr="00770227">
        <w:rPr>
          <w:rFonts w:ascii="Arial Narrow" w:hAnsi="Arial Narrow" w:cs="Arial Narrow"/>
          <w:lang w:eastAsia="en-US"/>
        </w:rPr>
        <w:t>umiestnilo na 39. mieste zo 190 hodnotený</w:t>
      </w:r>
      <w:r w:rsidR="00770227">
        <w:rPr>
          <w:rFonts w:ascii="Arial Narrow" w:hAnsi="Arial Narrow" w:cs="Arial Narrow"/>
          <w:lang w:eastAsia="en-US"/>
        </w:rPr>
        <w:t>ch krajín s celkovým skóre 74,9</w:t>
      </w:r>
      <w:r w:rsidR="00770227" w:rsidRPr="00770227">
        <w:rPr>
          <w:rFonts w:ascii="Arial Narrow" w:hAnsi="Arial Narrow" w:cs="Arial Narrow"/>
          <w:lang w:eastAsia="en-US"/>
        </w:rPr>
        <w:t>. V porovnaní s predchádzajúcim rokom sme sa posunuli o päť miest nadol (z pozície 34 na 39) podľa aktualizovanej metodiky Svetovej banky. V regióne V4 je za nami Maďarsko (48. miesto</w:t>
      </w:r>
      <w:r w:rsidR="00770227">
        <w:rPr>
          <w:rFonts w:ascii="Arial Narrow" w:hAnsi="Arial Narrow" w:cs="Arial Narrow"/>
          <w:lang w:eastAsia="en-US"/>
        </w:rPr>
        <w:t>).</w:t>
      </w:r>
      <w:r w:rsidR="00770227" w:rsidRPr="00770227">
        <w:rPr>
          <w:rFonts w:ascii="Arial Narrow" w:eastAsiaTheme="minorHAnsi" w:hAnsi="Arial Narrow" w:cstheme="minorBidi"/>
          <w:lang w:eastAsia="en-US"/>
        </w:rPr>
        <w:t xml:space="preserve"> </w:t>
      </w:r>
      <w:r w:rsidR="00770227" w:rsidRPr="00770227">
        <w:rPr>
          <w:rFonts w:ascii="Arial Narrow" w:hAnsi="Arial Narrow" w:cs="Arial Narrow"/>
          <w:lang w:eastAsia="en-US"/>
        </w:rPr>
        <w:t xml:space="preserve">Za poklesom Slovenska v rebríčku stojí najmä zlepšenie skóre ostatných krajín a naša stagnácia vo viacerých hodnotených oblastiach. Celkové skóre Slovenska sa </w:t>
      </w:r>
      <w:r w:rsidR="00770227" w:rsidRPr="00770227">
        <w:rPr>
          <w:rFonts w:ascii="Arial Narrow" w:hAnsi="Arial Narrow" w:cs="Arial Narrow"/>
          <w:bCs/>
          <w:lang w:eastAsia="en-US"/>
        </w:rPr>
        <w:t>oproti minulému roku mierne zhoršilo (pokles o 0,25 bodu).</w:t>
      </w:r>
    </w:p>
    <w:p w14:paraId="69BE7275" w14:textId="77777777" w:rsidR="007D2366" w:rsidRPr="004803A1" w:rsidRDefault="007D2366" w:rsidP="007D2366">
      <w:pPr>
        <w:spacing w:after="0" w:line="240" w:lineRule="auto"/>
        <w:jc w:val="both"/>
        <w:rPr>
          <w:rFonts w:ascii="Arial Narrow" w:hAnsi="Arial Narrow" w:cs="Arial Narrow"/>
          <w:lang w:eastAsia="en-US"/>
        </w:rPr>
      </w:pPr>
    </w:p>
    <w:tbl>
      <w:tblPr>
        <w:tblW w:w="8675" w:type="dxa"/>
        <w:jc w:val="center"/>
        <w:tblLayout w:type="fixed"/>
        <w:tblCellMar>
          <w:left w:w="70" w:type="dxa"/>
          <w:right w:w="70" w:type="dxa"/>
        </w:tblCellMar>
        <w:tblLook w:val="0000" w:firstRow="0" w:lastRow="0" w:firstColumn="0" w:lastColumn="0" w:noHBand="0" w:noVBand="0"/>
      </w:tblPr>
      <w:tblGrid>
        <w:gridCol w:w="4068"/>
        <w:gridCol w:w="161"/>
        <w:gridCol w:w="76"/>
        <w:gridCol w:w="4370"/>
      </w:tblGrid>
      <w:tr w:rsidR="007D2366" w:rsidRPr="00D851C8" w14:paraId="34C0DC32" w14:textId="77777777" w:rsidTr="00342E82">
        <w:trPr>
          <w:trHeight w:val="269"/>
          <w:jc w:val="center"/>
        </w:trPr>
        <w:tc>
          <w:tcPr>
            <w:tcW w:w="4068" w:type="dxa"/>
            <w:tcBorders>
              <w:top w:val="nil"/>
              <w:left w:val="nil"/>
              <w:bottom w:val="single" w:sz="6" w:space="0" w:color="000000"/>
              <w:right w:val="nil"/>
            </w:tcBorders>
            <w:shd w:val="clear" w:color="auto" w:fill="auto"/>
            <w:vAlign w:val="bottom"/>
          </w:tcPr>
          <w:p w14:paraId="4A39D93B" w14:textId="77777777" w:rsidR="007D2366" w:rsidRPr="00D851C8" w:rsidRDefault="007D2366" w:rsidP="00342E82">
            <w:pPr>
              <w:spacing w:after="0" w:line="240" w:lineRule="auto"/>
              <w:jc w:val="both"/>
              <w:rPr>
                <w:rFonts w:ascii="Arial Narrow" w:eastAsia="Arial Narrow" w:hAnsi="Arial Narrow" w:cs="Arial Narrow"/>
                <w:b/>
                <w:bCs/>
                <w:color w:val="4F81BD" w:themeColor="accent1"/>
                <w:sz w:val="20"/>
                <w:szCs w:val="20"/>
                <w:bdr w:val="nil"/>
              </w:rPr>
            </w:pPr>
            <w:bookmarkStart w:id="77" w:name="_Toc480760516"/>
            <w:bookmarkStart w:id="78" w:name="_Toc509513338"/>
            <w:r w:rsidRPr="00097191">
              <w:rPr>
                <w:rFonts w:ascii="Arial Narrow" w:eastAsia="Calibri" w:hAnsi="Arial Narrow" w:cs="Arial Narrow"/>
                <w:b/>
                <w:bCs/>
                <w:color w:val="2C9ADC"/>
                <w:sz w:val="20"/>
                <w:szCs w:val="18"/>
                <w:bdr w:val="nil"/>
                <w:lang w:eastAsia="en-US"/>
              </w:rPr>
              <w:t xml:space="preserve">Graf </w:t>
            </w:r>
            <w:r w:rsidRPr="00097191">
              <w:rPr>
                <w:rFonts w:ascii="Arial Narrow" w:eastAsia="Calibri" w:hAnsi="Arial Narrow" w:cs="Arial Narrow"/>
                <w:b/>
                <w:bCs/>
                <w:color w:val="2C9ADC"/>
                <w:sz w:val="20"/>
                <w:szCs w:val="18"/>
                <w:bdr w:val="nil"/>
                <w:lang w:eastAsia="en-US"/>
              </w:rPr>
              <w:fldChar w:fldCharType="begin"/>
            </w:r>
            <w:r w:rsidRPr="00097191">
              <w:rPr>
                <w:rFonts w:ascii="Arial Narrow" w:eastAsia="Calibri" w:hAnsi="Arial Narrow" w:cs="Arial Narrow"/>
                <w:b/>
                <w:bCs/>
                <w:color w:val="2C9ADC"/>
                <w:sz w:val="20"/>
                <w:szCs w:val="18"/>
                <w:bdr w:val="nil"/>
                <w:lang w:eastAsia="en-US"/>
              </w:rPr>
              <w:instrText xml:space="preserve"> SEQ GRAF \* ARABIC </w:instrText>
            </w:r>
            <w:r w:rsidRPr="00097191">
              <w:rPr>
                <w:rFonts w:ascii="Arial Narrow" w:eastAsia="Calibri" w:hAnsi="Arial Narrow" w:cs="Arial Narrow"/>
                <w:b/>
                <w:bCs/>
                <w:color w:val="2C9ADC"/>
                <w:sz w:val="20"/>
                <w:szCs w:val="18"/>
                <w:bdr w:val="nil"/>
                <w:lang w:eastAsia="en-US"/>
              </w:rPr>
              <w:fldChar w:fldCharType="separate"/>
            </w:r>
            <w:r w:rsidR="00EE7207">
              <w:rPr>
                <w:rFonts w:ascii="Arial Narrow" w:eastAsia="Calibri" w:hAnsi="Arial Narrow" w:cs="Arial Narrow"/>
                <w:b/>
                <w:bCs/>
                <w:noProof/>
                <w:color w:val="2C9ADC"/>
                <w:sz w:val="20"/>
                <w:szCs w:val="18"/>
                <w:bdr w:val="nil"/>
                <w:lang w:eastAsia="en-US"/>
              </w:rPr>
              <w:t>26</w:t>
            </w:r>
            <w:r w:rsidRPr="00097191">
              <w:rPr>
                <w:rFonts w:ascii="Arial Narrow" w:eastAsia="Calibri" w:hAnsi="Arial Narrow" w:cs="Arial Narrow"/>
                <w:b/>
                <w:bCs/>
                <w:color w:val="2C9ADC"/>
                <w:sz w:val="20"/>
                <w:szCs w:val="18"/>
                <w:bdr w:val="nil"/>
                <w:lang w:eastAsia="en-US"/>
              </w:rPr>
              <w:fldChar w:fldCharType="end"/>
            </w:r>
            <w:r w:rsidRPr="00097191">
              <w:rPr>
                <w:rFonts w:ascii="Arial Narrow" w:eastAsia="Calibri" w:hAnsi="Arial Narrow" w:cs="Arial Narrow"/>
                <w:b/>
                <w:bCs/>
                <w:color w:val="2C9ADC"/>
                <w:sz w:val="20"/>
                <w:szCs w:val="18"/>
                <w:bdr w:val="nil"/>
                <w:lang w:eastAsia="en-US"/>
              </w:rPr>
              <w:t>:</w:t>
            </w:r>
            <w:r w:rsidR="00A201A6">
              <w:rPr>
                <w:rFonts w:ascii="Arial Narrow" w:eastAsia="Calibri" w:hAnsi="Arial Narrow" w:cs="Arial Narrow"/>
                <w:b/>
                <w:bCs/>
                <w:color w:val="2C9ADC"/>
                <w:sz w:val="20"/>
                <w:szCs w:val="18"/>
                <w:bdr w:val="nil"/>
                <w:lang w:eastAsia="en-US"/>
              </w:rPr>
              <w:t xml:space="preserve"> </w:t>
            </w:r>
            <w:r w:rsidR="00A201A6" w:rsidRPr="00A201A6">
              <w:rPr>
                <w:rFonts w:ascii="Arial Narrow" w:eastAsia="Calibri" w:hAnsi="Arial Narrow" w:cs="Arial Narrow"/>
                <w:b/>
                <w:bCs/>
                <w:color w:val="2C9ADC"/>
                <w:sz w:val="20"/>
                <w:szCs w:val="18"/>
                <w:bdr w:val="nil"/>
                <w:lang w:eastAsia="en-US"/>
              </w:rPr>
              <w:t xml:space="preserve">Bodové hodnotenie v rebríčku </w:t>
            </w:r>
            <w:proofErr w:type="spellStart"/>
            <w:r w:rsidR="00A201A6" w:rsidRPr="00A201A6">
              <w:rPr>
                <w:rFonts w:ascii="Arial Narrow" w:eastAsia="Calibri" w:hAnsi="Arial Narrow" w:cs="Arial Narrow"/>
                <w:b/>
                <w:bCs/>
                <w:color w:val="2C9ADC"/>
                <w:sz w:val="20"/>
                <w:szCs w:val="18"/>
                <w:bdr w:val="nil"/>
                <w:lang w:eastAsia="en-US"/>
              </w:rPr>
              <w:t>Doing</w:t>
            </w:r>
            <w:proofErr w:type="spellEnd"/>
            <w:r w:rsidR="00A201A6" w:rsidRPr="00A201A6">
              <w:rPr>
                <w:rFonts w:ascii="Arial Narrow" w:eastAsia="Calibri" w:hAnsi="Arial Narrow" w:cs="Arial Narrow"/>
                <w:b/>
                <w:bCs/>
                <w:color w:val="2C9ADC"/>
                <w:sz w:val="20"/>
                <w:szCs w:val="18"/>
                <w:bdr w:val="nil"/>
                <w:lang w:eastAsia="en-US"/>
              </w:rPr>
              <w:t xml:space="preserve"> Business (metodika DB 2018)</w:t>
            </w:r>
            <w:bookmarkEnd w:id="77"/>
            <w:bookmarkEnd w:id="78"/>
          </w:p>
        </w:tc>
        <w:tc>
          <w:tcPr>
            <w:tcW w:w="161" w:type="dxa"/>
            <w:tcBorders>
              <w:top w:val="nil"/>
              <w:left w:val="nil"/>
              <w:bottom w:val="nil"/>
              <w:right w:val="nil"/>
            </w:tcBorders>
            <w:shd w:val="clear" w:color="auto" w:fill="auto"/>
            <w:vAlign w:val="center"/>
          </w:tcPr>
          <w:p w14:paraId="284F8766" w14:textId="77777777" w:rsidR="007D2366" w:rsidRPr="00D851C8" w:rsidRDefault="007D2366" w:rsidP="00342E82">
            <w:pPr>
              <w:spacing w:after="0" w:line="240" w:lineRule="auto"/>
              <w:rPr>
                <w:rFonts w:ascii="Arial Narrow" w:eastAsia="Arial Narrow" w:hAnsi="Arial Narrow" w:cs="Arial Narrow"/>
                <w:b/>
                <w:bCs/>
                <w:color w:val="4F81BD" w:themeColor="accent1"/>
                <w:sz w:val="20"/>
                <w:szCs w:val="20"/>
                <w:bdr w:val="nil"/>
              </w:rPr>
            </w:pPr>
          </w:p>
        </w:tc>
        <w:tc>
          <w:tcPr>
            <w:tcW w:w="4446" w:type="dxa"/>
            <w:gridSpan w:val="2"/>
            <w:tcBorders>
              <w:top w:val="nil"/>
              <w:left w:val="nil"/>
              <w:bottom w:val="single" w:sz="6" w:space="0" w:color="000000"/>
              <w:right w:val="nil"/>
            </w:tcBorders>
            <w:shd w:val="clear" w:color="auto" w:fill="auto"/>
            <w:vAlign w:val="bottom"/>
          </w:tcPr>
          <w:p w14:paraId="0E0A1B2A" w14:textId="77777777" w:rsidR="007D2366" w:rsidRPr="00D851C8" w:rsidRDefault="007D2366" w:rsidP="00342E82">
            <w:pPr>
              <w:spacing w:after="0" w:line="240" w:lineRule="auto"/>
              <w:jc w:val="both"/>
              <w:rPr>
                <w:rFonts w:ascii="Arial Narrow" w:eastAsia="Arial Narrow" w:hAnsi="Arial Narrow" w:cs="Arial Narrow"/>
                <w:b/>
                <w:bCs/>
                <w:color w:val="4F81BD" w:themeColor="accent1"/>
                <w:sz w:val="20"/>
                <w:szCs w:val="20"/>
                <w:bdr w:val="nil"/>
              </w:rPr>
            </w:pPr>
            <w:bookmarkStart w:id="79" w:name="_Toc480760517"/>
            <w:bookmarkStart w:id="80" w:name="_Toc509513339"/>
            <w:r w:rsidRPr="00097191">
              <w:rPr>
                <w:rFonts w:ascii="Arial Narrow" w:eastAsia="Calibri" w:hAnsi="Arial Narrow" w:cs="Arial Narrow"/>
                <w:b/>
                <w:bCs/>
                <w:color w:val="2C9ADC"/>
                <w:sz w:val="20"/>
                <w:szCs w:val="20"/>
                <w:bdr w:val="nil"/>
                <w:lang w:eastAsia="en-US"/>
              </w:rPr>
              <w:t xml:space="preserve">Graf </w:t>
            </w:r>
            <w:r w:rsidRPr="00097191">
              <w:rPr>
                <w:rFonts w:ascii="Arial Narrow" w:eastAsia="Calibri" w:hAnsi="Arial Narrow" w:cs="Arial Narrow"/>
                <w:b/>
                <w:bCs/>
                <w:color w:val="2C9ADC"/>
                <w:sz w:val="20"/>
                <w:szCs w:val="20"/>
                <w:bdr w:val="nil"/>
                <w:lang w:eastAsia="en-US"/>
              </w:rPr>
              <w:fldChar w:fldCharType="begin"/>
            </w:r>
            <w:r w:rsidRPr="00097191">
              <w:rPr>
                <w:rFonts w:ascii="Arial Narrow" w:eastAsia="Calibri" w:hAnsi="Arial Narrow" w:cs="Arial Narrow"/>
                <w:b/>
                <w:bCs/>
                <w:color w:val="2C9ADC"/>
                <w:sz w:val="20"/>
                <w:szCs w:val="20"/>
                <w:bdr w:val="nil"/>
                <w:lang w:eastAsia="en-US"/>
              </w:rPr>
              <w:instrText xml:space="preserve"> SEQ GRAF \* ARABIC </w:instrText>
            </w:r>
            <w:r w:rsidRPr="00097191">
              <w:rPr>
                <w:rFonts w:ascii="Arial Narrow" w:eastAsia="Calibri" w:hAnsi="Arial Narrow" w:cs="Arial Narrow"/>
                <w:b/>
                <w:bCs/>
                <w:color w:val="2C9ADC"/>
                <w:sz w:val="20"/>
                <w:szCs w:val="20"/>
                <w:bdr w:val="nil"/>
                <w:lang w:eastAsia="en-US"/>
              </w:rPr>
              <w:fldChar w:fldCharType="separate"/>
            </w:r>
            <w:r w:rsidR="00EE7207">
              <w:rPr>
                <w:rFonts w:ascii="Arial Narrow" w:eastAsia="Calibri" w:hAnsi="Arial Narrow" w:cs="Arial Narrow"/>
                <w:b/>
                <w:bCs/>
                <w:noProof/>
                <w:color w:val="2C9ADC"/>
                <w:sz w:val="20"/>
                <w:szCs w:val="20"/>
                <w:bdr w:val="nil"/>
                <w:lang w:eastAsia="en-US"/>
              </w:rPr>
              <w:t>27</w:t>
            </w:r>
            <w:r w:rsidRPr="00097191">
              <w:rPr>
                <w:rFonts w:ascii="Arial Narrow" w:eastAsia="Calibri" w:hAnsi="Arial Narrow" w:cs="Arial Narrow"/>
                <w:b/>
                <w:bCs/>
                <w:color w:val="2C9ADC"/>
                <w:sz w:val="20"/>
                <w:szCs w:val="20"/>
                <w:bdr w:val="nil"/>
                <w:lang w:eastAsia="en-US"/>
              </w:rPr>
              <w:fldChar w:fldCharType="end"/>
            </w:r>
            <w:r w:rsidR="00A201A6">
              <w:rPr>
                <w:rFonts w:ascii="Arial Narrow" w:eastAsia="Calibri" w:hAnsi="Arial Narrow" w:cs="Arial Narrow"/>
                <w:b/>
                <w:bCs/>
                <w:color w:val="2C9ADC"/>
                <w:sz w:val="20"/>
                <w:szCs w:val="20"/>
                <w:bdr w:val="nil"/>
                <w:lang w:eastAsia="en-US"/>
              </w:rPr>
              <w:t>:</w:t>
            </w:r>
            <w:r w:rsidR="00A201A6" w:rsidRPr="00A201A6">
              <w:rPr>
                <w:rFonts w:ascii="Arial Narrow" w:eastAsia="Calibri" w:hAnsi="Arial Narrow" w:cs="Arial Narrow"/>
                <w:b/>
                <w:bCs/>
                <w:color w:val="2C9ADC"/>
                <w:sz w:val="20"/>
                <w:szCs w:val="18"/>
                <w:bdr w:val="nil"/>
                <w:lang w:eastAsia="en-US"/>
              </w:rPr>
              <w:t xml:space="preserve"> </w:t>
            </w:r>
            <w:r w:rsidR="00A201A6" w:rsidRPr="00A201A6">
              <w:rPr>
                <w:rFonts w:ascii="Arial Narrow" w:eastAsia="Calibri" w:hAnsi="Arial Narrow" w:cs="Arial Narrow"/>
                <w:b/>
                <w:bCs/>
                <w:color w:val="2C9ADC"/>
                <w:sz w:val="20"/>
                <w:szCs w:val="20"/>
                <w:bdr w:val="nil"/>
                <w:lang w:eastAsia="en-US"/>
              </w:rPr>
              <w:t xml:space="preserve">Porovnanie jednotlivých </w:t>
            </w:r>
            <w:r w:rsidR="00A201A6">
              <w:rPr>
                <w:rFonts w:ascii="Arial Narrow" w:eastAsia="Calibri" w:hAnsi="Arial Narrow" w:cs="Arial Narrow"/>
                <w:b/>
                <w:bCs/>
                <w:color w:val="2C9ADC"/>
                <w:sz w:val="20"/>
                <w:szCs w:val="20"/>
                <w:bdr w:val="nil"/>
                <w:lang w:eastAsia="en-US"/>
              </w:rPr>
              <w:t xml:space="preserve">oblastí SK v rebríčku </w:t>
            </w:r>
            <w:proofErr w:type="spellStart"/>
            <w:r w:rsidR="00A201A6">
              <w:rPr>
                <w:rFonts w:ascii="Arial Narrow" w:eastAsia="Calibri" w:hAnsi="Arial Narrow" w:cs="Arial Narrow"/>
                <w:b/>
                <w:bCs/>
                <w:color w:val="2C9ADC"/>
                <w:sz w:val="20"/>
                <w:szCs w:val="20"/>
                <w:bdr w:val="nil"/>
                <w:lang w:eastAsia="en-US"/>
              </w:rPr>
              <w:t>Doing</w:t>
            </w:r>
            <w:proofErr w:type="spellEnd"/>
            <w:r w:rsidR="00A201A6">
              <w:rPr>
                <w:rFonts w:ascii="Arial Narrow" w:eastAsia="Calibri" w:hAnsi="Arial Narrow" w:cs="Arial Narrow"/>
                <w:b/>
                <w:bCs/>
                <w:color w:val="2C9ADC"/>
                <w:sz w:val="20"/>
                <w:szCs w:val="20"/>
                <w:bdr w:val="nil"/>
                <w:lang w:eastAsia="en-US"/>
              </w:rPr>
              <w:t xml:space="preserve"> Business (</w:t>
            </w:r>
            <w:proofErr w:type="spellStart"/>
            <w:r w:rsidR="00A201A6">
              <w:rPr>
                <w:rFonts w:ascii="Arial Narrow" w:eastAsia="Calibri" w:hAnsi="Arial Narrow" w:cs="Arial Narrow"/>
                <w:b/>
                <w:bCs/>
                <w:color w:val="2C9ADC"/>
                <w:sz w:val="20"/>
                <w:szCs w:val="20"/>
                <w:bdr w:val="nil"/>
                <w:lang w:eastAsia="en-US"/>
              </w:rPr>
              <w:t>štand</w:t>
            </w:r>
            <w:proofErr w:type="spellEnd"/>
            <w:r w:rsidR="00A201A6">
              <w:rPr>
                <w:rFonts w:ascii="Arial Narrow" w:eastAsia="Calibri" w:hAnsi="Arial Narrow" w:cs="Arial Narrow"/>
                <w:b/>
                <w:bCs/>
                <w:color w:val="2C9ADC"/>
                <w:sz w:val="20"/>
                <w:szCs w:val="20"/>
                <w:bdr w:val="nil"/>
                <w:lang w:eastAsia="en-US"/>
              </w:rPr>
              <w:t>.</w:t>
            </w:r>
            <w:r w:rsidR="00A201A6" w:rsidRPr="00A201A6">
              <w:rPr>
                <w:rFonts w:ascii="Arial Narrow" w:eastAsia="Calibri" w:hAnsi="Arial Narrow" w:cs="Arial Narrow"/>
                <w:b/>
                <w:bCs/>
                <w:color w:val="2C9ADC"/>
                <w:sz w:val="20"/>
                <w:szCs w:val="20"/>
                <w:bdr w:val="nil"/>
                <w:lang w:eastAsia="en-US"/>
              </w:rPr>
              <w:t xml:space="preserve"> odchýlka od priemeru OECD)</w:t>
            </w:r>
            <w:bookmarkEnd w:id="79"/>
            <w:bookmarkEnd w:id="80"/>
          </w:p>
        </w:tc>
      </w:tr>
      <w:tr w:rsidR="007D2366" w:rsidRPr="00D851C8" w14:paraId="79454765" w14:textId="77777777" w:rsidTr="0084464E">
        <w:trPr>
          <w:trHeight w:val="2641"/>
          <w:jc w:val="center"/>
        </w:trPr>
        <w:tc>
          <w:tcPr>
            <w:tcW w:w="4068" w:type="dxa"/>
            <w:tcBorders>
              <w:top w:val="single" w:sz="6" w:space="0" w:color="000000"/>
              <w:left w:val="nil"/>
              <w:bottom w:val="single" w:sz="8" w:space="0" w:color="000000"/>
              <w:right w:val="nil"/>
            </w:tcBorders>
            <w:shd w:val="clear" w:color="auto" w:fill="auto"/>
          </w:tcPr>
          <w:p w14:paraId="65CC3E02" w14:textId="77777777" w:rsidR="007D2366" w:rsidRPr="00D851C8" w:rsidRDefault="0084464E" w:rsidP="00342E82">
            <w:pPr>
              <w:spacing w:after="0" w:line="240" w:lineRule="auto"/>
              <w:rPr>
                <w:rFonts w:ascii="Arial Narrow" w:hAnsi="Arial Narrow"/>
              </w:rPr>
            </w:pPr>
            <w:r>
              <w:rPr>
                <w:noProof/>
                <w:lang w:val="en-US" w:eastAsia="en-US"/>
              </w:rPr>
              <w:drawing>
                <wp:inline distT="0" distB="0" distL="0" distR="0" wp14:anchorId="1290A276" wp14:editId="51B552F8">
                  <wp:extent cx="2638425" cy="2257425"/>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237" w:type="dxa"/>
            <w:gridSpan w:val="2"/>
            <w:tcBorders>
              <w:top w:val="nil"/>
              <w:left w:val="nil"/>
              <w:bottom w:val="nil"/>
              <w:right w:val="nil"/>
            </w:tcBorders>
            <w:shd w:val="clear" w:color="auto" w:fill="auto"/>
          </w:tcPr>
          <w:p w14:paraId="6773B661" w14:textId="77777777" w:rsidR="007D2366" w:rsidRPr="00D851C8" w:rsidRDefault="007D2366" w:rsidP="00342E82">
            <w:pPr>
              <w:spacing w:after="0" w:line="240" w:lineRule="auto"/>
              <w:rPr>
                <w:rFonts w:ascii="Arial Narrow" w:hAnsi="Arial Narrow"/>
              </w:rPr>
            </w:pPr>
          </w:p>
        </w:tc>
        <w:tc>
          <w:tcPr>
            <w:tcW w:w="4370" w:type="dxa"/>
            <w:tcBorders>
              <w:top w:val="single" w:sz="6" w:space="0" w:color="000000"/>
              <w:left w:val="nil"/>
              <w:bottom w:val="single" w:sz="8" w:space="0" w:color="000000"/>
              <w:right w:val="nil"/>
            </w:tcBorders>
            <w:shd w:val="clear" w:color="auto" w:fill="auto"/>
          </w:tcPr>
          <w:p w14:paraId="5D289768" w14:textId="77777777" w:rsidR="007D2366" w:rsidRPr="00D851C8" w:rsidRDefault="00C44F25" w:rsidP="00342E82">
            <w:pPr>
              <w:spacing w:after="0" w:line="240" w:lineRule="auto"/>
              <w:rPr>
                <w:rFonts w:ascii="Arial Narrow" w:hAnsi="Arial Narrow"/>
              </w:rPr>
            </w:pPr>
            <w:r>
              <w:rPr>
                <w:noProof/>
                <w:lang w:val="en-US" w:eastAsia="en-US"/>
              </w:rPr>
              <w:drawing>
                <wp:inline distT="0" distB="0" distL="0" distR="0" wp14:anchorId="343CE696" wp14:editId="1F66D0F3">
                  <wp:extent cx="2686050" cy="2257425"/>
                  <wp:effectExtent l="0" t="0" r="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7D2366" w:rsidRPr="00D851C8" w14:paraId="5F915079" w14:textId="77777777" w:rsidTr="00342E82">
        <w:trPr>
          <w:trHeight w:val="58"/>
          <w:jc w:val="center"/>
        </w:trPr>
        <w:tc>
          <w:tcPr>
            <w:tcW w:w="4068" w:type="dxa"/>
            <w:tcBorders>
              <w:top w:val="single" w:sz="8" w:space="0" w:color="000000"/>
              <w:left w:val="nil"/>
              <w:bottom w:val="nil"/>
              <w:right w:val="nil"/>
            </w:tcBorders>
            <w:shd w:val="clear" w:color="auto" w:fill="auto"/>
            <w:vAlign w:val="center"/>
          </w:tcPr>
          <w:p w14:paraId="71D0ECFE" w14:textId="77777777" w:rsidR="007D2366" w:rsidRPr="00D851C8" w:rsidRDefault="0084464E" w:rsidP="00342E82">
            <w:pPr>
              <w:spacing w:after="0" w:line="240" w:lineRule="auto"/>
              <w:jc w:val="right"/>
              <w:rPr>
                <w:rFonts w:ascii="Arial Narrow" w:hAnsi="Arial Narrow"/>
              </w:rPr>
            </w:pPr>
            <w:r>
              <w:rPr>
                <w:rFonts w:ascii="Arial Narrow" w:eastAsia="Calibri" w:hAnsi="Arial Narrow"/>
                <w:i/>
                <w:iCs/>
                <w:sz w:val="16"/>
                <w:szCs w:val="16"/>
                <w:lang w:eastAsia="en-US"/>
              </w:rPr>
              <w:t>Zdroj: DB 2018</w:t>
            </w:r>
          </w:p>
        </w:tc>
        <w:tc>
          <w:tcPr>
            <w:tcW w:w="161" w:type="dxa"/>
            <w:tcBorders>
              <w:top w:val="nil"/>
              <w:left w:val="nil"/>
              <w:bottom w:val="nil"/>
              <w:right w:val="nil"/>
            </w:tcBorders>
            <w:shd w:val="clear" w:color="auto" w:fill="auto"/>
            <w:vAlign w:val="center"/>
          </w:tcPr>
          <w:p w14:paraId="7720BD7D" w14:textId="77777777" w:rsidR="007D2366" w:rsidRPr="00D851C8" w:rsidRDefault="007D2366" w:rsidP="00342E82">
            <w:pPr>
              <w:spacing w:after="0" w:line="240" w:lineRule="auto"/>
              <w:jc w:val="center"/>
              <w:rPr>
                <w:rFonts w:ascii="Arial Narrow" w:hAnsi="Arial Narrow"/>
              </w:rPr>
            </w:pPr>
          </w:p>
        </w:tc>
        <w:tc>
          <w:tcPr>
            <w:tcW w:w="4446" w:type="dxa"/>
            <w:gridSpan w:val="2"/>
            <w:tcBorders>
              <w:top w:val="single" w:sz="8" w:space="0" w:color="000000"/>
              <w:left w:val="nil"/>
              <w:bottom w:val="nil"/>
              <w:right w:val="nil"/>
            </w:tcBorders>
            <w:shd w:val="clear" w:color="auto" w:fill="auto"/>
            <w:vAlign w:val="center"/>
          </w:tcPr>
          <w:p w14:paraId="3E124FEF" w14:textId="4DD70FF8" w:rsidR="007D2366" w:rsidRPr="00D851C8" w:rsidRDefault="007D2366" w:rsidP="00342E82">
            <w:pPr>
              <w:spacing w:after="0" w:line="240" w:lineRule="auto"/>
              <w:jc w:val="right"/>
              <w:rPr>
                <w:rFonts w:ascii="Arial Narrow" w:hAnsi="Arial Narrow"/>
              </w:rPr>
            </w:pPr>
            <w:r w:rsidRPr="00D851C8">
              <w:rPr>
                <w:rFonts w:ascii="Arial Narrow" w:hAnsi="Arial Narrow"/>
                <w:i/>
                <w:sz w:val="16"/>
                <w:szCs w:val="16"/>
              </w:rPr>
              <w:t xml:space="preserve">                  </w:t>
            </w:r>
            <w:r>
              <w:rPr>
                <w:rFonts w:ascii="Arial Narrow" w:eastAsia="Calibri" w:hAnsi="Arial Narrow"/>
                <w:i/>
                <w:iCs/>
                <w:sz w:val="16"/>
                <w:szCs w:val="16"/>
                <w:lang w:eastAsia="en-US"/>
              </w:rPr>
              <w:t xml:space="preserve">Zdroj: DB </w:t>
            </w:r>
            <w:r w:rsidR="0084464E">
              <w:rPr>
                <w:rFonts w:ascii="Arial Narrow" w:eastAsia="Calibri" w:hAnsi="Arial Narrow"/>
                <w:i/>
                <w:iCs/>
                <w:sz w:val="16"/>
                <w:szCs w:val="16"/>
                <w:lang w:eastAsia="en-US"/>
              </w:rPr>
              <w:t>2018</w:t>
            </w:r>
          </w:p>
        </w:tc>
      </w:tr>
    </w:tbl>
    <w:p w14:paraId="64C92B30" w14:textId="77777777" w:rsidR="00D20595" w:rsidRDefault="00D20595" w:rsidP="00A51BBD">
      <w:pPr>
        <w:spacing w:after="0" w:line="240" w:lineRule="auto"/>
        <w:jc w:val="both"/>
        <w:rPr>
          <w:rFonts w:ascii="Arial Narrow" w:hAnsi="Arial Narrow"/>
        </w:rPr>
      </w:pPr>
    </w:p>
    <w:p w14:paraId="148ACC99" w14:textId="1B37605C" w:rsidR="00A51BBD" w:rsidRPr="00A51BBD" w:rsidRDefault="00A51BBD" w:rsidP="00A51BBD">
      <w:pPr>
        <w:spacing w:after="0" w:line="240" w:lineRule="auto"/>
        <w:jc w:val="both"/>
        <w:rPr>
          <w:rFonts w:ascii="Arial Narrow" w:hAnsi="Arial Narrow"/>
        </w:rPr>
      </w:pPr>
      <w:r w:rsidRPr="00A51BBD">
        <w:rPr>
          <w:rFonts w:ascii="Arial Narrow" w:hAnsi="Arial Narrow"/>
        </w:rPr>
        <w:t>Najväčším pozitívom je bodové zlepšenie vo vymáhaní plnenia zmlúv vďaka zavedeniu predbežnej porady pred konaním na súdoch. N</w:t>
      </w:r>
      <w:r w:rsidRPr="00A51BBD">
        <w:rPr>
          <w:rFonts w:ascii="Arial Narrow" w:hAnsi="Arial Narrow"/>
          <w:bCs/>
        </w:rPr>
        <w:t>aše skóre naopak pokleslo v oblasti riešenia platobnej neschopnosti</w:t>
      </w:r>
      <w:r w:rsidR="00775AFC">
        <w:rPr>
          <w:rFonts w:ascii="Arial Narrow" w:hAnsi="Arial Narrow"/>
        </w:rPr>
        <w:t xml:space="preserve">. </w:t>
      </w:r>
      <w:r w:rsidR="007D2366" w:rsidRPr="004803A1">
        <w:rPr>
          <w:rFonts w:ascii="Arial Narrow" w:hAnsi="Arial Narrow"/>
        </w:rPr>
        <w:t xml:space="preserve">Medzi </w:t>
      </w:r>
      <w:r w:rsidR="007D2366" w:rsidRPr="004803A1">
        <w:rPr>
          <w:rFonts w:ascii="Arial Narrow" w:hAnsi="Arial Narrow"/>
        </w:rPr>
        <w:lastRenderedPageBreak/>
        <w:t xml:space="preserve">najzaostávajúcejšie oblasti podľa </w:t>
      </w:r>
      <w:proofErr w:type="spellStart"/>
      <w:r w:rsidR="007D2366" w:rsidRPr="004803A1">
        <w:rPr>
          <w:rFonts w:ascii="Arial Narrow" w:hAnsi="Arial Narrow"/>
        </w:rPr>
        <w:t>Doing</w:t>
      </w:r>
      <w:proofErr w:type="spellEnd"/>
      <w:r w:rsidR="007D2366" w:rsidRPr="004803A1">
        <w:rPr>
          <w:rFonts w:ascii="Arial Narrow" w:hAnsi="Arial Narrow"/>
        </w:rPr>
        <w:t xml:space="preserve"> Business naďalej patria ochrana minoritných investorov, získavanie stavebných povolení a </w:t>
      </w:r>
      <w:r w:rsidRPr="00A51BBD">
        <w:rPr>
          <w:rFonts w:ascii="Arial Narrow" w:hAnsi="Arial Narrow"/>
        </w:rPr>
        <w:t>vymáhanie plnenia zmlúv</w:t>
      </w:r>
      <w:r w:rsidR="007D2366" w:rsidRPr="004803A1">
        <w:rPr>
          <w:rFonts w:ascii="Arial Narrow" w:hAnsi="Arial Narrow"/>
        </w:rPr>
        <w:t>.</w:t>
      </w:r>
      <w:r>
        <w:t xml:space="preserve"> </w:t>
      </w:r>
      <w:r w:rsidRPr="00A51BBD">
        <w:rPr>
          <w:rFonts w:ascii="Arial Narrow" w:hAnsi="Arial Narrow"/>
        </w:rPr>
        <w:t>Do budúcna by mohla pomôcť plánovaná ele</w:t>
      </w:r>
      <w:r w:rsidR="00D87145">
        <w:rPr>
          <w:rFonts w:ascii="Arial Narrow" w:hAnsi="Arial Narrow"/>
        </w:rPr>
        <w:t>ktronizácia stavebných povolení.</w:t>
      </w:r>
    </w:p>
    <w:p w14:paraId="2BD7BC3C" w14:textId="77777777" w:rsidR="007D2366" w:rsidRDefault="007D2366" w:rsidP="007D2366">
      <w:pPr>
        <w:spacing w:after="0" w:line="240" w:lineRule="auto"/>
        <w:jc w:val="both"/>
        <w:rPr>
          <w:rFonts w:ascii="Arial Narrow" w:hAnsi="Arial Narrow"/>
        </w:rPr>
      </w:pPr>
    </w:p>
    <w:p w14:paraId="0E5D1B8C" w14:textId="77777777" w:rsidR="007D2366" w:rsidRDefault="007D2366" w:rsidP="007D2366">
      <w:pPr>
        <w:spacing w:after="0" w:line="240" w:lineRule="auto"/>
        <w:jc w:val="both"/>
        <w:rPr>
          <w:rFonts w:ascii="Arial Narrow" w:hAnsi="Arial Narrow"/>
        </w:rPr>
      </w:pPr>
      <w:r>
        <w:rPr>
          <w:rFonts w:ascii="Arial Narrow" w:hAnsi="Arial Narrow"/>
        </w:rPr>
        <w:t>Vymožiteľnosť práva je kľúčový prvok pre dobre fungujúce podnikateľské prostredie. Slovenské s</w:t>
      </w:r>
      <w:r w:rsidRPr="00F81906">
        <w:rPr>
          <w:rFonts w:ascii="Arial Narrow" w:hAnsi="Arial Narrow"/>
        </w:rPr>
        <w:t>údnictv</w:t>
      </w:r>
      <w:r>
        <w:rPr>
          <w:rFonts w:ascii="Arial Narrow" w:hAnsi="Arial Narrow"/>
        </w:rPr>
        <w:t xml:space="preserve">o </w:t>
      </w:r>
      <w:r w:rsidRPr="00F81906">
        <w:rPr>
          <w:rFonts w:ascii="Arial Narrow" w:hAnsi="Arial Narrow"/>
        </w:rPr>
        <w:t>zaostáva hlavne</w:t>
      </w:r>
      <w:r>
        <w:rPr>
          <w:rFonts w:ascii="Arial Narrow" w:hAnsi="Arial Narrow"/>
        </w:rPr>
        <w:t xml:space="preserve"> za najlepšími krajinami v dĺžke súdnych konaní a v </w:t>
      </w:r>
      <w:r w:rsidRPr="00F81906">
        <w:rPr>
          <w:rFonts w:ascii="Arial Narrow" w:hAnsi="Arial Narrow"/>
        </w:rPr>
        <w:t>m</w:t>
      </w:r>
      <w:r>
        <w:rPr>
          <w:rFonts w:ascii="Arial Narrow" w:hAnsi="Arial Narrow"/>
        </w:rPr>
        <w:t xml:space="preserve">iere </w:t>
      </w:r>
      <w:r w:rsidRPr="009A1CFF">
        <w:rPr>
          <w:rFonts w:ascii="Arial Narrow" w:hAnsi="Arial Narrow"/>
        </w:rPr>
        <w:t>vybavenosti</w:t>
      </w:r>
      <w:r>
        <w:rPr>
          <w:rFonts w:ascii="Arial Narrow" w:hAnsi="Arial Narrow"/>
        </w:rPr>
        <w:t xml:space="preserve"> konaní. V občianskej, obchodnej, </w:t>
      </w:r>
      <w:r w:rsidRPr="00F81906">
        <w:rPr>
          <w:rFonts w:ascii="Arial Narrow" w:hAnsi="Arial Narrow"/>
        </w:rPr>
        <w:t xml:space="preserve">správnej a trestnej agende sú dĺžky konaní z medzinárodného hľadiska nadpriemerné. Pri vybavenosti </w:t>
      </w:r>
      <w:r>
        <w:rPr>
          <w:rFonts w:ascii="Arial Narrow" w:hAnsi="Arial Narrow"/>
        </w:rPr>
        <w:t xml:space="preserve">je priestor pre zlepšenie pri občianskych a </w:t>
      </w:r>
      <w:r w:rsidRPr="00F81906">
        <w:rPr>
          <w:rFonts w:ascii="Arial Narrow" w:hAnsi="Arial Narrow"/>
        </w:rPr>
        <w:t>obchodných ve</w:t>
      </w:r>
      <w:r>
        <w:rPr>
          <w:rFonts w:ascii="Arial Narrow" w:hAnsi="Arial Narrow"/>
        </w:rPr>
        <w:t>ciach. V posledných rokoch dochádza</w:t>
      </w:r>
      <w:r w:rsidRPr="00F81906">
        <w:rPr>
          <w:rFonts w:ascii="Arial Narrow" w:hAnsi="Arial Narrow"/>
        </w:rPr>
        <w:t xml:space="preserve"> k zlepšeniu v tejto oblasti, ale stále sa nachádzame pod priemerom </w:t>
      </w:r>
      <w:r>
        <w:rPr>
          <w:rFonts w:ascii="Arial Narrow" w:hAnsi="Arial Narrow"/>
        </w:rPr>
        <w:t>krajín V3</w:t>
      </w:r>
      <w:r w:rsidRPr="00F81906">
        <w:rPr>
          <w:rStyle w:val="Odkaznapoznmkupodiarou"/>
          <w:rFonts w:ascii="Arial Narrow" w:hAnsi="Arial Narrow"/>
        </w:rPr>
        <w:footnoteReference w:id="47"/>
      </w:r>
      <w:r>
        <w:rPr>
          <w:rFonts w:ascii="Arial Narrow" w:hAnsi="Arial Narrow"/>
        </w:rPr>
        <w:t>.</w:t>
      </w:r>
    </w:p>
    <w:p w14:paraId="24F683DB" w14:textId="77777777" w:rsidR="007D2366" w:rsidRPr="00F81906" w:rsidRDefault="007D2366" w:rsidP="007D2366">
      <w:pPr>
        <w:spacing w:after="0" w:line="240" w:lineRule="auto"/>
        <w:jc w:val="both"/>
        <w:rPr>
          <w:rFonts w:ascii="Arial Narrow" w:hAnsi="Arial Narrow"/>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135"/>
        <w:gridCol w:w="171"/>
        <w:gridCol w:w="4258"/>
      </w:tblGrid>
      <w:tr w:rsidR="007D2366" w:rsidRPr="00F81906" w14:paraId="20676D04" w14:textId="77777777" w:rsidTr="00971D8C">
        <w:trPr>
          <w:trHeight w:val="495"/>
          <w:jc w:val="center"/>
        </w:trPr>
        <w:tc>
          <w:tcPr>
            <w:tcW w:w="4091" w:type="dxa"/>
            <w:tcBorders>
              <w:top w:val="nil"/>
              <w:left w:val="nil"/>
              <w:bottom w:val="single" w:sz="4" w:space="0" w:color="auto"/>
              <w:right w:val="nil"/>
            </w:tcBorders>
            <w:vAlign w:val="center"/>
          </w:tcPr>
          <w:p w14:paraId="202D32AA" w14:textId="77777777" w:rsidR="007D2366" w:rsidRPr="00F81906" w:rsidRDefault="007D2366" w:rsidP="00342E82">
            <w:pPr>
              <w:pStyle w:val="Popis"/>
              <w:rPr>
                <w:rFonts w:cs="Arial"/>
              </w:rPr>
            </w:pPr>
            <w:bookmarkStart w:id="81" w:name="_Toc480760518"/>
            <w:bookmarkStart w:id="82" w:name="_Toc509513340"/>
            <w:r w:rsidRPr="00971D8C">
              <w:t xml:space="preserve">Graf </w:t>
            </w:r>
            <w:fldSimple w:instr=" SEQ Graf \* ARABIC ">
              <w:r w:rsidR="00EE7207">
                <w:rPr>
                  <w:noProof/>
                </w:rPr>
                <w:t>28</w:t>
              </w:r>
            </w:fldSimple>
            <w:r w:rsidRPr="00971D8C">
              <w:rPr>
                <w:noProof/>
              </w:rPr>
              <w:t>:</w:t>
            </w:r>
            <w:r w:rsidRPr="00971D8C">
              <w:t xml:space="preserve"> Dĺžka konania v dňoch, občianske a obchodné veci, 2014</w:t>
            </w:r>
            <w:bookmarkEnd w:id="81"/>
            <w:bookmarkEnd w:id="82"/>
          </w:p>
        </w:tc>
        <w:tc>
          <w:tcPr>
            <w:tcW w:w="169" w:type="dxa"/>
            <w:tcBorders>
              <w:top w:val="nil"/>
              <w:left w:val="nil"/>
              <w:bottom w:val="nil"/>
              <w:right w:val="nil"/>
            </w:tcBorders>
            <w:vAlign w:val="center"/>
          </w:tcPr>
          <w:p w14:paraId="00FD6FE4" w14:textId="77777777" w:rsidR="007D2366" w:rsidRPr="00F81906" w:rsidRDefault="007D2366" w:rsidP="00342E82">
            <w:pPr>
              <w:spacing w:after="0" w:line="240" w:lineRule="auto"/>
              <w:jc w:val="center"/>
              <w:rPr>
                <w:rFonts w:ascii="Arial Narrow" w:hAnsi="Arial Narrow" w:cs="Arial"/>
                <w:b/>
                <w:sz w:val="20"/>
                <w:szCs w:val="20"/>
                <w:highlight w:val="lightGray"/>
              </w:rPr>
            </w:pPr>
          </w:p>
        </w:tc>
        <w:tc>
          <w:tcPr>
            <w:tcW w:w="4212" w:type="dxa"/>
            <w:tcBorders>
              <w:top w:val="nil"/>
              <w:left w:val="nil"/>
              <w:bottom w:val="single" w:sz="4" w:space="0" w:color="auto"/>
              <w:right w:val="nil"/>
            </w:tcBorders>
            <w:shd w:val="clear" w:color="auto" w:fill="auto"/>
            <w:vAlign w:val="center"/>
          </w:tcPr>
          <w:p w14:paraId="15BA1FEC" w14:textId="77777777" w:rsidR="007D2366" w:rsidRPr="00F81906" w:rsidRDefault="007D2366" w:rsidP="00342E82">
            <w:pPr>
              <w:pStyle w:val="Popis"/>
            </w:pPr>
            <w:bookmarkStart w:id="83" w:name="_Toc480760519"/>
            <w:bookmarkStart w:id="84" w:name="_Toc509513341"/>
            <w:r w:rsidRPr="00971D8C">
              <w:t xml:space="preserve">Graf </w:t>
            </w:r>
            <w:fldSimple w:instr=" SEQ Graf \* ARABIC ">
              <w:r w:rsidR="00EE7207">
                <w:rPr>
                  <w:noProof/>
                </w:rPr>
                <w:t>29</w:t>
              </w:r>
            </w:fldSimple>
            <w:r w:rsidRPr="00971D8C">
              <w:rPr>
                <w:noProof/>
              </w:rPr>
              <w:t>: Miera vybavenosti konaní V4, občianske a obchodné veci v %, 2010-2014</w:t>
            </w:r>
            <w:r w:rsidRPr="00971D8C">
              <w:rPr>
                <w:rStyle w:val="Odkaznapoznmkupodiarou"/>
                <w:noProof/>
              </w:rPr>
              <w:footnoteReference w:id="48"/>
            </w:r>
            <w:bookmarkEnd w:id="83"/>
            <w:bookmarkEnd w:id="84"/>
          </w:p>
        </w:tc>
      </w:tr>
      <w:tr w:rsidR="007D2366" w:rsidRPr="00F81906" w14:paraId="2588E71D" w14:textId="77777777" w:rsidTr="00342E82">
        <w:trPr>
          <w:trHeight w:val="917"/>
          <w:jc w:val="center"/>
        </w:trPr>
        <w:tc>
          <w:tcPr>
            <w:tcW w:w="4091" w:type="dxa"/>
            <w:tcBorders>
              <w:top w:val="single" w:sz="4" w:space="0" w:color="auto"/>
              <w:left w:val="nil"/>
              <w:bottom w:val="single" w:sz="4" w:space="0" w:color="auto"/>
              <w:right w:val="nil"/>
            </w:tcBorders>
            <w:vAlign w:val="center"/>
          </w:tcPr>
          <w:p w14:paraId="3ACDEDFC" w14:textId="77777777" w:rsidR="007D2366" w:rsidRPr="00F81906" w:rsidRDefault="007D2366" w:rsidP="00342E82">
            <w:pPr>
              <w:spacing w:after="0" w:line="240" w:lineRule="auto"/>
              <w:jc w:val="center"/>
              <w:rPr>
                <w:rFonts w:ascii="Arial Narrow" w:hAnsi="Arial Narrow" w:cs="Arial"/>
                <w:b/>
                <w:sz w:val="20"/>
                <w:szCs w:val="20"/>
                <w:highlight w:val="lightGray"/>
              </w:rPr>
            </w:pPr>
            <w:r>
              <w:rPr>
                <w:noProof/>
                <w:lang w:val="en-US" w:eastAsia="en-US"/>
              </w:rPr>
              <w:drawing>
                <wp:inline distT="0" distB="0" distL="0" distR="0" wp14:anchorId="466AC68E" wp14:editId="09500BFB">
                  <wp:extent cx="2508885" cy="2076450"/>
                  <wp:effectExtent l="0" t="0" r="5715" b="0"/>
                  <wp:docPr id="54" name="Graf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169" w:type="dxa"/>
            <w:tcBorders>
              <w:top w:val="nil"/>
              <w:left w:val="nil"/>
              <w:bottom w:val="nil"/>
              <w:right w:val="nil"/>
            </w:tcBorders>
            <w:vAlign w:val="center"/>
          </w:tcPr>
          <w:p w14:paraId="092FAF3C" w14:textId="77777777" w:rsidR="007D2366" w:rsidRPr="00F81906" w:rsidRDefault="007D2366" w:rsidP="00342E82">
            <w:pPr>
              <w:spacing w:after="0" w:line="240" w:lineRule="auto"/>
              <w:jc w:val="center"/>
              <w:rPr>
                <w:rFonts w:ascii="Arial Narrow" w:hAnsi="Arial Narrow" w:cs="Arial"/>
                <w:b/>
                <w:sz w:val="20"/>
                <w:szCs w:val="20"/>
                <w:highlight w:val="lightGray"/>
              </w:rPr>
            </w:pPr>
          </w:p>
        </w:tc>
        <w:tc>
          <w:tcPr>
            <w:tcW w:w="4212" w:type="dxa"/>
            <w:tcBorders>
              <w:top w:val="single" w:sz="4" w:space="0" w:color="auto"/>
              <w:left w:val="nil"/>
              <w:bottom w:val="single" w:sz="4" w:space="0" w:color="auto"/>
              <w:right w:val="nil"/>
            </w:tcBorders>
            <w:vAlign w:val="center"/>
          </w:tcPr>
          <w:p w14:paraId="056241F4" w14:textId="77777777" w:rsidR="007D2366" w:rsidRPr="00F81906" w:rsidRDefault="007D2366" w:rsidP="00342E82">
            <w:pPr>
              <w:spacing w:after="0" w:line="240" w:lineRule="auto"/>
              <w:jc w:val="center"/>
              <w:rPr>
                <w:rFonts w:ascii="Arial Narrow" w:hAnsi="Arial Narrow" w:cs="Arial"/>
                <w:b/>
                <w:sz w:val="20"/>
                <w:szCs w:val="20"/>
                <w:highlight w:val="lightGray"/>
              </w:rPr>
            </w:pPr>
            <w:r w:rsidRPr="00F81906">
              <w:rPr>
                <w:rFonts w:ascii="Arial Narrow" w:hAnsi="Arial Narrow"/>
                <w:noProof/>
                <w:lang w:val="en-US" w:eastAsia="en-US"/>
              </w:rPr>
              <w:drawing>
                <wp:inline distT="0" distB="0" distL="0" distR="0" wp14:anchorId="5EE86038" wp14:editId="13C01B7D">
                  <wp:extent cx="2638425" cy="2181225"/>
                  <wp:effectExtent l="0" t="0" r="0" b="0"/>
                  <wp:docPr id="55" name="Graf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r w:rsidR="007D2366" w:rsidRPr="00F81906" w14:paraId="6CAA77B5" w14:textId="77777777" w:rsidTr="00342E82">
        <w:trPr>
          <w:trHeight w:val="253"/>
          <w:jc w:val="center"/>
        </w:trPr>
        <w:tc>
          <w:tcPr>
            <w:tcW w:w="4091" w:type="dxa"/>
            <w:tcBorders>
              <w:top w:val="single" w:sz="4" w:space="0" w:color="auto"/>
              <w:left w:val="nil"/>
              <w:bottom w:val="nil"/>
              <w:right w:val="nil"/>
            </w:tcBorders>
            <w:vAlign w:val="center"/>
          </w:tcPr>
          <w:p w14:paraId="1017033A" w14:textId="77777777" w:rsidR="007D2366" w:rsidRPr="00BE56D5" w:rsidRDefault="007D2366">
            <w:pPr>
              <w:spacing w:after="0" w:line="240" w:lineRule="auto"/>
              <w:jc w:val="right"/>
              <w:rPr>
                <w:rFonts w:ascii="Arial Narrow" w:hAnsi="Arial Narrow" w:cs="Arial"/>
                <w:i/>
                <w:sz w:val="16"/>
                <w:szCs w:val="18"/>
                <w:highlight w:val="lightGray"/>
              </w:rPr>
            </w:pPr>
            <w:r w:rsidRPr="00BE56D5">
              <w:rPr>
                <w:rFonts w:ascii="Arial Narrow" w:hAnsi="Arial Narrow" w:cs="Arial"/>
                <w:i/>
                <w:sz w:val="16"/>
                <w:szCs w:val="18"/>
              </w:rPr>
              <w:t>Zdroj: CEPEJ 2016</w:t>
            </w:r>
            <w:r w:rsidR="00E03896">
              <w:rPr>
                <w:rStyle w:val="Odkaznapoznmkupodiarou"/>
                <w:rFonts w:ascii="Arial Narrow" w:hAnsi="Arial Narrow" w:cs="Arial"/>
                <w:i/>
                <w:sz w:val="16"/>
                <w:szCs w:val="18"/>
              </w:rPr>
              <w:footnoteReference w:id="49"/>
            </w:r>
            <w:r w:rsidR="009B7087">
              <w:rPr>
                <w:rFonts w:ascii="Arial Narrow" w:hAnsi="Arial Narrow" w:cs="Arial"/>
                <w:i/>
                <w:sz w:val="16"/>
                <w:szCs w:val="18"/>
              </w:rPr>
              <w:t xml:space="preserve"> </w:t>
            </w:r>
            <w:r w:rsidRPr="00BE56D5">
              <w:rPr>
                <w:rFonts w:ascii="Arial Narrow" w:hAnsi="Arial Narrow" w:cs="Arial"/>
                <w:i/>
                <w:sz w:val="16"/>
                <w:szCs w:val="18"/>
              </w:rPr>
              <w:t xml:space="preserve"> </w:t>
            </w:r>
          </w:p>
        </w:tc>
        <w:tc>
          <w:tcPr>
            <w:tcW w:w="169" w:type="dxa"/>
            <w:tcBorders>
              <w:top w:val="nil"/>
              <w:left w:val="nil"/>
              <w:bottom w:val="nil"/>
              <w:right w:val="nil"/>
            </w:tcBorders>
            <w:vAlign w:val="center"/>
          </w:tcPr>
          <w:p w14:paraId="5DE38AAE" w14:textId="77777777" w:rsidR="007D2366" w:rsidRPr="00BE56D5" w:rsidRDefault="007D2366" w:rsidP="00342E82">
            <w:pPr>
              <w:spacing w:after="0" w:line="240" w:lineRule="auto"/>
              <w:jc w:val="center"/>
              <w:rPr>
                <w:rFonts w:ascii="Arial Narrow" w:hAnsi="Arial Narrow" w:cs="Arial"/>
                <w:i/>
                <w:sz w:val="16"/>
                <w:szCs w:val="18"/>
                <w:highlight w:val="lightGray"/>
              </w:rPr>
            </w:pPr>
          </w:p>
        </w:tc>
        <w:tc>
          <w:tcPr>
            <w:tcW w:w="4212" w:type="dxa"/>
            <w:tcBorders>
              <w:top w:val="single" w:sz="4" w:space="0" w:color="auto"/>
              <w:left w:val="nil"/>
              <w:bottom w:val="nil"/>
              <w:right w:val="nil"/>
            </w:tcBorders>
            <w:vAlign w:val="center"/>
          </w:tcPr>
          <w:p w14:paraId="7D4C2167" w14:textId="77777777" w:rsidR="007D2366" w:rsidRPr="00BE56D5" w:rsidRDefault="007D2366">
            <w:pPr>
              <w:spacing w:after="0" w:line="240" w:lineRule="auto"/>
              <w:jc w:val="right"/>
              <w:rPr>
                <w:rFonts w:ascii="Arial Narrow" w:hAnsi="Arial Narrow" w:cs="Arial"/>
                <w:i/>
                <w:sz w:val="16"/>
                <w:szCs w:val="18"/>
                <w:highlight w:val="lightGray"/>
              </w:rPr>
            </w:pPr>
            <w:r w:rsidRPr="00BE56D5">
              <w:rPr>
                <w:rFonts w:ascii="Arial Narrow" w:hAnsi="Arial Narrow" w:cs="Arial"/>
                <w:i/>
                <w:sz w:val="16"/>
                <w:szCs w:val="18"/>
              </w:rPr>
              <w:t>Zdroj: CEPEJ 2016</w:t>
            </w:r>
            <w:r w:rsidR="00E03896">
              <w:rPr>
                <w:rStyle w:val="Odkaznapoznmkupodiarou"/>
                <w:rFonts w:ascii="Arial Narrow" w:hAnsi="Arial Narrow" w:cs="Arial"/>
                <w:i/>
                <w:sz w:val="16"/>
                <w:szCs w:val="18"/>
              </w:rPr>
              <w:footnoteReference w:id="50"/>
            </w:r>
            <w:r w:rsidR="009B7087">
              <w:rPr>
                <w:rFonts w:ascii="Arial Narrow" w:hAnsi="Arial Narrow" w:cs="Arial"/>
                <w:i/>
                <w:sz w:val="16"/>
                <w:szCs w:val="18"/>
              </w:rPr>
              <w:t xml:space="preserve"> </w:t>
            </w:r>
          </w:p>
        </w:tc>
      </w:tr>
    </w:tbl>
    <w:p w14:paraId="62BF4E5E" w14:textId="77777777" w:rsidR="007D2366" w:rsidRDefault="007D2366" w:rsidP="007D2366">
      <w:pPr>
        <w:spacing w:after="0" w:line="240" w:lineRule="auto"/>
        <w:jc w:val="both"/>
        <w:rPr>
          <w:rFonts w:ascii="Arial Narrow" w:hAnsi="Arial Narrow"/>
          <w:b/>
          <w:i/>
        </w:rPr>
      </w:pPr>
    </w:p>
    <w:p w14:paraId="602E507A" w14:textId="5251FC55" w:rsidR="007D2366" w:rsidRDefault="007D2366" w:rsidP="007D2366">
      <w:pPr>
        <w:spacing w:after="0" w:line="240" w:lineRule="auto"/>
        <w:jc w:val="both"/>
        <w:rPr>
          <w:rFonts w:ascii="Arial Narrow" w:hAnsi="Arial Narrow"/>
        </w:rPr>
      </w:pPr>
      <w:r w:rsidRPr="001A5C4E">
        <w:rPr>
          <w:rFonts w:ascii="Arial Narrow" w:hAnsi="Arial Narrow"/>
        </w:rPr>
        <w:t xml:space="preserve">Transparentné a nekorupčné prostredie vplýva pozitívne na hospodársky rast cez kľúčové </w:t>
      </w:r>
      <w:r>
        <w:rPr>
          <w:rFonts w:ascii="Arial Narrow" w:hAnsi="Arial Narrow"/>
        </w:rPr>
        <w:t xml:space="preserve">faktory, </w:t>
      </w:r>
      <w:r w:rsidRPr="001A5C4E">
        <w:rPr>
          <w:rFonts w:ascii="Arial Narrow" w:hAnsi="Arial Narrow"/>
        </w:rPr>
        <w:t>akými sú verejné a</w:t>
      </w:r>
      <w:r>
        <w:rPr>
          <w:rFonts w:ascii="Arial Narrow" w:hAnsi="Arial Narrow"/>
        </w:rPr>
        <w:t xml:space="preserve"> </w:t>
      </w:r>
      <w:r w:rsidRPr="001A5C4E">
        <w:rPr>
          <w:rFonts w:ascii="Arial Narrow" w:hAnsi="Arial Narrow"/>
        </w:rPr>
        <w:t>súkromné investície, rozvoj ľudské</w:t>
      </w:r>
      <w:r>
        <w:rPr>
          <w:rFonts w:ascii="Arial Narrow" w:hAnsi="Arial Narrow"/>
        </w:rPr>
        <w:t xml:space="preserve">ho kapitálu a makroekonomická a </w:t>
      </w:r>
      <w:r w:rsidRPr="001A5C4E">
        <w:rPr>
          <w:rFonts w:ascii="Arial Narrow" w:hAnsi="Arial Narrow"/>
        </w:rPr>
        <w:t>finančná stabilita</w:t>
      </w:r>
      <w:r w:rsidRPr="001A5C4E">
        <w:rPr>
          <w:rStyle w:val="Odkaznapoznmkupodiarou"/>
          <w:rFonts w:ascii="Arial Narrow" w:hAnsi="Arial Narrow"/>
        </w:rPr>
        <w:footnoteReference w:id="51"/>
      </w:r>
      <w:r w:rsidRPr="001A5C4E">
        <w:rPr>
          <w:rFonts w:ascii="Arial Narrow" w:hAnsi="Arial Narrow"/>
        </w:rPr>
        <w:t xml:space="preserve">. </w:t>
      </w:r>
      <w:r w:rsidR="00D87145">
        <w:rPr>
          <w:rFonts w:ascii="Arial Narrow" w:hAnsi="Arial Narrow"/>
        </w:rPr>
        <w:t xml:space="preserve">                              V </w:t>
      </w:r>
      <w:r w:rsidRPr="00C365F0">
        <w:rPr>
          <w:rFonts w:ascii="Arial Narrow" w:hAnsi="Arial Narrow"/>
        </w:rPr>
        <w:t>kombinovanom ukazovateli korupcie zaostáva Slovensko za najlepšími krajinami EÚ. Efektívny boj s korupciou si vyžaduje zvýšenie transparentnosti, kvalitné verejné inštitúcie a zúženie priestoru pre nekalé aktivity pri akomkoľvek nakladaní s majetkom štátu, ve</w:t>
      </w:r>
      <w:r>
        <w:rPr>
          <w:rFonts w:ascii="Arial Narrow" w:hAnsi="Arial Narrow"/>
        </w:rPr>
        <w:t xml:space="preserve">rejných inštitúcií a samospráv. </w:t>
      </w:r>
    </w:p>
    <w:p w14:paraId="6BD23A79" w14:textId="77777777" w:rsidR="007D2366" w:rsidRDefault="007D2366" w:rsidP="007D2366">
      <w:pPr>
        <w:spacing w:after="0" w:line="240" w:lineRule="auto"/>
        <w:jc w:val="both"/>
        <w:rPr>
          <w:rFonts w:ascii="Arial Narrow" w:hAnsi="Arial Narrow"/>
        </w:rPr>
      </w:pPr>
    </w:p>
    <w:p w14:paraId="7B1A3235" w14:textId="1B61A2EC" w:rsidR="007D2366" w:rsidRDefault="007D2366" w:rsidP="007D2366">
      <w:pPr>
        <w:spacing w:after="0" w:line="240" w:lineRule="auto"/>
        <w:jc w:val="both"/>
        <w:rPr>
          <w:rFonts w:ascii="Arial Narrow" w:hAnsi="Arial Narrow"/>
        </w:rPr>
      </w:pPr>
      <w:r>
        <w:rPr>
          <w:rFonts w:ascii="Arial Narrow" w:hAnsi="Arial Narrow"/>
        </w:rPr>
        <w:t xml:space="preserve">Ďalšiu oblasť s potenciálom pre </w:t>
      </w:r>
      <w:r w:rsidR="004C4440">
        <w:rPr>
          <w:rFonts w:ascii="Arial Narrow" w:hAnsi="Arial Narrow"/>
        </w:rPr>
        <w:t>zvyšovanie efektívnosť verejných výdavkov</w:t>
      </w:r>
      <w:r>
        <w:rPr>
          <w:rFonts w:ascii="Arial Narrow" w:hAnsi="Arial Narrow"/>
        </w:rPr>
        <w:t xml:space="preserve"> a kvality verejných služieb predstavuje neefektívna inštitucionálna štruktúra. Bariérou pre vyššiu e</w:t>
      </w:r>
      <w:r w:rsidRPr="00AB7EC0">
        <w:rPr>
          <w:rFonts w:ascii="Arial Narrow" w:hAnsi="Arial Narrow"/>
        </w:rPr>
        <w:t>fektívnos</w:t>
      </w:r>
      <w:r>
        <w:rPr>
          <w:rFonts w:ascii="Arial Narrow" w:hAnsi="Arial Narrow"/>
        </w:rPr>
        <w:t>ť</w:t>
      </w:r>
      <w:r w:rsidRPr="00AB7EC0">
        <w:rPr>
          <w:rFonts w:ascii="Arial Narrow" w:hAnsi="Arial Narrow"/>
        </w:rPr>
        <w:t xml:space="preserve"> výkonu správy</w:t>
      </w:r>
      <w:r>
        <w:rPr>
          <w:rFonts w:ascii="Arial Narrow" w:hAnsi="Arial Narrow"/>
        </w:rPr>
        <w:t xml:space="preserve"> na úrovni miestnej samosprávy je ich rozdrobenosť (Box </w:t>
      </w:r>
      <w:r w:rsidR="00A73465">
        <w:rPr>
          <w:rFonts w:ascii="Arial Narrow" w:hAnsi="Arial Narrow"/>
        </w:rPr>
        <w:t>5</w:t>
      </w:r>
      <w:r>
        <w:rPr>
          <w:rFonts w:ascii="Arial Narrow" w:hAnsi="Arial Narrow"/>
        </w:rPr>
        <w:t>).</w:t>
      </w:r>
    </w:p>
    <w:p w14:paraId="37051E01" w14:textId="77777777" w:rsidR="007D2366" w:rsidRDefault="007D2366" w:rsidP="007D2366">
      <w:pPr>
        <w:spacing w:after="0" w:line="240" w:lineRule="auto"/>
        <w:jc w:val="both"/>
        <w:rPr>
          <w:rFonts w:ascii="Arial Narrow" w:hAnsi="Arial Narrow"/>
        </w:rPr>
      </w:pPr>
    </w:p>
    <w:tbl>
      <w:tblPr>
        <w:tblStyle w:val="Mriekatabuky1"/>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4"/>
      </w:tblGrid>
      <w:tr w:rsidR="007D2366" w14:paraId="559229CB" w14:textId="77777777" w:rsidTr="00342E82">
        <w:trPr>
          <w:jc w:val="center"/>
        </w:trPr>
        <w:tc>
          <w:tcPr>
            <w:tcW w:w="8554" w:type="dxa"/>
            <w:shd w:val="clear" w:color="auto" w:fill="AAD3F2"/>
          </w:tcPr>
          <w:p w14:paraId="5A5CE4DA" w14:textId="1CCE9847" w:rsidR="007D2366" w:rsidRDefault="007D2366" w:rsidP="00342E82">
            <w:pPr>
              <w:spacing w:before="120" w:line="240" w:lineRule="auto"/>
              <w:jc w:val="both"/>
              <w:rPr>
                <w:rFonts w:ascii="Arial Narrow" w:hAnsi="Arial Narrow"/>
                <w:b/>
              </w:rPr>
            </w:pPr>
            <w:r w:rsidRPr="0017485F">
              <w:rPr>
                <w:rFonts w:ascii="Arial Narrow" w:hAnsi="Arial Narrow"/>
                <w:b/>
              </w:rPr>
              <w:t xml:space="preserve">Box </w:t>
            </w:r>
            <w:r w:rsidR="002B2F6D">
              <w:rPr>
                <w:rFonts w:ascii="Arial Narrow" w:hAnsi="Arial Narrow"/>
                <w:b/>
              </w:rPr>
              <w:t>5</w:t>
            </w:r>
            <w:r w:rsidRPr="0017485F">
              <w:rPr>
                <w:rFonts w:ascii="Arial Narrow" w:hAnsi="Arial Narrow"/>
                <w:b/>
              </w:rPr>
              <w:t>: Efektívnosť samospráv</w:t>
            </w:r>
          </w:p>
          <w:p w14:paraId="38C46CE4" w14:textId="77777777" w:rsidR="007D2366" w:rsidRPr="00B14433" w:rsidRDefault="007D2366" w:rsidP="00B14433">
            <w:pPr>
              <w:spacing w:after="120" w:line="240" w:lineRule="auto"/>
              <w:jc w:val="both"/>
              <w:rPr>
                <w:rFonts w:ascii="Arial Narrow" w:hAnsi="Arial Narrow"/>
                <w:b/>
                <w:bCs/>
              </w:rPr>
            </w:pPr>
            <w:r w:rsidRPr="00764BC5">
              <w:rPr>
                <w:rFonts w:ascii="Arial Narrow" w:hAnsi="Arial Narrow"/>
                <w:b/>
              </w:rPr>
              <w:t>Súčasná štruktúra miestnej samosprávy je neefektívna</w:t>
            </w:r>
            <w:r w:rsidRPr="00CD013B">
              <w:rPr>
                <w:rFonts w:ascii="Arial Narrow" w:hAnsi="Arial Narrow"/>
              </w:rPr>
              <w:t xml:space="preserve">. </w:t>
            </w:r>
            <w:r w:rsidR="00764BC5" w:rsidRPr="00764BC5">
              <w:rPr>
                <w:rFonts w:ascii="Arial Narrow" w:hAnsi="Arial Narrow"/>
              </w:rPr>
              <w:t xml:space="preserve">Možnosť sústredenia výkonu správy obcí do väčších celkov ponúka </w:t>
            </w:r>
            <w:r w:rsidR="00764BC5" w:rsidRPr="00764BC5">
              <w:rPr>
                <w:rFonts w:ascii="Arial Narrow" w:hAnsi="Arial Narrow"/>
                <w:bCs/>
              </w:rPr>
              <w:t>dodatočné zdroje pre rozvoj samospráv a</w:t>
            </w:r>
            <w:r w:rsidR="00764BC5">
              <w:rPr>
                <w:rFonts w:ascii="Arial Narrow" w:hAnsi="Arial Narrow"/>
                <w:bCs/>
              </w:rPr>
              <w:t xml:space="preserve"> </w:t>
            </w:r>
            <w:r w:rsidR="00764BC5" w:rsidRPr="00764BC5">
              <w:rPr>
                <w:rFonts w:ascii="Arial Narrow" w:hAnsi="Arial Narrow"/>
                <w:bCs/>
              </w:rPr>
              <w:t xml:space="preserve">poskytovanie kvalitnejších služieb </w:t>
            </w:r>
            <w:r w:rsidR="00764BC5" w:rsidRPr="00764BC5">
              <w:rPr>
                <w:rFonts w:ascii="Arial Narrow" w:hAnsi="Arial Narrow"/>
              </w:rPr>
              <w:t>občanom bez potreby zvýšenia daňového zaťaženia.</w:t>
            </w:r>
          </w:p>
          <w:p w14:paraId="62923DAB" w14:textId="37B5D542" w:rsidR="00764BC5" w:rsidRPr="009C19FF" w:rsidRDefault="00764BC5" w:rsidP="00A877C3">
            <w:pPr>
              <w:pStyle w:val="Odsekzoznamu"/>
              <w:numPr>
                <w:ilvl w:val="0"/>
                <w:numId w:val="7"/>
              </w:numPr>
              <w:spacing w:after="0" w:line="240" w:lineRule="auto"/>
              <w:jc w:val="both"/>
              <w:rPr>
                <w:rFonts w:ascii="Arial Narrow" w:hAnsi="Arial Narrow"/>
                <w:bCs/>
              </w:rPr>
            </w:pPr>
            <w:r w:rsidRPr="009C19FF">
              <w:rPr>
                <w:rFonts w:ascii="Arial Narrow" w:hAnsi="Arial Narrow"/>
                <w:b/>
                <w:bCs/>
              </w:rPr>
              <w:t>Samosprávy na Slovensku sú veľmi rozdrobené</w:t>
            </w:r>
            <w:r w:rsidRPr="009C19FF">
              <w:rPr>
                <w:rFonts w:ascii="Arial Narrow" w:hAnsi="Arial Narrow"/>
              </w:rPr>
              <w:t>. Až 92 % obcí ma menej ako 3000 obyvateľov. Priemerný počet obyvateľov obce na</w:t>
            </w:r>
            <w:r w:rsidRPr="009C19FF">
              <w:rPr>
                <w:rFonts w:ascii="Arial Narrow" w:hAnsi="Arial Narrow"/>
                <w:bCs/>
              </w:rPr>
              <w:t xml:space="preserve"> </w:t>
            </w:r>
            <w:r w:rsidRPr="009C19FF">
              <w:rPr>
                <w:rFonts w:ascii="Arial Narrow" w:hAnsi="Arial Narrow"/>
              </w:rPr>
              <w:t xml:space="preserve">Slovensku je 3-krát menší ako priemer </w:t>
            </w:r>
            <w:r w:rsidR="00D87145">
              <w:rPr>
                <w:rFonts w:ascii="Arial Narrow" w:hAnsi="Arial Narrow"/>
              </w:rPr>
              <w:t xml:space="preserve">EÚ </w:t>
            </w:r>
            <w:r w:rsidRPr="009C19FF">
              <w:rPr>
                <w:rFonts w:ascii="Arial Narrow" w:hAnsi="Arial Narrow"/>
              </w:rPr>
              <w:t xml:space="preserve">a </w:t>
            </w:r>
            <w:r w:rsidR="00D87145">
              <w:rPr>
                <w:rFonts w:ascii="Arial Narrow" w:hAnsi="Arial Narrow"/>
              </w:rPr>
              <w:t xml:space="preserve">         </w:t>
            </w:r>
            <w:r w:rsidRPr="009C19FF">
              <w:rPr>
                <w:rFonts w:ascii="Arial Narrow" w:hAnsi="Arial Narrow"/>
              </w:rPr>
              <w:t xml:space="preserve">5-krát menší ako priemer OECD. </w:t>
            </w:r>
          </w:p>
          <w:p w14:paraId="1F54B6F8" w14:textId="77777777" w:rsidR="00764BC5" w:rsidRPr="009C19FF" w:rsidRDefault="00764BC5" w:rsidP="00A877C3">
            <w:pPr>
              <w:pStyle w:val="Odsekzoznamu"/>
              <w:numPr>
                <w:ilvl w:val="0"/>
                <w:numId w:val="7"/>
              </w:numPr>
              <w:spacing w:after="0" w:line="240" w:lineRule="auto"/>
              <w:jc w:val="both"/>
              <w:rPr>
                <w:rFonts w:ascii="Arial Narrow" w:hAnsi="Arial Narrow"/>
                <w:bCs/>
              </w:rPr>
            </w:pPr>
            <w:r w:rsidRPr="009C19FF">
              <w:rPr>
                <w:rFonts w:ascii="Arial Narrow" w:hAnsi="Arial Narrow"/>
                <w:b/>
              </w:rPr>
              <w:lastRenderedPageBreak/>
              <w:t>Rozdrobenosť samospráv sa prejavuje v neefektívnom vykonávaní ich kompetencií</w:t>
            </w:r>
            <w:r w:rsidRPr="009C19FF">
              <w:rPr>
                <w:rFonts w:ascii="Arial Narrow" w:hAnsi="Arial Narrow"/>
              </w:rPr>
              <w:t>. Obce do 100 obyvateľov vynakladajú na výkon správy (časť administratívnych nákladov) až 40 % všetkých svojich výdavkov. Priestor na zlepšenie možno pozorovať aj v usporiadaní najväčších miest s dvojúrovňovou samosprávou – Bratislavy a Košíc.</w:t>
            </w:r>
          </w:p>
          <w:p w14:paraId="0FFC0683" w14:textId="77777777" w:rsidR="00764BC5" w:rsidRPr="009C19FF" w:rsidRDefault="00764BC5" w:rsidP="00A877C3">
            <w:pPr>
              <w:pStyle w:val="Odsekzoznamu"/>
              <w:numPr>
                <w:ilvl w:val="0"/>
                <w:numId w:val="7"/>
              </w:numPr>
              <w:spacing w:after="0" w:line="240" w:lineRule="auto"/>
              <w:jc w:val="both"/>
              <w:rPr>
                <w:rFonts w:ascii="Arial Narrow" w:hAnsi="Arial Narrow"/>
                <w:bCs/>
              </w:rPr>
            </w:pPr>
            <w:r w:rsidRPr="009C19FF">
              <w:rPr>
                <w:rFonts w:ascii="Arial Narrow" w:hAnsi="Arial Narrow"/>
                <w:b/>
                <w:bCs/>
              </w:rPr>
              <w:t>Aj tá najmenšia obec má poskytovať rovnaké služby pre občanov ako krajské mestá, to však z objektívnych dôvodov nie je možné</w:t>
            </w:r>
            <w:r w:rsidRPr="009C19FF">
              <w:rPr>
                <w:rFonts w:ascii="Arial Narrow" w:hAnsi="Arial Narrow"/>
                <w:bCs/>
              </w:rPr>
              <w:t xml:space="preserve">. </w:t>
            </w:r>
            <w:r w:rsidRPr="009C19FF">
              <w:rPr>
                <w:rFonts w:ascii="Arial Narrow" w:hAnsi="Arial Narrow"/>
              </w:rPr>
              <w:t xml:space="preserve">Vznikajú preto spoločné obecné úrady, prostredníctvom ktorých už väčšina obcí de </w:t>
            </w:r>
            <w:proofErr w:type="spellStart"/>
            <w:r w:rsidRPr="009C19FF">
              <w:rPr>
                <w:rFonts w:ascii="Arial Narrow" w:hAnsi="Arial Narrow"/>
              </w:rPr>
              <w:t>facto</w:t>
            </w:r>
            <w:proofErr w:type="spellEnd"/>
            <w:r w:rsidRPr="009C19FF">
              <w:rPr>
                <w:rFonts w:ascii="Arial Narrow" w:hAnsi="Arial Narrow"/>
              </w:rPr>
              <w:t xml:space="preserve"> preniesla časť svojich kompetencií na iné obce. </w:t>
            </w:r>
          </w:p>
          <w:p w14:paraId="52928ED4" w14:textId="364ECE75" w:rsidR="00764BC5" w:rsidRPr="009C19FF" w:rsidRDefault="00764BC5" w:rsidP="00A877C3">
            <w:pPr>
              <w:pStyle w:val="Odsekzoznamu"/>
              <w:numPr>
                <w:ilvl w:val="0"/>
                <w:numId w:val="7"/>
              </w:numPr>
              <w:spacing w:after="0" w:line="240" w:lineRule="auto"/>
              <w:jc w:val="both"/>
              <w:rPr>
                <w:rFonts w:ascii="Arial Narrow" w:hAnsi="Arial Narrow"/>
                <w:b/>
                <w:bCs/>
              </w:rPr>
            </w:pPr>
            <w:r w:rsidRPr="009C19FF">
              <w:rPr>
                <w:rFonts w:ascii="Arial Narrow" w:hAnsi="Arial Narrow"/>
                <w:bCs/>
              </w:rPr>
              <w:t>Z krátkodobého hľadiska považujeme za vhodné sústredenie výkonu správy obcí do matričných obvodov</w:t>
            </w:r>
            <w:r w:rsidRPr="009C19FF">
              <w:rPr>
                <w:rFonts w:ascii="Arial Narrow" w:hAnsi="Arial Narrow"/>
              </w:rPr>
              <w:t xml:space="preserve">. </w:t>
            </w:r>
            <w:r w:rsidRPr="009C19FF">
              <w:rPr>
                <w:rFonts w:ascii="Arial Narrow" w:hAnsi="Arial Narrow"/>
                <w:bCs/>
              </w:rPr>
              <w:t>Strednodobým krokom by mohlo byť sústredenie výkonu správy do mikroregiónov</w:t>
            </w:r>
            <w:r w:rsidR="00D87145">
              <w:rPr>
                <w:rFonts w:ascii="Arial Narrow" w:hAnsi="Arial Narrow"/>
              </w:rPr>
              <w:t xml:space="preserve"> </w:t>
            </w:r>
            <w:r w:rsidRPr="009C19FF">
              <w:rPr>
                <w:rFonts w:ascii="Arial Narrow" w:hAnsi="Arial Narrow"/>
              </w:rPr>
              <w:t xml:space="preserve">na základe funkčných väzieb. Väčší počet obyvateľov umožňuje ekonomicky ešte efektívnejší výkon správy a lepšie využitie existujúcich zdrojov v priestore mikroregiónu. </w:t>
            </w:r>
            <w:r w:rsidR="009C19FF">
              <w:rPr>
                <w:rFonts w:ascii="Arial Narrow" w:hAnsi="Arial Narrow"/>
                <w:b/>
              </w:rPr>
              <w:t>Takto by sa uvoľnili</w:t>
            </w:r>
            <w:r w:rsidRPr="009C19FF">
              <w:rPr>
                <w:rFonts w:ascii="Arial Narrow" w:hAnsi="Arial Narrow"/>
                <w:b/>
              </w:rPr>
              <w:t xml:space="preserve"> stovky mil. eur ročne. </w:t>
            </w:r>
          </w:p>
          <w:p w14:paraId="5B7E408B" w14:textId="77777777" w:rsidR="00F2087C" w:rsidRPr="009C19FF" w:rsidRDefault="00764BC5" w:rsidP="00A877C3">
            <w:pPr>
              <w:pStyle w:val="Odsekzoznamu"/>
              <w:numPr>
                <w:ilvl w:val="0"/>
                <w:numId w:val="7"/>
              </w:numPr>
              <w:spacing w:after="0" w:line="240" w:lineRule="auto"/>
              <w:jc w:val="both"/>
              <w:rPr>
                <w:rFonts w:ascii="Arial Narrow" w:hAnsi="Arial Narrow"/>
                <w:bCs/>
              </w:rPr>
            </w:pPr>
            <w:r w:rsidRPr="009C19FF">
              <w:rPr>
                <w:rFonts w:ascii="Arial Narrow" w:hAnsi="Arial Narrow"/>
                <w:b/>
                <w:bCs/>
              </w:rPr>
              <w:t>Sústredením výkonu správy by súčasné obce nestratili svoju identitu</w:t>
            </w:r>
            <w:r w:rsidRPr="009C19FF">
              <w:rPr>
                <w:rFonts w:ascii="Arial Narrow" w:hAnsi="Arial Narrow"/>
                <w:bCs/>
              </w:rPr>
              <w:t xml:space="preserve">. </w:t>
            </w:r>
            <w:r w:rsidRPr="009C19FF">
              <w:rPr>
                <w:rFonts w:ascii="Arial Narrow" w:hAnsi="Arial Narrow"/>
              </w:rPr>
              <w:t>Zároveň by nemalo dochádzať k znižovaniu alokácie finančných zdrojov pre danú lokalitu a obce by nestratili možnosť ovplyvňovať rozhodovanie o ich využití.</w:t>
            </w:r>
          </w:p>
          <w:p w14:paraId="157EF30F" w14:textId="77777777" w:rsidR="00764BC5" w:rsidRDefault="00764BC5" w:rsidP="00764BC5">
            <w:pPr>
              <w:spacing w:after="0" w:line="240" w:lineRule="auto"/>
              <w:jc w:val="both"/>
              <w:rPr>
                <w:rFonts w:ascii="Arial Narrow" w:hAnsi="Arial Narrow"/>
                <w:bCs/>
              </w:rPr>
            </w:pPr>
          </w:p>
          <w:p w14:paraId="423F42C4" w14:textId="77777777" w:rsidR="00F2087C" w:rsidRPr="00CD013B" w:rsidRDefault="00F2087C" w:rsidP="00342E82">
            <w:pPr>
              <w:spacing w:after="0" w:line="240" w:lineRule="auto"/>
              <w:jc w:val="both"/>
              <w:rPr>
                <w:rFonts w:ascii="Arial Narrow" w:hAnsi="Arial Narrow"/>
              </w:rPr>
            </w:pPr>
            <w:r>
              <w:rPr>
                <w:rFonts w:ascii="Arial Narrow" w:hAnsi="Arial Narrow"/>
                <w:bCs/>
              </w:rPr>
              <w:t xml:space="preserve">Viac v analýze: </w:t>
            </w:r>
            <w:hyperlink r:id="rId44" w:history="1">
              <w:r w:rsidRPr="00F2087C">
                <w:rPr>
                  <w:rStyle w:val="Hypertextovprepojenie"/>
                  <w:rFonts w:ascii="Arial Narrow" w:hAnsi="Arial Narrow"/>
                  <w:bCs/>
                  <w:color w:val="2C9BDC"/>
                </w:rPr>
                <w:t>Skrytý poklad v samospráve</w:t>
              </w:r>
            </w:hyperlink>
          </w:p>
          <w:p w14:paraId="0FF13B83" w14:textId="77777777" w:rsidR="007D2366" w:rsidRPr="0017485F" w:rsidRDefault="007D2366" w:rsidP="00342E82">
            <w:pPr>
              <w:spacing w:after="0" w:line="240" w:lineRule="auto"/>
              <w:jc w:val="both"/>
              <w:rPr>
                <w:rFonts w:ascii="Arial Narrow" w:hAnsi="Arial Narrow"/>
              </w:rPr>
            </w:pPr>
          </w:p>
          <w:p w14:paraId="3484D00E" w14:textId="77777777" w:rsidR="007D2366" w:rsidRPr="00754136" w:rsidRDefault="007D2366" w:rsidP="00342E82">
            <w:pPr>
              <w:spacing w:after="0" w:line="240" w:lineRule="auto"/>
              <w:jc w:val="both"/>
              <w:rPr>
                <w:rFonts w:ascii="Arial Narrow" w:hAnsi="Arial Narrow"/>
                <w:b/>
                <w:bCs/>
                <w:color w:val="2C9ADC"/>
                <w:sz w:val="20"/>
              </w:rPr>
            </w:pPr>
            <w:r w:rsidRPr="00754136">
              <w:rPr>
                <w:rFonts w:ascii="Arial Narrow" w:hAnsi="Arial Narrow"/>
                <w:b/>
                <w:bCs/>
                <w:color w:val="2C9ADC"/>
                <w:sz w:val="20"/>
              </w:rPr>
              <w:t>Efektívnosť samospráv podľa veľkostných skupín</w:t>
            </w:r>
            <w:r w:rsidR="00F2087C">
              <w:rPr>
                <w:rFonts w:ascii="Arial Narrow" w:hAnsi="Arial Narrow"/>
                <w:b/>
                <w:bCs/>
                <w:color w:val="2C9ADC"/>
                <w:sz w:val="20"/>
              </w:rPr>
              <w:t xml:space="preserve"> (rok 2016)</w:t>
            </w:r>
          </w:p>
          <w:tbl>
            <w:tblPr>
              <w:tblW w:w="8348" w:type="dxa"/>
              <w:tblCellMar>
                <w:left w:w="70" w:type="dxa"/>
                <w:right w:w="70" w:type="dxa"/>
              </w:tblCellMar>
              <w:tblLook w:val="04A0" w:firstRow="1" w:lastRow="0" w:firstColumn="1" w:lastColumn="0" w:noHBand="0" w:noVBand="1"/>
            </w:tblPr>
            <w:tblGrid>
              <w:gridCol w:w="2316"/>
              <w:gridCol w:w="1262"/>
              <w:gridCol w:w="2551"/>
              <w:gridCol w:w="2219"/>
            </w:tblGrid>
            <w:tr w:rsidR="007D2366" w:rsidRPr="00CA7860" w14:paraId="50B9C5C6" w14:textId="77777777" w:rsidTr="00342E82">
              <w:trPr>
                <w:trHeight w:val="328"/>
              </w:trPr>
              <w:tc>
                <w:tcPr>
                  <w:tcW w:w="2316" w:type="dxa"/>
                  <w:tcBorders>
                    <w:top w:val="single" w:sz="4" w:space="0" w:color="auto"/>
                    <w:left w:val="nil"/>
                    <w:bottom w:val="single" w:sz="4" w:space="0" w:color="auto"/>
                    <w:right w:val="nil"/>
                  </w:tcBorders>
                  <w:noWrap/>
                  <w:vAlign w:val="center"/>
                  <w:hideMark/>
                </w:tcPr>
                <w:p w14:paraId="662E7D27" w14:textId="77777777" w:rsidR="007D2366" w:rsidRPr="00CA7860" w:rsidRDefault="007D2366" w:rsidP="00342E82">
                  <w:pPr>
                    <w:spacing w:after="0" w:line="240" w:lineRule="auto"/>
                    <w:jc w:val="center"/>
                    <w:rPr>
                      <w:rFonts w:ascii="Arial Narrow" w:hAnsi="Arial Narrow"/>
                      <w:b/>
                      <w:bCs/>
                      <w:color w:val="000000"/>
                      <w:sz w:val="18"/>
                      <w:szCs w:val="18"/>
                      <w:lang w:eastAsia="en-US"/>
                    </w:rPr>
                  </w:pPr>
                  <w:r w:rsidRPr="00CA7860">
                    <w:rPr>
                      <w:rFonts w:ascii="Arial Narrow" w:hAnsi="Arial Narrow"/>
                      <w:b/>
                      <w:bCs/>
                      <w:color w:val="000000"/>
                      <w:sz w:val="18"/>
                      <w:szCs w:val="18"/>
                      <w:lang w:eastAsia="en-US"/>
                    </w:rPr>
                    <w:t>Veľkostné skupiny obcí</w:t>
                  </w:r>
                </w:p>
              </w:tc>
              <w:tc>
                <w:tcPr>
                  <w:tcW w:w="1262" w:type="dxa"/>
                  <w:tcBorders>
                    <w:top w:val="single" w:sz="4" w:space="0" w:color="auto"/>
                    <w:left w:val="nil"/>
                    <w:bottom w:val="single" w:sz="4" w:space="0" w:color="auto"/>
                    <w:right w:val="nil"/>
                  </w:tcBorders>
                  <w:noWrap/>
                  <w:vAlign w:val="center"/>
                  <w:hideMark/>
                </w:tcPr>
                <w:p w14:paraId="208439BB" w14:textId="77777777" w:rsidR="007D2366" w:rsidRPr="00CA7860" w:rsidRDefault="007D2366" w:rsidP="00342E82">
                  <w:pPr>
                    <w:spacing w:after="0" w:line="240" w:lineRule="auto"/>
                    <w:jc w:val="center"/>
                    <w:rPr>
                      <w:rFonts w:ascii="Arial Narrow" w:hAnsi="Arial Narrow"/>
                      <w:b/>
                      <w:bCs/>
                      <w:color w:val="000000"/>
                      <w:sz w:val="18"/>
                      <w:szCs w:val="18"/>
                      <w:lang w:eastAsia="en-US"/>
                    </w:rPr>
                  </w:pPr>
                  <w:r w:rsidRPr="00CA7860">
                    <w:rPr>
                      <w:rFonts w:ascii="Arial Narrow" w:hAnsi="Arial Narrow"/>
                      <w:b/>
                      <w:bCs/>
                      <w:color w:val="000000"/>
                      <w:sz w:val="18"/>
                      <w:szCs w:val="18"/>
                      <w:lang w:eastAsia="en-US"/>
                    </w:rPr>
                    <w:t>Počet obcí</w:t>
                  </w:r>
                </w:p>
              </w:tc>
              <w:tc>
                <w:tcPr>
                  <w:tcW w:w="2551" w:type="dxa"/>
                  <w:tcBorders>
                    <w:top w:val="single" w:sz="4" w:space="0" w:color="auto"/>
                    <w:left w:val="nil"/>
                    <w:bottom w:val="single" w:sz="4" w:space="0" w:color="auto"/>
                    <w:right w:val="nil"/>
                  </w:tcBorders>
                  <w:noWrap/>
                  <w:vAlign w:val="center"/>
                  <w:hideMark/>
                </w:tcPr>
                <w:p w14:paraId="0BA77861" w14:textId="77777777" w:rsidR="007D2366" w:rsidRPr="00CA7860" w:rsidRDefault="007D2366" w:rsidP="00342E82">
                  <w:pPr>
                    <w:spacing w:after="0" w:line="240" w:lineRule="auto"/>
                    <w:jc w:val="center"/>
                    <w:rPr>
                      <w:rFonts w:ascii="Arial Narrow" w:hAnsi="Arial Narrow"/>
                      <w:b/>
                      <w:bCs/>
                      <w:color w:val="000000"/>
                      <w:sz w:val="18"/>
                      <w:szCs w:val="18"/>
                      <w:lang w:eastAsia="en-US"/>
                    </w:rPr>
                  </w:pPr>
                  <w:r w:rsidRPr="00CA7860">
                    <w:rPr>
                      <w:rFonts w:ascii="Arial Narrow" w:hAnsi="Arial Narrow"/>
                      <w:b/>
                      <w:bCs/>
                      <w:color w:val="000000"/>
                      <w:sz w:val="18"/>
                      <w:szCs w:val="18"/>
                      <w:lang w:eastAsia="en-US"/>
                    </w:rPr>
                    <w:t>Podiel ľudí žijúci v</w:t>
                  </w:r>
                  <w:r>
                    <w:rPr>
                      <w:rFonts w:ascii="Arial Narrow" w:hAnsi="Arial Narrow"/>
                      <w:b/>
                      <w:bCs/>
                      <w:color w:val="000000"/>
                      <w:sz w:val="18"/>
                      <w:szCs w:val="18"/>
                      <w:lang w:eastAsia="en-US"/>
                    </w:rPr>
                    <w:t> </w:t>
                  </w:r>
                  <w:r w:rsidRPr="00CA7860">
                    <w:rPr>
                      <w:rFonts w:ascii="Arial Narrow" w:hAnsi="Arial Narrow"/>
                      <w:b/>
                      <w:bCs/>
                      <w:color w:val="000000"/>
                      <w:sz w:val="18"/>
                      <w:szCs w:val="18"/>
                      <w:lang w:eastAsia="en-US"/>
                    </w:rPr>
                    <w:t>obciach</w:t>
                  </w:r>
                  <w:r>
                    <w:rPr>
                      <w:rFonts w:ascii="Arial Narrow" w:hAnsi="Arial Narrow"/>
                      <w:b/>
                      <w:bCs/>
                      <w:color w:val="000000"/>
                      <w:sz w:val="18"/>
                      <w:szCs w:val="18"/>
                      <w:lang w:eastAsia="en-US"/>
                    </w:rPr>
                    <w:t xml:space="preserve"> (v %)</w:t>
                  </w:r>
                </w:p>
              </w:tc>
              <w:tc>
                <w:tcPr>
                  <w:tcW w:w="2219" w:type="dxa"/>
                  <w:tcBorders>
                    <w:top w:val="single" w:sz="4" w:space="0" w:color="auto"/>
                    <w:left w:val="nil"/>
                    <w:bottom w:val="single" w:sz="4" w:space="0" w:color="auto"/>
                    <w:right w:val="nil"/>
                  </w:tcBorders>
                  <w:noWrap/>
                  <w:vAlign w:val="center"/>
                  <w:hideMark/>
                </w:tcPr>
                <w:p w14:paraId="32C1D29E" w14:textId="77777777" w:rsidR="007D2366" w:rsidRPr="00CA7860" w:rsidRDefault="007D2366" w:rsidP="00342E82">
                  <w:pPr>
                    <w:spacing w:after="0" w:line="240" w:lineRule="auto"/>
                    <w:jc w:val="center"/>
                    <w:rPr>
                      <w:rFonts w:ascii="Arial Narrow" w:hAnsi="Arial Narrow"/>
                      <w:b/>
                      <w:bCs/>
                      <w:color w:val="000000"/>
                      <w:sz w:val="18"/>
                      <w:szCs w:val="18"/>
                      <w:lang w:eastAsia="en-US"/>
                    </w:rPr>
                  </w:pPr>
                  <w:r w:rsidRPr="00CA7860">
                    <w:rPr>
                      <w:rFonts w:ascii="Arial Narrow" w:hAnsi="Arial Narrow"/>
                      <w:b/>
                      <w:bCs/>
                      <w:color w:val="000000"/>
                      <w:sz w:val="18"/>
                      <w:szCs w:val="18"/>
                      <w:lang w:eastAsia="en-US"/>
                    </w:rPr>
                    <w:t>Priemerná efektívnosť</w:t>
                  </w:r>
                  <w:r>
                    <w:rPr>
                      <w:rFonts w:ascii="Arial Narrow" w:hAnsi="Arial Narrow"/>
                      <w:b/>
                      <w:bCs/>
                      <w:color w:val="000000"/>
                      <w:sz w:val="18"/>
                      <w:szCs w:val="18"/>
                      <w:lang w:eastAsia="en-US"/>
                    </w:rPr>
                    <w:t xml:space="preserve"> (v %)</w:t>
                  </w:r>
                </w:p>
              </w:tc>
            </w:tr>
            <w:tr w:rsidR="00810698" w:rsidRPr="00CA7860" w14:paraId="01D5F22B" w14:textId="77777777" w:rsidTr="00342E82">
              <w:trPr>
                <w:trHeight w:val="298"/>
              </w:trPr>
              <w:tc>
                <w:tcPr>
                  <w:tcW w:w="2316" w:type="dxa"/>
                  <w:tcBorders>
                    <w:top w:val="single" w:sz="4" w:space="0" w:color="auto"/>
                  </w:tcBorders>
                  <w:noWrap/>
                  <w:vAlign w:val="center"/>
                  <w:hideMark/>
                </w:tcPr>
                <w:p w14:paraId="01E5169F" w14:textId="77777777" w:rsidR="00810698" w:rsidRPr="00CA7860" w:rsidRDefault="00810698" w:rsidP="00810698">
                  <w:pPr>
                    <w:spacing w:after="0" w:line="240" w:lineRule="auto"/>
                    <w:jc w:val="center"/>
                    <w:rPr>
                      <w:rFonts w:ascii="Arial Narrow" w:hAnsi="Arial Narrow"/>
                      <w:color w:val="000000"/>
                      <w:sz w:val="18"/>
                      <w:szCs w:val="18"/>
                      <w:lang w:eastAsia="en-US"/>
                    </w:rPr>
                  </w:pPr>
                  <w:r w:rsidRPr="00CA7860">
                    <w:rPr>
                      <w:rFonts w:ascii="Arial Narrow" w:hAnsi="Arial Narrow"/>
                      <w:color w:val="000000"/>
                      <w:sz w:val="18"/>
                      <w:szCs w:val="18"/>
                      <w:lang w:eastAsia="en-US"/>
                    </w:rPr>
                    <w:t>do 1 000</w:t>
                  </w:r>
                </w:p>
              </w:tc>
              <w:tc>
                <w:tcPr>
                  <w:tcW w:w="1262" w:type="dxa"/>
                  <w:tcBorders>
                    <w:top w:val="single" w:sz="4" w:space="0" w:color="auto"/>
                  </w:tcBorders>
                  <w:noWrap/>
                  <w:vAlign w:val="center"/>
                  <w:hideMark/>
                </w:tcPr>
                <w:p w14:paraId="4CA1957F" w14:textId="77777777" w:rsidR="00810698" w:rsidRPr="00CA7860" w:rsidRDefault="00810698" w:rsidP="00810698">
                  <w:pPr>
                    <w:spacing w:after="0" w:line="240" w:lineRule="auto"/>
                    <w:jc w:val="center"/>
                    <w:rPr>
                      <w:rFonts w:ascii="Arial Narrow" w:hAnsi="Arial Narrow"/>
                      <w:color w:val="000000"/>
                      <w:sz w:val="18"/>
                      <w:szCs w:val="18"/>
                      <w:lang w:eastAsia="en-US"/>
                    </w:rPr>
                  </w:pPr>
                  <w:r w:rsidRPr="00CA7860">
                    <w:rPr>
                      <w:rFonts w:ascii="Arial Narrow" w:hAnsi="Arial Narrow"/>
                      <w:color w:val="000000"/>
                      <w:sz w:val="18"/>
                      <w:szCs w:val="18"/>
                      <w:lang w:eastAsia="en-US"/>
                    </w:rPr>
                    <w:t>1 907</w:t>
                  </w:r>
                </w:p>
              </w:tc>
              <w:tc>
                <w:tcPr>
                  <w:tcW w:w="2551" w:type="dxa"/>
                  <w:tcBorders>
                    <w:top w:val="single" w:sz="4" w:space="0" w:color="auto"/>
                  </w:tcBorders>
                  <w:noWrap/>
                  <w:vAlign w:val="center"/>
                  <w:hideMark/>
                </w:tcPr>
                <w:p w14:paraId="6DF10AC5" w14:textId="77777777" w:rsidR="00810698" w:rsidRPr="00CA7860" w:rsidRDefault="00810698" w:rsidP="00810698">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15,6</w:t>
                  </w:r>
                </w:p>
              </w:tc>
              <w:tc>
                <w:tcPr>
                  <w:tcW w:w="2219" w:type="dxa"/>
                  <w:tcBorders>
                    <w:top w:val="single" w:sz="4" w:space="0" w:color="auto"/>
                  </w:tcBorders>
                  <w:noWrap/>
                  <w:vAlign w:val="center"/>
                  <w:hideMark/>
                </w:tcPr>
                <w:p w14:paraId="53370C0B" w14:textId="77777777" w:rsidR="00810698" w:rsidRPr="00CA7860" w:rsidRDefault="00810698" w:rsidP="00810698">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rPr>
                    <w:t>60,4</w:t>
                  </w:r>
                </w:p>
              </w:tc>
            </w:tr>
            <w:tr w:rsidR="00810698" w:rsidRPr="00CA7860" w14:paraId="56EE9F7D" w14:textId="77777777" w:rsidTr="00342E82">
              <w:trPr>
                <w:trHeight w:val="298"/>
              </w:trPr>
              <w:tc>
                <w:tcPr>
                  <w:tcW w:w="2316" w:type="dxa"/>
                  <w:noWrap/>
                  <w:vAlign w:val="center"/>
                  <w:hideMark/>
                </w:tcPr>
                <w:p w14:paraId="07B80BE1" w14:textId="77777777" w:rsidR="00810698" w:rsidRPr="00CA7860" w:rsidRDefault="00810698" w:rsidP="00810698">
                  <w:pPr>
                    <w:spacing w:after="0" w:line="240" w:lineRule="auto"/>
                    <w:jc w:val="center"/>
                    <w:rPr>
                      <w:rFonts w:ascii="Arial Narrow" w:hAnsi="Arial Narrow"/>
                      <w:color w:val="000000"/>
                      <w:sz w:val="18"/>
                      <w:szCs w:val="18"/>
                      <w:lang w:eastAsia="en-US"/>
                    </w:rPr>
                  </w:pPr>
                  <w:r w:rsidRPr="00CA7860">
                    <w:rPr>
                      <w:rFonts w:ascii="Arial Narrow" w:hAnsi="Arial Narrow"/>
                      <w:color w:val="000000"/>
                      <w:sz w:val="18"/>
                      <w:szCs w:val="18"/>
                      <w:lang w:eastAsia="en-US"/>
                    </w:rPr>
                    <w:t>1</w:t>
                  </w:r>
                  <w:r>
                    <w:rPr>
                      <w:rFonts w:ascii="Arial Narrow" w:hAnsi="Arial Narrow"/>
                      <w:color w:val="000000"/>
                      <w:sz w:val="18"/>
                      <w:szCs w:val="18"/>
                      <w:lang w:eastAsia="en-US"/>
                    </w:rPr>
                    <w:t> </w:t>
                  </w:r>
                  <w:r w:rsidRPr="00CA7860">
                    <w:rPr>
                      <w:rFonts w:ascii="Arial Narrow" w:hAnsi="Arial Narrow"/>
                      <w:color w:val="000000"/>
                      <w:sz w:val="18"/>
                      <w:szCs w:val="18"/>
                      <w:lang w:eastAsia="en-US"/>
                    </w:rPr>
                    <w:t>001</w:t>
                  </w:r>
                  <w:r>
                    <w:rPr>
                      <w:rFonts w:ascii="Arial Narrow" w:hAnsi="Arial Narrow"/>
                      <w:color w:val="000000"/>
                      <w:sz w:val="18"/>
                      <w:szCs w:val="18"/>
                      <w:lang w:eastAsia="en-US"/>
                    </w:rPr>
                    <w:t xml:space="preserve"> – </w:t>
                  </w:r>
                  <w:r w:rsidRPr="00CA7860">
                    <w:rPr>
                      <w:rFonts w:ascii="Arial Narrow" w:hAnsi="Arial Narrow"/>
                      <w:color w:val="000000"/>
                      <w:sz w:val="18"/>
                      <w:szCs w:val="18"/>
                      <w:lang w:eastAsia="en-US"/>
                    </w:rPr>
                    <w:t>3 000</w:t>
                  </w:r>
                </w:p>
              </w:tc>
              <w:tc>
                <w:tcPr>
                  <w:tcW w:w="1262" w:type="dxa"/>
                  <w:noWrap/>
                  <w:vAlign w:val="center"/>
                  <w:hideMark/>
                </w:tcPr>
                <w:p w14:paraId="3AAC6951" w14:textId="77777777" w:rsidR="00810698" w:rsidRPr="00CA7860" w:rsidRDefault="00810698" w:rsidP="00810698">
                  <w:pPr>
                    <w:spacing w:after="0" w:line="240" w:lineRule="auto"/>
                    <w:jc w:val="center"/>
                    <w:rPr>
                      <w:rFonts w:ascii="Arial Narrow" w:hAnsi="Arial Narrow"/>
                      <w:color w:val="000000"/>
                      <w:sz w:val="18"/>
                      <w:szCs w:val="18"/>
                      <w:lang w:eastAsia="en-US"/>
                    </w:rPr>
                  </w:pPr>
                  <w:r w:rsidRPr="00CA7860">
                    <w:rPr>
                      <w:rFonts w:ascii="Arial Narrow" w:hAnsi="Arial Narrow"/>
                      <w:color w:val="000000"/>
                      <w:sz w:val="18"/>
                      <w:szCs w:val="18"/>
                      <w:lang w:eastAsia="en-US"/>
                    </w:rPr>
                    <w:t>761</w:t>
                  </w:r>
                </w:p>
              </w:tc>
              <w:tc>
                <w:tcPr>
                  <w:tcW w:w="2551" w:type="dxa"/>
                  <w:noWrap/>
                  <w:vAlign w:val="center"/>
                  <w:hideMark/>
                </w:tcPr>
                <w:p w14:paraId="03512A34" w14:textId="77777777" w:rsidR="00810698" w:rsidRPr="00CA7860" w:rsidRDefault="00810698" w:rsidP="00810698">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23,1</w:t>
                  </w:r>
                </w:p>
              </w:tc>
              <w:tc>
                <w:tcPr>
                  <w:tcW w:w="2219" w:type="dxa"/>
                  <w:noWrap/>
                  <w:vAlign w:val="center"/>
                  <w:hideMark/>
                </w:tcPr>
                <w:p w14:paraId="5BCCB2A7" w14:textId="77777777" w:rsidR="00810698" w:rsidRPr="00CA7860" w:rsidRDefault="00810698" w:rsidP="00810698">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rPr>
                    <w:t>79,7</w:t>
                  </w:r>
                </w:p>
              </w:tc>
            </w:tr>
            <w:tr w:rsidR="00810698" w:rsidRPr="00CA7860" w14:paraId="4F011B71" w14:textId="77777777" w:rsidTr="00342E82">
              <w:trPr>
                <w:trHeight w:val="298"/>
              </w:trPr>
              <w:tc>
                <w:tcPr>
                  <w:tcW w:w="2316" w:type="dxa"/>
                  <w:noWrap/>
                  <w:vAlign w:val="center"/>
                  <w:hideMark/>
                </w:tcPr>
                <w:p w14:paraId="1B6961B1" w14:textId="77777777" w:rsidR="00810698" w:rsidRPr="00CA7860" w:rsidRDefault="00810698" w:rsidP="00810698">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 xml:space="preserve">3 001 – </w:t>
                  </w:r>
                  <w:r w:rsidRPr="00CA7860">
                    <w:rPr>
                      <w:rFonts w:ascii="Arial Narrow" w:hAnsi="Arial Narrow"/>
                      <w:color w:val="000000"/>
                      <w:sz w:val="18"/>
                      <w:szCs w:val="18"/>
                      <w:lang w:eastAsia="en-US"/>
                    </w:rPr>
                    <w:t>5 000</w:t>
                  </w:r>
                </w:p>
              </w:tc>
              <w:tc>
                <w:tcPr>
                  <w:tcW w:w="1262" w:type="dxa"/>
                  <w:noWrap/>
                  <w:vAlign w:val="center"/>
                  <w:hideMark/>
                </w:tcPr>
                <w:p w14:paraId="34D590A1" w14:textId="77777777" w:rsidR="00810698" w:rsidRPr="00CA7860" w:rsidRDefault="00810698" w:rsidP="00810698">
                  <w:pPr>
                    <w:spacing w:after="0" w:line="240" w:lineRule="auto"/>
                    <w:jc w:val="center"/>
                    <w:rPr>
                      <w:rFonts w:ascii="Arial Narrow" w:hAnsi="Arial Narrow"/>
                      <w:color w:val="000000"/>
                      <w:sz w:val="18"/>
                      <w:szCs w:val="18"/>
                      <w:lang w:eastAsia="en-US"/>
                    </w:rPr>
                  </w:pPr>
                  <w:r w:rsidRPr="00CA7860">
                    <w:rPr>
                      <w:rFonts w:ascii="Arial Narrow" w:hAnsi="Arial Narrow"/>
                      <w:color w:val="000000"/>
                      <w:sz w:val="18"/>
                      <w:szCs w:val="18"/>
                      <w:lang w:eastAsia="en-US"/>
                    </w:rPr>
                    <w:t>103</w:t>
                  </w:r>
                </w:p>
              </w:tc>
              <w:tc>
                <w:tcPr>
                  <w:tcW w:w="2551" w:type="dxa"/>
                  <w:noWrap/>
                  <w:vAlign w:val="center"/>
                  <w:hideMark/>
                </w:tcPr>
                <w:p w14:paraId="001A355A" w14:textId="77777777" w:rsidR="00810698" w:rsidRPr="00CA7860" w:rsidRDefault="00810698" w:rsidP="00810698">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7,0</w:t>
                  </w:r>
                </w:p>
              </w:tc>
              <w:tc>
                <w:tcPr>
                  <w:tcW w:w="2219" w:type="dxa"/>
                  <w:noWrap/>
                  <w:vAlign w:val="center"/>
                  <w:hideMark/>
                </w:tcPr>
                <w:p w14:paraId="087D6E67" w14:textId="77777777" w:rsidR="00810698" w:rsidRPr="00CA7860" w:rsidRDefault="00810698" w:rsidP="00810698">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rPr>
                    <w:t>84,7</w:t>
                  </w:r>
                </w:p>
              </w:tc>
            </w:tr>
            <w:tr w:rsidR="00810698" w:rsidRPr="00CA7860" w14:paraId="12BA4792" w14:textId="77777777" w:rsidTr="00342E82">
              <w:trPr>
                <w:trHeight w:val="298"/>
              </w:trPr>
              <w:tc>
                <w:tcPr>
                  <w:tcW w:w="2316" w:type="dxa"/>
                  <w:noWrap/>
                  <w:vAlign w:val="center"/>
                  <w:hideMark/>
                </w:tcPr>
                <w:p w14:paraId="7886A4D7" w14:textId="77777777" w:rsidR="00810698" w:rsidRPr="00CA7860" w:rsidRDefault="00810698" w:rsidP="00810698">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 xml:space="preserve">5 001 – </w:t>
                  </w:r>
                  <w:r w:rsidRPr="00CA7860">
                    <w:rPr>
                      <w:rFonts w:ascii="Arial Narrow" w:hAnsi="Arial Narrow"/>
                      <w:color w:val="000000"/>
                      <w:sz w:val="18"/>
                      <w:szCs w:val="18"/>
                      <w:lang w:eastAsia="en-US"/>
                    </w:rPr>
                    <w:t>10 000</w:t>
                  </w:r>
                </w:p>
              </w:tc>
              <w:tc>
                <w:tcPr>
                  <w:tcW w:w="1262" w:type="dxa"/>
                  <w:noWrap/>
                  <w:vAlign w:val="center"/>
                  <w:hideMark/>
                </w:tcPr>
                <w:p w14:paraId="606EC51D" w14:textId="77777777" w:rsidR="00810698" w:rsidRPr="00CA7860" w:rsidRDefault="00810698" w:rsidP="00810698">
                  <w:pPr>
                    <w:spacing w:after="0" w:line="240" w:lineRule="auto"/>
                    <w:jc w:val="center"/>
                    <w:rPr>
                      <w:rFonts w:ascii="Arial Narrow" w:hAnsi="Arial Narrow"/>
                      <w:color w:val="000000"/>
                      <w:sz w:val="18"/>
                      <w:szCs w:val="18"/>
                      <w:lang w:eastAsia="en-US"/>
                    </w:rPr>
                  </w:pPr>
                  <w:r w:rsidRPr="00CA7860">
                    <w:rPr>
                      <w:rFonts w:ascii="Arial Narrow" w:hAnsi="Arial Narrow"/>
                      <w:color w:val="000000"/>
                      <w:sz w:val="18"/>
                      <w:szCs w:val="18"/>
                      <w:lang w:eastAsia="en-US"/>
                    </w:rPr>
                    <w:t>67</w:t>
                  </w:r>
                </w:p>
              </w:tc>
              <w:tc>
                <w:tcPr>
                  <w:tcW w:w="2551" w:type="dxa"/>
                  <w:noWrap/>
                  <w:vAlign w:val="center"/>
                  <w:hideMark/>
                </w:tcPr>
                <w:p w14:paraId="148CD0DD" w14:textId="77777777" w:rsidR="00810698" w:rsidRPr="00CA7860" w:rsidRDefault="00810698" w:rsidP="00810698">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7,7</w:t>
                  </w:r>
                </w:p>
              </w:tc>
              <w:tc>
                <w:tcPr>
                  <w:tcW w:w="2219" w:type="dxa"/>
                  <w:noWrap/>
                  <w:vAlign w:val="center"/>
                  <w:hideMark/>
                </w:tcPr>
                <w:p w14:paraId="79357444" w14:textId="77777777" w:rsidR="00810698" w:rsidRPr="00CA7860" w:rsidRDefault="00810698" w:rsidP="00810698">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rPr>
                    <w:t>87,1</w:t>
                  </w:r>
                </w:p>
              </w:tc>
            </w:tr>
            <w:tr w:rsidR="00810698" w:rsidRPr="00CA7860" w14:paraId="576D41CF" w14:textId="77777777" w:rsidTr="00342E82">
              <w:trPr>
                <w:trHeight w:val="298"/>
              </w:trPr>
              <w:tc>
                <w:tcPr>
                  <w:tcW w:w="2316" w:type="dxa"/>
                  <w:noWrap/>
                  <w:vAlign w:val="center"/>
                  <w:hideMark/>
                </w:tcPr>
                <w:p w14:paraId="0F58710D" w14:textId="77777777" w:rsidR="00810698" w:rsidRPr="00CA7860" w:rsidRDefault="00810698" w:rsidP="00810698">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 xml:space="preserve">10 001 – </w:t>
                  </w:r>
                  <w:r w:rsidRPr="00CA7860">
                    <w:rPr>
                      <w:rFonts w:ascii="Arial Narrow" w:hAnsi="Arial Narrow"/>
                      <w:color w:val="000000"/>
                      <w:sz w:val="18"/>
                      <w:szCs w:val="18"/>
                      <w:lang w:eastAsia="en-US"/>
                    </w:rPr>
                    <w:t>20 000</w:t>
                  </w:r>
                </w:p>
              </w:tc>
              <w:tc>
                <w:tcPr>
                  <w:tcW w:w="1262" w:type="dxa"/>
                  <w:noWrap/>
                  <w:vAlign w:val="center"/>
                  <w:hideMark/>
                </w:tcPr>
                <w:p w14:paraId="4EF5BE5D" w14:textId="77777777" w:rsidR="00810698" w:rsidRPr="00CA7860" w:rsidRDefault="00810698" w:rsidP="00810698">
                  <w:pPr>
                    <w:spacing w:after="0" w:line="240" w:lineRule="auto"/>
                    <w:jc w:val="center"/>
                    <w:rPr>
                      <w:rFonts w:ascii="Arial Narrow" w:hAnsi="Arial Narrow"/>
                      <w:color w:val="000000"/>
                      <w:sz w:val="18"/>
                      <w:szCs w:val="18"/>
                      <w:lang w:eastAsia="en-US"/>
                    </w:rPr>
                  </w:pPr>
                  <w:r w:rsidRPr="00CA7860">
                    <w:rPr>
                      <w:rFonts w:ascii="Arial Narrow" w:hAnsi="Arial Narrow"/>
                      <w:color w:val="000000"/>
                      <w:sz w:val="18"/>
                      <w:szCs w:val="18"/>
                      <w:lang w:eastAsia="en-US"/>
                    </w:rPr>
                    <w:t>35</w:t>
                  </w:r>
                </w:p>
              </w:tc>
              <w:tc>
                <w:tcPr>
                  <w:tcW w:w="2551" w:type="dxa"/>
                  <w:noWrap/>
                  <w:vAlign w:val="center"/>
                  <w:hideMark/>
                </w:tcPr>
                <w:p w14:paraId="4494C9EE" w14:textId="77777777" w:rsidR="00810698" w:rsidRPr="00CA7860" w:rsidRDefault="00810698" w:rsidP="00810698">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8,6</w:t>
                  </w:r>
                </w:p>
              </w:tc>
              <w:tc>
                <w:tcPr>
                  <w:tcW w:w="2219" w:type="dxa"/>
                  <w:noWrap/>
                  <w:vAlign w:val="center"/>
                  <w:hideMark/>
                </w:tcPr>
                <w:p w14:paraId="1B1388A1" w14:textId="77777777" w:rsidR="00810698" w:rsidRPr="00CA7860" w:rsidRDefault="00810698" w:rsidP="00810698">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rPr>
                    <w:t>88,3</w:t>
                  </w:r>
                </w:p>
              </w:tc>
            </w:tr>
            <w:tr w:rsidR="00810698" w:rsidRPr="00CA7860" w14:paraId="0D903F61" w14:textId="77777777" w:rsidTr="00342E82">
              <w:trPr>
                <w:trHeight w:val="298"/>
              </w:trPr>
              <w:tc>
                <w:tcPr>
                  <w:tcW w:w="2316" w:type="dxa"/>
                  <w:noWrap/>
                  <w:vAlign w:val="center"/>
                  <w:hideMark/>
                </w:tcPr>
                <w:p w14:paraId="15827A51" w14:textId="77777777" w:rsidR="00810698" w:rsidRPr="00CA7860" w:rsidRDefault="00810698" w:rsidP="00810698">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 xml:space="preserve">20 001 – </w:t>
                  </w:r>
                  <w:r w:rsidRPr="00CA7860">
                    <w:rPr>
                      <w:rFonts w:ascii="Arial Narrow" w:hAnsi="Arial Narrow"/>
                      <w:color w:val="000000"/>
                      <w:sz w:val="18"/>
                      <w:szCs w:val="18"/>
                      <w:lang w:eastAsia="en-US"/>
                    </w:rPr>
                    <w:t>50 000</w:t>
                  </w:r>
                </w:p>
              </w:tc>
              <w:tc>
                <w:tcPr>
                  <w:tcW w:w="1262" w:type="dxa"/>
                  <w:noWrap/>
                  <w:vAlign w:val="center"/>
                  <w:hideMark/>
                </w:tcPr>
                <w:p w14:paraId="499B4047" w14:textId="77777777" w:rsidR="00810698" w:rsidRPr="00CA7860" w:rsidRDefault="00810698" w:rsidP="00810698">
                  <w:pPr>
                    <w:spacing w:after="0" w:line="240" w:lineRule="auto"/>
                    <w:jc w:val="center"/>
                    <w:rPr>
                      <w:rFonts w:ascii="Arial Narrow" w:hAnsi="Arial Narrow"/>
                      <w:color w:val="000000"/>
                      <w:sz w:val="18"/>
                      <w:szCs w:val="18"/>
                      <w:lang w:eastAsia="en-US"/>
                    </w:rPr>
                  </w:pPr>
                  <w:r w:rsidRPr="00CA7860">
                    <w:rPr>
                      <w:rFonts w:ascii="Arial Narrow" w:hAnsi="Arial Narrow"/>
                      <w:color w:val="000000"/>
                      <w:sz w:val="18"/>
                      <w:szCs w:val="18"/>
                      <w:lang w:eastAsia="en-US"/>
                    </w:rPr>
                    <w:t>43</w:t>
                  </w:r>
                </w:p>
              </w:tc>
              <w:tc>
                <w:tcPr>
                  <w:tcW w:w="2551" w:type="dxa"/>
                  <w:noWrap/>
                  <w:vAlign w:val="center"/>
                  <w:hideMark/>
                </w:tcPr>
                <w:p w14:paraId="63FDCF3D" w14:textId="77777777" w:rsidR="00810698" w:rsidRPr="00CA7860" w:rsidRDefault="00810698" w:rsidP="00810698">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15,5</w:t>
                  </w:r>
                </w:p>
              </w:tc>
              <w:tc>
                <w:tcPr>
                  <w:tcW w:w="2219" w:type="dxa"/>
                  <w:noWrap/>
                  <w:vAlign w:val="center"/>
                  <w:hideMark/>
                </w:tcPr>
                <w:p w14:paraId="1B044322" w14:textId="77777777" w:rsidR="00810698" w:rsidRPr="00CA7860" w:rsidRDefault="00810698" w:rsidP="00810698">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rPr>
                    <w:t>89,2</w:t>
                  </w:r>
                </w:p>
              </w:tc>
            </w:tr>
            <w:tr w:rsidR="00810698" w:rsidRPr="00CA7860" w14:paraId="62364A67" w14:textId="77777777" w:rsidTr="00342E82">
              <w:trPr>
                <w:trHeight w:val="298"/>
              </w:trPr>
              <w:tc>
                <w:tcPr>
                  <w:tcW w:w="2316" w:type="dxa"/>
                  <w:noWrap/>
                  <w:vAlign w:val="center"/>
                  <w:hideMark/>
                </w:tcPr>
                <w:p w14:paraId="71DC1F69" w14:textId="77777777" w:rsidR="00810698" w:rsidRPr="00CA7860" w:rsidRDefault="00810698" w:rsidP="00810698">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 xml:space="preserve">50 001 – </w:t>
                  </w:r>
                  <w:r w:rsidRPr="00CA7860">
                    <w:rPr>
                      <w:rFonts w:ascii="Arial Narrow" w:hAnsi="Arial Narrow"/>
                      <w:color w:val="000000"/>
                      <w:sz w:val="18"/>
                      <w:szCs w:val="18"/>
                      <w:lang w:eastAsia="en-US"/>
                    </w:rPr>
                    <w:t>100 000</w:t>
                  </w:r>
                </w:p>
              </w:tc>
              <w:tc>
                <w:tcPr>
                  <w:tcW w:w="1262" w:type="dxa"/>
                  <w:noWrap/>
                  <w:vAlign w:val="center"/>
                  <w:hideMark/>
                </w:tcPr>
                <w:p w14:paraId="24AE01AC" w14:textId="77777777" w:rsidR="00810698" w:rsidRPr="00CA7860" w:rsidRDefault="00810698" w:rsidP="00810698">
                  <w:pPr>
                    <w:spacing w:after="0" w:line="240" w:lineRule="auto"/>
                    <w:jc w:val="center"/>
                    <w:rPr>
                      <w:rFonts w:ascii="Arial Narrow" w:hAnsi="Arial Narrow"/>
                      <w:color w:val="000000"/>
                      <w:sz w:val="18"/>
                      <w:szCs w:val="18"/>
                      <w:lang w:eastAsia="en-US"/>
                    </w:rPr>
                  </w:pPr>
                  <w:r w:rsidRPr="00CA7860">
                    <w:rPr>
                      <w:rFonts w:ascii="Arial Narrow" w:hAnsi="Arial Narrow"/>
                      <w:color w:val="000000"/>
                      <w:sz w:val="18"/>
                      <w:szCs w:val="18"/>
                      <w:lang w:eastAsia="en-US"/>
                    </w:rPr>
                    <w:t>9</w:t>
                  </w:r>
                </w:p>
              </w:tc>
              <w:tc>
                <w:tcPr>
                  <w:tcW w:w="2551" w:type="dxa"/>
                  <w:noWrap/>
                  <w:vAlign w:val="center"/>
                  <w:hideMark/>
                </w:tcPr>
                <w:p w14:paraId="4282E725" w14:textId="77777777" w:rsidR="00810698" w:rsidRPr="00CA7860" w:rsidRDefault="00810698" w:rsidP="00810698">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10,3</w:t>
                  </w:r>
                </w:p>
              </w:tc>
              <w:tc>
                <w:tcPr>
                  <w:tcW w:w="2219" w:type="dxa"/>
                  <w:noWrap/>
                  <w:vAlign w:val="center"/>
                  <w:hideMark/>
                </w:tcPr>
                <w:p w14:paraId="32EA511B" w14:textId="77777777" w:rsidR="00810698" w:rsidRPr="00CA7860" w:rsidRDefault="00810698" w:rsidP="00810698">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rPr>
                    <w:t>87,7</w:t>
                  </w:r>
                </w:p>
              </w:tc>
            </w:tr>
            <w:tr w:rsidR="00810698" w:rsidRPr="00CA7860" w14:paraId="653BA0F9" w14:textId="77777777" w:rsidTr="00342E82">
              <w:trPr>
                <w:trHeight w:val="313"/>
              </w:trPr>
              <w:tc>
                <w:tcPr>
                  <w:tcW w:w="2316" w:type="dxa"/>
                  <w:tcBorders>
                    <w:top w:val="nil"/>
                    <w:left w:val="nil"/>
                    <w:bottom w:val="single" w:sz="4" w:space="0" w:color="auto"/>
                    <w:right w:val="nil"/>
                  </w:tcBorders>
                  <w:noWrap/>
                  <w:vAlign w:val="center"/>
                  <w:hideMark/>
                </w:tcPr>
                <w:p w14:paraId="57D14A34" w14:textId="77777777" w:rsidR="00810698" w:rsidRPr="00CA7860" w:rsidRDefault="00810698" w:rsidP="00810698">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nad 10</w:t>
                  </w:r>
                  <w:r w:rsidRPr="00CA7860">
                    <w:rPr>
                      <w:rFonts w:ascii="Arial Narrow" w:hAnsi="Arial Narrow"/>
                      <w:color w:val="000000"/>
                      <w:sz w:val="18"/>
                      <w:szCs w:val="18"/>
                      <w:lang w:eastAsia="en-US"/>
                    </w:rPr>
                    <w:t>0</w:t>
                  </w:r>
                  <w:r>
                    <w:rPr>
                      <w:rFonts w:ascii="Arial Narrow" w:hAnsi="Arial Narrow"/>
                      <w:color w:val="000000"/>
                      <w:sz w:val="18"/>
                      <w:szCs w:val="18"/>
                      <w:lang w:eastAsia="en-US"/>
                    </w:rPr>
                    <w:t xml:space="preserve"> </w:t>
                  </w:r>
                  <w:r w:rsidRPr="00CA7860">
                    <w:rPr>
                      <w:rFonts w:ascii="Arial Narrow" w:hAnsi="Arial Narrow"/>
                      <w:color w:val="000000"/>
                      <w:sz w:val="18"/>
                      <w:szCs w:val="18"/>
                      <w:lang w:eastAsia="en-US"/>
                    </w:rPr>
                    <w:t>001</w:t>
                  </w:r>
                </w:p>
              </w:tc>
              <w:tc>
                <w:tcPr>
                  <w:tcW w:w="1262" w:type="dxa"/>
                  <w:tcBorders>
                    <w:top w:val="nil"/>
                    <w:left w:val="nil"/>
                    <w:bottom w:val="single" w:sz="4" w:space="0" w:color="auto"/>
                    <w:right w:val="nil"/>
                  </w:tcBorders>
                  <w:noWrap/>
                  <w:vAlign w:val="center"/>
                  <w:hideMark/>
                </w:tcPr>
                <w:p w14:paraId="13187F3D" w14:textId="77777777" w:rsidR="00810698" w:rsidRPr="00CA7860" w:rsidRDefault="00810698" w:rsidP="00810698">
                  <w:pPr>
                    <w:spacing w:after="0" w:line="240" w:lineRule="auto"/>
                    <w:jc w:val="center"/>
                    <w:rPr>
                      <w:rFonts w:ascii="Arial Narrow" w:hAnsi="Arial Narrow"/>
                      <w:color w:val="000000"/>
                      <w:sz w:val="18"/>
                      <w:szCs w:val="18"/>
                      <w:lang w:eastAsia="en-US"/>
                    </w:rPr>
                  </w:pPr>
                  <w:r w:rsidRPr="00CA7860">
                    <w:rPr>
                      <w:rFonts w:ascii="Arial Narrow" w:hAnsi="Arial Narrow"/>
                      <w:color w:val="000000"/>
                      <w:sz w:val="18"/>
                      <w:szCs w:val="18"/>
                      <w:lang w:eastAsia="en-US"/>
                    </w:rPr>
                    <w:t>2</w:t>
                  </w:r>
                </w:p>
              </w:tc>
              <w:tc>
                <w:tcPr>
                  <w:tcW w:w="2551" w:type="dxa"/>
                  <w:tcBorders>
                    <w:top w:val="nil"/>
                    <w:left w:val="nil"/>
                    <w:bottom w:val="single" w:sz="4" w:space="0" w:color="auto"/>
                    <w:right w:val="nil"/>
                  </w:tcBorders>
                  <w:noWrap/>
                  <w:vAlign w:val="center"/>
                  <w:hideMark/>
                </w:tcPr>
                <w:p w14:paraId="2DD6128A" w14:textId="77777777" w:rsidR="00810698" w:rsidRPr="00CA7860" w:rsidRDefault="00810698" w:rsidP="00810698">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lang w:eastAsia="en-US"/>
                    </w:rPr>
                    <w:t>12,1</w:t>
                  </w:r>
                </w:p>
              </w:tc>
              <w:tc>
                <w:tcPr>
                  <w:tcW w:w="2219" w:type="dxa"/>
                  <w:tcBorders>
                    <w:top w:val="nil"/>
                    <w:left w:val="nil"/>
                    <w:bottom w:val="single" w:sz="4" w:space="0" w:color="auto"/>
                    <w:right w:val="nil"/>
                  </w:tcBorders>
                  <w:noWrap/>
                  <w:vAlign w:val="center"/>
                  <w:hideMark/>
                </w:tcPr>
                <w:p w14:paraId="089207A3" w14:textId="77777777" w:rsidR="00810698" w:rsidRPr="00CA7860" w:rsidRDefault="00810698" w:rsidP="00810698">
                  <w:pPr>
                    <w:spacing w:after="0" w:line="240" w:lineRule="auto"/>
                    <w:jc w:val="center"/>
                    <w:rPr>
                      <w:rFonts w:ascii="Arial Narrow" w:hAnsi="Arial Narrow"/>
                      <w:color w:val="000000"/>
                      <w:sz w:val="18"/>
                      <w:szCs w:val="18"/>
                      <w:lang w:eastAsia="en-US"/>
                    </w:rPr>
                  </w:pPr>
                  <w:r>
                    <w:rPr>
                      <w:rFonts w:ascii="Arial Narrow" w:hAnsi="Arial Narrow"/>
                      <w:color w:val="000000"/>
                      <w:sz w:val="18"/>
                      <w:szCs w:val="18"/>
                    </w:rPr>
                    <w:t>81,8</w:t>
                  </w:r>
                </w:p>
              </w:tc>
            </w:tr>
            <w:tr w:rsidR="007D2366" w:rsidRPr="00CA7860" w14:paraId="19DE8440" w14:textId="77777777" w:rsidTr="00342E82">
              <w:trPr>
                <w:trHeight w:val="313"/>
              </w:trPr>
              <w:tc>
                <w:tcPr>
                  <w:tcW w:w="2316" w:type="dxa"/>
                  <w:tcBorders>
                    <w:top w:val="single" w:sz="4" w:space="0" w:color="auto"/>
                    <w:left w:val="nil"/>
                    <w:bottom w:val="single" w:sz="4" w:space="0" w:color="auto"/>
                    <w:right w:val="nil"/>
                  </w:tcBorders>
                  <w:noWrap/>
                  <w:vAlign w:val="center"/>
                  <w:hideMark/>
                </w:tcPr>
                <w:p w14:paraId="3B9B6978" w14:textId="77777777" w:rsidR="007D2366" w:rsidRPr="00CA7860" w:rsidRDefault="007D2366" w:rsidP="00342E82">
                  <w:pPr>
                    <w:spacing w:after="0" w:line="240" w:lineRule="auto"/>
                    <w:jc w:val="center"/>
                    <w:rPr>
                      <w:rFonts w:ascii="Arial Narrow" w:hAnsi="Arial Narrow"/>
                      <w:b/>
                      <w:bCs/>
                      <w:color w:val="000000"/>
                      <w:sz w:val="18"/>
                      <w:szCs w:val="18"/>
                      <w:lang w:eastAsia="en-US"/>
                    </w:rPr>
                  </w:pPr>
                  <w:r w:rsidRPr="00CA7860">
                    <w:rPr>
                      <w:rFonts w:ascii="Arial Narrow" w:hAnsi="Arial Narrow"/>
                      <w:b/>
                      <w:bCs/>
                      <w:color w:val="000000"/>
                      <w:sz w:val="18"/>
                      <w:szCs w:val="18"/>
                      <w:lang w:eastAsia="en-US"/>
                    </w:rPr>
                    <w:t>Slovensko</w:t>
                  </w:r>
                </w:p>
              </w:tc>
              <w:tc>
                <w:tcPr>
                  <w:tcW w:w="1262" w:type="dxa"/>
                  <w:tcBorders>
                    <w:top w:val="single" w:sz="4" w:space="0" w:color="auto"/>
                    <w:left w:val="nil"/>
                    <w:bottom w:val="single" w:sz="4" w:space="0" w:color="auto"/>
                    <w:right w:val="nil"/>
                  </w:tcBorders>
                  <w:noWrap/>
                  <w:vAlign w:val="center"/>
                  <w:hideMark/>
                </w:tcPr>
                <w:p w14:paraId="5429E17B" w14:textId="77777777" w:rsidR="007D2366" w:rsidRPr="00CA7860" w:rsidRDefault="007D2366" w:rsidP="00342E82">
                  <w:pPr>
                    <w:spacing w:after="0" w:line="240" w:lineRule="auto"/>
                    <w:jc w:val="center"/>
                    <w:rPr>
                      <w:rFonts w:ascii="Arial Narrow" w:hAnsi="Arial Narrow"/>
                      <w:b/>
                      <w:bCs/>
                      <w:color w:val="000000"/>
                      <w:sz w:val="18"/>
                      <w:szCs w:val="18"/>
                      <w:lang w:eastAsia="en-US"/>
                    </w:rPr>
                  </w:pPr>
                  <w:r w:rsidRPr="00CA7860">
                    <w:rPr>
                      <w:rFonts w:ascii="Arial Narrow" w:hAnsi="Arial Narrow"/>
                      <w:b/>
                      <w:bCs/>
                      <w:color w:val="000000"/>
                      <w:sz w:val="18"/>
                      <w:szCs w:val="18"/>
                      <w:lang w:eastAsia="en-US"/>
                    </w:rPr>
                    <w:t>2 927</w:t>
                  </w:r>
                </w:p>
              </w:tc>
              <w:tc>
                <w:tcPr>
                  <w:tcW w:w="2551" w:type="dxa"/>
                  <w:tcBorders>
                    <w:top w:val="single" w:sz="4" w:space="0" w:color="auto"/>
                    <w:left w:val="nil"/>
                    <w:bottom w:val="single" w:sz="4" w:space="0" w:color="auto"/>
                    <w:right w:val="nil"/>
                  </w:tcBorders>
                  <w:noWrap/>
                  <w:vAlign w:val="center"/>
                  <w:hideMark/>
                </w:tcPr>
                <w:p w14:paraId="65BC110F" w14:textId="77777777" w:rsidR="007D2366" w:rsidRPr="00CA7860" w:rsidRDefault="007D2366" w:rsidP="00342E82">
                  <w:pPr>
                    <w:spacing w:after="0" w:line="240" w:lineRule="auto"/>
                    <w:jc w:val="center"/>
                    <w:rPr>
                      <w:rFonts w:ascii="Arial Narrow" w:hAnsi="Arial Narrow"/>
                      <w:b/>
                      <w:bCs/>
                      <w:color w:val="000000"/>
                      <w:sz w:val="18"/>
                      <w:szCs w:val="18"/>
                      <w:lang w:eastAsia="en-US"/>
                    </w:rPr>
                  </w:pPr>
                  <w:r>
                    <w:rPr>
                      <w:rFonts w:ascii="Arial Narrow" w:hAnsi="Arial Narrow"/>
                      <w:b/>
                      <w:bCs/>
                      <w:color w:val="000000"/>
                      <w:sz w:val="18"/>
                      <w:szCs w:val="18"/>
                      <w:lang w:eastAsia="en-US"/>
                    </w:rPr>
                    <w:t>100</w:t>
                  </w:r>
                </w:p>
              </w:tc>
              <w:tc>
                <w:tcPr>
                  <w:tcW w:w="2219" w:type="dxa"/>
                  <w:tcBorders>
                    <w:top w:val="single" w:sz="4" w:space="0" w:color="auto"/>
                    <w:left w:val="nil"/>
                    <w:bottom w:val="single" w:sz="4" w:space="0" w:color="auto"/>
                    <w:right w:val="nil"/>
                  </w:tcBorders>
                  <w:noWrap/>
                  <w:vAlign w:val="center"/>
                  <w:hideMark/>
                </w:tcPr>
                <w:p w14:paraId="7AE7636F" w14:textId="77777777" w:rsidR="007D2366" w:rsidRPr="00CA7860" w:rsidRDefault="007D2366" w:rsidP="00342E82">
                  <w:pPr>
                    <w:spacing w:after="0" w:line="240" w:lineRule="auto"/>
                    <w:jc w:val="center"/>
                    <w:rPr>
                      <w:rFonts w:ascii="Arial Narrow" w:hAnsi="Arial Narrow"/>
                      <w:b/>
                      <w:bCs/>
                      <w:color w:val="000000"/>
                      <w:sz w:val="18"/>
                      <w:szCs w:val="18"/>
                      <w:lang w:eastAsia="en-US"/>
                    </w:rPr>
                  </w:pPr>
                  <w:r>
                    <w:rPr>
                      <w:rFonts w:ascii="Arial Narrow" w:hAnsi="Arial Narrow"/>
                      <w:b/>
                      <w:bCs/>
                      <w:color w:val="000000"/>
                      <w:sz w:val="18"/>
                      <w:szCs w:val="18"/>
                      <w:lang w:eastAsia="en-US"/>
                    </w:rPr>
                    <w:t>82</w:t>
                  </w:r>
                  <w:r w:rsidR="00810698">
                    <w:rPr>
                      <w:rFonts w:ascii="Arial Narrow" w:hAnsi="Arial Narrow"/>
                      <w:b/>
                      <w:bCs/>
                      <w:color w:val="000000"/>
                      <w:sz w:val="18"/>
                      <w:szCs w:val="18"/>
                      <w:lang w:eastAsia="en-US"/>
                    </w:rPr>
                    <w:t>,4</w:t>
                  </w:r>
                </w:p>
              </w:tc>
            </w:tr>
          </w:tbl>
          <w:p w14:paraId="08844686" w14:textId="795DD3E4" w:rsidR="007D2366" w:rsidRPr="00917341" w:rsidRDefault="007D2366" w:rsidP="00754872">
            <w:pPr>
              <w:spacing w:line="240" w:lineRule="auto"/>
              <w:rPr>
                <w:rFonts w:ascii="Arial Narrow" w:hAnsi="Arial Narrow"/>
                <w:b/>
                <w:sz w:val="18"/>
                <w:szCs w:val="18"/>
              </w:rPr>
            </w:pPr>
            <w:r w:rsidRPr="003D3F3A">
              <w:rPr>
                <w:rFonts w:ascii="Arial Narrow" w:hAnsi="Arial Narrow"/>
                <w:i/>
                <w:sz w:val="16"/>
                <w:szCs w:val="18"/>
              </w:rPr>
              <w:t>Poznámka: Efektívnosť predstavuje podiel výdavkov samospráv na účely mimo Triedy funkčnej klasifikácie COFOG – 01.1.1 Výkonné a zákonodarné orgány.</w:t>
            </w:r>
          </w:p>
        </w:tc>
      </w:tr>
    </w:tbl>
    <w:p w14:paraId="14125A53" w14:textId="77777777" w:rsidR="007D2366" w:rsidRDefault="007D2366" w:rsidP="007D2366">
      <w:pPr>
        <w:spacing w:after="0" w:line="240" w:lineRule="auto"/>
        <w:jc w:val="both"/>
        <w:rPr>
          <w:rFonts w:ascii="Arial Narrow" w:hAnsi="Arial Narrow"/>
        </w:rPr>
      </w:pPr>
    </w:p>
    <w:p w14:paraId="1F1FD8ED" w14:textId="77777777" w:rsidR="007D2366" w:rsidRPr="008004D0" w:rsidRDefault="007D2366" w:rsidP="007D2366">
      <w:pPr>
        <w:pStyle w:val="Nadpis2"/>
        <w:numPr>
          <w:ilvl w:val="2"/>
          <w:numId w:val="1"/>
        </w:numPr>
        <w:spacing w:after="240" w:line="240" w:lineRule="auto"/>
        <w:ind w:left="720"/>
        <w:jc w:val="both"/>
        <w:rPr>
          <w:rFonts w:ascii="Arial Narrow" w:hAnsi="Arial Narrow"/>
          <w:color w:val="2C9ADC"/>
          <w:sz w:val="28"/>
          <w:szCs w:val="28"/>
        </w:rPr>
      </w:pPr>
      <w:bookmarkStart w:id="85" w:name="_Toc480749814"/>
      <w:bookmarkStart w:id="86" w:name="_Toc508039587"/>
      <w:r w:rsidRPr="008004D0">
        <w:rPr>
          <w:rFonts w:ascii="Arial Narrow" w:hAnsi="Arial Narrow"/>
          <w:color w:val="2C9ADC"/>
          <w:sz w:val="28"/>
          <w:szCs w:val="28"/>
        </w:rPr>
        <w:t>Modernizácia verejnej správy</w:t>
      </w:r>
      <w:bookmarkEnd w:id="85"/>
      <w:bookmarkEnd w:id="86"/>
    </w:p>
    <w:p w14:paraId="3FAF63A5" w14:textId="77777777" w:rsidR="00F4423C" w:rsidRDefault="00F4423C" w:rsidP="004F5F92">
      <w:pPr>
        <w:spacing w:after="0" w:line="240" w:lineRule="auto"/>
        <w:jc w:val="both"/>
        <w:rPr>
          <w:rFonts w:ascii="Arial Narrow" w:hAnsi="Arial Narrow"/>
          <w:b/>
          <w:i/>
        </w:rPr>
      </w:pPr>
      <w:r w:rsidRPr="00F4423C">
        <w:rPr>
          <w:rFonts w:ascii="Arial Narrow" w:hAnsi="Arial Narrow"/>
          <w:b/>
          <w:i/>
        </w:rPr>
        <w:t>Budovanie kapacít a zlepšenie efektivity verejnej správy</w:t>
      </w:r>
    </w:p>
    <w:p w14:paraId="42C45879" w14:textId="058B88F9" w:rsidR="004F5F92" w:rsidRDefault="004F5F92" w:rsidP="004F5F92">
      <w:pPr>
        <w:spacing w:after="0" w:line="240" w:lineRule="auto"/>
        <w:jc w:val="both"/>
        <w:rPr>
          <w:rFonts w:ascii="Arial Narrow" w:hAnsi="Arial Narrow"/>
        </w:rPr>
      </w:pPr>
      <w:r>
        <w:rPr>
          <w:rFonts w:ascii="Arial Narrow" w:hAnsi="Arial Narrow"/>
        </w:rPr>
        <w:t xml:space="preserve">Praktické </w:t>
      </w:r>
      <w:r w:rsidRPr="00F4423C">
        <w:rPr>
          <w:rFonts w:ascii="Arial Narrow" w:hAnsi="Arial Narrow"/>
        </w:rPr>
        <w:t>fungovanie analytických jednotiek</w:t>
      </w:r>
      <w:r>
        <w:rPr>
          <w:rFonts w:ascii="Arial Narrow" w:hAnsi="Arial Narrow"/>
        </w:rPr>
        <w:t>, vrátane dr</w:t>
      </w:r>
      <w:r w:rsidR="00182A77">
        <w:rPr>
          <w:rFonts w:ascii="Arial Narrow" w:hAnsi="Arial Narrow"/>
        </w:rPr>
        <w:t xml:space="preserve">uhu úloh, kvality a verejnosti </w:t>
      </w:r>
      <w:r>
        <w:rPr>
          <w:rFonts w:ascii="Arial Narrow" w:hAnsi="Arial Narrow"/>
        </w:rPr>
        <w:t xml:space="preserve">ich výstupov je nateraz rôznorodé. Zlepšenie prinesie </w:t>
      </w:r>
      <w:r w:rsidRPr="004F5F92">
        <w:rPr>
          <w:rFonts w:ascii="Arial Narrow" w:hAnsi="Arial Narrow"/>
          <w:b/>
        </w:rPr>
        <w:t>záväzná metodika fungovania analytických jednotiek</w:t>
      </w:r>
      <w:r>
        <w:rPr>
          <w:rFonts w:ascii="Arial Narrow" w:hAnsi="Arial Narrow"/>
        </w:rPr>
        <w:t xml:space="preserve"> kladúca dôraz na kvalitu výberu analytikov a mechanizmu zabezpečenia kvality významných výstupov (napr. </w:t>
      </w:r>
      <w:proofErr w:type="spellStart"/>
      <w:r>
        <w:rPr>
          <w:rFonts w:ascii="Arial Narrow" w:hAnsi="Arial Narrow"/>
        </w:rPr>
        <w:t>peer-review</w:t>
      </w:r>
      <w:proofErr w:type="spellEnd"/>
      <w:r>
        <w:rPr>
          <w:rFonts w:ascii="Arial Narrow" w:hAnsi="Arial Narrow"/>
        </w:rPr>
        <w:t xml:space="preserve">). </w:t>
      </w:r>
      <w:r w:rsidRPr="00CB2112">
        <w:rPr>
          <w:rFonts w:ascii="Arial Narrow" w:hAnsi="Arial Narrow"/>
        </w:rPr>
        <w:t>Pokračuje prehlbovanie kvalifikácie analytických útvarov prostredníctvom vzdelávacieho projektu, ktorý umožňuje ich zamestnancom absolvovať zahraničné odborné kurzy a stáže.</w:t>
      </w:r>
    </w:p>
    <w:p w14:paraId="0182F8AC" w14:textId="77777777" w:rsidR="00E62390" w:rsidRPr="00C61B85" w:rsidRDefault="00E62390" w:rsidP="004F5F92">
      <w:pPr>
        <w:spacing w:after="0" w:line="240" w:lineRule="auto"/>
        <w:jc w:val="both"/>
        <w:rPr>
          <w:rFonts w:ascii="Arial Narrow" w:hAnsi="Arial Narrow"/>
        </w:rPr>
      </w:pPr>
    </w:p>
    <w:p w14:paraId="188A8261" w14:textId="77777777" w:rsidR="00E62390" w:rsidRDefault="00E62390" w:rsidP="00E62390">
      <w:pPr>
        <w:spacing w:after="0" w:line="240" w:lineRule="auto"/>
        <w:jc w:val="both"/>
        <w:rPr>
          <w:rFonts w:ascii="Arial Narrow" w:hAnsi="Arial Narrow"/>
        </w:rPr>
      </w:pPr>
      <w:r>
        <w:rPr>
          <w:rFonts w:ascii="Arial Narrow" w:hAnsi="Arial Narrow"/>
        </w:rPr>
        <w:t xml:space="preserve">V roku 2018 sa predpokladá </w:t>
      </w:r>
      <w:r w:rsidRPr="004F5F92">
        <w:rPr>
          <w:rFonts w:ascii="Arial Narrow" w:hAnsi="Arial Narrow"/>
          <w:b/>
        </w:rPr>
        <w:t>vznik analytick</w:t>
      </w:r>
      <w:r w:rsidR="0045743C">
        <w:rPr>
          <w:rFonts w:ascii="Arial Narrow" w:hAnsi="Arial Narrow"/>
          <w:b/>
        </w:rPr>
        <w:t>ých</w:t>
      </w:r>
      <w:r w:rsidRPr="004F5F92">
        <w:rPr>
          <w:rFonts w:ascii="Arial Narrow" w:hAnsi="Arial Narrow"/>
          <w:b/>
        </w:rPr>
        <w:t xml:space="preserve"> jednot</w:t>
      </w:r>
      <w:r w:rsidR="0045743C">
        <w:rPr>
          <w:rFonts w:ascii="Arial Narrow" w:hAnsi="Arial Narrow"/>
          <w:b/>
        </w:rPr>
        <w:t>iek</w:t>
      </w:r>
      <w:r>
        <w:rPr>
          <w:rFonts w:ascii="Arial Narrow" w:hAnsi="Arial Narrow"/>
        </w:rPr>
        <w:t xml:space="preserve"> v rezort</w:t>
      </w:r>
      <w:r w:rsidR="00EC15E5">
        <w:rPr>
          <w:rFonts w:ascii="Arial Narrow" w:hAnsi="Arial Narrow"/>
        </w:rPr>
        <w:t>och</w:t>
      </w:r>
      <w:r>
        <w:rPr>
          <w:rFonts w:ascii="Arial Narrow" w:hAnsi="Arial Narrow"/>
        </w:rPr>
        <w:t xml:space="preserve"> obrany</w:t>
      </w:r>
      <w:r w:rsidR="00FF617B">
        <w:rPr>
          <w:rFonts w:ascii="Arial Narrow" w:hAnsi="Arial Narrow"/>
        </w:rPr>
        <w:t xml:space="preserve">, </w:t>
      </w:r>
      <w:r w:rsidR="0045743C">
        <w:rPr>
          <w:rFonts w:ascii="Arial Narrow" w:hAnsi="Arial Narrow"/>
        </w:rPr>
        <w:t>ako aj </w:t>
      </w:r>
      <w:r w:rsidR="00EC15E5">
        <w:rPr>
          <w:rFonts w:ascii="Arial Narrow" w:hAnsi="Arial Narrow"/>
        </w:rPr>
        <w:t xml:space="preserve">v rezorte </w:t>
      </w:r>
      <w:r>
        <w:rPr>
          <w:rFonts w:ascii="Arial Narrow" w:hAnsi="Arial Narrow"/>
        </w:rPr>
        <w:t>zahraničných vecí</w:t>
      </w:r>
      <w:r w:rsidR="0045743C">
        <w:rPr>
          <w:rFonts w:ascii="Arial Narrow" w:hAnsi="Arial Narrow"/>
        </w:rPr>
        <w:t xml:space="preserve"> a európskych záležitostí</w:t>
      </w:r>
      <w:r>
        <w:rPr>
          <w:rFonts w:ascii="Arial Narrow" w:hAnsi="Arial Narrow"/>
        </w:rPr>
        <w:t>.</w:t>
      </w:r>
      <w:r w:rsidR="00EC15E5">
        <w:rPr>
          <w:rFonts w:ascii="Arial Narrow" w:hAnsi="Arial Narrow"/>
        </w:rPr>
        <w:t xml:space="preserve"> </w:t>
      </w:r>
      <w:r w:rsidRPr="004F5F92">
        <w:rPr>
          <w:rFonts w:ascii="Arial Narrow" w:hAnsi="Arial Narrow"/>
          <w:b/>
        </w:rPr>
        <w:t>Analytické kapacity na posudzovania vplyvov (</w:t>
      </w:r>
      <w:r w:rsidRPr="004F5F92">
        <w:rPr>
          <w:rFonts w:ascii="Arial Narrow" w:hAnsi="Arial Narrow"/>
          <w:b/>
          <w:i/>
        </w:rPr>
        <w:t>RIA</w:t>
      </w:r>
      <w:r w:rsidRPr="004F5F92">
        <w:rPr>
          <w:rFonts w:ascii="Arial Narrow" w:hAnsi="Arial Narrow"/>
          <w:b/>
        </w:rPr>
        <w:t>)</w:t>
      </w:r>
      <w:r>
        <w:rPr>
          <w:rFonts w:ascii="Arial Narrow" w:hAnsi="Arial Narrow"/>
        </w:rPr>
        <w:t xml:space="preserve"> v roku 2017 neboli navýšené, naďalej sa plánuje obsadenie 26 nových miest.</w:t>
      </w:r>
    </w:p>
    <w:p w14:paraId="3343BA68" w14:textId="77777777" w:rsidR="00F4423C" w:rsidRDefault="00F4423C" w:rsidP="0049702D">
      <w:pPr>
        <w:spacing w:after="0" w:line="240" w:lineRule="auto"/>
        <w:jc w:val="both"/>
        <w:rPr>
          <w:rFonts w:ascii="Arial Narrow" w:hAnsi="Arial Narrow"/>
        </w:rPr>
      </w:pPr>
    </w:p>
    <w:p w14:paraId="736DDAFB" w14:textId="3B5F9D98" w:rsidR="00E4683A" w:rsidRPr="00182A77" w:rsidRDefault="0049702D" w:rsidP="003A27CE">
      <w:pPr>
        <w:spacing w:after="0" w:line="240" w:lineRule="auto"/>
        <w:jc w:val="both"/>
        <w:rPr>
          <w:rFonts w:ascii="Arial Narrow" w:hAnsi="Arial Narrow"/>
          <w:i/>
        </w:rPr>
      </w:pPr>
      <w:r w:rsidRPr="0049702D">
        <w:rPr>
          <w:rFonts w:ascii="Arial Narrow" w:hAnsi="Arial Narrow"/>
        </w:rPr>
        <w:t xml:space="preserve">Európska komisia </w:t>
      </w:r>
      <w:r w:rsidR="00B20423" w:rsidRPr="0049702D">
        <w:rPr>
          <w:rFonts w:ascii="Arial Narrow" w:hAnsi="Arial Narrow"/>
        </w:rPr>
        <w:t xml:space="preserve">zahájila </w:t>
      </w:r>
      <w:r w:rsidRPr="0049702D">
        <w:rPr>
          <w:rFonts w:ascii="Arial Narrow" w:hAnsi="Arial Narrow"/>
        </w:rPr>
        <w:t xml:space="preserve">v marci 2017 </w:t>
      </w:r>
      <w:r w:rsidRPr="00F4423C">
        <w:rPr>
          <w:rFonts w:ascii="Arial Narrow" w:hAnsi="Arial Narrow"/>
          <w:i/>
        </w:rPr>
        <w:t>Program na podpo</w:t>
      </w:r>
      <w:r w:rsidR="00182A77">
        <w:rPr>
          <w:rFonts w:ascii="Arial Narrow" w:hAnsi="Arial Narrow"/>
          <w:i/>
        </w:rPr>
        <w:t xml:space="preserve">ru štrukturálnych reforiem 2017 – </w:t>
      </w:r>
      <w:r w:rsidRPr="00F4423C">
        <w:rPr>
          <w:rFonts w:ascii="Arial Narrow" w:hAnsi="Arial Narrow"/>
          <w:i/>
        </w:rPr>
        <w:t>2020</w:t>
      </w:r>
      <w:r w:rsidR="00F4423C">
        <w:rPr>
          <w:rFonts w:ascii="Arial Narrow" w:hAnsi="Arial Narrow"/>
          <w:i/>
        </w:rPr>
        <w:t xml:space="preserve"> </w:t>
      </w:r>
      <w:r w:rsidR="00F4423C">
        <w:rPr>
          <w:rFonts w:ascii="Arial Narrow" w:hAnsi="Arial Narrow"/>
        </w:rPr>
        <w:t>(</w:t>
      </w:r>
      <w:proofErr w:type="spellStart"/>
      <w:r w:rsidR="00F4423C" w:rsidRPr="00F4423C">
        <w:rPr>
          <w:rFonts w:ascii="Arial Narrow" w:hAnsi="Arial Narrow"/>
        </w:rPr>
        <w:t>Structural</w:t>
      </w:r>
      <w:proofErr w:type="spellEnd"/>
      <w:r w:rsidR="00F4423C" w:rsidRPr="00F4423C">
        <w:rPr>
          <w:rFonts w:ascii="Arial Narrow" w:hAnsi="Arial Narrow"/>
        </w:rPr>
        <w:t xml:space="preserve"> </w:t>
      </w:r>
      <w:proofErr w:type="spellStart"/>
      <w:r w:rsidR="00F4423C" w:rsidRPr="00F4423C">
        <w:rPr>
          <w:rFonts w:ascii="Arial Narrow" w:hAnsi="Arial Narrow"/>
        </w:rPr>
        <w:t>Reform</w:t>
      </w:r>
      <w:proofErr w:type="spellEnd"/>
      <w:r w:rsidR="00F4423C" w:rsidRPr="00F4423C">
        <w:rPr>
          <w:rFonts w:ascii="Arial Narrow" w:hAnsi="Arial Narrow"/>
        </w:rPr>
        <w:t xml:space="preserve"> </w:t>
      </w:r>
      <w:proofErr w:type="spellStart"/>
      <w:r w:rsidR="00F4423C" w:rsidRPr="00F4423C">
        <w:rPr>
          <w:rFonts w:ascii="Arial Narrow" w:hAnsi="Arial Narrow"/>
        </w:rPr>
        <w:t>Support</w:t>
      </w:r>
      <w:proofErr w:type="spellEnd"/>
      <w:r w:rsidR="00F4423C" w:rsidRPr="00F4423C">
        <w:rPr>
          <w:rFonts w:ascii="Arial Narrow" w:hAnsi="Arial Narrow"/>
        </w:rPr>
        <w:t xml:space="preserve"> </w:t>
      </w:r>
      <w:proofErr w:type="spellStart"/>
      <w:r w:rsidR="00F4423C" w:rsidRPr="00F4423C">
        <w:rPr>
          <w:rFonts w:ascii="Arial Narrow" w:hAnsi="Arial Narrow"/>
        </w:rPr>
        <w:t>Programme</w:t>
      </w:r>
      <w:proofErr w:type="spellEnd"/>
      <w:r w:rsidR="00F4423C">
        <w:rPr>
          <w:rFonts w:ascii="Arial Narrow" w:hAnsi="Arial Narrow"/>
        </w:rPr>
        <w:t>)</w:t>
      </w:r>
      <w:r w:rsidR="00533004">
        <w:rPr>
          <w:rStyle w:val="Odkaznapoznmkupodiarou"/>
          <w:rFonts w:ascii="Arial Narrow" w:hAnsi="Arial Narrow"/>
        </w:rPr>
        <w:footnoteReference w:id="52"/>
      </w:r>
      <w:r w:rsidRPr="0049702D">
        <w:rPr>
          <w:rFonts w:ascii="Arial Narrow" w:hAnsi="Arial Narrow"/>
        </w:rPr>
        <w:t>.</w:t>
      </w:r>
      <w:r w:rsidR="00F4423C">
        <w:rPr>
          <w:rFonts w:ascii="Arial Narrow" w:hAnsi="Arial Narrow"/>
        </w:rPr>
        <w:t xml:space="preserve"> </w:t>
      </w:r>
      <w:r>
        <w:rPr>
          <w:rFonts w:ascii="Arial Narrow" w:hAnsi="Arial Narrow"/>
        </w:rPr>
        <w:t xml:space="preserve">Cieľom programu </w:t>
      </w:r>
      <w:r w:rsidRPr="0049702D">
        <w:rPr>
          <w:rFonts w:ascii="Arial Narrow" w:hAnsi="Arial Narrow"/>
        </w:rPr>
        <w:t>je prispieť k inštitucionálnym, administratívnym a štrukturálnym reformám v členských štátoch formou technickej asistencie.</w:t>
      </w:r>
    </w:p>
    <w:p w14:paraId="6662FE42" w14:textId="0B9DD7D3" w:rsidR="0021675E" w:rsidRPr="00E4683A" w:rsidRDefault="00E4683A">
      <w:pPr>
        <w:spacing w:after="0" w:line="240" w:lineRule="auto"/>
        <w:rPr>
          <w:rFonts w:ascii="Arial Narrow" w:hAnsi="Arial Narrow"/>
        </w:rPr>
      </w:pPr>
      <w:r>
        <w:rPr>
          <w:rFonts w:ascii="Arial Narrow" w:hAnsi="Arial Narrow"/>
        </w:rPr>
        <w:br w:type="page"/>
      </w:r>
    </w:p>
    <w:p w14:paraId="62362EF3" w14:textId="46C7A0BA" w:rsidR="00F4423C" w:rsidRPr="00F4423C" w:rsidRDefault="00F4423C" w:rsidP="0049702D">
      <w:pPr>
        <w:spacing w:after="0" w:line="240" w:lineRule="auto"/>
        <w:jc w:val="both"/>
        <w:rPr>
          <w:rFonts w:ascii="Arial Narrow" w:hAnsi="Arial Narrow"/>
          <w:b/>
          <w:color w:val="2C9ADC"/>
          <w:sz w:val="20"/>
        </w:rPr>
      </w:pPr>
      <w:r w:rsidRPr="00F4423C">
        <w:rPr>
          <w:rFonts w:ascii="Arial Narrow" w:hAnsi="Arial Narrow"/>
          <w:b/>
          <w:color w:val="2C9ADC"/>
          <w:sz w:val="20"/>
        </w:rPr>
        <w:lastRenderedPageBreak/>
        <w:t>Projekty v rámci Programu na podporu štrukturálnych reforiem 2017-2020</w:t>
      </w:r>
    </w:p>
    <w:tbl>
      <w:tblPr>
        <w:tblW w:w="8718" w:type="dxa"/>
        <w:jc w:val="center"/>
        <w:tblLook w:val="04A0" w:firstRow="1" w:lastRow="0" w:firstColumn="1" w:lastColumn="0" w:noHBand="0" w:noVBand="1"/>
      </w:tblPr>
      <w:tblGrid>
        <w:gridCol w:w="3109"/>
        <w:gridCol w:w="1220"/>
        <w:gridCol w:w="4389"/>
      </w:tblGrid>
      <w:tr w:rsidR="00F4423C" w:rsidRPr="00632906" w14:paraId="45ED1DB5" w14:textId="77777777" w:rsidTr="00564BC3">
        <w:trPr>
          <w:trHeight w:val="626"/>
          <w:jc w:val="center"/>
        </w:trPr>
        <w:tc>
          <w:tcPr>
            <w:tcW w:w="3109" w:type="dxa"/>
            <w:tcBorders>
              <w:top w:val="single" w:sz="8" w:space="0" w:color="auto"/>
              <w:left w:val="single" w:sz="8" w:space="0" w:color="auto"/>
              <w:bottom w:val="single" w:sz="8" w:space="0" w:color="auto"/>
              <w:right w:val="nil"/>
            </w:tcBorders>
            <w:shd w:val="clear" w:color="auto" w:fill="auto"/>
            <w:noWrap/>
            <w:vAlign w:val="center"/>
            <w:hideMark/>
          </w:tcPr>
          <w:p w14:paraId="6B38F30A" w14:textId="58EF7608" w:rsidR="00F4423C" w:rsidRPr="00632906" w:rsidRDefault="00F4423C" w:rsidP="00F4423C">
            <w:pPr>
              <w:spacing w:after="0" w:line="240" w:lineRule="auto"/>
              <w:rPr>
                <w:rFonts w:ascii="Arial Narrow" w:hAnsi="Arial Narrow"/>
                <w:b/>
                <w:bCs/>
                <w:color w:val="000000"/>
                <w:sz w:val="20"/>
                <w:szCs w:val="20"/>
                <w:lang w:eastAsia="en-US"/>
              </w:rPr>
            </w:pPr>
            <w:r w:rsidRPr="00632906">
              <w:rPr>
                <w:rFonts w:ascii="Arial Narrow" w:hAnsi="Arial Narrow"/>
                <w:b/>
                <w:bCs/>
                <w:color w:val="000000"/>
                <w:sz w:val="20"/>
                <w:szCs w:val="20"/>
                <w:lang w:eastAsia="en-US"/>
              </w:rPr>
              <w:t>Názov projektu</w:t>
            </w:r>
            <w:r w:rsidR="00306734">
              <w:rPr>
                <w:rFonts w:ascii="Arial Narrow" w:hAnsi="Arial Narrow"/>
                <w:b/>
                <w:bCs/>
                <w:color w:val="000000"/>
                <w:sz w:val="20"/>
                <w:szCs w:val="20"/>
                <w:lang w:eastAsia="en-US"/>
              </w:rPr>
              <w:t xml:space="preserve"> (</w:t>
            </w:r>
            <w:r w:rsidRPr="00632906">
              <w:rPr>
                <w:rFonts w:ascii="Arial Narrow" w:hAnsi="Arial Narrow"/>
                <w:b/>
                <w:bCs/>
                <w:color w:val="000000"/>
                <w:sz w:val="20"/>
                <w:szCs w:val="20"/>
                <w:lang w:eastAsia="en-US"/>
              </w:rPr>
              <w:t>rezort</w:t>
            </w:r>
            <w:r w:rsidR="00306734">
              <w:rPr>
                <w:rFonts w:ascii="Arial Narrow" w:hAnsi="Arial Narrow"/>
                <w:b/>
                <w:bCs/>
                <w:color w:val="000000"/>
                <w:sz w:val="20"/>
                <w:szCs w:val="20"/>
                <w:lang w:eastAsia="en-US"/>
              </w:rPr>
              <w:t>)</w:t>
            </w:r>
          </w:p>
        </w:tc>
        <w:tc>
          <w:tcPr>
            <w:tcW w:w="12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D0C8F0" w14:textId="77777777" w:rsidR="00F4423C" w:rsidRPr="00632906" w:rsidRDefault="00F4423C" w:rsidP="00F4423C">
            <w:pPr>
              <w:spacing w:after="0" w:line="240" w:lineRule="auto"/>
              <w:rPr>
                <w:rFonts w:ascii="Arial Narrow" w:hAnsi="Arial Narrow"/>
                <w:b/>
                <w:bCs/>
                <w:color w:val="000000"/>
                <w:sz w:val="20"/>
                <w:szCs w:val="20"/>
                <w:lang w:eastAsia="en-US"/>
              </w:rPr>
            </w:pPr>
            <w:r w:rsidRPr="00632906">
              <w:rPr>
                <w:rFonts w:ascii="Arial Narrow" w:hAnsi="Arial Narrow"/>
                <w:b/>
                <w:bCs/>
                <w:color w:val="000000"/>
                <w:sz w:val="20"/>
                <w:szCs w:val="20"/>
                <w:lang w:eastAsia="en-US"/>
              </w:rPr>
              <w:t xml:space="preserve">Indikatívny </w:t>
            </w:r>
            <w:proofErr w:type="spellStart"/>
            <w:r w:rsidRPr="00632906">
              <w:rPr>
                <w:rFonts w:ascii="Arial Narrow" w:hAnsi="Arial Narrow"/>
                <w:b/>
                <w:bCs/>
                <w:color w:val="000000"/>
                <w:sz w:val="20"/>
                <w:szCs w:val="20"/>
                <w:lang w:eastAsia="en-US"/>
              </w:rPr>
              <w:t>timeline</w:t>
            </w:r>
            <w:proofErr w:type="spellEnd"/>
          </w:p>
        </w:tc>
        <w:tc>
          <w:tcPr>
            <w:tcW w:w="4389" w:type="dxa"/>
            <w:tcBorders>
              <w:top w:val="single" w:sz="8" w:space="0" w:color="auto"/>
              <w:left w:val="nil"/>
              <w:bottom w:val="single" w:sz="8" w:space="0" w:color="auto"/>
              <w:right w:val="single" w:sz="8" w:space="0" w:color="auto"/>
            </w:tcBorders>
            <w:shd w:val="clear" w:color="auto" w:fill="auto"/>
            <w:noWrap/>
            <w:vAlign w:val="center"/>
            <w:hideMark/>
          </w:tcPr>
          <w:p w14:paraId="1EB94DDF" w14:textId="77777777" w:rsidR="00F4423C" w:rsidRPr="00632906" w:rsidRDefault="00F4423C" w:rsidP="00F4423C">
            <w:pPr>
              <w:spacing w:after="0" w:line="240" w:lineRule="auto"/>
              <w:rPr>
                <w:rFonts w:ascii="Arial Narrow" w:hAnsi="Arial Narrow"/>
                <w:b/>
                <w:bCs/>
                <w:color w:val="000000"/>
                <w:sz w:val="20"/>
                <w:szCs w:val="20"/>
                <w:lang w:eastAsia="en-US"/>
              </w:rPr>
            </w:pPr>
            <w:r w:rsidRPr="00632906">
              <w:rPr>
                <w:rFonts w:ascii="Arial Narrow" w:hAnsi="Arial Narrow"/>
                <w:b/>
                <w:bCs/>
                <w:color w:val="000000"/>
                <w:sz w:val="20"/>
                <w:szCs w:val="20"/>
                <w:lang w:eastAsia="en-US"/>
              </w:rPr>
              <w:t>Stručný opis/cieľ</w:t>
            </w:r>
          </w:p>
        </w:tc>
      </w:tr>
      <w:tr w:rsidR="00400DA9" w:rsidRPr="00632906" w14:paraId="1C21C8A1" w14:textId="77777777" w:rsidTr="00564BC3">
        <w:trPr>
          <w:trHeight w:val="963"/>
          <w:jc w:val="center"/>
        </w:trPr>
        <w:tc>
          <w:tcPr>
            <w:tcW w:w="3109" w:type="dxa"/>
            <w:tcBorders>
              <w:top w:val="nil"/>
              <w:left w:val="single" w:sz="8" w:space="0" w:color="auto"/>
              <w:bottom w:val="single" w:sz="4" w:space="0" w:color="auto"/>
              <w:right w:val="nil"/>
            </w:tcBorders>
            <w:shd w:val="clear" w:color="auto" w:fill="auto"/>
            <w:vAlign w:val="center"/>
            <w:hideMark/>
          </w:tcPr>
          <w:p w14:paraId="353F498E" w14:textId="77777777" w:rsidR="00564BC3" w:rsidRDefault="00F4423C" w:rsidP="00F4423C">
            <w:pPr>
              <w:spacing w:after="0" w:line="240" w:lineRule="auto"/>
              <w:rPr>
                <w:rFonts w:ascii="Arial Narrow" w:hAnsi="Arial Narrow"/>
                <w:b/>
                <w:bCs/>
                <w:color w:val="000000"/>
                <w:sz w:val="20"/>
                <w:szCs w:val="20"/>
                <w:lang w:eastAsia="en-US"/>
              </w:rPr>
            </w:pPr>
            <w:r w:rsidRPr="00632906">
              <w:rPr>
                <w:rFonts w:ascii="Arial Narrow" w:hAnsi="Arial Narrow"/>
                <w:b/>
                <w:bCs/>
                <w:color w:val="000000"/>
                <w:sz w:val="20"/>
                <w:szCs w:val="20"/>
                <w:lang w:eastAsia="en-US"/>
              </w:rPr>
              <w:t>Revízie výdavkov na Slovensku</w:t>
            </w:r>
            <w:r w:rsidR="00400DA9">
              <w:rPr>
                <w:rFonts w:ascii="Arial Narrow" w:hAnsi="Arial Narrow"/>
                <w:b/>
                <w:bCs/>
                <w:color w:val="000000"/>
                <w:sz w:val="20"/>
                <w:szCs w:val="20"/>
                <w:lang w:eastAsia="en-US"/>
              </w:rPr>
              <w:t xml:space="preserve"> </w:t>
            </w:r>
          </w:p>
          <w:p w14:paraId="3499945A" w14:textId="473D933B" w:rsidR="00F4423C" w:rsidRPr="00632906" w:rsidRDefault="00400DA9" w:rsidP="00F4423C">
            <w:pPr>
              <w:spacing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w:t>
            </w:r>
            <w:r w:rsidR="00564BC3">
              <w:rPr>
                <w:rFonts w:ascii="Arial Narrow" w:hAnsi="Arial Narrow"/>
                <w:b/>
                <w:bCs/>
                <w:color w:val="000000"/>
                <w:sz w:val="20"/>
                <w:szCs w:val="20"/>
                <w:lang w:eastAsia="en-US"/>
              </w:rPr>
              <w:t xml:space="preserve">MF </w:t>
            </w:r>
            <w:r w:rsidR="00F4423C" w:rsidRPr="00632906">
              <w:rPr>
                <w:rFonts w:ascii="Arial Narrow" w:hAnsi="Arial Narrow"/>
                <w:b/>
                <w:bCs/>
                <w:color w:val="000000"/>
                <w:sz w:val="20"/>
                <w:szCs w:val="20"/>
                <w:lang w:eastAsia="en-US"/>
              </w:rPr>
              <w:t>SR</w:t>
            </w:r>
            <w:r>
              <w:rPr>
                <w:rFonts w:ascii="Arial Narrow" w:hAnsi="Arial Narrow"/>
                <w:b/>
                <w:bCs/>
                <w:color w:val="000000"/>
                <w:sz w:val="20"/>
                <w:szCs w:val="20"/>
                <w:lang w:eastAsia="en-US"/>
              </w:rPr>
              <w:t>)</w:t>
            </w:r>
          </w:p>
        </w:tc>
        <w:tc>
          <w:tcPr>
            <w:tcW w:w="1220" w:type="dxa"/>
            <w:tcBorders>
              <w:top w:val="nil"/>
              <w:left w:val="single" w:sz="8" w:space="0" w:color="auto"/>
              <w:bottom w:val="single" w:sz="4" w:space="0" w:color="auto"/>
              <w:right w:val="single" w:sz="8" w:space="0" w:color="auto"/>
            </w:tcBorders>
            <w:shd w:val="clear" w:color="auto" w:fill="auto"/>
            <w:vAlign w:val="center"/>
            <w:hideMark/>
          </w:tcPr>
          <w:p w14:paraId="02DD143F" w14:textId="3C2640ED" w:rsidR="00F4423C" w:rsidRPr="00632906" w:rsidRDefault="00564BC3" w:rsidP="00F4423C">
            <w:pPr>
              <w:spacing w:after="0" w:line="240" w:lineRule="auto"/>
              <w:rPr>
                <w:rFonts w:ascii="Arial Narrow" w:hAnsi="Arial Narrow"/>
                <w:color w:val="000000"/>
                <w:sz w:val="20"/>
                <w:szCs w:val="20"/>
                <w:lang w:eastAsia="en-US"/>
              </w:rPr>
            </w:pPr>
            <w:r>
              <w:rPr>
                <w:rFonts w:ascii="Arial Narrow" w:hAnsi="Arial Narrow"/>
                <w:color w:val="000000"/>
                <w:sz w:val="20"/>
                <w:szCs w:val="20"/>
                <w:lang w:eastAsia="en-US"/>
              </w:rPr>
              <w:t xml:space="preserve">2017 – </w:t>
            </w:r>
            <w:r w:rsidR="00F4423C" w:rsidRPr="00632906">
              <w:rPr>
                <w:rFonts w:ascii="Arial Narrow" w:hAnsi="Arial Narrow"/>
                <w:color w:val="000000"/>
                <w:sz w:val="20"/>
                <w:szCs w:val="20"/>
                <w:lang w:eastAsia="en-US"/>
              </w:rPr>
              <w:t>2020</w:t>
            </w:r>
          </w:p>
        </w:tc>
        <w:tc>
          <w:tcPr>
            <w:tcW w:w="4389" w:type="dxa"/>
            <w:tcBorders>
              <w:top w:val="nil"/>
              <w:left w:val="nil"/>
              <w:bottom w:val="single" w:sz="4" w:space="0" w:color="auto"/>
              <w:right w:val="single" w:sz="8" w:space="0" w:color="auto"/>
            </w:tcBorders>
            <w:shd w:val="clear" w:color="auto" w:fill="auto"/>
            <w:vAlign w:val="center"/>
            <w:hideMark/>
          </w:tcPr>
          <w:p w14:paraId="765E564D" w14:textId="77777777" w:rsidR="00F4423C" w:rsidRPr="00632906" w:rsidRDefault="00F4423C" w:rsidP="00F4423C">
            <w:pPr>
              <w:spacing w:after="0" w:line="240" w:lineRule="auto"/>
              <w:rPr>
                <w:rFonts w:ascii="Arial Narrow" w:hAnsi="Arial Narrow"/>
                <w:color w:val="000000"/>
                <w:sz w:val="20"/>
                <w:szCs w:val="20"/>
                <w:lang w:eastAsia="en-US"/>
              </w:rPr>
            </w:pPr>
            <w:r w:rsidRPr="00632906">
              <w:rPr>
                <w:rFonts w:ascii="Arial Narrow" w:hAnsi="Arial Narrow"/>
                <w:color w:val="000000"/>
                <w:sz w:val="20"/>
                <w:szCs w:val="20"/>
                <w:lang w:eastAsia="en-US"/>
              </w:rPr>
              <w:t>Zlepšenie efektívnosti verejných výdavkov a udržateľnosti verejných financií. Podpora spolupráce s medzinárodnými inštitúciami, konkrétne strategické poradenstvo k nastaveniu slovenských revízií výdavkov, metodikám ako aj krátkym expertným misiám.</w:t>
            </w:r>
          </w:p>
        </w:tc>
      </w:tr>
      <w:tr w:rsidR="00400DA9" w:rsidRPr="00632906" w14:paraId="1FDC10E7" w14:textId="77777777" w:rsidTr="00564BC3">
        <w:trPr>
          <w:trHeight w:val="963"/>
          <w:jc w:val="center"/>
        </w:trPr>
        <w:tc>
          <w:tcPr>
            <w:tcW w:w="3109" w:type="dxa"/>
            <w:tcBorders>
              <w:top w:val="nil"/>
              <w:left w:val="single" w:sz="8" w:space="0" w:color="auto"/>
              <w:bottom w:val="single" w:sz="4" w:space="0" w:color="auto"/>
              <w:right w:val="nil"/>
            </w:tcBorders>
            <w:shd w:val="clear" w:color="auto" w:fill="auto"/>
            <w:vAlign w:val="center"/>
            <w:hideMark/>
          </w:tcPr>
          <w:p w14:paraId="571A8E3F" w14:textId="01B4F419" w:rsidR="00F4423C" w:rsidRPr="00632906" w:rsidRDefault="00F4423C" w:rsidP="00F4423C">
            <w:pPr>
              <w:spacing w:after="0" w:line="240" w:lineRule="auto"/>
              <w:rPr>
                <w:rFonts w:ascii="Arial Narrow" w:hAnsi="Arial Narrow"/>
                <w:b/>
                <w:bCs/>
                <w:color w:val="000000"/>
                <w:sz w:val="20"/>
                <w:szCs w:val="20"/>
                <w:lang w:eastAsia="en-US"/>
              </w:rPr>
            </w:pPr>
            <w:r w:rsidRPr="00632906">
              <w:rPr>
                <w:rFonts w:ascii="Arial Narrow" w:hAnsi="Arial Narrow"/>
                <w:b/>
                <w:bCs/>
                <w:color w:val="000000"/>
                <w:sz w:val="20"/>
                <w:szCs w:val="20"/>
                <w:lang w:eastAsia="en-US"/>
              </w:rPr>
              <w:t>Budovanie zásobník</w:t>
            </w:r>
            <w:r w:rsidR="0021675E">
              <w:rPr>
                <w:rFonts w:ascii="Arial Narrow" w:hAnsi="Arial Narrow"/>
                <w:b/>
                <w:bCs/>
                <w:color w:val="000000"/>
                <w:sz w:val="20"/>
                <w:szCs w:val="20"/>
                <w:lang w:eastAsia="en-US"/>
              </w:rPr>
              <w:t>a investičných projektov v SR (</w:t>
            </w:r>
            <w:r w:rsidRPr="00632906">
              <w:rPr>
                <w:rFonts w:ascii="Arial Narrow" w:hAnsi="Arial Narrow"/>
                <w:b/>
                <w:bCs/>
                <w:color w:val="000000"/>
                <w:sz w:val="20"/>
                <w:szCs w:val="20"/>
                <w:lang w:eastAsia="en-US"/>
              </w:rPr>
              <w:t>SZRB AM</w:t>
            </w:r>
            <w:r w:rsidR="0021675E">
              <w:rPr>
                <w:rFonts w:ascii="Arial Narrow" w:hAnsi="Arial Narrow"/>
                <w:b/>
                <w:bCs/>
                <w:color w:val="000000"/>
                <w:sz w:val="20"/>
                <w:szCs w:val="20"/>
                <w:lang w:eastAsia="en-US"/>
              </w:rPr>
              <w:t>)</w:t>
            </w:r>
          </w:p>
        </w:tc>
        <w:tc>
          <w:tcPr>
            <w:tcW w:w="1220" w:type="dxa"/>
            <w:tcBorders>
              <w:top w:val="nil"/>
              <w:left w:val="single" w:sz="8" w:space="0" w:color="auto"/>
              <w:bottom w:val="single" w:sz="4" w:space="0" w:color="auto"/>
              <w:right w:val="single" w:sz="8" w:space="0" w:color="auto"/>
            </w:tcBorders>
            <w:shd w:val="clear" w:color="auto" w:fill="auto"/>
            <w:vAlign w:val="center"/>
            <w:hideMark/>
          </w:tcPr>
          <w:p w14:paraId="30CFE4D9" w14:textId="7B5B17AB" w:rsidR="00F4423C" w:rsidRPr="00632906" w:rsidRDefault="00564BC3" w:rsidP="00F4423C">
            <w:pPr>
              <w:spacing w:after="0" w:line="240" w:lineRule="auto"/>
              <w:rPr>
                <w:rFonts w:ascii="Arial Narrow" w:hAnsi="Arial Narrow"/>
                <w:color w:val="000000"/>
                <w:sz w:val="20"/>
                <w:szCs w:val="20"/>
                <w:lang w:eastAsia="en-US"/>
              </w:rPr>
            </w:pPr>
            <w:r>
              <w:rPr>
                <w:rFonts w:ascii="Arial Narrow" w:hAnsi="Arial Narrow"/>
                <w:color w:val="000000"/>
                <w:sz w:val="20"/>
                <w:szCs w:val="20"/>
                <w:lang w:eastAsia="en-US"/>
              </w:rPr>
              <w:t xml:space="preserve">2017 – </w:t>
            </w:r>
            <w:r w:rsidR="00F4423C" w:rsidRPr="00632906">
              <w:rPr>
                <w:rFonts w:ascii="Arial Narrow" w:hAnsi="Arial Narrow"/>
                <w:color w:val="000000"/>
                <w:sz w:val="20"/>
                <w:szCs w:val="20"/>
                <w:lang w:eastAsia="en-US"/>
              </w:rPr>
              <w:t>2020</w:t>
            </w:r>
          </w:p>
        </w:tc>
        <w:tc>
          <w:tcPr>
            <w:tcW w:w="4389" w:type="dxa"/>
            <w:tcBorders>
              <w:top w:val="nil"/>
              <w:left w:val="nil"/>
              <w:bottom w:val="single" w:sz="4" w:space="0" w:color="auto"/>
              <w:right w:val="single" w:sz="8" w:space="0" w:color="auto"/>
            </w:tcBorders>
            <w:shd w:val="clear" w:color="auto" w:fill="auto"/>
            <w:vAlign w:val="center"/>
            <w:hideMark/>
          </w:tcPr>
          <w:p w14:paraId="328B2A21" w14:textId="77777777" w:rsidR="00F4423C" w:rsidRPr="00632906" w:rsidRDefault="00F4423C" w:rsidP="00F4423C">
            <w:pPr>
              <w:spacing w:after="0" w:line="240" w:lineRule="auto"/>
              <w:rPr>
                <w:rFonts w:ascii="Arial Narrow" w:hAnsi="Arial Narrow"/>
                <w:color w:val="000000"/>
                <w:sz w:val="20"/>
                <w:szCs w:val="20"/>
                <w:lang w:eastAsia="en-US"/>
              </w:rPr>
            </w:pPr>
            <w:r w:rsidRPr="00632906">
              <w:rPr>
                <w:rFonts w:ascii="Arial Narrow" w:hAnsi="Arial Narrow"/>
                <w:color w:val="000000"/>
                <w:sz w:val="20"/>
                <w:szCs w:val="20"/>
                <w:lang w:eastAsia="en-US"/>
              </w:rPr>
              <w:t xml:space="preserve">Zber, hodnotenie a finančné poradenstvo v oblasti investícií financovaných návratnou finančnou pomocou. Zameranie na projekty, ktoré môžu byť finančne životaschopné aj pri návratnej finančnej podpore. </w:t>
            </w:r>
          </w:p>
        </w:tc>
      </w:tr>
      <w:tr w:rsidR="00400DA9" w:rsidRPr="00632906" w14:paraId="40CE62FB" w14:textId="77777777" w:rsidTr="00564BC3">
        <w:trPr>
          <w:trHeight w:val="640"/>
          <w:jc w:val="center"/>
        </w:trPr>
        <w:tc>
          <w:tcPr>
            <w:tcW w:w="3109" w:type="dxa"/>
            <w:tcBorders>
              <w:top w:val="nil"/>
              <w:left w:val="single" w:sz="8" w:space="0" w:color="auto"/>
              <w:bottom w:val="single" w:sz="4" w:space="0" w:color="auto"/>
              <w:right w:val="nil"/>
            </w:tcBorders>
            <w:shd w:val="clear" w:color="auto" w:fill="auto"/>
            <w:vAlign w:val="center"/>
            <w:hideMark/>
          </w:tcPr>
          <w:p w14:paraId="58812A62" w14:textId="2388814C" w:rsidR="00F4423C" w:rsidRPr="00632906" w:rsidRDefault="00F4423C" w:rsidP="00F4423C">
            <w:pPr>
              <w:spacing w:after="0" w:line="240" w:lineRule="auto"/>
              <w:rPr>
                <w:rFonts w:ascii="Arial Narrow" w:hAnsi="Arial Narrow"/>
                <w:b/>
                <w:bCs/>
                <w:color w:val="000000"/>
                <w:sz w:val="20"/>
                <w:szCs w:val="20"/>
                <w:lang w:eastAsia="en-US"/>
              </w:rPr>
            </w:pPr>
            <w:r w:rsidRPr="00632906">
              <w:rPr>
                <w:rFonts w:ascii="Arial Narrow" w:hAnsi="Arial Narrow"/>
                <w:b/>
                <w:bCs/>
                <w:color w:val="000000"/>
                <w:sz w:val="20"/>
                <w:szCs w:val="20"/>
                <w:lang w:eastAsia="en-US"/>
              </w:rPr>
              <w:t>Stratégia dobrovoľné</w:t>
            </w:r>
            <w:r w:rsidR="0021675E">
              <w:rPr>
                <w:rFonts w:ascii="Arial Narrow" w:hAnsi="Arial Narrow"/>
                <w:b/>
                <w:bCs/>
                <w:color w:val="000000"/>
                <w:sz w:val="20"/>
                <w:szCs w:val="20"/>
                <w:lang w:eastAsia="en-US"/>
              </w:rPr>
              <w:t>ho plnenia daňových povinností (</w:t>
            </w:r>
            <w:r w:rsidRPr="00632906">
              <w:rPr>
                <w:rFonts w:ascii="Arial Narrow" w:hAnsi="Arial Narrow"/>
                <w:b/>
                <w:bCs/>
                <w:color w:val="000000"/>
                <w:sz w:val="20"/>
                <w:szCs w:val="20"/>
                <w:lang w:eastAsia="en-US"/>
              </w:rPr>
              <w:t>FR SR</w:t>
            </w:r>
            <w:r w:rsidR="0021675E">
              <w:rPr>
                <w:rFonts w:ascii="Arial Narrow" w:hAnsi="Arial Narrow"/>
                <w:b/>
                <w:bCs/>
                <w:color w:val="000000"/>
                <w:sz w:val="20"/>
                <w:szCs w:val="20"/>
                <w:lang w:eastAsia="en-US"/>
              </w:rPr>
              <w:t>)</w:t>
            </w:r>
          </w:p>
        </w:tc>
        <w:tc>
          <w:tcPr>
            <w:tcW w:w="1220" w:type="dxa"/>
            <w:tcBorders>
              <w:top w:val="nil"/>
              <w:left w:val="single" w:sz="8" w:space="0" w:color="auto"/>
              <w:bottom w:val="single" w:sz="4" w:space="0" w:color="auto"/>
              <w:right w:val="single" w:sz="8" w:space="0" w:color="auto"/>
            </w:tcBorders>
            <w:shd w:val="clear" w:color="auto" w:fill="auto"/>
            <w:vAlign w:val="center"/>
            <w:hideMark/>
          </w:tcPr>
          <w:p w14:paraId="6E43E1D7" w14:textId="608D4004" w:rsidR="00F4423C" w:rsidRPr="00632906" w:rsidRDefault="00564BC3" w:rsidP="00F4423C">
            <w:pPr>
              <w:spacing w:after="0" w:line="240" w:lineRule="auto"/>
              <w:rPr>
                <w:rFonts w:ascii="Arial Narrow" w:hAnsi="Arial Narrow"/>
                <w:color w:val="000000"/>
                <w:sz w:val="20"/>
                <w:szCs w:val="20"/>
                <w:lang w:eastAsia="en-US"/>
              </w:rPr>
            </w:pPr>
            <w:r>
              <w:rPr>
                <w:rFonts w:ascii="Arial Narrow" w:hAnsi="Arial Narrow"/>
                <w:color w:val="000000"/>
                <w:sz w:val="20"/>
                <w:szCs w:val="20"/>
                <w:lang w:eastAsia="en-US"/>
              </w:rPr>
              <w:t xml:space="preserve">2017 – </w:t>
            </w:r>
            <w:r w:rsidR="00F4423C" w:rsidRPr="00632906">
              <w:rPr>
                <w:rFonts w:ascii="Arial Narrow" w:hAnsi="Arial Narrow"/>
                <w:color w:val="000000"/>
                <w:sz w:val="20"/>
                <w:szCs w:val="20"/>
                <w:lang w:eastAsia="en-US"/>
              </w:rPr>
              <w:t>2018</w:t>
            </w:r>
          </w:p>
        </w:tc>
        <w:tc>
          <w:tcPr>
            <w:tcW w:w="4389" w:type="dxa"/>
            <w:tcBorders>
              <w:top w:val="nil"/>
              <w:left w:val="nil"/>
              <w:bottom w:val="single" w:sz="4" w:space="0" w:color="auto"/>
              <w:right w:val="single" w:sz="8" w:space="0" w:color="auto"/>
            </w:tcBorders>
            <w:shd w:val="clear" w:color="auto" w:fill="auto"/>
            <w:vAlign w:val="center"/>
            <w:hideMark/>
          </w:tcPr>
          <w:p w14:paraId="3D3BF90E" w14:textId="77777777" w:rsidR="00F4423C" w:rsidRPr="00632906" w:rsidRDefault="00F4423C" w:rsidP="00F4423C">
            <w:pPr>
              <w:spacing w:after="0" w:line="240" w:lineRule="auto"/>
              <w:rPr>
                <w:rFonts w:ascii="Arial Narrow" w:hAnsi="Arial Narrow"/>
                <w:color w:val="000000"/>
                <w:sz w:val="20"/>
                <w:szCs w:val="20"/>
                <w:lang w:eastAsia="en-US"/>
              </w:rPr>
            </w:pPr>
            <w:r w:rsidRPr="00632906">
              <w:rPr>
                <w:rFonts w:ascii="Arial Narrow" w:hAnsi="Arial Narrow"/>
                <w:color w:val="000000"/>
                <w:sz w:val="20"/>
                <w:szCs w:val="20"/>
                <w:lang w:eastAsia="en-US"/>
              </w:rPr>
              <w:t>Vypracovanie stratégie dobrovoľného plnenia daňových povinností a akčného plánu implementácie tejto stratégie.</w:t>
            </w:r>
          </w:p>
        </w:tc>
      </w:tr>
      <w:tr w:rsidR="00400DA9" w:rsidRPr="00632906" w14:paraId="0B4FFBD6" w14:textId="77777777" w:rsidTr="00564BC3">
        <w:trPr>
          <w:trHeight w:val="640"/>
          <w:jc w:val="center"/>
        </w:trPr>
        <w:tc>
          <w:tcPr>
            <w:tcW w:w="3109" w:type="dxa"/>
            <w:tcBorders>
              <w:top w:val="nil"/>
              <w:left w:val="single" w:sz="8" w:space="0" w:color="auto"/>
              <w:bottom w:val="single" w:sz="4" w:space="0" w:color="auto"/>
              <w:right w:val="nil"/>
            </w:tcBorders>
            <w:shd w:val="clear" w:color="auto" w:fill="auto"/>
            <w:vAlign w:val="center"/>
            <w:hideMark/>
          </w:tcPr>
          <w:p w14:paraId="48B8094E" w14:textId="0454D676" w:rsidR="00F4423C" w:rsidRPr="00632906" w:rsidRDefault="00F4423C" w:rsidP="00F4423C">
            <w:pPr>
              <w:spacing w:after="0" w:line="240" w:lineRule="auto"/>
              <w:rPr>
                <w:rFonts w:ascii="Arial Narrow" w:hAnsi="Arial Narrow"/>
                <w:b/>
                <w:bCs/>
                <w:color w:val="000000"/>
                <w:sz w:val="20"/>
                <w:szCs w:val="20"/>
                <w:lang w:eastAsia="en-US"/>
              </w:rPr>
            </w:pPr>
            <w:r w:rsidRPr="00632906">
              <w:rPr>
                <w:rFonts w:ascii="Arial Narrow" w:hAnsi="Arial Narrow"/>
                <w:b/>
                <w:bCs/>
                <w:color w:val="000000"/>
                <w:sz w:val="20"/>
                <w:szCs w:val="20"/>
                <w:lang w:eastAsia="en-US"/>
              </w:rPr>
              <w:t>Stratifikácia/</w:t>
            </w:r>
            <w:r w:rsidR="0021675E">
              <w:rPr>
                <w:rFonts w:ascii="Arial Narrow" w:hAnsi="Arial Narrow"/>
                <w:b/>
                <w:bCs/>
                <w:color w:val="000000"/>
                <w:sz w:val="20"/>
                <w:szCs w:val="20"/>
                <w:lang w:eastAsia="en-US"/>
              </w:rPr>
              <w:t>Optimalizácia (</w:t>
            </w:r>
            <w:r w:rsidRPr="00632906">
              <w:rPr>
                <w:rFonts w:ascii="Arial Narrow" w:hAnsi="Arial Narrow"/>
                <w:b/>
                <w:bCs/>
                <w:color w:val="000000"/>
                <w:sz w:val="20"/>
                <w:szCs w:val="20"/>
                <w:lang w:eastAsia="en-US"/>
              </w:rPr>
              <w:t>MZ SR</w:t>
            </w:r>
            <w:r w:rsidR="0021675E">
              <w:rPr>
                <w:rFonts w:ascii="Arial Narrow" w:hAnsi="Arial Narrow"/>
                <w:b/>
                <w:bCs/>
                <w:color w:val="000000"/>
                <w:sz w:val="20"/>
                <w:szCs w:val="20"/>
                <w:lang w:eastAsia="en-US"/>
              </w:rPr>
              <w:t>)</w:t>
            </w:r>
          </w:p>
        </w:tc>
        <w:tc>
          <w:tcPr>
            <w:tcW w:w="1220" w:type="dxa"/>
            <w:tcBorders>
              <w:top w:val="nil"/>
              <w:left w:val="single" w:sz="8" w:space="0" w:color="auto"/>
              <w:bottom w:val="single" w:sz="4" w:space="0" w:color="auto"/>
              <w:right w:val="single" w:sz="8" w:space="0" w:color="auto"/>
            </w:tcBorders>
            <w:shd w:val="clear" w:color="auto" w:fill="auto"/>
            <w:vAlign w:val="center"/>
            <w:hideMark/>
          </w:tcPr>
          <w:p w14:paraId="5749D22C" w14:textId="3CBB33ED" w:rsidR="00F4423C" w:rsidRPr="00632906" w:rsidRDefault="00564BC3" w:rsidP="00F4423C">
            <w:pPr>
              <w:spacing w:after="0" w:line="240" w:lineRule="auto"/>
              <w:rPr>
                <w:rFonts w:ascii="Arial Narrow" w:hAnsi="Arial Narrow"/>
                <w:color w:val="000000"/>
                <w:sz w:val="20"/>
                <w:szCs w:val="20"/>
                <w:lang w:eastAsia="en-US"/>
              </w:rPr>
            </w:pPr>
            <w:r>
              <w:rPr>
                <w:rFonts w:ascii="Arial Narrow" w:hAnsi="Arial Narrow"/>
                <w:color w:val="000000"/>
                <w:sz w:val="20"/>
                <w:szCs w:val="20"/>
                <w:lang w:eastAsia="en-US"/>
              </w:rPr>
              <w:t xml:space="preserve">2017 – </w:t>
            </w:r>
            <w:r w:rsidR="00F4423C" w:rsidRPr="00632906">
              <w:rPr>
                <w:rFonts w:ascii="Arial Narrow" w:hAnsi="Arial Narrow"/>
                <w:color w:val="000000"/>
                <w:sz w:val="20"/>
                <w:szCs w:val="20"/>
                <w:lang w:eastAsia="en-US"/>
              </w:rPr>
              <w:t>2018</w:t>
            </w:r>
          </w:p>
        </w:tc>
        <w:tc>
          <w:tcPr>
            <w:tcW w:w="4389" w:type="dxa"/>
            <w:tcBorders>
              <w:top w:val="nil"/>
              <w:left w:val="nil"/>
              <w:bottom w:val="single" w:sz="4" w:space="0" w:color="auto"/>
              <w:right w:val="single" w:sz="8" w:space="0" w:color="auto"/>
            </w:tcBorders>
            <w:shd w:val="clear" w:color="auto" w:fill="auto"/>
            <w:vAlign w:val="center"/>
            <w:hideMark/>
          </w:tcPr>
          <w:p w14:paraId="4610BDD9" w14:textId="77777777" w:rsidR="00F4423C" w:rsidRPr="00632906" w:rsidRDefault="00F4423C" w:rsidP="00F4423C">
            <w:pPr>
              <w:spacing w:after="0" w:line="240" w:lineRule="auto"/>
              <w:rPr>
                <w:rFonts w:ascii="Arial Narrow" w:hAnsi="Arial Narrow"/>
                <w:color w:val="000000"/>
                <w:sz w:val="20"/>
                <w:szCs w:val="20"/>
                <w:lang w:eastAsia="en-US"/>
              </w:rPr>
            </w:pPr>
            <w:r w:rsidRPr="00632906">
              <w:rPr>
                <w:rFonts w:ascii="Arial Narrow" w:hAnsi="Arial Narrow"/>
                <w:color w:val="000000"/>
                <w:sz w:val="20"/>
                <w:szCs w:val="20"/>
                <w:lang w:eastAsia="en-US"/>
              </w:rPr>
              <w:t>Efektívne rozvrhnutie siete poskytovateľov zdravotnej starostlivosti, ktoré bude lepšie odzrkadľovať potreby pacienta a zároveň brať ohľad na udržateľnosť systému.</w:t>
            </w:r>
          </w:p>
        </w:tc>
      </w:tr>
      <w:tr w:rsidR="00400DA9" w:rsidRPr="00632906" w14:paraId="63FBD9D1" w14:textId="77777777" w:rsidTr="00564BC3">
        <w:trPr>
          <w:trHeight w:val="640"/>
          <w:jc w:val="center"/>
        </w:trPr>
        <w:tc>
          <w:tcPr>
            <w:tcW w:w="3109" w:type="dxa"/>
            <w:tcBorders>
              <w:top w:val="nil"/>
              <w:left w:val="single" w:sz="8" w:space="0" w:color="auto"/>
              <w:bottom w:val="nil"/>
              <w:right w:val="nil"/>
            </w:tcBorders>
            <w:shd w:val="clear" w:color="auto" w:fill="auto"/>
            <w:vAlign w:val="center"/>
            <w:hideMark/>
          </w:tcPr>
          <w:p w14:paraId="167CF798" w14:textId="7D4CCB3E" w:rsidR="00F4423C" w:rsidRPr="00632906" w:rsidRDefault="0021675E" w:rsidP="00F4423C">
            <w:pPr>
              <w:spacing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Model kompetencií (</w:t>
            </w:r>
            <w:r w:rsidR="00F4423C" w:rsidRPr="00632906">
              <w:rPr>
                <w:rFonts w:ascii="Arial Narrow" w:hAnsi="Arial Narrow"/>
                <w:b/>
                <w:bCs/>
                <w:color w:val="000000"/>
                <w:sz w:val="20"/>
                <w:szCs w:val="20"/>
                <w:lang w:eastAsia="en-US"/>
              </w:rPr>
              <w:t>MZ SR</w:t>
            </w:r>
            <w:r>
              <w:rPr>
                <w:rFonts w:ascii="Arial Narrow" w:hAnsi="Arial Narrow"/>
                <w:b/>
                <w:bCs/>
                <w:color w:val="000000"/>
                <w:sz w:val="20"/>
                <w:szCs w:val="20"/>
                <w:lang w:eastAsia="en-US"/>
              </w:rPr>
              <w:t>)</w:t>
            </w:r>
          </w:p>
        </w:tc>
        <w:tc>
          <w:tcPr>
            <w:tcW w:w="1220" w:type="dxa"/>
            <w:tcBorders>
              <w:top w:val="nil"/>
              <w:left w:val="single" w:sz="8" w:space="0" w:color="auto"/>
              <w:bottom w:val="single" w:sz="4" w:space="0" w:color="auto"/>
              <w:right w:val="single" w:sz="8" w:space="0" w:color="auto"/>
            </w:tcBorders>
            <w:shd w:val="clear" w:color="auto" w:fill="auto"/>
            <w:vAlign w:val="center"/>
            <w:hideMark/>
          </w:tcPr>
          <w:p w14:paraId="53333432" w14:textId="0EFA7EF3" w:rsidR="00F4423C" w:rsidRPr="00632906" w:rsidRDefault="00564BC3" w:rsidP="00F4423C">
            <w:pPr>
              <w:spacing w:after="0" w:line="240" w:lineRule="auto"/>
              <w:rPr>
                <w:rFonts w:ascii="Arial Narrow" w:hAnsi="Arial Narrow"/>
                <w:color w:val="000000"/>
                <w:sz w:val="20"/>
                <w:szCs w:val="20"/>
                <w:lang w:eastAsia="en-US"/>
              </w:rPr>
            </w:pPr>
            <w:r>
              <w:rPr>
                <w:rFonts w:ascii="Arial Narrow" w:hAnsi="Arial Narrow"/>
                <w:color w:val="000000"/>
                <w:sz w:val="20"/>
                <w:szCs w:val="20"/>
                <w:lang w:eastAsia="en-US"/>
              </w:rPr>
              <w:t xml:space="preserve">2017 – </w:t>
            </w:r>
            <w:r w:rsidR="00F4423C" w:rsidRPr="00632906">
              <w:rPr>
                <w:rFonts w:ascii="Arial Narrow" w:hAnsi="Arial Narrow"/>
                <w:color w:val="000000"/>
                <w:sz w:val="20"/>
                <w:szCs w:val="20"/>
                <w:lang w:eastAsia="en-US"/>
              </w:rPr>
              <w:t>2018</w:t>
            </w:r>
          </w:p>
        </w:tc>
        <w:tc>
          <w:tcPr>
            <w:tcW w:w="4389" w:type="dxa"/>
            <w:tcBorders>
              <w:top w:val="nil"/>
              <w:left w:val="nil"/>
              <w:bottom w:val="single" w:sz="4" w:space="0" w:color="auto"/>
              <w:right w:val="single" w:sz="8" w:space="0" w:color="auto"/>
            </w:tcBorders>
            <w:shd w:val="clear" w:color="auto" w:fill="auto"/>
            <w:vAlign w:val="center"/>
            <w:hideMark/>
          </w:tcPr>
          <w:p w14:paraId="6E6641EB" w14:textId="77777777" w:rsidR="00F4423C" w:rsidRPr="00632906" w:rsidRDefault="00F4423C" w:rsidP="00F4423C">
            <w:pPr>
              <w:spacing w:after="0" w:line="240" w:lineRule="auto"/>
              <w:rPr>
                <w:rFonts w:ascii="Arial Narrow" w:hAnsi="Arial Narrow"/>
                <w:color w:val="000000"/>
                <w:sz w:val="20"/>
                <w:szCs w:val="20"/>
                <w:lang w:eastAsia="en-US"/>
              </w:rPr>
            </w:pPr>
            <w:r w:rsidRPr="00632906">
              <w:rPr>
                <w:rFonts w:ascii="Arial Narrow" w:hAnsi="Arial Narrow"/>
                <w:color w:val="000000"/>
                <w:sz w:val="20"/>
                <w:szCs w:val="20"/>
                <w:lang w:eastAsia="en-US"/>
              </w:rPr>
              <w:t>Zvyšovanie atraktivity všeobecného lekárstva, zvyšovanie počtov všeobecných lekárov a v konečnom dôsledku zlepšovanie kvality primárnej starostlivosti.</w:t>
            </w:r>
          </w:p>
        </w:tc>
      </w:tr>
      <w:tr w:rsidR="00400DA9" w:rsidRPr="00632906" w14:paraId="0A9B33BF" w14:textId="77777777" w:rsidTr="00564BC3">
        <w:trPr>
          <w:trHeight w:val="640"/>
          <w:jc w:val="center"/>
        </w:trPr>
        <w:tc>
          <w:tcPr>
            <w:tcW w:w="3109" w:type="dxa"/>
            <w:tcBorders>
              <w:top w:val="single" w:sz="4" w:space="0" w:color="auto"/>
              <w:left w:val="single" w:sz="8" w:space="0" w:color="auto"/>
              <w:bottom w:val="single" w:sz="4" w:space="0" w:color="auto"/>
              <w:right w:val="nil"/>
            </w:tcBorders>
            <w:shd w:val="clear" w:color="auto" w:fill="auto"/>
            <w:vAlign w:val="center"/>
            <w:hideMark/>
          </w:tcPr>
          <w:p w14:paraId="4FE01418" w14:textId="4BC138B0" w:rsidR="00F4423C" w:rsidRPr="00632906" w:rsidRDefault="0021675E" w:rsidP="00F4423C">
            <w:pPr>
              <w:spacing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Transparentné riadenie (</w:t>
            </w:r>
            <w:r w:rsidR="00F4423C" w:rsidRPr="00632906">
              <w:rPr>
                <w:rFonts w:ascii="Arial Narrow" w:hAnsi="Arial Narrow"/>
                <w:b/>
                <w:bCs/>
                <w:color w:val="000000"/>
                <w:sz w:val="20"/>
                <w:szCs w:val="20"/>
                <w:lang w:eastAsia="en-US"/>
              </w:rPr>
              <w:t>MZ SR</w:t>
            </w:r>
            <w:r>
              <w:rPr>
                <w:rFonts w:ascii="Arial Narrow" w:hAnsi="Arial Narrow"/>
                <w:b/>
                <w:bCs/>
                <w:color w:val="000000"/>
                <w:sz w:val="20"/>
                <w:szCs w:val="20"/>
                <w:lang w:eastAsia="en-US"/>
              </w:rPr>
              <w:t>)</w:t>
            </w:r>
          </w:p>
        </w:tc>
        <w:tc>
          <w:tcPr>
            <w:tcW w:w="1220" w:type="dxa"/>
            <w:tcBorders>
              <w:top w:val="nil"/>
              <w:left w:val="single" w:sz="8" w:space="0" w:color="auto"/>
              <w:bottom w:val="single" w:sz="4" w:space="0" w:color="auto"/>
              <w:right w:val="single" w:sz="8" w:space="0" w:color="auto"/>
            </w:tcBorders>
            <w:shd w:val="clear" w:color="auto" w:fill="auto"/>
            <w:vAlign w:val="center"/>
            <w:hideMark/>
          </w:tcPr>
          <w:p w14:paraId="626FCF82" w14:textId="705BC6F3" w:rsidR="00F4423C" w:rsidRPr="00632906" w:rsidRDefault="00564BC3" w:rsidP="00F4423C">
            <w:pPr>
              <w:spacing w:after="0" w:line="240" w:lineRule="auto"/>
              <w:rPr>
                <w:rFonts w:ascii="Arial Narrow" w:hAnsi="Arial Narrow"/>
                <w:color w:val="000000"/>
                <w:sz w:val="20"/>
                <w:szCs w:val="20"/>
                <w:lang w:eastAsia="en-US"/>
              </w:rPr>
            </w:pPr>
            <w:r>
              <w:rPr>
                <w:rFonts w:ascii="Arial Narrow" w:hAnsi="Arial Narrow"/>
                <w:color w:val="000000"/>
                <w:sz w:val="20"/>
                <w:szCs w:val="20"/>
                <w:lang w:eastAsia="en-US"/>
              </w:rPr>
              <w:t xml:space="preserve">2017 – </w:t>
            </w:r>
            <w:r w:rsidR="00F4423C" w:rsidRPr="00632906">
              <w:rPr>
                <w:rFonts w:ascii="Arial Narrow" w:hAnsi="Arial Narrow"/>
                <w:color w:val="000000"/>
                <w:sz w:val="20"/>
                <w:szCs w:val="20"/>
                <w:lang w:eastAsia="en-US"/>
              </w:rPr>
              <w:t>2018</w:t>
            </w:r>
          </w:p>
        </w:tc>
        <w:tc>
          <w:tcPr>
            <w:tcW w:w="4389" w:type="dxa"/>
            <w:tcBorders>
              <w:top w:val="nil"/>
              <w:left w:val="nil"/>
              <w:bottom w:val="single" w:sz="4" w:space="0" w:color="auto"/>
              <w:right w:val="single" w:sz="8" w:space="0" w:color="auto"/>
            </w:tcBorders>
            <w:shd w:val="clear" w:color="auto" w:fill="auto"/>
            <w:vAlign w:val="center"/>
            <w:hideMark/>
          </w:tcPr>
          <w:p w14:paraId="7678928D" w14:textId="77777777" w:rsidR="00F4423C" w:rsidRPr="00632906" w:rsidRDefault="00F4423C" w:rsidP="00F4423C">
            <w:pPr>
              <w:spacing w:after="0" w:line="240" w:lineRule="auto"/>
              <w:rPr>
                <w:rFonts w:ascii="Arial Narrow" w:hAnsi="Arial Narrow"/>
                <w:color w:val="000000"/>
                <w:sz w:val="20"/>
                <w:szCs w:val="20"/>
                <w:lang w:eastAsia="en-US"/>
              </w:rPr>
            </w:pPr>
            <w:r w:rsidRPr="00632906">
              <w:rPr>
                <w:rFonts w:ascii="Arial Narrow" w:hAnsi="Arial Narrow"/>
                <w:color w:val="000000"/>
                <w:sz w:val="20"/>
                <w:szCs w:val="20"/>
                <w:lang w:eastAsia="en-US"/>
              </w:rPr>
              <w:t>Zvýšenie transparentnosti verejného obstarávania, najmä zlepšenie porovnávania cien a transparentné obstarávanie zdravotníckej techniky a materiálu.</w:t>
            </w:r>
          </w:p>
        </w:tc>
      </w:tr>
      <w:tr w:rsidR="00400DA9" w:rsidRPr="00632906" w14:paraId="79F75FCA" w14:textId="77777777" w:rsidTr="00564BC3">
        <w:trPr>
          <w:trHeight w:val="963"/>
          <w:jc w:val="center"/>
        </w:trPr>
        <w:tc>
          <w:tcPr>
            <w:tcW w:w="3109" w:type="dxa"/>
            <w:tcBorders>
              <w:top w:val="nil"/>
              <w:left w:val="single" w:sz="8" w:space="0" w:color="auto"/>
              <w:bottom w:val="single" w:sz="4" w:space="0" w:color="auto"/>
              <w:right w:val="nil"/>
            </w:tcBorders>
            <w:shd w:val="clear" w:color="auto" w:fill="auto"/>
            <w:vAlign w:val="center"/>
            <w:hideMark/>
          </w:tcPr>
          <w:p w14:paraId="20462A2F" w14:textId="263597C5" w:rsidR="00564BC3" w:rsidRDefault="00F4423C" w:rsidP="00F4423C">
            <w:pPr>
              <w:spacing w:after="0" w:line="240" w:lineRule="auto"/>
              <w:rPr>
                <w:rFonts w:ascii="Arial Narrow" w:hAnsi="Arial Narrow"/>
                <w:b/>
                <w:bCs/>
                <w:color w:val="000000"/>
                <w:sz w:val="20"/>
                <w:szCs w:val="20"/>
                <w:lang w:eastAsia="en-US"/>
              </w:rPr>
            </w:pPr>
            <w:r w:rsidRPr="00632906">
              <w:rPr>
                <w:rFonts w:ascii="Arial Narrow" w:hAnsi="Arial Narrow"/>
                <w:b/>
                <w:bCs/>
                <w:color w:val="000000"/>
                <w:sz w:val="20"/>
                <w:szCs w:val="20"/>
                <w:lang w:eastAsia="en-US"/>
              </w:rPr>
              <w:t>R</w:t>
            </w:r>
            <w:r w:rsidR="0021675E">
              <w:rPr>
                <w:rFonts w:ascii="Arial Narrow" w:hAnsi="Arial Narrow"/>
                <w:b/>
                <w:bCs/>
                <w:color w:val="000000"/>
                <w:sz w:val="20"/>
                <w:szCs w:val="20"/>
                <w:lang w:eastAsia="en-US"/>
              </w:rPr>
              <w:t xml:space="preserve">odinné podnikanie na Slovensku </w:t>
            </w:r>
          </w:p>
          <w:p w14:paraId="7F1CD810" w14:textId="1873456E" w:rsidR="00F4423C" w:rsidRPr="00632906" w:rsidRDefault="0021675E" w:rsidP="00F4423C">
            <w:pPr>
              <w:spacing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w:t>
            </w:r>
            <w:r w:rsidR="00564BC3">
              <w:rPr>
                <w:rFonts w:ascii="Arial Narrow" w:hAnsi="Arial Narrow"/>
                <w:b/>
                <w:bCs/>
                <w:color w:val="000000"/>
                <w:sz w:val="20"/>
                <w:szCs w:val="20"/>
                <w:lang w:eastAsia="en-US"/>
              </w:rPr>
              <w:t xml:space="preserve">MH </w:t>
            </w:r>
            <w:r w:rsidR="00F4423C" w:rsidRPr="00632906">
              <w:rPr>
                <w:rFonts w:ascii="Arial Narrow" w:hAnsi="Arial Narrow"/>
                <w:b/>
                <w:bCs/>
                <w:color w:val="000000"/>
                <w:sz w:val="20"/>
                <w:szCs w:val="20"/>
                <w:lang w:eastAsia="en-US"/>
              </w:rPr>
              <w:t>SR</w:t>
            </w:r>
            <w:r>
              <w:rPr>
                <w:rFonts w:ascii="Arial Narrow" w:hAnsi="Arial Narrow"/>
                <w:b/>
                <w:bCs/>
                <w:color w:val="000000"/>
                <w:sz w:val="20"/>
                <w:szCs w:val="20"/>
                <w:lang w:eastAsia="en-US"/>
              </w:rPr>
              <w:t>)</w:t>
            </w:r>
          </w:p>
        </w:tc>
        <w:tc>
          <w:tcPr>
            <w:tcW w:w="1220" w:type="dxa"/>
            <w:tcBorders>
              <w:top w:val="nil"/>
              <w:left w:val="single" w:sz="8" w:space="0" w:color="auto"/>
              <w:bottom w:val="single" w:sz="4" w:space="0" w:color="auto"/>
              <w:right w:val="single" w:sz="8" w:space="0" w:color="auto"/>
            </w:tcBorders>
            <w:shd w:val="clear" w:color="auto" w:fill="auto"/>
            <w:vAlign w:val="center"/>
            <w:hideMark/>
          </w:tcPr>
          <w:p w14:paraId="1099C810" w14:textId="0F603B23" w:rsidR="00F4423C" w:rsidRPr="00632906" w:rsidRDefault="00564BC3" w:rsidP="00F4423C">
            <w:pPr>
              <w:spacing w:after="0" w:line="240" w:lineRule="auto"/>
              <w:rPr>
                <w:rFonts w:ascii="Arial Narrow" w:hAnsi="Arial Narrow"/>
                <w:color w:val="000000"/>
                <w:sz w:val="20"/>
                <w:szCs w:val="20"/>
                <w:lang w:eastAsia="en-US"/>
              </w:rPr>
            </w:pPr>
            <w:r>
              <w:rPr>
                <w:rFonts w:ascii="Arial Narrow" w:hAnsi="Arial Narrow"/>
                <w:color w:val="000000"/>
                <w:sz w:val="20"/>
                <w:szCs w:val="20"/>
                <w:lang w:eastAsia="en-US"/>
              </w:rPr>
              <w:t xml:space="preserve">2017 – </w:t>
            </w:r>
            <w:r w:rsidR="00F4423C" w:rsidRPr="00632906">
              <w:rPr>
                <w:rFonts w:ascii="Arial Narrow" w:hAnsi="Arial Narrow"/>
                <w:color w:val="000000"/>
                <w:sz w:val="20"/>
                <w:szCs w:val="20"/>
                <w:lang w:eastAsia="en-US"/>
              </w:rPr>
              <w:t>2018</w:t>
            </w:r>
          </w:p>
        </w:tc>
        <w:tc>
          <w:tcPr>
            <w:tcW w:w="4389" w:type="dxa"/>
            <w:tcBorders>
              <w:top w:val="nil"/>
              <w:left w:val="nil"/>
              <w:bottom w:val="single" w:sz="4" w:space="0" w:color="auto"/>
              <w:right w:val="single" w:sz="8" w:space="0" w:color="auto"/>
            </w:tcBorders>
            <w:shd w:val="clear" w:color="auto" w:fill="auto"/>
            <w:vAlign w:val="center"/>
            <w:hideMark/>
          </w:tcPr>
          <w:p w14:paraId="769CD72A" w14:textId="77777777" w:rsidR="00F4423C" w:rsidRPr="00632906" w:rsidRDefault="00F4423C" w:rsidP="00F4423C">
            <w:pPr>
              <w:spacing w:after="0" w:line="240" w:lineRule="auto"/>
              <w:rPr>
                <w:rFonts w:ascii="Arial Narrow" w:hAnsi="Arial Narrow"/>
                <w:color w:val="000000"/>
                <w:sz w:val="20"/>
                <w:szCs w:val="20"/>
                <w:lang w:eastAsia="en-US"/>
              </w:rPr>
            </w:pPr>
            <w:r w:rsidRPr="00632906">
              <w:rPr>
                <w:rFonts w:ascii="Arial Narrow" w:hAnsi="Arial Narrow"/>
                <w:color w:val="000000"/>
                <w:sz w:val="20"/>
                <w:szCs w:val="20"/>
                <w:lang w:eastAsia="en-US"/>
              </w:rPr>
              <w:t>Zvýšenie povedomia o rodinnom podnikaní vrátane transferov, odstraňovania bariér a pod.  Zlepšeniu podnikateľského prostredia na Slovensku a posilnenie konkurencieschopnosti národného hospodárstva.</w:t>
            </w:r>
          </w:p>
        </w:tc>
      </w:tr>
      <w:tr w:rsidR="00400DA9" w:rsidRPr="00632906" w14:paraId="7E3C997C" w14:textId="77777777" w:rsidTr="00564BC3">
        <w:trPr>
          <w:trHeight w:val="861"/>
          <w:jc w:val="center"/>
        </w:trPr>
        <w:tc>
          <w:tcPr>
            <w:tcW w:w="3109" w:type="dxa"/>
            <w:tcBorders>
              <w:top w:val="nil"/>
              <w:left w:val="single" w:sz="8" w:space="0" w:color="auto"/>
              <w:bottom w:val="single" w:sz="4" w:space="0" w:color="auto"/>
              <w:right w:val="nil"/>
            </w:tcBorders>
            <w:shd w:val="clear" w:color="auto" w:fill="auto"/>
            <w:vAlign w:val="center"/>
            <w:hideMark/>
          </w:tcPr>
          <w:p w14:paraId="2222BA33" w14:textId="7586DB39" w:rsidR="00F4423C" w:rsidRPr="00632906" w:rsidRDefault="00F4423C" w:rsidP="00F4423C">
            <w:pPr>
              <w:spacing w:after="0" w:line="240" w:lineRule="auto"/>
              <w:rPr>
                <w:rFonts w:ascii="Arial Narrow" w:hAnsi="Arial Narrow"/>
                <w:b/>
                <w:bCs/>
                <w:color w:val="000000"/>
                <w:sz w:val="20"/>
                <w:szCs w:val="20"/>
                <w:lang w:eastAsia="en-US"/>
              </w:rPr>
            </w:pPr>
            <w:r w:rsidRPr="00632906">
              <w:rPr>
                <w:rFonts w:ascii="Arial Narrow" w:hAnsi="Arial Narrow"/>
                <w:b/>
                <w:bCs/>
                <w:color w:val="000000"/>
                <w:sz w:val="20"/>
                <w:szCs w:val="20"/>
                <w:lang w:eastAsia="en-US"/>
              </w:rPr>
              <w:t xml:space="preserve">Udržateľnosť a zabezpečenie kvality pri skríningu a diagnostike </w:t>
            </w:r>
            <w:proofErr w:type="spellStart"/>
            <w:r w:rsidRPr="00632906">
              <w:rPr>
                <w:rFonts w:ascii="Arial Narrow" w:hAnsi="Arial Narrow"/>
                <w:b/>
                <w:bCs/>
                <w:color w:val="000000"/>
                <w:sz w:val="20"/>
                <w:szCs w:val="20"/>
                <w:lang w:eastAsia="en-US"/>
              </w:rPr>
              <w:t>kolore</w:t>
            </w:r>
            <w:r w:rsidR="0021675E">
              <w:rPr>
                <w:rFonts w:ascii="Arial Narrow" w:hAnsi="Arial Narrow"/>
                <w:b/>
                <w:bCs/>
                <w:color w:val="000000"/>
                <w:sz w:val="20"/>
                <w:szCs w:val="20"/>
                <w:lang w:eastAsia="en-US"/>
              </w:rPr>
              <w:t>ktálneho</w:t>
            </w:r>
            <w:proofErr w:type="spellEnd"/>
            <w:r w:rsidR="0021675E">
              <w:rPr>
                <w:rFonts w:ascii="Arial Narrow" w:hAnsi="Arial Narrow"/>
                <w:b/>
                <w:bCs/>
                <w:color w:val="000000"/>
                <w:sz w:val="20"/>
                <w:szCs w:val="20"/>
                <w:lang w:eastAsia="en-US"/>
              </w:rPr>
              <w:t xml:space="preserve"> karcinómu na Slovensku (</w:t>
            </w:r>
            <w:r w:rsidRPr="00632906">
              <w:rPr>
                <w:rFonts w:ascii="Arial Narrow" w:hAnsi="Arial Narrow"/>
                <w:b/>
                <w:bCs/>
                <w:color w:val="000000"/>
                <w:sz w:val="20"/>
                <w:szCs w:val="20"/>
                <w:lang w:eastAsia="en-US"/>
              </w:rPr>
              <w:t>MZ SR</w:t>
            </w:r>
            <w:r w:rsidR="0021675E">
              <w:rPr>
                <w:rFonts w:ascii="Arial Narrow" w:hAnsi="Arial Narrow"/>
                <w:b/>
                <w:bCs/>
                <w:color w:val="000000"/>
                <w:sz w:val="20"/>
                <w:szCs w:val="20"/>
                <w:lang w:eastAsia="en-US"/>
              </w:rPr>
              <w:t>)</w:t>
            </w:r>
          </w:p>
        </w:tc>
        <w:tc>
          <w:tcPr>
            <w:tcW w:w="1220" w:type="dxa"/>
            <w:tcBorders>
              <w:top w:val="nil"/>
              <w:left w:val="single" w:sz="8" w:space="0" w:color="auto"/>
              <w:bottom w:val="single" w:sz="4" w:space="0" w:color="auto"/>
              <w:right w:val="single" w:sz="8" w:space="0" w:color="auto"/>
            </w:tcBorders>
            <w:shd w:val="clear" w:color="auto" w:fill="auto"/>
            <w:vAlign w:val="center"/>
            <w:hideMark/>
          </w:tcPr>
          <w:p w14:paraId="294E0D12" w14:textId="47C99BB9" w:rsidR="00F4423C" w:rsidRPr="00632906" w:rsidRDefault="00564BC3" w:rsidP="00F4423C">
            <w:pPr>
              <w:spacing w:after="0" w:line="240" w:lineRule="auto"/>
              <w:rPr>
                <w:rFonts w:ascii="Arial Narrow" w:hAnsi="Arial Narrow"/>
                <w:color w:val="000000"/>
                <w:sz w:val="20"/>
                <w:szCs w:val="20"/>
                <w:lang w:eastAsia="en-US"/>
              </w:rPr>
            </w:pPr>
            <w:r>
              <w:rPr>
                <w:rFonts w:ascii="Arial Narrow" w:hAnsi="Arial Narrow"/>
                <w:color w:val="000000"/>
                <w:sz w:val="20"/>
                <w:szCs w:val="20"/>
                <w:lang w:eastAsia="en-US"/>
              </w:rPr>
              <w:t xml:space="preserve">2018 – </w:t>
            </w:r>
            <w:r w:rsidR="00F4423C" w:rsidRPr="00632906">
              <w:rPr>
                <w:rFonts w:ascii="Arial Narrow" w:hAnsi="Arial Narrow"/>
                <w:color w:val="000000"/>
                <w:sz w:val="20"/>
                <w:szCs w:val="20"/>
                <w:lang w:eastAsia="en-US"/>
              </w:rPr>
              <w:t>2020</w:t>
            </w:r>
          </w:p>
        </w:tc>
        <w:tc>
          <w:tcPr>
            <w:tcW w:w="4389" w:type="dxa"/>
            <w:tcBorders>
              <w:top w:val="nil"/>
              <w:left w:val="nil"/>
              <w:bottom w:val="single" w:sz="4" w:space="0" w:color="auto"/>
              <w:right w:val="single" w:sz="8" w:space="0" w:color="auto"/>
            </w:tcBorders>
            <w:shd w:val="clear" w:color="auto" w:fill="auto"/>
            <w:vAlign w:val="center"/>
            <w:hideMark/>
          </w:tcPr>
          <w:p w14:paraId="32583D83" w14:textId="07ABA222" w:rsidR="00F4423C" w:rsidRPr="00632906" w:rsidRDefault="00F4423C" w:rsidP="00F4423C">
            <w:pPr>
              <w:spacing w:after="0" w:line="240" w:lineRule="auto"/>
              <w:rPr>
                <w:rFonts w:ascii="Arial Narrow" w:hAnsi="Arial Narrow"/>
                <w:color w:val="000000"/>
                <w:sz w:val="20"/>
                <w:szCs w:val="20"/>
                <w:lang w:eastAsia="en-US"/>
              </w:rPr>
            </w:pPr>
            <w:r w:rsidRPr="00632906">
              <w:rPr>
                <w:rFonts w:ascii="Arial Narrow" w:hAnsi="Arial Narrow"/>
                <w:color w:val="000000"/>
                <w:sz w:val="20"/>
                <w:szCs w:val="20"/>
                <w:lang w:eastAsia="en-US"/>
              </w:rPr>
              <w:t>Posiln</w:t>
            </w:r>
            <w:r w:rsidR="00564BC3">
              <w:rPr>
                <w:rFonts w:ascii="Arial Narrow" w:hAnsi="Arial Narrow"/>
                <w:color w:val="000000"/>
                <w:sz w:val="20"/>
                <w:szCs w:val="20"/>
                <w:lang w:eastAsia="en-US"/>
              </w:rPr>
              <w:t>en</w:t>
            </w:r>
            <w:r w:rsidRPr="00632906">
              <w:rPr>
                <w:rFonts w:ascii="Arial Narrow" w:hAnsi="Arial Narrow"/>
                <w:color w:val="000000"/>
                <w:sz w:val="20"/>
                <w:szCs w:val="20"/>
                <w:lang w:eastAsia="en-US"/>
              </w:rPr>
              <w:t xml:space="preserve">ie plánovania, implementácie a vyhodnotenia skríningového programu s využitím overených ukazovateľov výkonnosti zameraných na bariéry a potreby identifikované ako prioritné.  </w:t>
            </w:r>
          </w:p>
        </w:tc>
      </w:tr>
      <w:tr w:rsidR="00400DA9" w:rsidRPr="00632906" w14:paraId="6306DA7F" w14:textId="77777777" w:rsidTr="00564BC3">
        <w:trPr>
          <w:trHeight w:val="640"/>
          <w:jc w:val="center"/>
        </w:trPr>
        <w:tc>
          <w:tcPr>
            <w:tcW w:w="3109" w:type="dxa"/>
            <w:tcBorders>
              <w:top w:val="nil"/>
              <w:left w:val="single" w:sz="8" w:space="0" w:color="auto"/>
              <w:bottom w:val="single" w:sz="4" w:space="0" w:color="auto"/>
              <w:right w:val="nil"/>
            </w:tcBorders>
            <w:shd w:val="clear" w:color="auto" w:fill="auto"/>
            <w:vAlign w:val="center"/>
            <w:hideMark/>
          </w:tcPr>
          <w:p w14:paraId="75D93483" w14:textId="5155AFD0" w:rsidR="00F4423C" w:rsidRPr="00632906" w:rsidRDefault="00F4423C" w:rsidP="00F4423C">
            <w:pPr>
              <w:spacing w:after="0" w:line="240" w:lineRule="auto"/>
              <w:rPr>
                <w:rFonts w:ascii="Arial Narrow" w:hAnsi="Arial Narrow"/>
                <w:b/>
                <w:bCs/>
                <w:color w:val="000000"/>
                <w:sz w:val="20"/>
                <w:szCs w:val="20"/>
                <w:lang w:eastAsia="en-US"/>
              </w:rPr>
            </w:pPr>
            <w:r w:rsidRPr="00632906">
              <w:rPr>
                <w:rFonts w:ascii="Arial Narrow" w:hAnsi="Arial Narrow"/>
                <w:b/>
                <w:bCs/>
                <w:color w:val="000000"/>
                <w:sz w:val="20"/>
                <w:szCs w:val="20"/>
                <w:lang w:eastAsia="en-US"/>
              </w:rPr>
              <w:t>Optimálna architektúra rezortných IS a personáln</w:t>
            </w:r>
            <w:r w:rsidR="0021675E">
              <w:rPr>
                <w:rFonts w:ascii="Arial Narrow" w:hAnsi="Arial Narrow"/>
                <w:b/>
                <w:bCs/>
                <w:color w:val="000000"/>
                <w:sz w:val="20"/>
                <w:szCs w:val="20"/>
                <w:lang w:eastAsia="en-US"/>
              </w:rPr>
              <w:t>a matica kľúčových IT expertov (</w:t>
            </w:r>
            <w:r w:rsidRPr="00632906">
              <w:rPr>
                <w:rFonts w:ascii="Arial Narrow" w:hAnsi="Arial Narrow"/>
                <w:b/>
                <w:bCs/>
                <w:color w:val="000000"/>
                <w:sz w:val="20"/>
                <w:szCs w:val="20"/>
                <w:lang w:eastAsia="en-US"/>
              </w:rPr>
              <w:t>MS SR</w:t>
            </w:r>
            <w:r w:rsidR="0021675E">
              <w:rPr>
                <w:rFonts w:ascii="Arial Narrow" w:hAnsi="Arial Narrow"/>
                <w:b/>
                <w:bCs/>
                <w:color w:val="000000"/>
                <w:sz w:val="20"/>
                <w:szCs w:val="20"/>
                <w:lang w:eastAsia="en-US"/>
              </w:rPr>
              <w:t>)</w:t>
            </w:r>
          </w:p>
        </w:tc>
        <w:tc>
          <w:tcPr>
            <w:tcW w:w="1220" w:type="dxa"/>
            <w:tcBorders>
              <w:top w:val="nil"/>
              <w:left w:val="single" w:sz="8" w:space="0" w:color="auto"/>
              <w:bottom w:val="single" w:sz="4" w:space="0" w:color="auto"/>
              <w:right w:val="single" w:sz="8" w:space="0" w:color="auto"/>
            </w:tcBorders>
            <w:shd w:val="clear" w:color="auto" w:fill="auto"/>
            <w:vAlign w:val="center"/>
            <w:hideMark/>
          </w:tcPr>
          <w:p w14:paraId="28C07935" w14:textId="5BD9A5AD" w:rsidR="00F4423C" w:rsidRPr="00632906" w:rsidRDefault="00564BC3" w:rsidP="00F4423C">
            <w:pPr>
              <w:spacing w:after="0" w:line="240" w:lineRule="auto"/>
              <w:rPr>
                <w:rFonts w:ascii="Arial Narrow" w:hAnsi="Arial Narrow"/>
                <w:color w:val="000000"/>
                <w:sz w:val="20"/>
                <w:szCs w:val="20"/>
                <w:lang w:eastAsia="en-US"/>
              </w:rPr>
            </w:pPr>
            <w:r>
              <w:rPr>
                <w:rFonts w:ascii="Arial Narrow" w:hAnsi="Arial Narrow"/>
                <w:color w:val="000000"/>
                <w:sz w:val="20"/>
                <w:szCs w:val="20"/>
                <w:lang w:eastAsia="en-US"/>
              </w:rPr>
              <w:t xml:space="preserve">2018 – </w:t>
            </w:r>
            <w:r w:rsidR="00F4423C" w:rsidRPr="00632906">
              <w:rPr>
                <w:rFonts w:ascii="Arial Narrow" w:hAnsi="Arial Narrow"/>
                <w:color w:val="000000"/>
                <w:sz w:val="20"/>
                <w:szCs w:val="20"/>
                <w:lang w:eastAsia="en-US"/>
              </w:rPr>
              <w:t>2019</w:t>
            </w:r>
          </w:p>
        </w:tc>
        <w:tc>
          <w:tcPr>
            <w:tcW w:w="4389" w:type="dxa"/>
            <w:tcBorders>
              <w:top w:val="nil"/>
              <w:left w:val="nil"/>
              <w:bottom w:val="single" w:sz="4" w:space="0" w:color="auto"/>
              <w:right w:val="single" w:sz="8" w:space="0" w:color="auto"/>
            </w:tcBorders>
            <w:shd w:val="clear" w:color="auto" w:fill="auto"/>
            <w:vAlign w:val="center"/>
            <w:hideMark/>
          </w:tcPr>
          <w:p w14:paraId="7AF6A437" w14:textId="77777777" w:rsidR="00F4423C" w:rsidRPr="00632906" w:rsidRDefault="00F4423C" w:rsidP="00F4423C">
            <w:pPr>
              <w:spacing w:after="0" w:line="240" w:lineRule="auto"/>
              <w:rPr>
                <w:rFonts w:ascii="Arial Narrow" w:hAnsi="Arial Narrow"/>
                <w:color w:val="000000"/>
                <w:sz w:val="20"/>
                <w:szCs w:val="20"/>
                <w:lang w:eastAsia="en-US"/>
              </w:rPr>
            </w:pPr>
            <w:r w:rsidRPr="00632906">
              <w:rPr>
                <w:rFonts w:ascii="Arial Narrow" w:hAnsi="Arial Narrow"/>
                <w:color w:val="000000"/>
                <w:sz w:val="20"/>
                <w:szCs w:val="20"/>
                <w:lang w:eastAsia="en-US"/>
              </w:rPr>
              <w:t>Optimalizácia architektúry IT prostredia pre súčasné aj novo budované informačné systémy.</w:t>
            </w:r>
          </w:p>
        </w:tc>
      </w:tr>
      <w:tr w:rsidR="00400DA9" w:rsidRPr="00632906" w14:paraId="632CD26E" w14:textId="77777777" w:rsidTr="00564BC3">
        <w:trPr>
          <w:trHeight w:val="640"/>
          <w:jc w:val="center"/>
        </w:trPr>
        <w:tc>
          <w:tcPr>
            <w:tcW w:w="3109" w:type="dxa"/>
            <w:tcBorders>
              <w:top w:val="nil"/>
              <w:left w:val="single" w:sz="8" w:space="0" w:color="auto"/>
              <w:bottom w:val="single" w:sz="4" w:space="0" w:color="auto"/>
              <w:right w:val="nil"/>
            </w:tcBorders>
            <w:shd w:val="clear" w:color="auto" w:fill="auto"/>
            <w:vAlign w:val="center"/>
            <w:hideMark/>
          </w:tcPr>
          <w:p w14:paraId="18F9388B" w14:textId="2C36FA61" w:rsidR="00F4423C" w:rsidRPr="00632906" w:rsidRDefault="00F4423C" w:rsidP="00F4423C">
            <w:pPr>
              <w:spacing w:after="0" w:line="240" w:lineRule="auto"/>
              <w:rPr>
                <w:rFonts w:ascii="Arial Narrow" w:hAnsi="Arial Narrow"/>
                <w:b/>
                <w:bCs/>
                <w:color w:val="000000"/>
                <w:sz w:val="20"/>
                <w:szCs w:val="20"/>
                <w:lang w:eastAsia="en-US"/>
              </w:rPr>
            </w:pPr>
            <w:r w:rsidRPr="00632906">
              <w:rPr>
                <w:rFonts w:ascii="Arial Narrow" w:hAnsi="Arial Narrow"/>
                <w:b/>
                <w:bCs/>
                <w:color w:val="000000"/>
                <w:sz w:val="20"/>
                <w:szCs w:val="20"/>
                <w:lang w:eastAsia="en-US"/>
              </w:rPr>
              <w:t xml:space="preserve">Vyvíjanie </w:t>
            </w:r>
            <w:proofErr w:type="spellStart"/>
            <w:r w:rsidRPr="00632906">
              <w:rPr>
                <w:rFonts w:ascii="Arial Narrow" w:hAnsi="Arial Narrow"/>
                <w:b/>
                <w:bCs/>
                <w:color w:val="000000"/>
                <w:sz w:val="20"/>
                <w:szCs w:val="20"/>
                <w:lang w:eastAsia="en-US"/>
              </w:rPr>
              <w:t>kriteriálnych</w:t>
            </w:r>
            <w:proofErr w:type="spellEnd"/>
            <w:r w:rsidRPr="00632906">
              <w:rPr>
                <w:rFonts w:ascii="Arial Narrow" w:hAnsi="Arial Narrow"/>
                <w:b/>
                <w:bCs/>
                <w:color w:val="000000"/>
                <w:sz w:val="20"/>
                <w:szCs w:val="20"/>
                <w:lang w:eastAsia="en-US"/>
              </w:rPr>
              <w:t xml:space="preserve"> testov pre primárne a </w:t>
            </w:r>
            <w:r w:rsidR="0021675E">
              <w:rPr>
                <w:rFonts w:ascii="Arial Narrow" w:hAnsi="Arial Narrow"/>
                <w:b/>
                <w:bCs/>
                <w:color w:val="000000"/>
                <w:sz w:val="20"/>
                <w:szCs w:val="20"/>
                <w:lang w:eastAsia="en-US"/>
              </w:rPr>
              <w:t>nižšie sekundárne vzdelávanie (</w:t>
            </w:r>
            <w:r w:rsidRPr="00632906">
              <w:rPr>
                <w:rFonts w:ascii="Arial Narrow" w:hAnsi="Arial Narrow"/>
                <w:b/>
                <w:bCs/>
                <w:color w:val="000000"/>
                <w:sz w:val="20"/>
                <w:szCs w:val="20"/>
                <w:lang w:eastAsia="en-US"/>
              </w:rPr>
              <w:t>MŠ</w:t>
            </w:r>
            <w:r w:rsidR="0021675E">
              <w:rPr>
                <w:rFonts w:ascii="Arial Narrow" w:hAnsi="Arial Narrow"/>
                <w:b/>
                <w:bCs/>
                <w:color w:val="000000"/>
                <w:sz w:val="20"/>
                <w:szCs w:val="20"/>
                <w:lang w:eastAsia="en-US"/>
              </w:rPr>
              <w:t xml:space="preserve">VVŠ </w:t>
            </w:r>
            <w:r w:rsidRPr="00632906">
              <w:rPr>
                <w:rFonts w:ascii="Arial Narrow" w:hAnsi="Arial Narrow"/>
                <w:b/>
                <w:bCs/>
                <w:color w:val="000000"/>
                <w:sz w:val="20"/>
                <w:szCs w:val="20"/>
                <w:lang w:eastAsia="en-US"/>
              </w:rPr>
              <w:t>SR/NUCEM</w:t>
            </w:r>
            <w:r w:rsidR="0021675E">
              <w:rPr>
                <w:rFonts w:ascii="Arial Narrow" w:hAnsi="Arial Narrow"/>
                <w:b/>
                <w:bCs/>
                <w:color w:val="000000"/>
                <w:sz w:val="20"/>
                <w:szCs w:val="20"/>
                <w:lang w:eastAsia="en-US"/>
              </w:rPr>
              <w:t>)</w:t>
            </w:r>
          </w:p>
        </w:tc>
        <w:tc>
          <w:tcPr>
            <w:tcW w:w="1220" w:type="dxa"/>
            <w:tcBorders>
              <w:top w:val="nil"/>
              <w:left w:val="single" w:sz="8" w:space="0" w:color="auto"/>
              <w:bottom w:val="single" w:sz="4" w:space="0" w:color="auto"/>
              <w:right w:val="single" w:sz="8" w:space="0" w:color="auto"/>
            </w:tcBorders>
            <w:shd w:val="clear" w:color="auto" w:fill="auto"/>
            <w:vAlign w:val="center"/>
            <w:hideMark/>
          </w:tcPr>
          <w:p w14:paraId="2BFAF062" w14:textId="62C0593B" w:rsidR="00F4423C" w:rsidRPr="00632906" w:rsidRDefault="00564BC3" w:rsidP="00F4423C">
            <w:pPr>
              <w:spacing w:after="0" w:line="240" w:lineRule="auto"/>
              <w:rPr>
                <w:rFonts w:ascii="Arial Narrow" w:hAnsi="Arial Narrow"/>
                <w:color w:val="000000"/>
                <w:sz w:val="20"/>
                <w:szCs w:val="20"/>
                <w:lang w:eastAsia="en-US"/>
              </w:rPr>
            </w:pPr>
            <w:r>
              <w:rPr>
                <w:rFonts w:ascii="Arial Narrow" w:hAnsi="Arial Narrow"/>
                <w:color w:val="000000"/>
                <w:sz w:val="20"/>
                <w:szCs w:val="20"/>
                <w:lang w:eastAsia="en-US"/>
              </w:rPr>
              <w:t xml:space="preserve">2018 – </w:t>
            </w:r>
            <w:r w:rsidR="00F4423C" w:rsidRPr="00632906">
              <w:rPr>
                <w:rFonts w:ascii="Arial Narrow" w:hAnsi="Arial Narrow"/>
                <w:color w:val="000000"/>
                <w:sz w:val="20"/>
                <w:szCs w:val="20"/>
                <w:lang w:eastAsia="en-US"/>
              </w:rPr>
              <w:t>2020</w:t>
            </w:r>
          </w:p>
        </w:tc>
        <w:tc>
          <w:tcPr>
            <w:tcW w:w="4389" w:type="dxa"/>
            <w:tcBorders>
              <w:top w:val="nil"/>
              <w:left w:val="nil"/>
              <w:bottom w:val="single" w:sz="4" w:space="0" w:color="auto"/>
              <w:right w:val="single" w:sz="8" w:space="0" w:color="auto"/>
            </w:tcBorders>
            <w:shd w:val="clear" w:color="auto" w:fill="auto"/>
            <w:vAlign w:val="center"/>
            <w:hideMark/>
          </w:tcPr>
          <w:p w14:paraId="54E4A8CE" w14:textId="77777777" w:rsidR="00F4423C" w:rsidRPr="00632906" w:rsidRDefault="00F4423C" w:rsidP="00F4423C">
            <w:pPr>
              <w:spacing w:after="0" w:line="240" w:lineRule="auto"/>
              <w:rPr>
                <w:rFonts w:ascii="Arial Narrow" w:hAnsi="Arial Narrow"/>
                <w:color w:val="000000"/>
                <w:sz w:val="20"/>
                <w:szCs w:val="20"/>
                <w:lang w:eastAsia="en-US"/>
              </w:rPr>
            </w:pPr>
            <w:r w:rsidRPr="00632906">
              <w:rPr>
                <w:rFonts w:ascii="Arial Narrow" w:hAnsi="Arial Narrow"/>
                <w:color w:val="000000"/>
                <w:sz w:val="20"/>
                <w:szCs w:val="20"/>
                <w:lang w:eastAsia="en-US"/>
              </w:rPr>
              <w:t>Príprava nového typu testov zo slovenského jazyka a matematiky pre základné školy.</w:t>
            </w:r>
          </w:p>
        </w:tc>
      </w:tr>
      <w:tr w:rsidR="00400DA9" w:rsidRPr="00632906" w14:paraId="606A9976" w14:textId="77777777" w:rsidTr="00564BC3">
        <w:trPr>
          <w:trHeight w:val="640"/>
          <w:jc w:val="center"/>
        </w:trPr>
        <w:tc>
          <w:tcPr>
            <w:tcW w:w="3109" w:type="dxa"/>
            <w:tcBorders>
              <w:top w:val="nil"/>
              <w:left w:val="single" w:sz="8" w:space="0" w:color="auto"/>
              <w:bottom w:val="single" w:sz="4" w:space="0" w:color="auto"/>
              <w:right w:val="nil"/>
            </w:tcBorders>
            <w:shd w:val="clear" w:color="auto" w:fill="auto"/>
            <w:vAlign w:val="center"/>
            <w:hideMark/>
          </w:tcPr>
          <w:p w14:paraId="4991BFDE" w14:textId="5E153167" w:rsidR="00F4423C" w:rsidRPr="00632906" w:rsidRDefault="0021675E" w:rsidP="00F4423C">
            <w:pPr>
              <w:spacing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Kreatívny priemysel (</w:t>
            </w:r>
            <w:r w:rsidR="00F4423C" w:rsidRPr="00632906">
              <w:rPr>
                <w:rFonts w:ascii="Arial Narrow" w:hAnsi="Arial Narrow"/>
                <w:b/>
                <w:bCs/>
                <w:color w:val="000000"/>
                <w:sz w:val="20"/>
                <w:szCs w:val="20"/>
                <w:lang w:eastAsia="en-US"/>
              </w:rPr>
              <w:t>MK SR</w:t>
            </w:r>
            <w:r>
              <w:rPr>
                <w:rFonts w:ascii="Arial Narrow" w:hAnsi="Arial Narrow"/>
                <w:b/>
                <w:bCs/>
                <w:color w:val="000000"/>
                <w:sz w:val="20"/>
                <w:szCs w:val="20"/>
                <w:lang w:eastAsia="en-US"/>
              </w:rPr>
              <w:t>)</w:t>
            </w:r>
          </w:p>
        </w:tc>
        <w:tc>
          <w:tcPr>
            <w:tcW w:w="1220" w:type="dxa"/>
            <w:tcBorders>
              <w:top w:val="nil"/>
              <w:left w:val="single" w:sz="8" w:space="0" w:color="auto"/>
              <w:bottom w:val="single" w:sz="4" w:space="0" w:color="auto"/>
              <w:right w:val="single" w:sz="8" w:space="0" w:color="auto"/>
            </w:tcBorders>
            <w:shd w:val="clear" w:color="auto" w:fill="auto"/>
            <w:vAlign w:val="center"/>
            <w:hideMark/>
          </w:tcPr>
          <w:p w14:paraId="777A95CA" w14:textId="77777777" w:rsidR="00F4423C" w:rsidRPr="00632906" w:rsidRDefault="00F4423C" w:rsidP="00F4423C">
            <w:pPr>
              <w:spacing w:after="0" w:line="240" w:lineRule="auto"/>
              <w:rPr>
                <w:rFonts w:ascii="Arial Narrow" w:hAnsi="Arial Narrow"/>
                <w:color w:val="000000"/>
                <w:sz w:val="20"/>
                <w:szCs w:val="20"/>
                <w:lang w:eastAsia="en-US"/>
              </w:rPr>
            </w:pPr>
            <w:r w:rsidRPr="00632906">
              <w:rPr>
                <w:rFonts w:ascii="Arial Narrow" w:hAnsi="Arial Narrow"/>
                <w:color w:val="000000"/>
                <w:sz w:val="20"/>
                <w:szCs w:val="20"/>
                <w:lang w:eastAsia="en-US"/>
              </w:rPr>
              <w:t>2018</w:t>
            </w:r>
          </w:p>
        </w:tc>
        <w:tc>
          <w:tcPr>
            <w:tcW w:w="4389" w:type="dxa"/>
            <w:tcBorders>
              <w:top w:val="nil"/>
              <w:left w:val="nil"/>
              <w:bottom w:val="single" w:sz="4" w:space="0" w:color="auto"/>
              <w:right w:val="single" w:sz="8" w:space="0" w:color="auto"/>
            </w:tcBorders>
            <w:shd w:val="clear" w:color="auto" w:fill="auto"/>
            <w:vAlign w:val="center"/>
            <w:hideMark/>
          </w:tcPr>
          <w:p w14:paraId="34D16709" w14:textId="77777777" w:rsidR="00F4423C" w:rsidRPr="00632906" w:rsidRDefault="00F4423C" w:rsidP="00F4423C">
            <w:pPr>
              <w:spacing w:after="0" w:line="240" w:lineRule="auto"/>
              <w:rPr>
                <w:rFonts w:ascii="Arial Narrow" w:hAnsi="Arial Narrow"/>
                <w:color w:val="000000"/>
                <w:sz w:val="20"/>
                <w:szCs w:val="20"/>
                <w:lang w:eastAsia="en-US"/>
              </w:rPr>
            </w:pPr>
            <w:r w:rsidRPr="00632906">
              <w:rPr>
                <w:rFonts w:ascii="Arial Narrow" w:hAnsi="Arial Narrow"/>
                <w:color w:val="000000"/>
                <w:sz w:val="20"/>
                <w:szCs w:val="20"/>
                <w:lang w:eastAsia="en-US"/>
              </w:rPr>
              <w:t>Analýza možností verejných a súkromných investícií do kultúrneho a kreatívneho priemyslu s celkovým dopadom na zamestnanosť.</w:t>
            </w:r>
          </w:p>
        </w:tc>
      </w:tr>
      <w:tr w:rsidR="00400DA9" w:rsidRPr="00632906" w14:paraId="138B5E8E" w14:textId="77777777" w:rsidTr="00564BC3">
        <w:trPr>
          <w:trHeight w:val="963"/>
          <w:jc w:val="center"/>
        </w:trPr>
        <w:tc>
          <w:tcPr>
            <w:tcW w:w="3109" w:type="dxa"/>
            <w:tcBorders>
              <w:top w:val="nil"/>
              <w:left w:val="single" w:sz="8" w:space="0" w:color="auto"/>
              <w:bottom w:val="single" w:sz="4" w:space="0" w:color="auto"/>
              <w:right w:val="nil"/>
            </w:tcBorders>
            <w:shd w:val="clear" w:color="auto" w:fill="auto"/>
            <w:vAlign w:val="center"/>
            <w:hideMark/>
          </w:tcPr>
          <w:p w14:paraId="748E31DC" w14:textId="44E1E2BE" w:rsidR="00F4423C" w:rsidRPr="00632906" w:rsidRDefault="00F4423C" w:rsidP="00F4423C">
            <w:pPr>
              <w:spacing w:after="0" w:line="240" w:lineRule="auto"/>
              <w:rPr>
                <w:rFonts w:ascii="Arial Narrow" w:hAnsi="Arial Narrow"/>
                <w:b/>
                <w:bCs/>
                <w:sz w:val="20"/>
                <w:szCs w:val="20"/>
                <w:lang w:eastAsia="en-US"/>
              </w:rPr>
            </w:pPr>
            <w:r w:rsidRPr="00632906">
              <w:rPr>
                <w:rFonts w:ascii="Arial Narrow" w:hAnsi="Arial Narrow"/>
                <w:b/>
                <w:bCs/>
                <w:sz w:val="20"/>
                <w:szCs w:val="20"/>
                <w:lang w:eastAsia="en-US"/>
              </w:rPr>
              <w:t>Reforma</w:t>
            </w:r>
            <w:r w:rsidR="0021675E">
              <w:rPr>
                <w:rFonts w:ascii="Arial Narrow" w:hAnsi="Arial Narrow"/>
                <w:b/>
                <w:bCs/>
                <w:sz w:val="20"/>
                <w:szCs w:val="20"/>
                <w:lang w:eastAsia="en-US"/>
              </w:rPr>
              <w:t xml:space="preserve"> uhoľného regiónu Horná Nitra (</w:t>
            </w:r>
            <w:r w:rsidRPr="00632906">
              <w:rPr>
                <w:rFonts w:ascii="Arial Narrow" w:hAnsi="Arial Narrow"/>
                <w:b/>
                <w:bCs/>
                <w:sz w:val="20"/>
                <w:szCs w:val="20"/>
                <w:lang w:eastAsia="en-US"/>
              </w:rPr>
              <w:t>MH SR</w:t>
            </w:r>
            <w:r w:rsidR="0021675E">
              <w:rPr>
                <w:rFonts w:ascii="Arial Narrow" w:hAnsi="Arial Narrow"/>
                <w:b/>
                <w:bCs/>
                <w:sz w:val="20"/>
                <w:szCs w:val="20"/>
                <w:lang w:eastAsia="en-US"/>
              </w:rPr>
              <w:t>)</w:t>
            </w:r>
          </w:p>
        </w:tc>
        <w:tc>
          <w:tcPr>
            <w:tcW w:w="1220" w:type="dxa"/>
            <w:tcBorders>
              <w:top w:val="nil"/>
              <w:left w:val="single" w:sz="8" w:space="0" w:color="auto"/>
              <w:bottom w:val="single" w:sz="4" w:space="0" w:color="auto"/>
              <w:right w:val="single" w:sz="8" w:space="0" w:color="auto"/>
            </w:tcBorders>
            <w:shd w:val="clear" w:color="auto" w:fill="auto"/>
            <w:vAlign w:val="center"/>
            <w:hideMark/>
          </w:tcPr>
          <w:p w14:paraId="0E1BB7A4" w14:textId="4796853B" w:rsidR="00F4423C" w:rsidRPr="00632906" w:rsidRDefault="00564BC3" w:rsidP="00F4423C">
            <w:pPr>
              <w:spacing w:after="0" w:line="240" w:lineRule="auto"/>
              <w:rPr>
                <w:rFonts w:ascii="Arial Narrow" w:hAnsi="Arial Narrow"/>
                <w:color w:val="000000"/>
                <w:sz w:val="20"/>
                <w:szCs w:val="20"/>
                <w:lang w:eastAsia="en-US"/>
              </w:rPr>
            </w:pPr>
            <w:r>
              <w:rPr>
                <w:rFonts w:ascii="Arial Narrow" w:hAnsi="Arial Narrow"/>
                <w:color w:val="000000"/>
                <w:sz w:val="20"/>
                <w:szCs w:val="20"/>
                <w:lang w:eastAsia="en-US"/>
              </w:rPr>
              <w:t xml:space="preserve">2018 – </w:t>
            </w:r>
            <w:r w:rsidR="00F4423C" w:rsidRPr="00632906">
              <w:rPr>
                <w:rFonts w:ascii="Arial Narrow" w:hAnsi="Arial Narrow"/>
                <w:color w:val="000000"/>
                <w:sz w:val="20"/>
                <w:szCs w:val="20"/>
                <w:lang w:eastAsia="en-US"/>
              </w:rPr>
              <w:t>2019</w:t>
            </w:r>
          </w:p>
        </w:tc>
        <w:tc>
          <w:tcPr>
            <w:tcW w:w="4389" w:type="dxa"/>
            <w:tcBorders>
              <w:top w:val="nil"/>
              <w:left w:val="nil"/>
              <w:bottom w:val="single" w:sz="4" w:space="0" w:color="auto"/>
              <w:right w:val="single" w:sz="8" w:space="0" w:color="auto"/>
            </w:tcBorders>
            <w:shd w:val="clear" w:color="auto" w:fill="auto"/>
            <w:vAlign w:val="center"/>
            <w:hideMark/>
          </w:tcPr>
          <w:p w14:paraId="5860C5A6" w14:textId="77777777" w:rsidR="00F4423C" w:rsidRPr="00632906" w:rsidRDefault="00F4423C" w:rsidP="00F4423C">
            <w:pPr>
              <w:spacing w:after="0" w:line="240" w:lineRule="auto"/>
              <w:rPr>
                <w:rFonts w:ascii="Arial Narrow" w:hAnsi="Arial Narrow"/>
                <w:color w:val="000000"/>
                <w:sz w:val="20"/>
                <w:szCs w:val="20"/>
                <w:lang w:eastAsia="en-US"/>
              </w:rPr>
            </w:pPr>
            <w:r w:rsidRPr="00632906">
              <w:rPr>
                <w:rFonts w:ascii="Arial Narrow" w:hAnsi="Arial Narrow"/>
                <w:color w:val="000000"/>
                <w:sz w:val="20"/>
                <w:szCs w:val="20"/>
                <w:lang w:eastAsia="en-US"/>
              </w:rPr>
              <w:t>Príprava stratégie prechodu uhoľného regiónu na dekarbonizované hospodárstvo, v súlade s cieľom energetickej únie znížiť emisie skleníkových plynov a prechod na bezpečnejší a udržateľnejší energetický systém.</w:t>
            </w:r>
          </w:p>
        </w:tc>
      </w:tr>
      <w:tr w:rsidR="00400DA9" w:rsidRPr="00632906" w14:paraId="44226F7A" w14:textId="77777777" w:rsidTr="00564BC3">
        <w:trPr>
          <w:trHeight w:val="640"/>
          <w:jc w:val="center"/>
        </w:trPr>
        <w:tc>
          <w:tcPr>
            <w:tcW w:w="3109" w:type="dxa"/>
            <w:tcBorders>
              <w:top w:val="nil"/>
              <w:left w:val="single" w:sz="8" w:space="0" w:color="auto"/>
              <w:bottom w:val="single" w:sz="4" w:space="0" w:color="auto"/>
              <w:right w:val="nil"/>
            </w:tcBorders>
            <w:shd w:val="clear" w:color="auto" w:fill="auto"/>
            <w:vAlign w:val="center"/>
            <w:hideMark/>
          </w:tcPr>
          <w:p w14:paraId="64B71A9E" w14:textId="4D4127D6" w:rsidR="00F4423C" w:rsidRPr="00632906" w:rsidRDefault="00F4423C" w:rsidP="00F4423C">
            <w:pPr>
              <w:spacing w:after="0" w:line="240" w:lineRule="auto"/>
              <w:rPr>
                <w:rFonts w:ascii="Arial Narrow" w:hAnsi="Arial Narrow"/>
                <w:b/>
                <w:bCs/>
                <w:sz w:val="20"/>
                <w:szCs w:val="20"/>
                <w:lang w:eastAsia="en-US"/>
              </w:rPr>
            </w:pPr>
            <w:r w:rsidRPr="00632906">
              <w:rPr>
                <w:rFonts w:ascii="Arial Narrow" w:hAnsi="Arial Narrow"/>
                <w:b/>
                <w:bCs/>
                <w:sz w:val="20"/>
                <w:szCs w:val="20"/>
                <w:lang w:eastAsia="en-US"/>
              </w:rPr>
              <w:t>Budovanie kapac</w:t>
            </w:r>
            <w:r w:rsidR="0021675E">
              <w:rPr>
                <w:rFonts w:ascii="Arial Narrow" w:hAnsi="Arial Narrow"/>
                <w:b/>
                <w:bCs/>
                <w:sz w:val="20"/>
                <w:szCs w:val="20"/>
                <w:lang w:eastAsia="en-US"/>
              </w:rPr>
              <w:t>ít pre Úrad pre informatizáciu (</w:t>
            </w:r>
            <w:r w:rsidRPr="00632906">
              <w:rPr>
                <w:rFonts w:ascii="Arial Narrow" w:hAnsi="Arial Narrow"/>
                <w:b/>
                <w:bCs/>
                <w:sz w:val="20"/>
                <w:szCs w:val="20"/>
                <w:lang w:eastAsia="en-US"/>
              </w:rPr>
              <w:t>ÚPV</w:t>
            </w:r>
            <w:r w:rsidR="0021675E">
              <w:rPr>
                <w:rFonts w:ascii="Arial Narrow" w:hAnsi="Arial Narrow"/>
                <w:b/>
                <w:bCs/>
                <w:sz w:val="20"/>
                <w:szCs w:val="20"/>
                <w:lang w:eastAsia="en-US"/>
              </w:rPr>
              <w:t>II)</w:t>
            </w:r>
          </w:p>
        </w:tc>
        <w:tc>
          <w:tcPr>
            <w:tcW w:w="1220" w:type="dxa"/>
            <w:tcBorders>
              <w:top w:val="nil"/>
              <w:left w:val="single" w:sz="8" w:space="0" w:color="auto"/>
              <w:bottom w:val="single" w:sz="4" w:space="0" w:color="auto"/>
              <w:right w:val="single" w:sz="8" w:space="0" w:color="auto"/>
            </w:tcBorders>
            <w:shd w:val="clear" w:color="auto" w:fill="auto"/>
            <w:vAlign w:val="center"/>
            <w:hideMark/>
          </w:tcPr>
          <w:p w14:paraId="5F84FF9B" w14:textId="75AF4A5C" w:rsidR="00F4423C" w:rsidRPr="00632906" w:rsidRDefault="00564BC3" w:rsidP="00F4423C">
            <w:pPr>
              <w:spacing w:after="0" w:line="240" w:lineRule="auto"/>
              <w:rPr>
                <w:rFonts w:ascii="Arial Narrow" w:hAnsi="Arial Narrow"/>
                <w:color w:val="000000"/>
                <w:sz w:val="20"/>
                <w:szCs w:val="20"/>
                <w:lang w:eastAsia="en-US"/>
              </w:rPr>
            </w:pPr>
            <w:r>
              <w:rPr>
                <w:rFonts w:ascii="Arial Narrow" w:hAnsi="Arial Narrow"/>
                <w:color w:val="000000"/>
                <w:sz w:val="20"/>
                <w:szCs w:val="20"/>
                <w:lang w:eastAsia="en-US"/>
              </w:rPr>
              <w:t xml:space="preserve">2018 – </w:t>
            </w:r>
            <w:r w:rsidR="00F4423C" w:rsidRPr="00632906">
              <w:rPr>
                <w:rFonts w:ascii="Arial Narrow" w:hAnsi="Arial Narrow"/>
                <w:color w:val="000000"/>
                <w:sz w:val="20"/>
                <w:szCs w:val="20"/>
                <w:lang w:eastAsia="en-US"/>
              </w:rPr>
              <w:t>2019</w:t>
            </w:r>
          </w:p>
        </w:tc>
        <w:tc>
          <w:tcPr>
            <w:tcW w:w="4389" w:type="dxa"/>
            <w:tcBorders>
              <w:top w:val="nil"/>
              <w:left w:val="nil"/>
              <w:bottom w:val="single" w:sz="4" w:space="0" w:color="auto"/>
              <w:right w:val="single" w:sz="8" w:space="0" w:color="auto"/>
            </w:tcBorders>
            <w:shd w:val="clear" w:color="auto" w:fill="auto"/>
            <w:vAlign w:val="center"/>
            <w:hideMark/>
          </w:tcPr>
          <w:p w14:paraId="0C4EBFD8" w14:textId="77777777" w:rsidR="00F4423C" w:rsidRPr="00632906" w:rsidRDefault="00F4423C" w:rsidP="00F4423C">
            <w:pPr>
              <w:spacing w:after="0" w:line="240" w:lineRule="auto"/>
              <w:rPr>
                <w:rFonts w:ascii="Arial Narrow" w:hAnsi="Arial Narrow"/>
                <w:color w:val="000000"/>
                <w:sz w:val="20"/>
                <w:szCs w:val="20"/>
                <w:lang w:eastAsia="en-US"/>
              </w:rPr>
            </w:pPr>
            <w:r w:rsidRPr="00632906">
              <w:rPr>
                <w:rFonts w:ascii="Arial Narrow" w:hAnsi="Arial Narrow"/>
                <w:color w:val="000000"/>
                <w:sz w:val="20"/>
                <w:szCs w:val="20"/>
                <w:lang w:eastAsia="en-US"/>
              </w:rPr>
              <w:t>Budovanie kapacít v oblasti správy údajov a v rámci riadenia dodávok IT; digitálna transformácia.</w:t>
            </w:r>
          </w:p>
        </w:tc>
      </w:tr>
      <w:tr w:rsidR="00400DA9" w:rsidRPr="00632906" w14:paraId="00E5BC56" w14:textId="77777777" w:rsidTr="00564BC3">
        <w:trPr>
          <w:trHeight w:val="655"/>
          <w:jc w:val="center"/>
        </w:trPr>
        <w:tc>
          <w:tcPr>
            <w:tcW w:w="3109" w:type="dxa"/>
            <w:tcBorders>
              <w:top w:val="nil"/>
              <w:left w:val="single" w:sz="8" w:space="0" w:color="auto"/>
              <w:bottom w:val="single" w:sz="8" w:space="0" w:color="auto"/>
              <w:right w:val="nil"/>
            </w:tcBorders>
            <w:shd w:val="clear" w:color="auto" w:fill="auto"/>
            <w:vAlign w:val="center"/>
            <w:hideMark/>
          </w:tcPr>
          <w:p w14:paraId="193B5B0A" w14:textId="65719556" w:rsidR="00564BC3" w:rsidRDefault="00F4423C" w:rsidP="00F4423C">
            <w:pPr>
              <w:spacing w:after="0" w:line="240" w:lineRule="auto"/>
              <w:rPr>
                <w:rFonts w:ascii="Arial Narrow" w:hAnsi="Arial Narrow"/>
                <w:b/>
                <w:bCs/>
                <w:color w:val="000000"/>
                <w:sz w:val="20"/>
                <w:szCs w:val="20"/>
                <w:lang w:eastAsia="en-US"/>
              </w:rPr>
            </w:pPr>
            <w:r w:rsidRPr="00632906">
              <w:rPr>
                <w:rFonts w:ascii="Arial Narrow" w:hAnsi="Arial Narrow"/>
                <w:b/>
                <w:bCs/>
                <w:color w:val="000000"/>
                <w:sz w:val="20"/>
                <w:szCs w:val="20"/>
                <w:lang w:eastAsia="en-US"/>
              </w:rPr>
              <w:t xml:space="preserve">Vytvorenie podporného prostredia </w:t>
            </w:r>
            <w:proofErr w:type="spellStart"/>
            <w:r w:rsidRPr="00632906">
              <w:rPr>
                <w:rFonts w:ascii="Arial Narrow" w:hAnsi="Arial Narrow"/>
                <w:b/>
                <w:bCs/>
                <w:color w:val="000000"/>
                <w:sz w:val="20"/>
                <w:szCs w:val="20"/>
                <w:lang w:eastAsia="en-US"/>
              </w:rPr>
              <w:t>Fi</w:t>
            </w:r>
            <w:r w:rsidR="0021675E">
              <w:rPr>
                <w:rFonts w:ascii="Arial Narrow" w:hAnsi="Arial Narrow"/>
                <w:b/>
                <w:bCs/>
                <w:color w:val="000000"/>
                <w:sz w:val="20"/>
                <w:szCs w:val="20"/>
                <w:lang w:eastAsia="en-US"/>
              </w:rPr>
              <w:t>nTech</w:t>
            </w:r>
            <w:proofErr w:type="spellEnd"/>
            <w:r w:rsidR="0021675E">
              <w:rPr>
                <w:rFonts w:ascii="Arial Narrow" w:hAnsi="Arial Narrow"/>
                <w:b/>
                <w:bCs/>
                <w:color w:val="000000"/>
                <w:sz w:val="20"/>
                <w:szCs w:val="20"/>
                <w:lang w:eastAsia="en-US"/>
              </w:rPr>
              <w:t xml:space="preserve"> spoločnosti na Slovensku </w:t>
            </w:r>
          </w:p>
          <w:p w14:paraId="781B6306" w14:textId="0DD035C6" w:rsidR="00F4423C" w:rsidRPr="00632906" w:rsidRDefault="0021675E" w:rsidP="00F4423C">
            <w:pPr>
              <w:spacing w:after="0" w:line="240" w:lineRule="auto"/>
              <w:rPr>
                <w:rFonts w:ascii="Arial Narrow" w:hAnsi="Arial Narrow"/>
                <w:b/>
                <w:bCs/>
                <w:color w:val="000000"/>
                <w:sz w:val="20"/>
                <w:szCs w:val="20"/>
                <w:lang w:eastAsia="en-US"/>
              </w:rPr>
            </w:pPr>
            <w:r>
              <w:rPr>
                <w:rFonts w:ascii="Arial Narrow" w:hAnsi="Arial Narrow"/>
                <w:b/>
                <w:bCs/>
                <w:color w:val="000000"/>
                <w:sz w:val="20"/>
                <w:szCs w:val="20"/>
                <w:lang w:eastAsia="en-US"/>
              </w:rPr>
              <w:t>(</w:t>
            </w:r>
            <w:r w:rsidR="00564BC3">
              <w:rPr>
                <w:rFonts w:ascii="Arial Narrow" w:hAnsi="Arial Narrow"/>
                <w:b/>
                <w:bCs/>
                <w:color w:val="000000"/>
                <w:sz w:val="20"/>
                <w:szCs w:val="20"/>
                <w:lang w:eastAsia="en-US"/>
              </w:rPr>
              <w:t xml:space="preserve">MF </w:t>
            </w:r>
            <w:r w:rsidR="00F4423C" w:rsidRPr="00632906">
              <w:rPr>
                <w:rFonts w:ascii="Arial Narrow" w:hAnsi="Arial Narrow"/>
                <w:b/>
                <w:bCs/>
                <w:color w:val="000000"/>
                <w:sz w:val="20"/>
                <w:szCs w:val="20"/>
                <w:lang w:eastAsia="en-US"/>
              </w:rPr>
              <w:t>SR</w:t>
            </w:r>
            <w:r>
              <w:rPr>
                <w:rFonts w:ascii="Arial Narrow" w:hAnsi="Arial Narrow"/>
                <w:b/>
                <w:bCs/>
                <w:color w:val="000000"/>
                <w:sz w:val="20"/>
                <w:szCs w:val="20"/>
                <w:lang w:eastAsia="en-US"/>
              </w:rPr>
              <w:t>)</w:t>
            </w:r>
          </w:p>
        </w:tc>
        <w:tc>
          <w:tcPr>
            <w:tcW w:w="1220" w:type="dxa"/>
            <w:tcBorders>
              <w:top w:val="nil"/>
              <w:left w:val="single" w:sz="8" w:space="0" w:color="auto"/>
              <w:bottom w:val="single" w:sz="8" w:space="0" w:color="auto"/>
              <w:right w:val="single" w:sz="8" w:space="0" w:color="auto"/>
            </w:tcBorders>
            <w:shd w:val="clear" w:color="auto" w:fill="auto"/>
            <w:vAlign w:val="center"/>
            <w:hideMark/>
          </w:tcPr>
          <w:p w14:paraId="4DB2D6DD" w14:textId="424D979D" w:rsidR="00F4423C" w:rsidRPr="00632906" w:rsidRDefault="00564BC3" w:rsidP="00F4423C">
            <w:pPr>
              <w:spacing w:after="0" w:line="240" w:lineRule="auto"/>
              <w:rPr>
                <w:rFonts w:ascii="Arial Narrow" w:hAnsi="Arial Narrow"/>
                <w:color w:val="000000"/>
                <w:sz w:val="20"/>
                <w:szCs w:val="20"/>
                <w:lang w:eastAsia="en-US"/>
              </w:rPr>
            </w:pPr>
            <w:r>
              <w:rPr>
                <w:rFonts w:ascii="Arial Narrow" w:hAnsi="Arial Narrow"/>
                <w:color w:val="000000"/>
                <w:sz w:val="20"/>
                <w:szCs w:val="20"/>
                <w:lang w:eastAsia="en-US"/>
              </w:rPr>
              <w:t xml:space="preserve">2018 – </w:t>
            </w:r>
            <w:r w:rsidR="00F4423C" w:rsidRPr="00632906">
              <w:rPr>
                <w:rFonts w:ascii="Arial Narrow" w:hAnsi="Arial Narrow"/>
                <w:color w:val="000000"/>
                <w:sz w:val="20"/>
                <w:szCs w:val="20"/>
                <w:lang w:eastAsia="en-US"/>
              </w:rPr>
              <w:t>2020</w:t>
            </w:r>
          </w:p>
        </w:tc>
        <w:tc>
          <w:tcPr>
            <w:tcW w:w="4389" w:type="dxa"/>
            <w:tcBorders>
              <w:top w:val="nil"/>
              <w:left w:val="nil"/>
              <w:bottom w:val="single" w:sz="8" w:space="0" w:color="auto"/>
              <w:right w:val="single" w:sz="8" w:space="0" w:color="auto"/>
            </w:tcBorders>
            <w:shd w:val="clear" w:color="auto" w:fill="auto"/>
            <w:vAlign w:val="center"/>
            <w:hideMark/>
          </w:tcPr>
          <w:p w14:paraId="60E9B586" w14:textId="5E77A47A" w:rsidR="00F4423C" w:rsidRPr="00632906" w:rsidRDefault="00F4423C" w:rsidP="00F4423C">
            <w:pPr>
              <w:spacing w:after="0" w:line="240" w:lineRule="auto"/>
              <w:rPr>
                <w:rFonts w:ascii="Arial Narrow" w:hAnsi="Arial Narrow"/>
                <w:color w:val="000000"/>
                <w:sz w:val="20"/>
                <w:szCs w:val="20"/>
                <w:lang w:eastAsia="en-US"/>
              </w:rPr>
            </w:pPr>
            <w:r w:rsidRPr="00632906">
              <w:rPr>
                <w:rFonts w:ascii="Arial Narrow" w:hAnsi="Arial Narrow"/>
                <w:color w:val="000000"/>
                <w:sz w:val="20"/>
                <w:szCs w:val="20"/>
                <w:lang w:eastAsia="en-US"/>
              </w:rPr>
              <w:t xml:space="preserve">Stratégia a opatrenia na zlepšenie prostredia </w:t>
            </w:r>
            <w:proofErr w:type="spellStart"/>
            <w:r w:rsidRPr="00632906">
              <w:rPr>
                <w:rFonts w:ascii="Arial Narrow" w:hAnsi="Arial Narrow"/>
                <w:color w:val="000000"/>
                <w:sz w:val="20"/>
                <w:szCs w:val="20"/>
                <w:lang w:eastAsia="en-US"/>
              </w:rPr>
              <w:t>FinTech</w:t>
            </w:r>
            <w:proofErr w:type="spellEnd"/>
            <w:r w:rsidRPr="00632906">
              <w:rPr>
                <w:rFonts w:ascii="Arial Narrow" w:hAnsi="Arial Narrow"/>
                <w:color w:val="000000"/>
                <w:sz w:val="20"/>
                <w:szCs w:val="20"/>
                <w:lang w:eastAsia="en-US"/>
              </w:rPr>
              <w:t xml:space="preserve"> sp</w:t>
            </w:r>
            <w:r w:rsidR="00564BC3">
              <w:rPr>
                <w:rFonts w:ascii="Arial Narrow" w:hAnsi="Arial Narrow"/>
                <w:color w:val="000000"/>
                <w:sz w:val="20"/>
                <w:szCs w:val="20"/>
                <w:lang w:eastAsia="en-US"/>
              </w:rPr>
              <w:t>o</w:t>
            </w:r>
            <w:r w:rsidRPr="00632906">
              <w:rPr>
                <w:rFonts w:ascii="Arial Narrow" w:hAnsi="Arial Narrow"/>
                <w:color w:val="000000"/>
                <w:sz w:val="20"/>
                <w:szCs w:val="20"/>
                <w:lang w:eastAsia="en-US"/>
              </w:rPr>
              <w:t xml:space="preserve">ločností na Slovensku. </w:t>
            </w:r>
          </w:p>
        </w:tc>
      </w:tr>
    </w:tbl>
    <w:p w14:paraId="0AF424DD" w14:textId="13DFE89A" w:rsidR="0049702D" w:rsidRDefault="0049702D" w:rsidP="0049702D">
      <w:pPr>
        <w:spacing w:after="0" w:line="240" w:lineRule="auto"/>
        <w:jc w:val="both"/>
        <w:rPr>
          <w:rFonts w:ascii="Arial Narrow" w:hAnsi="Arial Narrow"/>
        </w:rPr>
      </w:pPr>
    </w:p>
    <w:p w14:paraId="5EB47518" w14:textId="77777777" w:rsidR="0021675E" w:rsidRDefault="0021675E">
      <w:pPr>
        <w:spacing w:after="0" w:line="240" w:lineRule="auto"/>
        <w:rPr>
          <w:rFonts w:ascii="Arial Narrow" w:hAnsi="Arial Narrow"/>
          <w:b/>
          <w:i/>
        </w:rPr>
      </w:pPr>
      <w:r>
        <w:rPr>
          <w:rFonts w:ascii="Arial Narrow" w:hAnsi="Arial Narrow"/>
          <w:b/>
          <w:i/>
        </w:rPr>
        <w:br w:type="page"/>
      </w:r>
    </w:p>
    <w:p w14:paraId="03B7C745" w14:textId="5876C019" w:rsidR="008F2FB3" w:rsidRPr="00F50C19" w:rsidRDefault="00F50C19" w:rsidP="00F50C19">
      <w:pPr>
        <w:spacing w:after="0" w:line="240" w:lineRule="auto"/>
        <w:jc w:val="both"/>
        <w:rPr>
          <w:rStyle w:val="Siln"/>
          <w:rFonts w:ascii="Arial Narrow" w:hAnsi="Arial Narrow"/>
          <w:bCs w:val="0"/>
          <w:i/>
        </w:rPr>
      </w:pPr>
      <w:r>
        <w:rPr>
          <w:rFonts w:ascii="Arial Narrow" w:hAnsi="Arial Narrow"/>
          <w:b/>
          <w:i/>
        </w:rPr>
        <w:lastRenderedPageBreak/>
        <w:t>Súdnictvo</w:t>
      </w:r>
    </w:p>
    <w:p w14:paraId="38F9E64A" w14:textId="78051766" w:rsidR="00B20423" w:rsidRDefault="0015634D" w:rsidP="003F35A7">
      <w:pPr>
        <w:spacing w:after="0" w:line="240" w:lineRule="auto"/>
        <w:jc w:val="both"/>
        <w:rPr>
          <w:rFonts w:ascii="Arial Narrow" w:hAnsi="Arial Narrow"/>
        </w:rPr>
      </w:pPr>
      <w:r>
        <w:rPr>
          <w:rFonts w:ascii="Arial Narrow" w:hAnsi="Arial Narrow"/>
        </w:rPr>
        <w:t xml:space="preserve">V roku 2018 sa vypracuje </w:t>
      </w:r>
      <w:r w:rsidRPr="00864091">
        <w:rPr>
          <w:rFonts w:ascii="Arial Narrow" w:hAnsi="Arial Narrow"/>
          <w:b/>
        </w:rPr>
        <w:t xml:space="preserve">akčný plán implementácie záverov a odporúčaní zo </w:t>
      </w:r>
      <w:r w:rsidRPr="00155A83">
        <w:rPr>
          <w:rFonts w:ascii="Arial Narrow" w:hAnsi="Arial Narrow"/>
          <w:b/>
          <w:i/>
        </w:rPr>
        <w:t>Správy k stave justície</w:t>
      </w:r>
      <w:r w:rsidRPr="0015634D">
        <w:rPr>
          <w:rFonts w:ascii="Arial Narrow" w:hAnsi="Arial Narrow"/>
        </w:rPr>
        <w:t xml:space="preserve"> (</w:t>
      </w:r>
      <w:r w:rsidR="00106EDB">
        <w:rPr>
          <w:rFonts w:ascii="Arial Narrow" w:hAnsi="Arial Narrow"/>
        </w:rPr>
        <w:t xml:space="preserve">Európska komisia </w:t>
      </w:r>
      <w:r w:rsidRPr="0015634D">
        <w:rPr>
          <w:rFonts w:ascii="Arial Narrow" w:hAnsi="Arial Narrow"/>
        </w:rPr>
        <w:t>CEPEJ 2017</w:t>
      </w:r>
      <w:r>
        <w:rPr>
          <w:rStyle w:val="Odkaznapoznmkupodiarou"/>
          <w:rFonts w:ascii="Arial Narrow" w:hAnsi="Arial Narrow"/>
        </w:rPr>
        <w:footnoteReference w:id="53"/>
      </w:r>
      <w:r w:rsidRPr="0015634D">
        <w:rPr>
          <w:rFonts w:ascii="Arial Narrow" w:hAnsi="Arial Narrow"/>
        </w:rPr>
        <w:t>).</w:t>
      </w:r>
      <w:r>
        <w:rPr>
          <w:rFonts w:ascii="Arial Narrow" w:hAnsi="Arial Narrow"/>
        </w:rPr>
        <w:t xml:space="preserve"> </w:t>
      </w:r>
      <w:r w:rsidR="00991A0E">
        <w:rPr>
          <w:rFonts w:ascii="Arial Narrow" w:hAnsi="Arial Narrow"/>
        </w:rPr>
        <w:t>Pod</w:t>
      </w:r>
      <w:r>
        <w:rPr>
          <w:rFonts w:ascii="Arial Narrow" w:hAnsi="Arial Narrow"/>
        </w:rPr>
        <w:t xml:space="preserve">ľa hodnotiacej správy súdnictva </w:t>
      </w:r>
      <w:r w:rsidR="00991A0E">
        <w:rPr>
          <w:rFonts w:ascii="Arial Narrow" w:hAnsi="Arial Narrow"/>
        </w:rPr>
        <w:t>sú hlavným problémom na Slovensku staré exekúcie. Politický zásah</w:t>
      </w:r>
      <w:r w:rsidR="008B19B9">
        <w:rPr>
          <w:rFonts w:ascii="Arial Narrow" w:hAnsi="Arial Narrow"/>
        </w:rPr>
        <w:t xml:space="preserve"> v podobe mimoriadneho zákona</w:t>
      </w:r>
      <w:r w:rsidR="00991A0E">
        <w:rPr>
          <w:rFonts w:ascii="Arial Narrow" w:hAnsi="Arial Narrow"/>
        </w:rPr>
        <w:t xml:space="preserve"> by</w:t>
      </w:r>
      <w:r w:rsidR="003F35A7">
        <w:rPr>
          <w:rFonts w:ascii="Arial Narrow" w:hAnsi="Arial Narrow"/>
        </w:rPr>
        <w:t xml:space="preserve"> podľa správy</w:t>
      </w:r>
      <w:r w:rsidR="00991A0E">
        <w:rPr>
          <w:rFonts w:ascii="Arial Narrow" w:hAnsi="Arial Narrow"/>
        </w:rPr>
        <w:t xml:space="preserve"> mal zjednodušiť a urýchliť vybavenie starých exekúcií. Slovensk</w:t>
      </w:r>
      <w:r w:rsidR="003F35A7">
        <w:rPr>
          <w:rFonts w:ascii="Arial Narrow" w:hAnsi="Arial Narrow"/>
        </w:rPr>
        <w:t>í sudcovia</w:t>
      </w:r>
      <w:r w:rsidR="00991A0E">
        <w:rPr>
          <w:rFonts w:ascii="Arial Narrow" w:hAnsi="Arial Narrow"/>
        </w:rPr>
        <w:t xml:space="preserve"> by sa mal</w:t>
      </w:r>
      <w:r w:rsidR="003F35A7">
        <w:rPr>
          <w:rFonts w:ascii="Arial Narrow" w:hAnsi="Arial Narrow"/>
        </w:rPr>
        <w:t>i</w:t>
      </w:r>
      <w:r w:rsidR="00991A0E">
        <w:rPr>
          <w:rFonts w:ascii="Arial Narrow" w:hAnsi="Arial Narrow"/>
        </w:rPr>
        <w:t xml:space="preserve"> viac špecializovať</w:t>
      </w:r>
      <w:r w:rsidR="003F35A7">
        <w:rPr>
          <w:rFonts w:ascii="Arial Narrow" w:hAnsi="Arial Narrow"/>
        </w:rPr>
        <w:t xml:space="preserve"> na jednu z hlavných agend (obchodné, občianske, správne, či rodinné právo). Reforma súdnej mapy by mala uvedenú špecializáciu umožniť.</w:t>
      </w:r>
      <w:r w:rsidR="00991A0E">
        <w:rPr>
          <w:rFonts w:ascii="Arial Narrow" w:hAnsi="Arial Narrow"/>
        </w:rPr>
        <w:t xml:space="preserve"> Prvým krokom bolo vytvorenie špecializovaného súdu v Banskej Bystrici. Nedostatkom je podľa štúdie aj pomalé obsadzovanie voľných sudcovských miest.</w:t>
      </w:r>
      <w:r w:rsidR="003F35A7">
        <w:rPr>
          <w:rFonts w:ascii="Arial Narrow" w:hAnsi="Arial Narrow"/>
        </w:rPr>
        <w:t xml:space="preserve"> </w:t>
      </w:r>
    </w:p>
    <w:p w14:paraId="7078F3FF" w14:textId="77777777" w:rsidR="00991A0E" w:rsidRDefault="00991A0E" w:rsidP="004D7F2A">
      <w:pPr>
        <w:spacing w:after="0" w:line="240" w:lineRule="auto"/>
        <w:jc w:val="both"/>
        <w:rPr>
          <w:rFonts w:ascii="Arial Narrow" w:hAnsi="Arial Narrow"/>
          <w:bCs/>
        </w:rPr>
      </w:pPr>
    </w:p>
    <w:p w14:paraId="6B35785E" w14:textId="55A7C784" w:rsidR="009B50F7" w:rsidRPr="004D7F2A" w:rsidRDefault="009B50F7" w:rsidP="004D7F2A">
      <w:pPr>
        <w:spacing w:after="0" w:line="240" w:lineRule="auto"/>
        <w:jc w:val="both"/>
        <w:rPr>
          <w:rFonts w:ascii="Arial Narrow" w:hAnsi="Arial Narrow"/>
        </w:rPr>
      </w:pPr>
      <w:r w:rsidRPr="00801F44">
        <w:rPr>
          <w:rFonts w:ascii="Arial Narrow" w:hAnsi="Arial Narrow"/>
          <w:bCs/>
        </w:rPr>
        <w:t xml:space="preserve">Pozornosť sa bude venovať </w:t>
      </w:r>
      <w:r w:rsidRPr="00801F44">
        <w:rPr>
          <w:rFonts w:ascii="Arial Narrow" w:hAnsi="Arial Narrow"/>
          <w:b/>
          <w:bCs/>
        </w:rPr>
        <w:t>riešeniu problému starých exekučných konaní</w:t>
      </w:r>
      <w:r w:rsidRPr="00801F44">
        <w:rPr>
          <w:rFonts w:ascii="Arial Narrow" w:hAnsi="Arial Narrow"/>
        </w:rPr>
        <w:t>. Aj po zavedení nových exek</w:t>
      </w:r>
      <w:r w:rsidR="00987CF0" w:rsidRPr="00801F44">
        <w:rPr>
          <w:rFonts w:ascii="Arial Narrow" w:hAnsi="Arial Narrow"/>
        </w:rPr>
        <w:t xml:space="preserve">učných pravidiel platných od </w:t>
      </w:r>
      <w:r w:rsidRPr="00801F44">
        <w:rPr>
          <w:rFonts w:ascii="Arial Narrow" w:hAnsi="Arial Narrow"/>
        </w:rPr>
        <w:t xml:space="preserve">apríla 2017 zostáva </w:t>
      </w:r>
      <w:r w:rsidR="00781A40">
        <w:rPr>
          <w:rFonts w:ascii="Arial Narrow" w:hAnsi="Arial Narrow"/>
        </w:rPr>
        <w:t xml:space="preserve">totiž </w:t>
      </w:r>
      <w:r w:rsidRPr="00801F44">
        <w:rPr>
          <w:rFonts w:ascii="Arial Narrow" w:hAnsi="Arial Narrow"/>
        </w:rPr>
        <w:t>n</w:t>
      </w:r>
      <w:r w:rsidR="008F2FB3" w:rsidRPr="00801F44">
        <w:rPr>
          <w:rFonts w:ascii="Arial Narrow" w:hAnsi="Arial Narrow"/>
        </w:rPr>
        <w:t xml:space="preserve">a súdoch </w:t>
      </w:r>
      <w:r w:rsidRPr="00801F44">
        <w:rPr>
          <w:rFonts w:ascii="Arial Narrow" w:hAnsi="Arial Narrow"/>
        </w:rPr>
        <w:t xml:space="preserve">približne </w:t>
      </w:r>
      <w:r w:rsidR="008F2FB3" w:rsidRPr="00801F44">
        <w:rPr>
          <w:rFonts w:ascii="Arial Narrow" w:hAnsi="Arial Narrow"/>
        </w:rPr>
        <w:t>3,7</w:t>
      </w:r>
      <w:r w:rsidR="00987CF0" w:rsidRPr="00801F44">
        <w:rPr>
          <w:rFonts w:ascii="Arial Narrow" w:hAnsi="Arial Narrow"/>
        </w:rPr>
        <w:t xml:space="preserve"> </w:t>
      </w:r>
      <w:r w:rsidR="008F2FB3" w:rsidRPr="00801F44">
        <w:rPr>
          <w:rFonts w:ascii="Arial Narrow" w:hAnsi="Arial Narrow"/>
        </w:rPr>
        <w:t>mil. starých exekúcií.</w:t>
      </w:r>
      <w:r w:rsidRPr="00801F44">
        <w:rPr>
          <w:rFonts w:ascii="Arial Narrow" w:hAnsi="Arial Narrow"/>
        </w:rPr>
        <w:t xml:space="preserve"> Týmito exekúciami sa zaoberá značná časť súdnych úradníkov a sudcov, pričom v nich nedoc</w:t>
      </w:r>
      <w:r w:rsidR="00953170">
        <w:rPr>
          <w:rFonts w:ascii="Arial Narrow" w:hAnsi="Arial Narrow"/>
        </w:rPr>
        <w:t xml:space="preserve">hádza k razantnému napredovaniu </w:t>
      </w:r>
      <w:r w:rsidR="00754872" w:rsidRPr="00801F44">
        <w:rPr>
          <w:rFonts w:ascii="Arial Narrow" w:hAnsi="Arial Narrow"/>
          <w:i/>
        </w:rPr>
        <w:t>(bude doplnené, ak budú známe detaily)</w:t>
      </w:r>
      <w:r w:rsidR="003F35A7" w:rsidRPr="00801F44">
        <w:rPr>
          <w:rFonts w:ascii="Arial Narrow" w:hAnsi="Arial Narrow"/>
        </w:rPr>
        <w:t>.</w:t>
      </w:r>
    </w:p>
    <w:p w14:paraId="7D579C5D" w14:textId="77777777" w:rsidR="008F2FB3" w:rsidRPr="004D7F2A" w:rsidRDefault="008F2FB3" w:rsidP="004D7F2A">
      <w:pPr>
        <w:pStyle w:val="Normlnywebov"/>
        <w:spacing w:before="0" w:beforeAutospacing="0" w:after="0" w:afterAutospacing="0"/>
        <w:jc w:val="both"/>
        <w:textAlignment w:val="baseline"/>
        <w:rPr>
          <w:rFonts w:ascii="Arial Narrow" w:hAnsi="Arial Narrow"/>
          <w:sz w:val="22"/>
          <w:szCs w:val="22"/>
        </w:rPr>
      </w:pPr>
      <w:r w:rsidRPr="004D7F2A">
        <w:rPr>
          <w:rFonts w:ascii="Arial Narrow" w:hAnsi="Arial Narrow"/>
          <w:sz w:val="22"/>
          <w:szCs w:val="22"/>
        </w:rPr>
        <w:br/>
      </w:r>
      <w:r w:rsidR="00F50C19" w:rsidRPr="004D7F2A">
        <w:rPr>
          <w:rFonts w:ascii="Arial Narrow" w:hAnsi="Arial Narrow"/>
          <w:b/>
          <w:sz w:val="22"/>
          <w:szCs w:val="22"/>
        </w:rPr>
        <w:t>Pripraví sa r</w:t>
      </w:r>
      <w:r w:rsidRPr="004D7F2A">
        <w:rPr>
          <w:rFonts w:ascii="Arial Narrow" w:hAnsi="Arial Narrow"/>
          <w:b/>
          <w:sz w:val="22"/>
          <w:szCs w:val="22"/>
        </w:rPr>
        <w:t>eforma opatrovníckeho práva</w:t>
      </w:r>
      <w:r w:rsidR="00F50C19" w:rsidRPr="004D7F2A">
        <w:rPr>
          <w:rFonts w:ascii="Arial Narrow" w:hAnsi="Arial Narrow"/>
          <w:sz w:val="22"/>
          <w:szCs w:val="22"/>
        </w:rPr>
        <w:t xml:space="preserve">, ktorej cieľom je zlepšiť postavenie osôb so zdravotným postihnutím, zlepšiť ochranu seniorov pred rizikami majetkových podvodov, ochranu seniorov pred násilím v domácnosti. </w:t>
      </w:r>
      <w:r w:rsidR="000508A3" w:rsidRPr="004D7F2A">
        <w:rPr>
          <w:rFonts w:ascii="Arial Narrow" w:hAnsi="Arial Narrow"/>
          <w:sz w:val="22"/>
          <w:szCs w:val="22"/>
        </w:rPr>
        <w:t>Súčasná právna úprava vychádzajúca z Občianskeho zákonníka nereflektuje zmeny v majetkovej a sociálnej štruktúre obyvateľstva po roku 1989.</w:t>
      </w:r>
      <w:r w:rsidR="00F50C19" w:rsidRPr="004D7F2A">
        <w:rPr>
          <w:rFonts w:ascii="Arial Narrow" w:hAnsi="Arial Narrow"/>
          <w:sz w:val="22"/>
          <w:szCs w:val="22"/>
        </w:rPr>
        <w:t xml:space="preserve"> V roku 2018 sa</w:t>
      </w:r>
      <w:r w:rsidR="00E56589">
        <w:rPr>
          <w:rFonts w:ascii="Arial Narrow" w:hAnsi="Arial Narrow"/>
          <w:sz w:val="22"/>
          <w:szCs w:val="22"/>
        </w:rPr>
        <w:t xml:space="preserve"> predloží</w:t>
      </w:r>
      <w:r w:rsidR="00F50C19" w:rsidRPr="004D7F2A">
        <w:rPr>
          <w:rFonts w:ascii="Arial Narrow" w:hAnsi="Arial Narrow"/>
          <w:sz w:val="22"/>
          <w:szCs w:val="22"/>
        </w:rPr>
        <w:t xml:space="preserve"> do medzirezortného pripomienkovania vecný zámer reformy opatrovníckeho práva a následne sa pripraví balíček potrebných legislatívnych zmien v tejto oblasti.</w:t>
      </w:r>
      <w:r w:rsidRPr="004D7F2A">
        <w:rPr>
          <w:rFonts w:ascii="Arial Narrow" w:hAnsi="Arial Narrow"/>
          <w:sz w:val="22"/>
          <w:szCs w:val="22"/>
        </w:rPr>
        <w:br/>
      </w:r>
    </w:p>
    <w:p w14:paraId="2516A37B" w14:textId="02ACFB2C" w:rsidR="008F2FB3" w:rsidRPr="004D7F2A" w:rsidRDefault="00B17B98" w:rsidP="004D7F2A">
      <w:pPr>
        <w:pStyle w:val="Normlnywebov"/>
        <w:spacing w:before="0" w:beforeAutospacing="0" w:after="0" w:afterAutospacing="0"/>
        <w:jc w:val="both"/>
        <w:textAlignment w:val="baseline"/>
        <w:rPr>
          <w:rFonts w:ascii="Arial Narrow" w:hAnsi="Arial Narrow"/>
          <w:sz w:val="22"/>
          <w:szCs w:val="22"/>
        </w:rPr>
      </w:pPr>
      <w:r>
        <w:rPr>
          <w:rFonts w:ascii="Arial Narrow" w:hAnsi="Arial Narrow"/>
          <w:b/>
          <w:sz w:val="22"/>
          <w:szCs w:val="22"/>
        </w:rPr>
        <w:t>D</w:t>
      </w:r>
      <w:r w:rsidR="00030778" w:rsidRPr="004D7F2A">
        <w:rPr>
          <w:rFonts w:ascii="Arial Narrow" w:hAnsi="Arial Narrow"/>
          <w:b/>
          <w:sz w:val="22"/>
          <w:szCs w:val="22"/>
        </w:rPr>
        <w:t>o praxe</w:t>
      </w:r>
      <w:r>
        <w:rPr>
          <w:rFonts w:ascii="Arial Narrow" w:hAnsi="Arial Narrow"/>
          <w:b/>
          <w:sz w:val="22"/>
          <w:szCs w:val="22"/>
        </w:rPr>
        <w:t xml:space="preserve"> sa bude zavádzať</w:t>
      </w:r>
      <w:r w:rsidR="00030778" w:rsidRPr="004D7F2A">
        <w:rPr>
          <w:rFonts w:ascii="Arial Narrow" w:hAnsi="Arial Narrow"/>
          <w:b/>
          <w:sz w:val="22"/>
          <w:szCs w:val="22"/>
        </w:rPr>
        <w:t xml:space="preserve"> nová</w:t>
      </w:r>
      <w:r w:rsidR="008F2FB3" w:rsidRPr="004D7F2A">
        <w:rPr>
          <w:rFonts w:ascii="Arial Narrow" w:hAnsi="Arial Narrow"/>
          <w:b/>
          <w:sz w:val="22"/>
          <w:szCs w:val="22"/>
        </w:rPr>
        <w:t xml:space="preserve"> </w:t>
      </w:r>
      <w:r w:rsidR="00030778" w:rsidRPr="004D7F2A">
        <w:rPr>
          <w:rFonts w:ascii="Arial Narrow" w:hAnsi="Arial Narrow"/>
          <w:b/>
          <w:sz w:val="22"/>
          <w:szCs w:val="22"/>
        </w:rPr>
        <w:t>právna úprava</w:t>
      </w:r>
      <w:r w:rsidR="008F2FB3" w:rsidRPr="004D7F2A">
        <w:rPr>
          <w:rFonts w:ascii="Arial Narrow" w:hAnsi="Arial Narrow"/>
          <w:b/>
          <w:sz w:val="22"/>
          <w:szCs w:val="22"/>
        </w:rPr>
        <w:t xml:space="preserve"> pre obete trestných činov</w:t>
      </w:r>
      <w:r w:rsidR="00A53A86">
        <w:rPr>
          <w:rFonts w:ascii="Arial Narrow" w:hAnsi="Arial Narrow"/>
          <w:sz w:val="22"/>
          <w:szCs w:val="22"/>
        </w:rPr>
        <w:t xml:space="preserve">, ktorá je účinná od </w:t>
      </w:r>
      <w:r w:rsidR="008F2FB3" w:rsidRPr="004D7F2A">
        <w:rPr>
          <w:rFonts w:ascii="Arial Narrow" w:hAnsi="Arial Narrow"/>
          <w:sz w:val="22"/>
          <w:szCs w:val="22"/>
        </w:rPr>
        <w:t>januára 2018</w:t>
      </w:r>
      <w:r w:rsidR="00030778" w:rsidRPr="004D7F2A">
        <w:rPr>
          <w:rFonts w:ascii="Arial Narrow" w:hAnsi="Arial Narrow"/>
          <w:sz w:val="22"/>
          <w:szCs w:val="22"/>
        </w:rPr>
        <w:t>.</w:t>
      </w:r>
      <w:r w:rsidR="008F2FB3" w:rsidRPr="004D7F2A">
        <w:rPr>
          <w:rFonts w:ascii="Arial Narrow" w:hAnsi="Arial Narrow"/>
          <w:sz w:val="22"/>
          <w:szCs w:val="22"/>
        </w:rPr>
        <w:t xml:space="preserve"> Nová právna úpr</w:t>
      </w:r>
      <w:r w:rsidR="00030778" w:rsidRPr="004D7F2A">
        <w:rPr>
          <w:rFonts w:ascii="Arial Narrow" w:hAnsi="Arial Narrow"/>
          <w:sz w:val="22"/>
          <w:szCs w:val="22"/>
        </w:rPr>
        <w:t>ava sústreďuje</w:t>
      </w:r>
      <w:r w:rsidR="008F2FB3" w:rsidRPr="004D7F2A">
        <w:rPr>
          <w:rFonts w:ascii="Arial Narrow" w:hAnsi="Arial Narrow"/>
          <w:sz w:val="22"/>
          <w:szCs w:val="22"/>
        </w:rPr>
        <w:t xml:space="preserve"> služby pre obete </w:t>
      </w:r>
      <w:r w:rsidR="00030778" w:rsidRPr="004D7F2A">
        <w:rPr>
          <w:rFonts w:ascii="Arial Narrow" w:hAnsi="Arial Narrow"/>
          <w:sz w:val="22"/>
          <w:szCs w:val="22"/>
        </w:rPr>
        <w:t>pod jednu strechu. Služby sa týkajú právneho a</w:t>
      </w:r>
      <w:r w:rsidR="008F2FB3" w:rsidRPr="004D7F2A">
        <w:rPr>
          <w:rFonts w:ascii="Arial Narrow" w:hAnsi="Arial Narrow"/>
          <w:sz w:val="22"/>
          <w:szCs w:val="22"/>
        </w:rPr>
        <w:t xml:space="preserve"> psychologické</w:t>
      </w:r>
      <w:r w:rsidR="00820177">
        <w:rPr>
          <w:rFonts w:ascii="Arial Narrow" w:hAnsi="Arial Narrow"/>
          <w:sz w:val="22"/>
          <w:szCs w:val="22"/>
        </w:rPr>
        <w:t>ho poradenstva a ďalších nevyhnutných intervencií</w:t>
      </w:r>
      <w:r w:rsidR="00030778" w:rsidRPr="004D7F2A">
        <w:rPr>
          <w:rFonts w:ascii="Arial Narrow" w:hAnsi="Arial Narrow"/>
          <w:sz w:val="22"/>
          <w:szCs w:val="22"/>
        </w:rPr>
        <w:t>.</w:t>
      </w:r>
    </w:p>
    <w:p w14:paraId="708A7DB9" w14:textId="77777777" w:rsidR="004D7F2A" w:rsidRPr="004D7F2A" w:rsidRDefault="004D7F2A" w:rsidP="004D7F2A">
      <w:pPr>
        <w:pStyle w:val="Normlnywebov"/>
        <w:spacing w:before="0" w:beforeAutospacing="0" w:after="0" w:afterAutospacing="0"/>
        <w:jc w:val="both"/>
        <w:textAlignment w:val="baseline"/>
        <w:rPr>
          <w:rFonts w:ascii="Arial Narrow" w:hAnsi="Arial Narrow"/>
          <w:sz w:val="22"/>
          <w:szCs w:val="22"/>
        </w:rPr>
      </w:pPr>
    </w:p>
    <w:p w14:paraId="0C060C75" w14:textId="77777777" w:rsidR="008F2FB3" w:rsidRPr="004D7F2A" w:rsidRDefault="004D7F2A" w:rsidP="004D7F2A">
      <w:pPr>
        <w:spacing w:line="240" w:lineRule="auto"/>
        <w:jc w:val="both"/>
        <w:rPr>
          <w:rFonts w:ascii="Arial Narrow" w:hAnsi="Arial Narrow"/>
        </w:rPr>
      </w:pPr>
      <w:r w:rsidRPr="004D7F2A">
        <w:rPr>
          <w:rFonts w:ascii="Arial Narrow" w:hAnsi="Arial Narrow"/>
        </w:rPr>
        <w:t>V</w:t>
      </w:r>
      <w:r w:rsidR="008F2FB3" w:rsidRPr="004D7F2A">
        <w:rPr>
          <w:rFonts w:ascii="Arial Narrow" w:hAnsi="Arial Narrow"/>
        </w:rPr>
        <w:t xml:space="preserve"> súlade s Programov</w:t>
      </w:r>
      <w:r w:rsidRPr="004D7F2A">
        <w:rPr>
          <w:rFonts w:ascii="Arial Narrow" w:hAnsi="Arial Narrow"/>
        </w:rPr>
        <w:t xml:space="preserve">ým vyhlásením vlády </w:t>
      </w:r>
      <w:r w:rsidR="007A35D4">
        <w:rPr>
          <w:rFonts w:ascii="Arial Narrow" w:hAnsi="Arial Narrow"/>
        </w:rPr>
        <w:t xml:space="preserve">SR </w:t>
      </w:r>
      <w:r w:rsidRPr="004D7F2A">
        <w:rPr>
          <w:rFonts w:ascii="Arial Narrow" w:hAnsi="Arial Narrow"/>
        </w:rPr>
        <w:t xml:space="preserve">sa </w:t>
      </w:r>
      <w:r w:rsidRPr="004D7F2A">
        <w:rPr>
          <w:rFonts w:ascii="Arial Narrow" w:hAnsi="Arial Narrow"/>
          <w:b/>
        </w:rPr>
        <w:t>pripraví</w:t>
      </w:r>
      <w:r w:rsidR="008F2FB3" w:rsidRPr="004D7F2A">
        <w:rPr>
          <w:rFonts w:ascii="Arial Narrow" w:hAnsi="Arial Narrow"/>
          <w:b/>
        </w:rPr>
        <w:t xml:space="preserve"> zákon o justičnej štátnej službe</w:t>
      </w:r>
      <w:r w:rsidR="008F2FB3" w:rsidRPr="004D7F2A">
        <w:rPr>
          <w:rFonts w:ascii="Arial Narrow" w:hAnsi="Arial Narrow"/>
        </w:rPr>
        <w:t xml:space="preserve">. </w:t>
      </w:r>
      <w:r w:rsidRPr="004D7F2A">
        <w:rPr>
          <w:rFonts w:ascii="Arial Narrow" w:hAnsi="Arial Narrow"/>
        </w:rPr>
        <w:t>Cieľom je komplexné riešenie problematiky</w:t>
      </w:r>
      <w:r w:rsidR="008F2FB3" w:rsidRPr="004D7F2A">
        <w:rPr>
          <w:rFonts w:ascii="Arial Narrow" w:hAnsi="Arial Narrow"/>
        </w:rPr>
        <w:t xml:space="preserve"> postavenia justičných zamestnancov, vrátane ich kariérneho rastu a odmeňovania.</w:t>
      </w:r>
    </w:p>
    <w:p w14:paraId="5F18ADDB" w14:textId="77777777" w:rsidR="007D2366" w:rsidRPr="008F2FB3" w:rsidRDefault="008F2FB3" w:rsidP="004D7F2A">
      <w:pPr>
        <w:spacing w:after="0" w:line="240" w:lineRule="auto"/>
        <w:jc w:val="both"/>
        <w:rPr>
          <w:rFonts w:ascii="Arial Narrow" w:hAnsi="Arial Narrow"/>
        </w:rPr>
      </w:pPr>
      <w:r w:rsidRPr="004D7F2A">
        <w:rPr>
          <w:rFonts w:ascii="Arial Narrow" w:hAnsi="Arial Narrow"/>
          <w:b/>
        </w:rPr>
        <w:t>Pokračuje sa v a</w:t>
      </w:r>
      <w:r w:rsidR="007D2366" w:rsidRPr="004D7F2A">
        <w:rPr>
          <w:rFonts w:ascii="Arial Narrow" w:hAnsi="Arial Narrow"/>
          <w:b/>
        </w:rPr>
        <w:t>udit</w:t>
      </w:r>
      <w:r w:rsidRPr="004D7F2A">
        <w:rPr>
          <w:rFonts w:ascii="Arial Narrow" w:hAnsi="Arial Narrow"/>
          <w:b/>
        </w:rPr>
        <w:t>e</w:t>
      </w:r>
      <w:r w:rsidR="007D2366" w:rsidRPr="004D7F2A">
        <w:rPr>
          <w:rFonts w:ascii="Arial Narrow" w:hAnsi="Arial Narrow"/>
          <w:b/>
        </w:rPr>
        <w:t xml:space="preserve"> výkonu súdnej moci</w:t>
      </w:r>
      <w:r w:rsidRPr="004D7F2A">
        <w:rPr>
          <w:rFonts w:ascii="Arial Narrow" w:hAnsi="Arial Narrow"/>
        </w:rPr>
        <w:t>, ktorý je</w:t>
      </w:r>
      <w:r w:rsidR="007D2366" w:rsidRPr="004D7F2A">
        <w:rPr>
          <w:rFonts w:ascii="Arial Narrow" w:hAnsi="Arial Narrow"/>
        </w:rPr>
        <w:t xml:space="preserve"> vykonaný v spolupráci s partnerom CEPEJ</w:t>
      </w:r>
      <w:r w:rsidR="007D2366" w:rsidRPr="004D7F2A">
        <w:rPr>
          <w:rStyle w:val="Odkaznapoznmkupodiarou"/>
          <w:rFonts w:ascii="Arial Narrow" w:hAnsi="Arial Narrow"/>
        </w:rPr>
        <w:footnoteReference w:id="54"/>
      </w:r>
      <w:r w:rsidR="007D2366" w:rsidRPr="004D7F2A">
        <w:rPr>
          <w:rFonts w:ascii="Arial Narrow" w:hAnsi="Arial Narrow"/>
        </w:rPr>
        <w:t>. Audit bude zahŕňať najmä mapovanie aktuálneho stavu súdneho manažmentu na jednotlivých súdoch, posúdenie efektívnosti nastavenia personálnych tímov sudcov na vybraných súdoch a posúdenie vhodnosti usporiadania súdov s ohľadom na územie Slovenska. Pripraví sa aj analýza štruktúry prípadov a zistenia, ktoré sa podieľajú najvýznamnejšie na prieťahoch v</w:t>
      </w:r>
      <w:r w:rsidR="007D2366" w:rsidRPr="008F2FB3">
        <w:rPr>
          <w:rFonts w:ascii="Arial Narrow" w:hAnsi="Arial Narrow"/>
        </w:rPr>
        <w:t xml:space="preserve"> konaní.</w:t>
      </w:r>
    </w:p>
    <w:p w14:paraId="50D2A417" w14:textId="77777777" w:rsidR="007D2366" w:rsidRPr="00342E82" w:rsidRDefault="007D2366" w:rsidP="007D2366">
      <w:pPr>
        <w:spacing w:after="0" w:line="240" w:lineRule="auto"/>
        <w:jc w:val="both"/>
        <w:rPr>
          <w:rFonts w:ascii="Arial Narrow" w:hAnsi="Arial Narrow"/>
          <w:color w:val="000000" w:themeColor="text1"/>
          <w:highlight w:val="yellow"/>
        </w:rPr>
      </w:pPr>
    </w:p>
    <w:p w14:paraId="3BEDF806" w14:textId="6AD831D0" w:rsidR="008F2FB3" w:rsidRDefault="007D2366" w:rsidP="008F2FB3">
      <w:pPr>
        <w:spacing w:after="0" w:line="240" w:lineRule="auto"/>
        <w:jc w:val="both"/>
        <w:rPr>
          <w:rFonts w:ascii="Arial Narrow" w:hAnsi="Arial Narrow"/>
        </w:rPr>
      </w:pPr>
      <w:r w:rsidRPr="008F2FB3">
        <w:rPr>
          <w:rFonts w:ascii="Arial Narrow" w:hAnsi="Arial Narrow"/>
        </w:rPr>
        <w:t>P</w:t>
      </w:r>
      <w:r w:rsidR="008F2FB3" w:rsidRPr="008F2FB3">
        <w:rPr>
          <w:rFonts w:ascii="Arial Narrow" w:hAnsi="Arial Narrow"/>
        </w:rPr>
        <w:t>okračuje sa v</w:t>
      </w:r>
      <w:r w:rsidRPr="008F2FB3">
        <w:rPr>
          <w:rFonts w:ascii="Arial Narrow" w:hAnsi="Arial Narrow"/>
        </w:rPr>
        <w:t xml:space="preserve"> projekt</w:t>
      </w:r>
      <w:r w:rsidR="008F2FB3" w:rsidRPr="008F2FB3">
        <w:rPr>
          <w:rFonts w:ascii="Arial Narrow" w:hAnsi="Arial Narrow"/>
        </w:rPr>
        <w:t>e</w:t>
      </w:r>
      <w:r w:rsidRPr="008F2FB3">
        <w:rPr>
          <w:rFonts w:ascii="Arial Narrow" w:hAnsi="Arial Narrow"/>
        </w:rPr>
        <w:t xml:space="preserve">, ktorého cieľom je zlepšenie poskytovania a zvyšovanie dostupnosti právnej pomoci prostredníctvom </w:t>
      </w:r>
      <w:r w:rsidRPr="008F2FB3">
        <w:rPr>
          <w:rFonts w:ascii="Arial Narrow" w:hAnsi="Arial Narrow"/>
          <w:b/>
        </w:rPr>
        <w:t>Centra právnej pomoci</w:t>
      </w:r>
      <w:r w:rsidRPr="008F2FB3">
        <w:rPr>
          <w:rFonts w:ascii="Arial Narrow" w:hAnsi="Arial Narrow"/>
        </w:rPr>
        <w:t xml:space="preserve"> pre sociálne a ekonomicky vylúčené skupiny obyvateľstva. Zmeny sa týkajú vybudovania kontaktných miest a ich infraštruktúry v podobe web stránky, </w:t>
      </w:r>
      <w:proofErr w:type="spellStart"/>
      <w:r w:rsidRPr="008F2FB3">
        <w:rPr>
          <w:rFonts w:ascii="Arial Narrow" w:hAnsi="Arial Narrow"/>
        </w:rPr>
        <w:t>call</w:t>
      </w:r>
      <w:proofErr w:type="spellEnd"/>
      <w:r w:rsidRPr="008F2FB3">
        <w:rPr>
          <w:rFonts w:ascii="Arial Narrow" w:hAnsi="Arial Narrow"/>
        </w:rPr>
        <w:t xml:space="preserve"> centra a </w:t>
      </w:r>
      <w:proofErr w:type="spellStart"/>
      <w:r w:rsidR="001015A7" w:rsidRPr="008F2FB3">
        <w:rPr>
          <w:rFonts w:ascii="Arial Narrow" w:hAnsi="Arial Narrow"/>
        </w:rPr>
        <w:t>z</w:t>
      </w:r>
      <w:r w:rsidR="003F35A7">
        <w:rPr>
          <w:rFonts w:ascii="Arial Narrow" w:hAnsi="Arial Narrow"/>
        </w:rPr>
        <w:t>o</w:t>
      </w:r>
      <w:r w:rsidR="001015A7" w:rsidRPr="008F2FB3">
        <w:rPr>
          <w:rFonts w:ascii="Arial Narrow" w:hAnsi="Arial Narrow"/>
        </w:rPr>
        <w:t>sieťovania</w:t>
      </w:r>
      <w:proofErr w:type="spellEnd"/>
      <w:r w:rsidRPr="008F2FB3">
        <w:rPr>
          <w:rFonts w:ascii="Arial Narrow" w:hAnsi="Arial Narrow"/>
        </w:rPr>
        <w:t xml:space="preserve"> s relevantnými inštitúciami.</w:t>
      </w:r>
    </w:p>
    <w:p w14:paraId="3350C6B6" w14:textId="77777777" w:rsidR="00204D8B" w:rsidRDefault="00204D8B" w:rsidP="008F2FB3">
      <w:pPr>
        <w:spacing w:after="0" w:line="240" w:lineRule="auto"/>
        <w:jc w:val="both"/>
        <w:rPr>
          <w:rFonts w:ascii="Arial Narrow" w:hAnsi="Arial Narrow"/>
        </w:rPr>
      </w:pPr>
    </w:p>
    <w:p w14:paraId="3CE4075D" w14:textId="249D3E0A" w:rsidR="00204D8B" w:rsidRDefault="006164A0" w:rsidP="00204D8B">
      <w:pPr>
        <w:spacing w:after="0" w:line="240" w:lineRule="auto"/>
        <w:jc w:val="both"/>
        <w:rPr>
          <w:rFonts w:ascii="Arial Narrow" w:hAnsi="Arial Narrow"/>
          <w:color w:val="000000" w:themeColor="text1"/>
        </w:rPr>
      </w:pPr>
      <w:r>
        <w:rPr>
          <w:rFonts w:ascii="Arial Narrow" w:hAnsi="Arial Narrow"/>
          <w:color w:val="000000" w:themeColor="text1"/>
        </w:rPr>
        <w:t xml:space="preserve">Rada EÚ v októbri </w:t>
      </w:r>
      <w:r w:rsidR="00204D8B" w:rsidRPr="00204D8B">
        <w:rPr>
          <w:rFonts w:ascii="Arial Narrow" w:hAnsi="Arial Narrow"/>
          <w:color w:val="000000" w:themeColor="text1"/>
        </w:rPr>
        <w:t xml:space="preserve">2017 </w:t>
      </w:r>
      <w:r>
        <w:rPr>
          <w:rFonts w:ascii="Arial Narrow" w:hAnsi="Arial Narrow"/>
          <w:color w:val="000000" w:themeColor="text1"/>
        </w:rPr>
        <w:t>vydala nariadenie, ktorým sa vykonáva posilnená spolupráca na účely zriadenia</w:t>
      </w:r>
      <w:r w:rsidR="00204D8B" w:rsidRPr="00204D8B">
        <w:rPr>
          <w:rFonts w:ascii="Arial Narrow" w:hAnsi="Arial Narrow"/>
          <w:color w:val="000000" w:themeColor="text1"/>
        </w:rPr>
        <w:t xml:space="preserve"> </w:t>
      </w:r>
      <w:r>
        <w:rPr>
          <w:rFonts w:ascii="Arial Narrow" w:hAnsi="Arial Narrow"/>
          <w:b/>
          <w:color w:val="000000" w:themeColor="text1"/>
        </w:rPr>
        <w:t>E</w:t>
      </w:r>
      <w:r w:rsidR="00204D8B" w:rsidRPr="00204D8B">
        <w:rPr>
          <w:rFonts w:ascii="Arial Narrow" w:hAnsi="Arial Narrow"/>
          <w:b/>
          <w:color w:val="000000" w:themeColor="text1"/>
        </w:rPr>
        <w:t>urópskej prokuratúry</w:t>
      </w:r>
      <w:r w:rsidR="00204D8B" w:rsidRPr="00204D8B">
        <w:rPr>
          <w:rFonts w:ascii="Arial Narrow" w:hAnsi="Arial Narrow"/>
          <w:color w:val="000000" w:themeColor="text1"/>
        </w:rPr>
        <w:t xml:space="preserve">. Táto inštitúcia by mala mať vyhradenú celoeurópsku jurisdikciu na vyšetrovanie podozrení z </w:t>
      </w:r>
      <w:r w:rsidR="00820177">
        <w:rPr>
          <w:rFonts w:ascii="Arial Narrow" w:hAnsi="Arial Narrow"/>
          <w:color w:val="000000" w:themeColor="text1"/>
        </w:rPr>
        <w:t xml:space="preserve">kriminálnych činov spadajúcich </w:t>
      </w:r>
      <w:r w:rsidR="00204D8B" w:rsidRPr="00204D8B">
        <w:rPr>
          <w:rFonts w:ascii="Arial Narrow" w:hAnsi="Arial Narrow"/>
          <w:color w:val="000000" w:themeColor="text1"/>
        </w:rPr>
        <w:t>do jej poľa pôsobnosti (finančné</w:t>
      </w:r>
      <w:r w:rsidR="00820177">
        <w:rPr>
          <w:rFonts w:ascii="Arial Narrow" w:hAnsi="Arial Narrow"/>
          <w:color w:val="000000" w:themeColor="text1"/>
        </w:rPr>
        <w:t xml:space="preserve"> trestné činy, hospodárenie s EÚ </w:t>
      </w:r>
      <w:r w:rsidR="00204D8B" w:rsidRPr="00204D8B">
        <w:rPr>
          <w:rFonts w:ascii="Arial Narrow" w:hAnsi="Arial Narrow"/>
          <w:color w:val="000000" w:themeColor="text1"/>
        </w:rPr>
        <w:t>fondami, terorizmus). Bude zabezpečovať bezodkladnú výmenu informácií v členských krajinách a koordinovať policajné vyšetrovanie. Bude môcť zmrazovať a zabavovať finančné prostriedky alebo zatýkať podozrivých.</w:t>
      </w:r>
      <w:r w:rsidR="009A0A6F">
        <w:rPr>
          <w:rFonts w:ascii="Arial Narrow" w:hAnsi="Arial Narrow"/>
          <w:color w:val="000000" w:themeColor="text1"/>
        </w:rPr>
        <w:t xml:space="preserve"> V súčasnosti je</w:t>
      </w:r>
      <w:r w:rsidR="00832484">
        <w:rPr>
          <w:rFonts w:ascii="Arial Narrow" w:hAnsi="Arial Narrow"/>
          <w:color w:val="000000" w:themeColor="text1"/>
        </w:rPr>
        <w:t xml:space="preserve"> </w:t>
      </w:r>
      <w:r w:rsidR="009A0A6F">
        <w:rPr>
          <w:rFonts w:ascii="Arial Narrow" w:hAnsi="Arial Narrow"/>
          <w:color w:val="000000" w:themeColor="text1"/>
        </w:rPr>
        <w:t>v projekte z</w:t>
      </w:r>
      <w:r w:rsidR="00820177">
        <w:rPr>
          <w:rFonts w:ascii="Arial Narrow" w:hAnsi="Arial Narrow"/>
          <w:color w:val="000000" w:themeColor="text1"/>
        </w:rPr>
        <w:t>ahrnutých 20 členských štátov EÚ</w:t>
      </w:r>
      <w:r w:rsidR="009A0A6F">
        <w:rPr>
          <w:rFonts w:ascii="Arial Narrow" w:hAnsi="Arial Narrow"/>
          <w:color w:val="000000" w:themeColor="text1"/>
        </w:rPr>
        <w:t>.</w:t>
      </w:r>
      <w:r w:rsidR="00204D8B" w:rsidRPr="00204D8B">
        <w:rPr>
          <w:rFonts w:ascii="Arial Narrow" w:hAnsi="Arial Narrow"/>
          <w:color w:val="000000" w:themeColor="text1"/>
        </w:rPr>
        <w:t xml:space="preserve"> </w:t>
      </w:r>
      <w:r w:rsidR="009A0A6F">
        <w:rPr>
          <w:rFonts w:ascii="Arial Narrow" w:hAnsi="Arial Narrow"/>
          <w:color w:val="000000" w:themeColor="text1"/>
        </w:rPr>
        <w:t>Európska prokuratúra by mala začať vykonávať svoju činnosť v roku 2020. Predseda úradu bude mať okrem technického personálu k dispozícii aj jedného „miestneho“ prokurátora, ktorý bude úzko spolupracovať s národnými orgánmi daného štátu. V priebehu rokov 2018 a 2019 Slovensko deleguje svojho zástupcu do európskej prokuratúry</w:t>
      </w:r>
      <w:r w:rsidR="00832484">
        <w:rPr>
          <w:rFonts w:ascii="Arial Narrow" w:hAnsi="Arial Narrow"/>
          <w:color w:val="000000" w:themeColor="text1"/>
        </w:rPr>
        <w:t xml:space="preserve">. </w:t>
      </w:r>
    </w:p>
    <w:p w14:paraId="12FB4D0F" w14:textId="77777777" w:rsidR="007D2366" w:rsidRPr="00342E82" w:rsidRDefault="007D2366" w:rsidP="007D2366">
      <w:pPr>
        <w:spacing w:after="0" w:line="240" w:lineRule="auto"/>
        <w:jc w:val="both"/>
        <w:rPr>
          <w:rFonts w:ascii="Arial Narrow" w:hAnsi="Arial Narrow"/>
          <w:highlight w:val="yellow"/>
        </w:rPr>
      </w:pPr>
    </w:p>
    <w:p w14:paraId="4294210F" w14:textId="77777777" w:rsidR="0021675E" w:rsidRDefault="0021675E">
      <w:pPr>
        <w:spacing w:after="0" w:line="240" w:lineRule="auto"/>
        <w:rPr>
          <w:rFonts w:ascii="Arial Narrow" w:hAnsi="Arial Narrow"/>
          <w:b/>
          <w:i/>
        </w:rPr>
      </w:pPr>
      <w:r>
        <w:rPr>
          <w:rFonts w:ascii="Arial Narrow" w:hAnsi="Arial Narrow"/>
          <w:b/>
          <w:i/>
        </w:rPr>
        <w:br w:type="page"/>
      </w:r>
    </w:p>
    <w:p w14:paraId="4DC7FCDC" w14:textId="4BFCF6C7" w:rsidR="007D2366" w:rsidRPr="001C0473" w:rsidRDefault="007D2366" w:rsidP="007D2366">
      <w:pPr>
        <w:spacing w:after="0" w:line="240" w:lineRule="auto"/>
        <w:jc w:val="both"/>
        <w:rPr>
          <w:rFonts w:ascii="Arial Narrow" w:hAnsi="Arial Narrow"/>
          <w:b/>
          <w:i/>
        </w:rPr>
      </w:pPr>
      <w:r w:rsidRPr="001C0473">
        <w:rPr>
          <w:rFonts w:ascii="Arial Narrow" w:hAnsi="Arial Narrow"/>
          <w:b/>
          <w:i/>
        </w:rPr>
        <w:lastRenderedPageBreak/>
        <w:t>Informatizácia verejnej správy</w:t>
      </w:r>
    </w:p>
    <w:p w14:paraId="0C3C578C" w14:textId="23159833" w:rsidR="001C0473" w:rsidRDefault="007D2366" w:rsidP="001C0473">
      <w:pPr>
        <w:spacing w:after="0" w:line="240" w:lineRule="auto"/>
        <w:jc w:val="both"/>
        <w:rPr>
          <w:rFonts w:ascii="Arial Narrow" w:hAnsi="Arial Narrow"/>
        </w:rPr>
      </w:pPr>
      <w:r w:rsidRPr="001C0473">
        <w:rPr>
          <w:rFonts w:ascii="Arial Narrow" w:hAnsi="Arial Narrow"/>
        </w:rPr>
        <w:t xml:space="preserve">Všetky </w:t>
      </w:r>
      <w:r w:rsidRPr="001C0473">
        <w:rPr>
          <w:rFonts w:ascii="Arial Narrow" w:hAnsi="Arial Narrow"/>
          <w:b/>
        </w:rPr>
        <w:t>nové IT projekty</w:t>
      </w:r>
      <w:r w:rsidRPr="001C0473">
        <w:rPr>
          <w:rFonts w:ascii="Arial Narrow" w:hAnsi="Arial Narrow"/>
        </w:rPr>
        <w:t xml:space="preserve"> nad 10 mil. eur bez ohľadu na zdroj financovania budú </w:t>
      </w:r>
      <w:r w:rsidR="008F2FB3" w:rsidRPr="001C0473">
        <w:rPr>
          <w:rFonts w:ascii="Arial Narrow" w:hAnsi="Arial Narrow"/>
        </w:rPr>
        <w:t xml:space="preserve">aj </w:t>
      </w:r>
      <w:r w:rsidRPr="001C0473">
        <w:rPr>
          <w:rFonts w:ascii="Arial Narrow" w:hAnsi="Arial Narrow"/>
        </w:rPr>
        <w:t>v roku 201</w:t>
      </w:r>
      <w:r w:rsidR="008F2FB3" w:rsidRPr="001C0473">
        <w:rPr>
          <w:rFonts w:ascii="Arial Narrow" w:hAnsi="Arial Narrow"/>
        </w:rPr>
        <w:t>8</w:t>
      </w:r>
      <w:r w:rsidR="00820177">
        <w:rPr>
          <w:rFonts w:ascii="Arial Narrow" w:hAnsi="Arial Narrow"/>
        </w:rPr>
        <w:t xml:space="preserve"> posudzované MF </w:t>
      </w:r>
      <w:r w:rsidRPr="001C0473">
        <w:rPr>
          <w:rFonts w:ascii="Arial Narrow" w:hAnsi="Arial Narrow"/>
        </w:rPr>
        <w:t>SR z pohľadu hodnoty za peniaze.</w:t>
      </w:r>
      <w:r w:rsidR="001C0473" w:rsidRPr="001C0473">
        <w:rPr>
          <w:rFonts w:ascii="Arial Narrow" w:hAnsi="Arial Narrow"/>
        </w:rPr>
        <w:t xml:space="preserve"> </w:t>
      </w:r>
      <w:r w:rsidR="001C0473">
        <w:rPr>
          <w:rFonts w:ascii="Arial Narrow" w:hAnsi="Arial Narrow"/>
        </w:rPr>
        <w:t>Navyše sa podľa revíznej správy výdavkov na IT zjednotia</w:t>
      </w:r>
      <w:r w:rsidR="001C0473" w:rsidRPr="003F762A">
        <w:rPr>
          <w:rFonts w:ascii="Arial Narrow" w:hAnsi="Arial Narrow"/>
        </w:rPr>
        <w:t xml:space="preserve"> pravidlá pre posudzovanie investícií zo štátneho rozpočtu a EÚ zdrojov</w:t>
      </w:r>
      <w:r w:rsidR="001C0473">
        <w:rPr>
          <w:rFonts w:ascii="Arial Narrow" w:hAnsi="Arial Narrow"/>
        </w:rPr>
        <w:t>.</w:t>
      </w:r>
    </w:p>
    <w:p w14:paraId="122348D1" w14:textId="77777777" w:rsidR="001C7441" w:rsidRDefault="001C7441" w:rsidP="001C0473">
      <w:pPr>
        <w:spacing w:after="0" w:line="240" w:lineRule="auto"/>
        <w:jc w:val="both"/>
        <w:rPr>
          <w:rFonts w:ascii="Arial Narrow" w:hAnsi="Arial Narrow"/>
        </w:rPr>
      </w:pPr>
    </w:p>
    <w:p w14:paraId="6EAD4035" w14:textId="25CC3276" w:rsidR="001C7441" w:rsidRDefault="001C7441" w:rsidP="001C0473">
      <w:pPr>
        <w:spacing w:after="0" w:line="240" w:lineRule="auto"/>
        <w:jc w:val="both"/>
        <w:rPr>
          <w:rFonts w:ascii="Arial Narrow" w:hAnsi="Arial Narrow"/>
        </w:rPr>
      </w:pPr>
      <w:r>
        <w:rPr>
          <w:rFonts w:ascii="Arial Narrow" w:hAnsi="Arial Narrow"/>
        </w:rPr>
        <w:t xml:space="preserve">Schvaľovaniu IT projektov predchádza </w:t>
      </w:r>
      <w:r w:rsidRPr="00A73465">
        <w:rPr>
          <w:rFonts w:ascii="Arial Narrow" w:hAnsi="Arial Narrow"/>
          <w:b/>
        </w:rPr>
        <w:t>fáza procesného auditu</w:t>
      </w:r>
      <w:r>
        <w:rPr>
          <w:rFonts w:ascii="Arial Narrow" w:hAnsi="Arial Narrow"/>
        </w:rPr>
        <w:t xml:space="preserve"> (tzv. bi</w:t>
      </w:r>
      <w:r w:rsidR="00820177">
        <w:rPr>
          <w:rFonts w:ascii="Arial Narrow" w:hAnsi="Arial Narrow"/>
        </w:rPr>
        <w:t xml:space="preserve">znis analýzy) zabezpečovanej                   MV </w:t>
      </w:r>
      <w:r>
        <w:rPr>
          <w:rFonts w:ascii="Arial Narrow" w:hAnsi="Arial Narrow"/>
        </w:rPr>
        <w:t>SR. Procesný audit funguje prostredníctvom definovaného koordinačného mechanizmu a na základe spoločnej metodiky optimalizácie procesov vo verejnej správe.</w:t>
      </w:r>
    </w:p>
    <w:p w14:paraId="01F73E40" w14:textId="77777777" w:rsidR="001C0473" w:rsidRDefault="001C0473" w:rsidP="001C0473">
      <w:pPr>
        <w:spacing w:after="0" w:line="240" w:lineRule="auto"/>
        <w:jc w:val="both"/>
        <w:rPr>
          <w:rFonts w:ascii="Arial Narrow" w:hAnsi="Arial Narrow"/>
        </w:rPr>
      </w:pPr>
    </w:p>
    <w:p w14:paraId="051BCD0F" w14:textId="77777777" w:rsidR="001C0473" w:rsidRDefault="001C0473" w:rsidP="001C0473">
      <w:pPr>
        <w:spacing w:after="0" w:line="240" w:lineRule="auto"/>
        <w:jc w:val="both"/>
        <w:rPr>
          <w:rFonts w:ascii="Arial Narrow" w:hAnsi="Arial Narrow"/>
        </w:rPr>
      </w:pPr>
      <w:r>
        <w:rPr>
          <w:rFonts w:ascii="Arial Narrow" w:hAnsi="Arial Narrow"/>
        </w:rPr>
        <w:t xml:space="preserve">Podľa </w:t>
      </w:r>
      <w:r w:rsidRPr="0094439D">
        <w:rPr>
          <w:rFonts w:ascii="Arial Narrow" w:hAnsi="Arial Narrow"/>
          <w:b/>
        </w:rPr>
        <w:t>implementačného plánu revíznej správy výdavkov na IT</w:t>
      </w:r>
      <w:r>
        <w:rPr>
          <w:rFonts w:ascii="Arial Narrow" w:hAnsi="Arial Narrow"/>
        </w:rPr>
        <w:t xml:space="preserve"> sa v roku 2018 majú centrálne riadiť nákupy a zefektívniť podmienky nákupu licencií, v</w:t>
      </w:r>
      <w:r w:rsidRPr="00330A02">
        <w:rPr>
          <w:rFonts w:ascii="Arial Narrow" w:hAnsi="Arial Narrow"/>
        </w:rPr>
        <w:t>ypracovať záväzný plán migrácie</w:t>
      </w:r>
      <w:r>
        <w:rPr>
          <w:rFonts w:ascii="Arial Narrow" w:hAnsi="Arial Narrow"/>
        </w:rPr>
        <w:t xml:space="preserve"> IT systémov</w:t>
      </w:r>
      <w:r w:rsidRPr="00330A02">
        <w:rPr>
          <w:rFonts w:ascii="Arial Narrow" w:hAnsi="Arial Narrow"/>
        </w:rPr>
        <w:t xml:space="preserve"> do</w:t>
      </w:r>
      <w:r>
        <w:rPr>
          <w:rFonts w:ascii="Arial Narrow" w:hAnsi="Arial Narrow"/>
        </w:rPr>
        <w:t xml:space="preserve"> jednotného štátneho</w:t>
      </w:r>
      <w:r w:rsidRPr="00330A02">
        <w:rPr>
          <w:rFonts w:ascii="Arial Narrow" w:hAnsi="Arial Narrow"/>
        </w:rPr>
        <w:t xml:space="preserve"> </w:t>
      </w:r>
      <w:proofErr w:type="spellStart"/>
      <w:r w:rsidRPr="00330A02">
        <w:rPr>
          <w:rFonts w:ascii="Arial Narrow" w:hAnsi="Arial Narrow"/>
        </w:rPr>
        <w:t>cloudu</w:t>
      </w:r>
      <w:proofErr w:type="spellEnd"/>
      <w:r>
        <w:rPr>
          <w:rFonts w:ascii="Arial Narrow" w:hAnsi="Arial Narrow"/>
        </w:rPr>
        <w:t>, v</w:t>
      </w:r>
      <w:r w:rsidRPr="00330A02">
        <w:rPr>
          <w:rFonts w:ascii="Arial Narrow" w:hAnsi="Arial Narrow"/>
        </w:rPr>
        <w:t>ytvoriť zásobník projektov</w:t>
      </w:r>
      <w:r>
        <w:rPr>
          <w:rFonts w:ascii="Arial Narrow" w:hAnsi="Arial Narrow"/>
        </w:rPr>
        <w:t xml:space="preserve"> IT</w:t>
      </w:r>
      <w:r w:rsidRPr="00330A02">
        <w:rPr>
          <w:rFonts w:ascii="Arial Narrow" w:hAnsi="Arial Narrow"/>
        </w:rPr>
        <w:t xml:space="preserve"> a verejne ho </w:t>
      </w:r>
      <w:proofErr w:type="spellStart"/>
      <w:r w:rsidRPr="00330A02">
        <w:rPr>
          <w:rFonts w:ascii="Arial Narrow" w:hAnsi="Arial Narrow"/>
        </w:rPr>
        <w:t>odpočtovať</w:t>
      </w:r>
      <w:proofErr w:type="spellEnd"/>
      <w:r>
        <w:rPr>
          <w:rFonts w:ascii="Arial Narrow" w:hAnsi="Arial Narrow"/>
        </w:rPr>
        <w:t>, či raz ročne v</w:t>
      </w:r>
      <w:r w:rsidRPr="00F105CA">
        <w:rPr>
          <w:rFonts w:ascii="Arial Narrow" w:hAnsi="Arial Narrow"/>
        </w:rPr>
        <w:t>ypracovať správu o stave štátneho IKT</w:t>
      </w:r>
      <w:r>
        <w:rPr>
          <w:rStyle w:val="Odkaznapoznmkupodiarou"/>
          <w:rFonts w:ascii="Arial Narrow" w:hAnsi="Arial Narrow"/>
        </w:rPr>
        <w:footnoteReference w:id="55"/>
      </w:r>
      <w:r>
        <w:rPr>
          <w:rFonts w:ascii="Arial Narrow" w:hAnsi="Arial Narrow"/>
        </w:rPr>
        <w:t>.</w:t>
      </w:r>
    </w:p>
    <w:p w14:paraId="16966796" w14:textId="77777777" w:rsidR="005B74AC" w:rsidRDefault="005B74AC" w:rsidP="003968A5">
      <w:pPr>
        <w:spacing w:after="0" w:line="240" w:lineRule="auto"/>
        <w:jc w:val="both"/>
        <w:rPr>
          <w:rFonts w:ascii="Arial Narrow" w:hAnsi="Arial Narrow"/>
        </w:rPr>
      </w:pPr>
    </w:p>
    <w:p w14:paraId="23109344" w14:textId="77777777" w:rsidR="00BA6E1A" w:rsidRDefault="003E7D9B" w:rsidP="00F3176C">
      <w:pPr>
        <w:spacing w:after="0" w:line="240" w:lineRule="auto"/>
        <w:jc w:val="both"/>
        <w:rPr>
          <w:rFonts w:ascii="Arial Narrow" w:hAnsi="Arial Narrow"/>
        </w:rPr>
      </w:pPr>
      <w:r>
        <w:rPr>
          <w:rFonts w:ascii="Arial Narrow" w:hAnsi="Arial Narrow"/>
        </w:rPr>
        <w:t xml:space="preserve">V roku 2018 vstúpi do platnosti </w:t>
      </w:r>
      <w:r w:rsidRPr="004F5F92">
        <w:rPr>
          <w:rFonts w:ascii="Arial Narrow" w:hAnsi="Arial Narrow"/>
          <w:b/>
        </w:rPr>
        <w:t>novela zákona o niektorých opatreniach na znižovanie administratívnej záťaže osôb využívaním informačných systémov verejnej správy</w:t>
      </w:r>
      <w:r>
        <w:rPr>
          <w:rFonts w:ascii="Arial Narrow" w:hAnsi="Arial Narrow"/>
        </w:rPr>
        <w:t xml:space="preserve">. </w:t>
      </w:r>
      <w:r w:rsidRPr="003E7D9B">
        <w:rPr>
          <w:rFonts w:ascii="Arial Narrow" w:hAnsi="Arial Narrow"/>
        </w:rPr>
        <w:t>Cieľom </w:t>
      </w:r>
      <w:r>
        <w:rPr>
          <w:rFonts w:ascii="Arial Narrow" w:hAnsi="Arial Narrow"/>
        </w:rPr>
        <w:t>novely</w:t>
      </w:r>
      <w:r w:rsidRPr="003E7D9B">
        <w:rPr>
          <w:rFonts w:ascii="Arial Narrow" w:hAnsi="Arial Narrow"/>
        </w:rPr>
        <w:t xml:space="preserve"> je </w:t>
      </w:r>
      <w:r w:rsidR="00A6743E">
        <w:rPr>
          <w:rFonts w:ascii="Arial Narrow" w:hAnsi="Arial Narrow"/>
        </w:rPr>
        <w:t xml:space="preserve">zavedenie princípu </w:t>
      </w:r>
      <w:r w:rsidR="00225F9C" w:rsidRPr="00225F9C">
        <w:rPr>
          <w:rFonts w:ascii="Arial Narrow" w:hAnsi="Arial Narrow"/>
          <w:i/>
        </w:rPr>
        <w:t>jedenkrát a dosť</w:t>
      </w:r>
      <w:r w:rsidR="00A6743E">
        <w:rPr>
          <w:rFonts w:ascii="Arial Narrow" w:hAnsi="Arial Narrow"/>
        </w:rPr>
        <w:t xml:space="preserve">, teda </w:t>
      </w:r>
      <w:r w:rsidRPr="003E7D9B">
        <w:rPr>
          <w:rFonts w:ascii="Arial Narrow" w:hAnsi="Arial Narrow"/>
        </w:rPr>
        <w:t>zrušenie povinnosti predkladať orgánom verejnej moci</w:t>
      </w:r>
      <w:r>
        <w:rPr>
          <w:rFonts w:ascii="Arial Narrow" w:hAnsi="Arial Narrow"/>
        </w:rPr>
        <w:t xml:space="preserve"> listinné výpisy, ktoré si orgány verejnej moci vedia preveriť. </w:t>
      </w:r>
      <w:r w:rsidR="00A6743E">
        <w:rPr>
          <w:rFonts w:ascii="Arial Narrow" w:hAnsi="Arial Narrow"/>
        </w:rPr>
        <w:t xml:space="preserve">Pôjde </w:t>
      </w:r>
      <w:r>
        <w:rPr>
          <w:rFonts w:ascii="Arial Narrow" w:hAnsi="Arial Narrow"/>
        </w:rPr>
        <w:t>o</w:t>
      </w:r>
      <w:r w:rsidR="00AE78DB">
        <w:rPr>
          <w:rFonts w:ascii="Arial Narrow" w:hAnsi="Arial Narrow"/>
        </w:rPr>
        <w:t xml:space="preserve"> výpisy z listu vlastníctva, z </w:t>
      </w:r>
      <w:r w:rsidRPr="003E7D9B">
        <w:rPr>
          <w:rFonts w:ascii="Arial Narrow" w:hAnsi="Arial Narrow"/>
        </w:rPr>
        <w:t>obchodného registra, zo živnostenského registra a výpisy z registra trestov.</w:t>
      </w:r>
      <w:r>
        <w:rPr>
          <w:rFonts w:ascii="Arial Narrow" w:hAnsi="Arial Narrow"/>
        </w:rPr>
        <w:t xml:space="preserve"> </w:t>
      </w:r>
      <w:r w:rsidRPr="003E7D9B">
        <w:rPr>
          <w:rFonts w:ascii="Arial Narrow" w:hAnsi="Arial Narrow"/>
        </w:rPr>
        <w:t xml:space="preserve">Zákon by mal nadobudnúť účinnosť </w:t>
      </w:r>
      <w:r w:rsidR="003968A5">
        <w:rPr>
          <w:rFonts w:ascii="Arial Narrow" w:hAnsi="Arial Narrow"/>
        </w:rPr>
        <w:t xml:space="preserve">od </w:t>
      </w:r>
      <w:r w:rsidRPr="003E7D9B">
        <w:rPr>
          <w:rFonts w:ascii="Arial Narrow" w:hAnsi="Arial Narrow"/>
        </w:rPr>
        <w:t>júla 2018</w:t>
      </w:r>
      <w:r>
        <w:rPr>
          <w:rFonts w:ascii="Arial Narrow" w:hAnsi="Arial Narrow"/>
        </w:rPr>
        <w:t>.</w:t>
      </w:r>
    </w:p>
    <w:p w14:paraId="4DEE619F" w14:textId="77777777" w:rsidR="001C0473" w:rsidRDefault="001C0473" w:rsidP="00F3176C">
      <w:pPr>
        <w:spacing w:after="0" w:line="240" w:lineRule="auto"/>
        <w:jc w:val="both"/>
        <w:rPr>
          <w:rFonts w:ascii="Arial Narrow" w:hAnsi="Arial Narrow"/>
        </w:rPr>
      </w:pPr>
    </w:p>
    <w:p w14:paraId="4D23DEA6" w14:textId="77777777" w:rsidR="007D2366" w:rsidRPr="00F12DEC" w:rsidRDefault="007D2366" w:rsidP="007D2366">
      <w:pPr>
        <w:pStyle w:val="Nadpis2"/>
        <w:numPr>
          <w:ilvl w:val="2"/>
          <w:numId w:val="1"/>
        </w:numPr>
        <w:spacing w:after="240" w:line="240" w:lineRule="auto"/>
        <w:ind w:left="720"/>
        <w:jc w:val="both"/>
        <w:rPr>
          <w:rFonts w:ascii="Arial Narrow" w:hAnsi="Arial Narrow"/>
          <w:color w:val="2C9ADC"/>
          <w:sz w:val="28"/>
          <w:szCs w:val="28"/>
        </w:rPr>
      </w:pPr>
      <w:bookmarkStart w:id="87" w:name="_Toc480749815"/>
      <w:bookmarkStart w:id="88" w:name="_Toc508039588"/>
      <w:r>
        <w:rPr>
          <w:rFonts w:ascii="Arial Narrow" w:hAnsi="Arial Narrow"/>
          <w:color w:val="2C9ADC"/>
          <w:sz w:val="28"/>
          <w:szCs w:val="28"/>
        </w:rPr>
        <w:t>Podnikateľské prostredie</w:t>
      </w:r>
      <w:bookmarkEnd w:id="87"/>
      <w:bookmarkEnd w:id="88"/>
    </w:p>
    <w:p w14:paraId="74216C34" w14:textId="77777777" w:rsidR="007D2366" w:rsidRPr="009A551F" w:rsidRDefault="007D2366" w:rsidP="007D2366">
      <w:pPr>
        <w:spacing w:after="0" w:line="240" w:lineRule="auto"/>
        <w:jc w:val="both"/>
        <w:rPr>
          <w:rFonts w:ascii="Arial Narrow" w:hAnsi="Arial Narrow"/>
          <w:b/>
          <w:i/>
        </w:rPr>
      </w:pPr>
      <w:r w:rsidRPr="009A551F">
        <w:rPr>
          <w:rFonts w:ascii="Arial Narrow" w:hAnsi="Arial Narrow"/>
          <w:b/>
          <w:i/>
        </w:rPr>
        <w:t>Zni</w:t>
      </w:r>
      <w:r>
        <w:rPr>
          <w:rFonts w:ascii="Arial Narrow" w:hAnsi="Arial Narrow"/>
          <w:b/>
          <w:i/>
        </w:rPr>
        <w:t xml:space="preserve">žovanie administratívnej záťaže </w:t>
      </w:r>
      <w:r w:rsidRPr="009A551F">
        <w:rPr>
          <w:rFonts w:ascii="Arial Narrow" w:hAnsi="Arial Narrow"/>
          <w:b/>
          <w:i/>
        </w:rPr>
        <w:t>podnikateľov a lepšia regulácia</w:t>
      </w:r>
    </w:p>
    <w:p w14:paraId="4141084B" w14:textId="75E77493" w:rsidR="00BA6E1A" w:rsidRDefault="001B2ABF" w:rsidP="007D2366">
      <w:pPr>
        <w:spacing w:after="0" w:line="240" w:lineRule="auto"/>
        <w:jc w:val="both"/>
        <w:rPr>
          <w:rFonts w:ascii="Arial Narrow" w:hAnsi="Arial Narrow"/>
        </w:rPr>
      </w:pPr>
      <w:r w:rsidRPr="00A6743E">
        <w:rPr>
          <w:rFonts w:ascii="Arial Narrow" w:hAnsi="Arial Narrow"/>
        </w:rPr>
        <w:t xml:space="preserve">Na začiatku roka 2018 vzniklo na rezorte financií </w:t>
      </w:r>
      <w:r w:rsidRPr="00A6743E">
        <w:rPr>
          <w:rFonts w:ascii="Arial Narrow" w:hAnsi="Arial Narrow"/>
          <w:b/>
        </w:rPr>
        <w:t>Centrum pre finančné inovácie</w:t>
      </w:r>
      <w:r w:rsidR="00A6743E" w:rsidRPr="00617EE2">
        <w:rPr>
          <w:rFonts w:ascii="Arial Narrow" w:hAnsi="Arial Narrow"/>
        </w:rPr>
        <w:t xml:space="preserve"> (CFI)</w:t>
      </w:r>
      <w:r w:rsidRPr="00617EE2">
        <w:rPr>
          <w:rFonts w:ascii="Arial Narrow" w:hAnsi="Arial Narrow"/>
        </w:rPr>
        <w:t>, ktor</w:t>
      </w:r>
      <w:r w:rsidR="00A51C10">
        <w:rPr>
          <w:rFonts w:ascii="Arial Narrow" w:hAnsi="Arial Narrow"/>
        </w:rPr>
        <w:t xml:space="preserve">é sa bude zameriavať na </w:t>
      </w:r>
      <w:proofErr w:type="spellStart"/>
      <w:r w:rsidR="00A51C10">
        <w:rPr>
          <w:rFonts w:ascii="Arial Narrow" w:hAnsi="Arial Narrow"/>
        </w:rPr>
        <w:t>FinTech</w:t>
      </w:r>
      <w:proofErr w:type="spellEnd"/>
      <w:r w:rsidR="00A51C10">
        <w:rPr>
          <w:rFonts w:ascii="Arial Narrow" w:hAnsi="Arial Narrow"/>
        </w:rPr>
        <w:t xml:space="preserve"> spoločnosti, a s tým spojenú identifikáciu</w:t>
      </w:r>
      <w:r w:rsidRPr="009E1647">
        <w:rPr>
          <w:rFonts w:ascii="Arial Narrow" w:hAnsi="Arial Narrow"/>
        </w:rPr>
        <w:t xml:space="preserve"> možných bariér pre ich </w:t>
      </w:r>
      <w:r w:rsidR="00BA6E1A" w:rsidRPr="009E1647">
        <w:rPr>
          <w:rFonts w:ascii="Arial Narrow" w:hAnsi="Arial Narrow"/>
        </w:rPr>
        <w:t>vznik a pôsobenie na Slovensku.</w:t>
      </w:r>
      <w:r w:rsidR="00A6743E" w:rsidRPr="009E1647">
        <w:rPr>
          <w:rFonts w:ascii="Arial Narrow" w:hAnsi="Arial Narrow"/>
        </w:rPr>
        <w:t xml:space="preserve"> Prioritnou aktivitou CFI je zmapovanie prostredia ovplyvňujúceho zavádzanie nových technológií v oblasti finančného trhu, identifikácia nedostatkov alebo možností na zlepšenie tohto prostredia a aktívne odstraňovanie ba</w:t>
      </w:r>
      <w:r w:rsidR="00A51C10">
        <w:rPr>
          <w:rFonts w:ascii="Arial Narrow" w:hAnsi="Arial Narrow"/>
        </w:rPr>
        <w:t xml:space="preserve">riér pre vznik a pôsobenie </w:t>
      </w:r>
      <w:proofErr w:type="spellStart"/>
      <w:r w:rsidR="00A6743E" w:rsidRPr="009E1647">
        <w:rPr>
          <w:rFonts w:ascii="Arial Narrow" w:hAnsi="Arial Narrow"/>
        </w:rPr>
        <w:t>FinTech</w:t>
      </w:r>
      <w:proofErr w:type="spellEnd"/>
      <w:r w:rsidR="00A6743E" w:rsidRPr="009E1647">
        <w:rPr>
          <w:rFonts w:ascii="Arial Narrow" w:hAnsi="Arial Narrow"/>
        </w:rPr>
        <w:t xml:space="preserve"> spoločností na Slovensku.</w:t>
      </w:r>
    </w:p>
    <w:p w14:paraId="1EE7FD68" w14:textId="77777777" w:rsidR="00764765" w:rsidRDefault="00764765" w:rsidP="007D2366">
      <w:pPr>
        <w:spacing w:after="0" w:line="240" w:lineRule="auto"/>
        <w:jc w:val="both"/>
        <w:rPr>
          <w:rFonts w:ascii="Arial Narrow" w:hAnsi="Arial Narrow"/>
        </w:rPr>
      </w:pPr>
    </w:p>
    <w:p w14:paraId="7494DA79" w14:textId="1D7E958F" w:rsidR="00764765" w:rsidRPr="008F643C" w:rsidRDefault="00764765" w:rsidP="00764765">
      <w:pPr>
        <w:spacing w:after="0" w:line="240" w:lineRule="auto"/>
        <w:jc w:val="both"/>
        <w:rPr>
          <w:rFonts w:ascii="Arial Narrow" w:hAnsi="Arial Narrow"/>
          <w:color w:val="000000" w:themeColor="text1"/>
          <w:szCs w:val="20"/>
        </w:rPr>
      </w:pPr>
      <w:r w:rsidRPr="00764765">
        <w:rPr>
          <w:rFonts w:ascii="Arial Narrow" w:hAnsi="Arial Narrow"/>
          <w:color w:val="000000" w:themeColor="text1"/>
          <w:szCs w:val="20"/>
        </w:rPr>
        <w:t xml:space="preserve">Pre zlepšenie transparentnosti a konkurencieschopnosti </w:t>
      </w:r>
      <w:r>
        <w:rPr>
          <w:rFonts w:ascii="Arial Narrow" w:hAnsi="Arial Narrow"/>
          <w:color w:val="000000" w:themeColor="text1"/>
          <w:szCs w:val="20"/>
        </w:rPr>
        <w:t>podnikateľského prostredia</w:t>
      </w:r>
      <w:r w:rsidR="00717062">
        <w:rPr>
          <w:rFonts w:ascii="Arial Narrow" w:hAnsi="Arial Narrow"/>
          <w:color w:val="000000" w:themeColor="text1"/>
          <w:szCs w:val="20"/>
        </w:rPr>
        <w:t>,</w:t>
      </w:r>
      <w:r>
        <w:rPr>
          <w:rFonts w:ascii="Arial Narrow" w:hAnsi="Arial Narrow"/>
          <w:color w:val="000000" w:themeColor="text1"/>
          <w:szCs w:val="20"/>
        </w:rPr>
        <w:t xml:space="preserve"> vrátane </w:t>
      </w:r>
      <w:r w:rsidRPr="00764765">
        <w:rPr>
          <w:rFonts w:ascii="Arial Narrow" w:hAnsi="Arial Narrow"/>
          <w:color w:val="000000" w:themeColor="text1"/>
          <w:szCs w:val="20"/>
        </w:rPr>
        <w:t xml:space="preserve">zlepšenia prístupu SME k zákazkám </w:t>
      </w:r>
      <w:r>
        <w:rPr>
          <w:rFonts w:ascii="Arial Narrow" w:hAnsi="Arial Narrow"/>
          <w:color w:val="000000" w:themeColor="text1"/>
          <w:szCs w:val="20"/>
        </w:rPr>
        <w:t>verejného sektora</w:t>
      </w:r>
      <w:r w:rsidR="00717062">
        <w:rPr>
          <w:rFonts w:ascii="Arial Narrow" w:hAnsi="Arial Narrow"/>
          <w:color w:val="000000" w:themeColor="text1"/>
          <w:szCs w:val="20"/>
        </w:rPr>
        <w:t>,</w:t>
      </w:r>
      <w:r>
        <w:rPr>
          <w:rFonts w:ascii="Arial Narrow" w:hAnsi="Arial Narrow"/>
          <w:color w:val="000000" w:themeColor="text1"/>
          <w:szCs w:val="20"/>
        </w:rPr>
        <w:t xml:space="preserve"> </w:t>
      </w:r>
      <w:r w:rsidRPr="00764765">
        <w:rPr>
          <w:rFonts w:ascii="Arial Narrow" w:hAnsi="Arial Narrow"/>
          <w:color w:val="000000" w:themeColor="text1"/>
          <w:szCs w:val="20"/>
        </w:rPr>
        <w:t xml:space="preserve">sa </w:t>
      </w:r>
      <w:r>
        <w:rPr>
          <w:rFonts w:ascii="Arial Narrow" w:hAnsi="Arial Narrow"/>
          <w:color w:val="000000" w:themeColor="text1"/>
          <w:szCs w:val="20"/>
        </w:rPr>
        <w:t xml:space="preserve">pripravia podmienky pre </w:t>
      </w:r>
      <w:r w:rsidRPr="00781A40">
        <w:rPr>
          <w:rFonts w:ascii="Arial Narrow" w:hAnsi="Arial Narrow"/>
          <w:b/>
          <w:color w:val="000000" w:themeColor="text1"/>
          <w:szCs w:val="20"/>
        </w:rPr>
        <w:t>nadst</w:t>
      </w:r>
      <w:r w:rsidR="00781A40" w:rsidRPr="00781A40">
        <w:rPr>
          <w:rFonts w:ascii="Arial Narrow" w:hAnsi="Arial Narrow"/>
          <w:b/>
          <w:color w:val="000000" w:themeColor="text1"/>
          <w:szCs w:val="20"/>
        </w:rPr>
        <w:t>avbu systému EVO (Elektronické verejné obstarávanie)</w:t>
      </w:r>
      <w:r w:rsidR="00781A40">
        <w:rPr>
          <w:rFonts w:ascii="Arial Narrow" w:hAnsi="Arial Narrow"/>
          <w:color w:val="000000" w:themeColor="text1"/>
          <w:szCs w:val="20"/>
        </w:rPr>
        <w:t xml:space="preserve">. Celý </w:t>
      </w:r>
      <w:r>
        <w:rPr>
          <w:rFonts w:ascii="Arial Narrow" w:hAnsi="Arial Narrow"/>
          <w:color w:val="000000" w:themeColor="text1"/>
          <w:szCs w:val="20"/>
        </w:rPr>
        <w:t xml:space="preserve">proces verejného obstarávania </w:t>
      </w:r>
      <w:r w:rsidR="00781A40">
        <w:rPr>
          <w:rFonts w:ascii="Arial Narrow" w:hAnsi="Arial Narrow"/>
          <w:color w:val="000000" w:themeColor="text1"/>
          <w:szCs w:val="20"/>
        </w:rPr>
        <w:t xml:space="preserve">by sa tak </w:t>
      </w:r>
      <w:r>
        <w:rPr>
          <w:rFonts w:ascii="Arial Narrow" w:hAnsi="Arial Narrow"/>
          <w:color w:val="000000" w:themeColor="text1"/>
          <w:szCs w:val="20"/>
        </w:rPr>
        <w:t xml:space="preserve">dostal do digitálnej podoby a </w:t>
      </w:r>
      <w:r w:rsidRPr="00764765">
        <w:rPr>
          <w:rFonts w:ascii="Arial Narrow" w:hAnsi="Arial Narrow"/>
          <w:color w:val="000000" w:themeColor="text1"/>
          <w:szCs w:val="20"/>
        </w:rPr>
        <w:t xml:space="preserve">realizoval </w:t>
      </w:r>
      <w:r w:rsidR="00306734">
        <w:rPr>
          <w:rFonts w:ascii="Arial Narrow" w:hAnsi="Arial Narrow"/>
          <w:color w:val="000000" w:themeColor="text1"/>
          <w:szCs w:val="20"/>
        </w:rPr>
        <w:t xml:space="preserve">by sa </w:t>
      </w:r>
      <w:r w:rsidR="00781A40">
        <w:rPr>
          <w:rFonts w:ascii="Arial Narrow" w:hAnsi="Arial Narrow"/>
          <w:color w:val="000000" w:themeColor="text1"/>
          <w:szCs w:val="20"/>
        </w:rPr>
        <w:t>aj prostredníctvom elektronického šifrovania</w:t>
      </w:r>
      <w:r w:rsidRPr="00764765">
        <w:rPr>
          <w:rFonts w:ascii="Arial Narrow" w:hAnsi="Arial Narrow"/>
          <w:color w:val="000000" w:themeColor="text1"/>
          <w:szCs w:val="20"/>
        </w:rPr>
        <w:t>.</w:t>
      </w:r>
      <w:r w:rsidRPr="008F643C">
        <w:rPr>
          <w:rFonts w:ascii="Arial Narrow" w:hAnsi="Arial Narrow"/>
          <w:color w:val="000000" w:themeColor="text1"/>
          <w:szCs w:val="20"/>
        </w:rPr>
        <w:t xml:space="preserve"> </w:t>
      </w:r>
    </w:p>
    <w:p w14:paraId="76E7F365" w14:textId="77777777" w:rsidR="00BA6E1A" w:rsidRDefault="00BA6E1A" w:rsidP="007D2366">
      <w:pPr>
        <w:spacing w:after="0" w:line="240" w:lineRule="auto"/>
        <w:jc w:val="both"/>
        <w:rPr>
          <w:rFonts w:ascii="Arial Narrow" w:hAnsi="Arial Narrow"/>
        </w:rPr>
      </w:pPr>
    </w:p>
    <w:p w14:paraId="3B7154D7" w14:textId="02FBF2D9" w:rsidR="00225F9C" w:rsidRDefault="007D2366" w:rsidP="007D2366">
      <w:pPr>
        <w:spacing w:after="0" w:line="240" w:lineRule="auto"/>
        <w:jc w:val="both"/>
        <w:rPr>
          <w:rFonts w:ascii="Arial Narrow" w:hAnsi="Arial Narrow"/>
        </w:rPr>
      </w:pPr>
      <w:r w:rsidRPr="009A551F">
        <w:rPr>
          <w:rFonts w:ascii="Arial Narrow" w:hAnsi="Arial Narrow"/>
        </w:rPr>
        <w:t>Finančná správa bude pokračovať v znižovaní administratívnej záťaže podnikateľov rozšírením možností</w:t>
      </w:r>
      <w:r w:rsidRPr="009A551F">
        <w:rPr>
          <w:rFonts w:ascii="Arial Narrow" w:hAnsi="Arial Narrow"/>
          <w:b/>
        </w:rPr>
        <w:t xml:space="preserve"> obojsmernej elektronickej komunikácie s</w:t>
      </w:r>
      <w:r w:rsidR="009C1D15">
        <w:rPr>
          <w:rFonts w:ascii="Arial Narrow" w:hAnsi="Arial Narrow"/>
          <w:b/>
        </w:rPr>
        <w:t> </w:t>
      </w:r>
      <w:r w:rsidRPr="009A551F">
        <w:rPr>
          <w:rFonts w:ascii="Arial Narrow" w:hAnsi="Arial Narrow"/>
          <w:b/>
        </w:rPr>
        <w:t>podnika</w:t>
      </w:r>
      <w:r>
        <w:rPr>
          <w:rFonts w:ascii="Arial Narrow" w:hAnsi="Arial Narrow"/>
          <w:b/>
        </w:rPr>
        <w:t>t</w:t>
      </w:r>
      <w:r w:rsidRPr="009A551F">
        <w:rPr>
          <w:rFonts w:ascii="Arial Narrow" w:hAnsi="Arial Narrow"/>
          <w:b/>
        </w:rPr>
        <w:t>eľmi</w:t>
      </w:r>
      <w:r w:rsidR="009C1D15">
        <w:rPr>
          <w:rFonts w:ascii="Arial Narrow" w:hAnsi="Arial Narrow"/>
          <w:b/>
        </w:rPr>
        <w:t xml:space="preserve"> </w:t>
      </w:r>
      <w:r>
        <w:rPr>
          <w:rFonts w:ascii="Arial Narrow" w:hAnsi="Arial Narrow"/>
        </w:rPr>
        <w:t>v</w:t>
      </w:r>
      <w:r w:rsidR="009C1D15">
        <w:rPr>
          <w:rFonts w:ascii="Arial Narrow" w:hAnsi="Arial Narrow"/>
        </w:rPr>
        <w:t> </w:t>
      </w:r>
      <w:r>
        <w:rPr>
          <w:rFonts w:ascii="Arial Narrow" w:hAnsi="Arial Narrow"/>
        </w:rPr>
        <w:t>daňovej</w:t>
      </w:r>
      <w:r w:rsidR="009C1D15">
        <w:rPr>
          <w:rFonts w:ascii="Arial Narrow" w:hAnsi="Arial Narrow"/>
        </w:rPr>
        <w:t xml:space="preserve"> a colnej</w:t>
      </w:r>
      <w:r>
        <w:rPr>
          <w:rFonts w:ascii="Arial Narrow" w:hAnsi="Arial Narrow"/>
        </w:rPr>
        <w:t xml:space="preserve"> agende</w:t>
      </w:r>
      <w:r w:rsidR="009C1D15">
        <w:rPr>
          <w:rFonts w:ascii="Arial Narrow" w:hAnsi="Arial Narrow"/>
        </w:rPr>
        <w:t>.</w:t>
      </w:r>
    </w:p>
    <w:p w14:paraId="05D08C5C" w14:textId="77777777" w:rsidR="00EB3812" w:rsidRDefault="00EB3812" w:rsidP="007D2366">
      <w:pPr>
        <w:spacing w:after="0" w:line="240" w:lineRule="auto"/>
        <w:jc w:val="both"/>
        <w:rPr>
          <w:rFonts w:ascii="Arial Narrow" w:hAnsi="Arial Narrow"/>
        </w:rPr>
      </w:pPr>
    </w:p>
    <w:p w14:paraId="2CA54724" w14:textId="68F64CF9" w:rsidR="00EB3812" w:rsidRPr="009F2177" w:rsidRDefault="00EB3812" w:rsidP="00EB3812">
      <w:pPr>
        <w:spacing w:after="0" w:line="240" w:lineRule="auto"/>
        <w:jc w:val="both"/>
        <w:rPr>
          <w:rFonts w:ascii="Arial Narrow" w:hAnsi="Arial Narrow"/>
          <w:color w:val="000000" w:themeColor="text1"/>
          <w:szCs w:val="20"/>
        </w:rPr>
      </w:pPr>
      <w:r w:rsidRPr="009F2177">
        <w:rPr>
          <w:rFonts w:ascii="Arial Narrow" w:hAnsi="Arial Narrow"/>
          <w:color w:val="000000" w:themeColor="text1"/>
          <w:szCs w:val="20"/>
        </w:rPr>
        <w:t>V oblasti verejného obstarávania sa v roku 2017 priprav</w:t>
      </w:r>
      <w:r w:rsidR="003C024E">
        <w:rPr>
          <w:rFonts w:ascii="Arial Narrow" w:hAnsi="Arial Narrow"/>
          <w:color w:val="000000" w:themeColor="text1"/>
          <w:szCs w:val="20"/>
        </w:rPr>
        <w:t>ila</w:t>
      </w:r>
      <w:r w:rsidRPr="009F2177">
        <w:rPr>
          <w:rFonts w:ascii="Arial Narrow" w:hAnsi="Arial Narrow"/>
          <w:color w:val="000000" w:themeColor="text1"/>
          <w:szCs w:val="20"/>
        </w:rPr>
        <w:t xml:space="preserve"> norma </w:t>
      </w:r>
      <w:r w:rsidRPr="009F2177">
        <w:rPr>
          <w:rFonts w:ascii="Arial Narrow" w:hAnsi="Arial Narrow"/>
          <w:b/>
          <w:color w:val="000000" w:themeColor="text1"/>
          <w:szCs w:val="20"/>
        </w:rPr>
        <w:t>pre elektronickú fakturáciu</w:t>
      </w:r>
      <w:r w:rsidRPr="009F2177">
        <w:rPr>
          <w:rFonts w:ascii="Arial Narrow" w:hAnsi="Arial Narrow"/>
          <w:color w:val="000000" w:themeColor="text1"/>
          <w:szCs w:val="20"/>
        </w:rPr>
        <w:t xml:space="preserve">. Platnosť legislatívy a praktické spustenie tzv. </w:t>
      </w:r>
      <w:r w:rsidRPr="009F2177">
        <w:rPr>
          <w:rFonts w:ascii="Arial Narrow" w:hAnsi="Arial Narrow"/>
          <w:i/>
          <w:color w:val="000000" w:themeColor="text1"/>
          <w:szCs w:val="20"/>
        </w:rPr>
        <w:t>e-</w:t>
      </w:r>
      <w:proofErr w:type="spellStart"/>
      <w:r w:rsidRPr="009F2177">
        <w:rPr>
          <w:rFonts w:ascii="Arial Narrow" w:hAnsi="Arial Narrow"/>
          <w:i/>
          <w:color w:val="000000" w:themeColor="text1"/>
          <w:szCs w:val="20"/>
        </w:rPr>
        <w:t>Invoicingu</w:t>
      </w:r>
      <w:proofErr w:type="spellEnd"/>
      <w:r w:rsidRPr="009F2177">
        <w:rPr>
          <w:rFonts w:ascii="Arial Narrow" w:hAnsi="Arial Narrow"/>
          <w:color w:val="000000" w:themeColor="text1"/>
          <w:szCs w:val="20"/>
        </w:rPr>
        <w:t xml:space="preserve"> sa predpokladá od </w:t>
      </w:r>
      <w:r w:rsidR="00985B03">
        <w:rPr>
          <w:rFonts w:ascii="Arial Narrow" w:hAnsi="Arial Narrow"/>
          <w:color w:val="000000" w:themeColor="text1"/>
          <w:szCs w:val="20"/>
        </w:rPr>
        <w:t>apríla 2019</w:t>
      </w:r>
      <w:r w:rsidRPr="009F2177">
        <w:rPr>
          <w:rFonts w:ascii="Arial Narrow" w:hAnsi="Arial Narrow"/>
          <w:color w:val="000000" w:themeColor="text1"/>
          <w:szCs w:val="20"/>
        </w:rPr>
        <w:t xml:space="preserve"> pre obsta</w:t>
      </w:r>
      <w:r w:rsidR="00A51C10">
        <w:rPr>
          <w:rFonts w:ascii="Arial Narrow" w:hAnsi="Arial Narrow"/>
          <w:color w:val="000000" w:themeColor="text1"/>
          <w:szCs w:val="20"/>
        </w:rPr>
        <w:t>rávateľov na ústrednej úrovni verejnej správy</w:t>
      </w:r>
      <w:r w:rsidRPr="009F2177">
        <w:rPr>
          <w:rFonts w:ascii="Arial Narrow" w:hAnsi="Arial Narrow"/>
          <w:color w:val="000000" w:themeColor="text1"/>
          <w:szCs w:val="20"/>
        </w:rPr>
        <w:t>, o rok neskôr pre obstará</w:t>
      </w:r>
      <w:r w:rsidR="00A51C10">
        <w:rPr>
          <w:rFonts w:ascii="Arial Narrow" w:hAnsi="Arial Narrow"/>
          <w:color w:val="000000" w:themeColor="text1"/>
          <w:szCs w:val="20"/>
        </w:rPr>
        <w:t>vateľov na všetkých úrovniach verejnej správy</w:t>
      </w:r>
      <w:r w:rsidRPr="009F2177">
        <w:rPr>
          <w:rFonts w:ascii="Arial Narrow" w:hAnsi="Arial Narrow"/>
          <w:color w:val="000000" w:themeColor="text1"/>
          <w:szCs w:val="20"/>
        </w:rPr>
        <w:t>.</w:t>
      </w:r>
    </w:p>
    <w:p w14:paraId="5BA6FFE0" w14:textId="77777777" w:rsidR="00225F9C" w:rsidRDefault="00225F9C" w:rsidP="007D2366">
      <w:pPr>
        <w:spacing w:after="0" w:line="240" w:lineRule="auto"/>
        <w:jc w:val="both"/>
        <w:rPr>
          <w:rFonts w:ascii="Arial Narrow" w:hAnsi="Arial Narrow"/>
        </w:rPr>
      </w:pPr>
    </w:p>
    <w:p w14:paraId="30B31F60" w14:textId="5053982A" w:rsidR="001B2ABF" w:rsidRDefault="00D21609" w:rsidP="007D2366">
      <w:pPr>
        <w:spacing w:after="0" w:line="240" w:lineRule="auto"/>
        <w:jc w:val="both"/>
        <w:rPr>
          <w:rFonts w:ascii="Arial Narrow" w:hAnsi="Arial Narrow"/>
        </w:rPr>
      </w:pPr>
      <w:r>
        <w:rPr>
          <w:rFonts w:ascii="Arial Narrow" w:hAnsi="Arial Narrow"/>
        </w:rPr>
        <w:t xml:space="preserve">Na základe princípu </w:t>
      </w:r>
      <w:r w:rsidR="00225F9C">
        <w:rPr>
          <w:rFonts w:ascii="Arial Narrow" w:hAnsi="Arial Narrow"/>
          <w:i/>
        </w:rPr>
        <w:t>jedenkrát a</w:t>
      </w:r>
      <w:r w:rsidR="00EB3812">
        <w:rPr>
          <w:rFonts w:ascii="Arial Narrow" w:hAnsi="Arial Narrow"/>
          <w:i/>
        </w:rPr>
        <w:t> </w:t>
      </w:r>
      <w:r w:rsidR="00225F9C">
        <w:rPr>
          <w:rFonts w:ascii="Arial Narrow" w:hAnsi="Arial Narrow"/>
          <w:i/>
        </w:rPr>
        <w:t>dos</w:t>
      </w:r>
      <w:r w:rsidR="00EB3812">
        <w:rPr>
          <w:rFonts w:ascii="Arial Narrow" w:hAnsi="Arial Narrow"/>
          <w:i/>
        </w:rPr>
        <w:t xml:space="preserve">ť </w:t>
      </w:r>
      <w:r w:rsidRPr="00D21609">
        <w:rPr>
          <w:rFonts w:ascii="Arial Narrow" w:hAnsi="Arial Narrow"/>
        </w:rPr>
        <w:t>je i </w:t>
      </w:r>
      <w:r w:rsidR="009C1D15" w:rsidRPr="00D21609">
        <w:rPr>
          <w:rFonts w:ascii="Arial Narrow" w:hAnsi="Arial Narrow"/>
        </w:rPr>
        <w:t>naďalej</w:t>
      </w:r>
      <w:r w:rsidRPr="00D21609">
        <w:rPr>
          <w:rFonts w:ascii="Arial Narrow" w:hAnsi="Arial Narrow"/>
        </w:rPr>
        <w:t xml:space="preserve"> cieľom</w:t>
      </w:r>
      <w:r w:rsidR="009C1D15" w:rsidRPr="00D21609">
        <w:rPr>
          <w:rFonts w:ascii="Arial Narrow" w:hAnsi="Arial Narrow"/>
        </w:rPr>
        <w:t xml:space="preserve"> </w:t>
      </w:r>
      <w:r w:rsidRPr="00D21609">
        <w:rPr>
          <w:rFonts w:ascii="Arial Narrow" w:hAnsi="Arial Narrow"/>
        </w:rPr>
        <w:t xml:space="preserve">poskytovať </w:t>
      </w:r>
      <w:r>
        <w:rPr>
          <w:rFonts w:ascii="Arial Narrow" w:hAnsi="Arial Narrow"/>
        </w:rPr>
        <w:t xml:space="preserve">klientom </w:t>
      </w:r>
      <w:proofErr w:type="spellStart"/>
      <w:r>
        <w:rPr>
          <w:rFonts w:ascii="Arial Narrow" w:hAnsi="Arial Narrow"/>
        </w:rPr>
        <w:t>predvyplnené</w:t>
      </w:r>
      <w:proofErr w:type="spellEnd"/>
      <w:r>
        <w:rPr>
          <w:rFonts w:ascii="Arial Narrow" w:hAnsi="Arial Narrow"/>
        </w:rPr>
        <w:t xml:space="preserve"> údaje, ktorými</w:t>
      </w:r>
      <w:r w:rsidR="009C1D15" w:rsidRPr="009C1D15">
        <w:rPr>
          <w:rFonts w:ascii="Arial Narrow" w:hAnsi="Arial Narrow"/>
        </w:rPr>
        <w:t xml:space="preserve"> už</w:t>
      </w:r>
      <w:r>
        <w:rPr>
          <w:rFonts w:ascii="Arial Narrow" w:hAnsi="Arial Narrow"/>
        </w:rPr>
        <w:t xml:space="preserve"> FS</w:t>
      </w:r>
      <w:r w:rsidR="009C1D15" w:rsidRPr="009C1D15">
        <w:rPr>
          <w:rFonts w:ascii="Arial Narrow" w:hAnsi="Arial Narrow"/>
        </w:rPr>
        <w:t xml:space="preserve"> </w:t>
      </w:r>
      <w:r w:rsidR="007A35D4">
        <w:rPr>
          <w:rFonts w:ascii="Arial Narrow" w:hAnsi="Arial Narrow"/>
        </w:rPr>
        <w:t xml:space="preserve">SR </w:t>
      </w:r>
      <w:r w:rsidR="009C1D15" w:rsidRPr="009C1D15">
        <w:rPr>
          <w:rFonts w:ascii="Arial Narrow" w:hAnsi="Arial Narrow"/>
        </w:rPr>
        <w:t>disponuje</w:t>
      </w:r>
      <w:r w:rsidR="009C1D15">
        <w:rPr>
          <w:rFonts w:ascii="Arial Narrow" w:hAnsi="Arial Narrow"/>
        </w:rPr>
        <w:t>.</w:t>
      </w:r>
      <w:r w:rsidR="00F1167D">
        <w:rPr>
          <w:rFonts w:ascii="Arial Narrow" w:hAnsi="Arial Narrow"/>
        </w:rPr>
        <w:t xml:space="preserve"> Zároveň</w:t>
      </w:r>
      <w:r>
        <w:rPr>
          <w:rFonts w:ascii="Arial Narrow" w:hAnsi="Arial Narrow"/>
        </w:rPr>
        <w:t xml:space="preserve"> </w:t>
      </w:r>
      <w:r w:rsidR="00F1167D">
        <w:rPr>
          <w:rFonts w:ascii="Arial Narrow" w:hAnsi="Arial Narrow"/>
        </w:rPr>
        <w:t xml:space="preserve">sa plánuje </w:t>
      </w:r>
      <w:r w:rsidR="002525FE">
        <w:rPr>
          <w:rFonts w:ascii="Arial Narrow" w:hAnsi="Arial Narrow"/>
        </w:rPr>
        <w:t>automatizácia už</w:t>
      </w:r>
      <w:r w:rsidR="00F1167D">
        <w:rPr>
          <w:rFonts w:ascii="Arial Narrow" w:hAnsi="Arial Narrow"/>
        </w:rPr>
        <w:t xml:space="preserve"> zavedených upozorňujúcich správ</w:t>
      </w:r>
      <w:r w:rsidR="007D2366" w:rsidRPr="009A551F">
        <w:rPr>
          <w:rFonts w:ascii="Arial Narrow" w:hAnsi="Arial Narrow"/>
        </w:rPr>
        <w:t xml:space="preserve"> </w:t>
      </w:r>
      <w:r w:rsidR="007D2366" w:rsidRPr="003020D8">
        <w:rPr>
          <w:rFonts w:ascii="Arial Narrow" w:hAnsi="Arial Narrow"/>
          <w:b/>
          <w:i/>
        </w:rPr>
        <w:t xml:space="preserve">soft </w:t>
      </w:r>
      <w:proofErr w:type="spellStart"/>
      <w:r w:rsidR="007D2366" w:rsidRPr="003020D8">
        <w:rPr>
          <w:rFonts w:ascii="Arial Narrow" w:hAnsi="Arial Narrow"/>
          <w:b/>
          <w:i/>
        </w:rPr>
        <w:t>warning</w:t>
      </w:r>
      <w:proofErr w:type="spellEnd"/>
      <w:r w:rsidR="007D2366" w:rsidRPr="009A551F">
        <w:rPr>
          <w:rFonts w:ascii="Arial Narrow" w:hAnsi="Arial Narrow"/>
        </w:rPr>
        <w:t xml:space="preserve">, ktoré </w:t>
      </w:r>
      <w:r w:rsidR="00F1167D">
        <w:rPr>
          <w:rFonts w:ascii="Arial Narrow" w:hAnsi="Arial Narrow"/>
        </w:rPr>
        <w:t>sú</w:t>
      </w:r>
      <w:r w:rsidR="007D2366" w:rsidRPr="00CE6C2D">
        <w:rPr>
          <w:rFonts w:ascii="Arial Narrow" w:hAnsi="Arial Narrow"/>
        </w:rPr>
        <w:t xml:space="preserve"> prostriedkom pre preventívne komunikovanie so subjektmi finančnej správy za účelom plnenia ich </w:t>
      </w:r>
      <w:r w:rsidR="007D2366">
        <w:rPr>
          <w:rFonts w:ascii="Arial Narrow" w:hAnsi="Arial Narrow"/>
        </w:rPr>
        <w:t xml:space="preserve">povinností v agendách finančnej správy </w:t>
      </w:r>
      <w:r w:rsidR="007D2366" w:rsidRPr="00CE6C2D">
        <w:rPr>
          <w:rFonts w:ascii="Arial Narrow" w:hAnsi="Arial Narrow"/>
        </w:rPr>
        <w:t>a predchádzaniu správnych deliktov a porušení zákonov</w:t>
      </w:r>
      <w:r w:rsidR="00F1167D">
        <w:rPr>
          <w:rFonts w:ascii="Arial Narrow" w:hAnsi="Arial Narrow"/>
        </w:rPr>
        <w:t>.</w:t>
      </w:r>
      <w:r w:rsidR="00AA7A40">
        <w:rPr>
          <w:rFonts w:ascii="Arial Narrow" w:hAnsi="Arial Narrow"/>
        </w:rPr>
        <w:t xml:space="preserve"> </w:t>
      </w:r>
      <w:r w:rsidR="00AA7A40" w:rsidRPr="003E31A0">
        <w:rPr>
          <w:rFonts w:ascii="Arial Narrow" w:hAnsi="Arial Narrow"/>
          <w:color w:val="000000" w:themeColor="text1"/>
        </w:rPr>
        <w:t>Daňové subjekty budú napríklad pravidelne upozorňované</w:t>
      </w:r>
      <w:r w:rsidR="008860BC">
        <w:rPr>
          <w:rFonts w:ascii="Arial Narrow" w:hAnsi="Arial Narrow"/>
          <w:color w:val="000000" w:themeColor="text1"/>
        </w:rPr>
        <w:t xml:space="preserve"> na ich nedoplatky formou SMS</w:t>
      </w:r>
      <w:r w:rsidR="00AA7A40" w:rsidRPr="003E31A0">
        <w:rPr>
          <w:rFonts w:ascii="Arial Narrow" w:hAnsi="Arial Narrow"/>
          <w:color w:val="000000" w:themeColor="text1"/>
        </w:rPr>
        <w:t xml:space="preserve"> správ a emailov.</w:t>
      </w:r>
      <w:r w:rsidR="00AA7A40">
        <w:t xml:space="preserve"> </w:t>
      </w:r>
      <w:r w:rsidR="008860BC">
        <w:rPr>
          <w:rFonts w:ascii="Arial Narrow" w:hAnsi="Arial Narrow"/>
        </w:rPr>
        <w:t>Finalizuje sa druhá</w:t>
      </w:r>
      <w:r w:rsidR="002525FE" w:rsidRPr="002525FE">
        <w:rPr>
          <w:rFonts w:ascii="Arial Narrow" w:hAnsi="Arial Narrow"/>
        </w:rPr>
        <w:t xml:space="preserve"> etapa automatizácie colného dohľadu nad dovozom tovaru prostredníctvom systému </w:t>
      </w:r>
      <w:r w:rsidR="002525FE" w:rsidRPr="001C0473">
        <w:rPr>
          <w:rFonts w:ascii="Arial Narrow" w:hAnsi="Arial Narrow"/>
          <w:b/>
          <w:i/>
        </w:rPr>
        <w:t>e-DOVOZ</w:t>
      </w:r>
      <w:r w:rsidR="002525FE">
        <w:rPr>
          <w:rFonts w:ascii="Arial Narrow" w:hAnsi="Arial Narrow"/>
        </w:rPr>
        <w:t xml:space="preserve">. </w:t>
      </w:r>
    </w:p>
    <w:p w14:paraId="62C76809" w14:textId="77777777" w:rsidR="001B2ABF" w:rsidRDefault="001B2ABF" w:rsidP="007D2366">
      <w:pPr>
        <w:spacing w:after="0" w:line="240" w:lineRule="auto"/>
        <w:jc w:val="both"/>
        <w:rPr>
          <w:rFonts w:ascii="Arial Narrow" w:hAnsi="Arial Narrow"/>
        </w:rPr>
      </w:pPr>
    </w:p>
    <w:p w14:paraId="16EF0A06" w14:textId="77F08330" w:rsidR="007D2366" w:rsidRDefault="00F1167D" w:rsidP="007D2366">
      <w:pPr>
        <w:spacing w:after="0" w:line="240" w:lineRule="auto"/>
        <w:jc w:val="both"/>
        <w:rPr>
          <w:rFonts w:ascii="Arial Narrow" w:hAnsi="Arial Narrow"/>
        </w:rPr>
      </w:pPr>
      <w:r w:rsidRPr="007E5CCE">
        <w:rPr>
          <w:rFonts w:ascii="Arial Narrow" w:hAnsi="Arial Narrow"/>
        </w:rPr>
        <w:t xml:space="preserve">Podpora dobrovoľného plnenia daňových povinnosti obsahuje aj zámer FS </w:t>
      </w:r>
      <w:r w:rsidR="007A35D4" w:rsidRPr="007E5CCE">
        <w:rPr>
          <w:rFonts w:ascii="Arial Narrow" w:hAnsi="Arial Narrow"/>
        </w:rPr>
        <w:t xml:space="preserve">SR </w:t>
      </w:r>
      <w:r w:rsidRPr="007E5CCE">
        <w:rPr>
          <w:rFonts w:ascii="Arial Narrow" w:hAnsi="Arial Narrow"/>
        </w:rPr>
        <w:t xml:space="preserve">pokračovať v </w:t>
      </w:r>
      <w:r w:rsidR="007A35D4" w:rsidRPr="007E5CCE">
        <w:rPr>
          <w:rFonts w:ascii="Arial Narrow" w:hAnsi="Arial Narrow"/>
        </w:rPr>
        <w:t xml:space="preserve">implementácii </w:t>
      </w:r>
      <w:r w:rsidR="00EB3812" w:rsidRPr="007E5CCE">
        <w:rPr>
          <w:rFonts w:ascii="Arial Narrow" w:hAnsi="Arial Narrow"/>
          <w:b/>
        </w:rPr>
        <w:t>i</w:t>
      </w:r>
      <w:r w:rsidRPr="007E5CCE">
        <w:rPr>
          <w:rFonts w:ascii="Arial Narrow" w:hAnsi="Arial Narrow"/>
          <w:b/>
        </w:rPr>
        <w:t>ndex</w:t>
      </w:r>
      <w:r w:rsidR="007A35D4" w:rsidRPr="007E5CCE">
        <w:rPr>
          <w:rFonts w:ascii="Arial Narrow" w:hAnsi="Arial Narrow"/>
          <w:b/>
        </w:rPr>
        <w:t>u</w:t>
      </w:r>
      <w:r w:rsidRPr="007E5CCE">
        <w:rPr>
          <w:rFonts w:ascii="Arial Narrow" w:hAnsi="Arial Narrow"/>
          <w:b/>
        </w:rPr>
        <w:t xml:space="preserve"> daňovej spoľahlivosti</w:t>
      </w:r>
      <w:r w:rsidR="007E5CCE" w:rsidRPr="007E5CCE">
        <w:rPr>
          <w:rFonts w:ascii="Arial Narrow" w:hAnsi="Arial Narrow"/>
        </w:rPr>
        <w:t xml:space="preserve">. Opatrenie, ktoré má motivačný aj preventívny charakter, hodnotí </w:t>
      </w:r>
      <w:r w:rsidRPr="007E5CCE">
        <w:rPr>
          <w:rFonts w:ascii="Arial Narrow" w:hAnsi="Arial Narrow"/>
        </w:rPr>
        <w:t>daňov</w:t>
      </w:r>
      <w:r w:rsidR="007A35D4" w:rsidRPr="007E5CCE">
        <w:rPr>
          <w:rFonts w:ascii="Arial Narrow" w:hAnsi="Arial Narrow"/>
        </w:rPr>
        <w:t>ý</w:t>
      </w:r>
      <w:r w:rsidRPr="007E5CCE">
        <w:rPr>
          <w:rFonts w:ascii="Arial Narrow" w:hAnsi="Arial Narrow"/>
        </w:rPr>
        <w:t xml:space="preserve"> subjekt na základe plnenia jeho </w:t>
      </w:r>
      <w:r w:rsidR="007E5CCE" w:rsidRPr="007E5CCE">
        <w:rPr>
          <w:rFonts w:ascii="Arial Narrow" w:hAnsi="Arial Narrow"/>
        </w:rPr>
        <w:t xml:space="preserve">daňových </w:t>
      </w:r>
      <w:r w:rsidRPr="007E5CCE">
        <w:rPr>
          <w:rFonts w:ascii="Arial Narrow" w:hAnsi="Arial Narrow"/>
        </w:rPr>
        <w:t>povinností.</w:t>
      </w:r>
      <w:r w:rsidR="007E5CCE">
        <w:rPr>
          <w:rFonts w:ascii="Arial Narrow" w:hAnsi="Arial Narrow"/>
        </w:rPr>
        <w:t xml:space="preserve"> </w:t>
      </w:r>
      <w:r w:rsidR="007D2366">
        <w:rPr>
          <w:rFonts w:ascii="Arial Narrow" w:hAnsi="Arial Narrow"/>
        </w:rPr>
        <w:t xml:space="preserve">Na </w:t>
      </w:r>
      <w:r w:rsidR="00816857">
        <w:rPr>
          <w:rFonts w:ascii="Arial Narrow" w:hAnsi="Arial Narrow"/>
        </w:rPr>
        <w:t>zvýšenie komfortu klientov finančnej správy sa</w:t>
      </w:r>
      <w:r w:rsidR="00816857" w:rsidRPr="00816857">
        <w:rPr>
          <w:rFonts w:ascii="Arial Narrow" w:hAnsi="Arial Narrow"/>
        </w:rPr>
        <w:t xml:space="preserve"> </w:t>
      </w:r>
      <w:r w:rsidR="00816857" w:rsidRPr="00816857">
        <w:rPr>
          <w:rFonts w:ascii="Arial Narrow" w:hAnsi="Arial Narrow"/>
        </w:rPr>
        <w:lastRenderedPageBreak/>
        <w:t>transformáciou daňového úradu pre vybrané daňové subjekty</w:t>
      </w:r>
      <w:r w:rsidR="00816857">
        <w:rPr>
          <w:rFonts w:ascii="Arial Narrow" w:hAnsi="Arial Narrow"/>
        </w:rPr>
        <w:t xml:space="preserve"> </w:t>
      </w:r>
      <w:r w:rsidR="007D2366">
        <w:rPr>
          <w:rFonts w:ascii="Arial Narrow" w:hAnsi="Arial Narrow"/>
        </w:rPr>
        <w:t xml:space="preserve">vytvorí </w:t>
      </w:r>
      <w:r w:rsidR="003E24E1">
        <w:rPr>
          <w:rFonts w:ascii="Arial Narrow" w:hAnsi="Arial Narrow"/>
          <w:b/>
        </w:rPr>
        <w:t>Ú</w:t>
      </w:r>
      <w:r w:rsidR="007D2366" w:rsidRPr="00A83E23">
        <w:rPr>
          <w:rFonts w:ascii="Arial Narrow" w:hAnsi="Arial Narrow"/>
          <w:b/>
        </w:rPr>
        <w:t xml:space="preserve">rad pre </w:t>
      </w:r>
      <w:r w:rsidR="007D2366">
        <w:rPr>
          <w:rFonts w:ascii="Arial Narrow" w:hAnsi="Arial Narrow"/>
          <w:b/>
        </w:rPr>
        <w:t xml:space="preserve">vybrané </w:t>
      </w:r>
      <w:r w:rsidR="007D2366" w:rsidRPr="00A83E23">
        <w:rPr>
          <w:rFonts w:ascii="Arial Narrow" w:hAnsi="Arial Narrow"/>
          <w:b/>
        </w:rPr>
        <w:t>hospodárske subjekty</w:t>
      </w:r>
      <w:r w:rsidR="007D2366">
        <w:rPr>
          <w:rFonts w:ascii="Arial Narrow" w:hAnsi="Arial Narrow"/>
        </w:rPr>
        <w:t>. Okrem uľahčenia veľkého objemu dovozov najväčším importérom prispeje úrad k prevencii a dodržiavaniu daňových a colných predpisov zo strany hospodárskych subjektov</w:t>
      </w:r>
      <w:r w:rsidR="001C0473">
        <w:rPr>
          <w:rFonts w:ascii="Arial Narrow" w:hAnsi="Arial Narrow"/>
        </w:rPr>
        <w:t xml:space="preserve">, či k </w:t>
      </w:r>
      <w:r w:rsidR="007D2366">
        <w:rPr>
          <w:rFonts w:ascii="Arial Narrow" w:hAnsi="Arial Narrow"/>
        </w:rPr>
        <w:t>prínos</w:t>
      </w:r>
      <w:r w:rsidR="001C0473">
        <w:rPr>
          <w:rFonts w:ascii="Arial Narrow" w:hAnsi="Arial Narrow"/>
        </w:rPr>
        <w:t>u</w:t>
      </w:r>
      <w:r w:rsidR="007D2366">
        <w:rPr>
          <w:rFonts w:ascii="Arial Narrow" w:hAnsi="Arial Narrow"/>
        </w:rPr>
        <w:t xml:space="preserve"> v podobe udržania kľúčových a získania nových platcov cla na Slovensku.</w:t>
      </w:r>
      <w:r w:rsidR="00816857" w:rsidRPr="00816857">
        <w:rPr>
          <w:rFonts w:ascii="Arial Narrow" w:hAnsi="Arial Narrow"/>
          <w:color w:val="000000" w:themeColor="text1"/>
          <w:szCs w:val="20"/>
        </w:rPr>
        <w:t xml:space="preserve"> </w:t>
      </w:r>
    </w:p>
    <w:p w14:paraId="6B60391B" w14:textId="77777777" w:rsidR="007D2366" w:rsidRDefault="007D2366" w:rsidP="007D2366">
      <w:pPr>
        <w:spacing w:after="0" w:line="240" w:lineRule="auto"/>
        <w:jc w:val="both"/>
        <w:rPr>
          <w:rFonts w:ascii="Arial Narrow" w:hAnsi="Arial Narrow"/>
        </w:rPr>
      </w:pPr>
    </w:p>
    <w:p w14:paraId="657BB219" w14:textId="652E3F2B" w:rsidR="009B286A" w:rsidRPr="009B286A" w:rsidRDefault="00EC163D" w:rsidP="009B286A">
      <w:pPr>
        <w:spacing w:after="0" w:line="240" w:lineRule="auto"/>
        <w:jc w:val="both"/>
        <w:rPr>
          <w:rFonts w:ascii="Arial Narrow" w:hAnsi="Arial Narrow"/>
        </w:rPr>
      </w:pPr>
      <w:r>
        <w:rPr>
          <w:rFonts w:ascii="Arial Narrow" w:hAnsi="Arial Narrow"/>
        </w:rPr>
        <w:t xml:space="preserve">Rezort </w:t>
      </w:r>
      <w:r w:rsidR="008734D5">
        <w:rPr>
          <w:rFonts w:ascii="Arial Narrow" w:hAnsi="Arial Narrow"/>
        </w:rPr>
        <w:t>s</w:t>
      </w:r>
      <w:r w:rsidR="009B286A" w:rsidRPr="009B286A">
        <w:rPr>
          <w:rFonts w:ascii="Arial Narrow" w:hAnsi="Arial Narrow"/>
        </w:rPr>
        <w:t>pravodlivosti plánuje pokračova</w:t>
      </w:r>
      <w:r w:rsidR="008734D5">
        <w:rPr>
          <w:rFonts w:ascii="Arial Narrow" w:hAnsi="Arial Narrow"/>
        </w:rPr>
        <w:t>ť</w:t>
      </w:r>
      <w:r w:rsidR="009B286A" w:rsidRPr="009B286A">
        <w:rPr>
          <w:rFonts w:ascii="Arial Narrow" w:hAnsi="Arial Narrow"/>
        </w:rPr>
        <w:t xml:space="preserve"> na zmenách </w:t>
      </w:r>
      <w:r w:rsidR="009B286A" w:rsidRPr="009B286A">
        <w:rPr>
          <w:rFonts w:ascii="Arial Narrow" w:hAnsi="Arial Narrow"/>
          <w:b/>
        </w:rPr>
        <w:t>obchodného registra</w:t>
      </w:r>
      <w:r w:rsidR="008860BC">
        <w:rPr>
          <w:rFonts w:ascii="Arial Narrow" w:hAnsi="Arial Narrow"/>
        </w:rPr>
        <w:t xml:space="preserve">, ktorých zámerom je </w:t>
      </w:r>
      <w:r w:rsidR="009B286A" w:rsidRPr="009B286A">
        <w:rPr>
          <w:rFonts w:ascii="Arial Narrow" w:hAnsi="Arial Narrow"/>
        </w:rPr>
        <w:t xml:space="preserve">znížiť administratívnu záťaž podnikateľov a súdov pri registrácii obchodných spoločností. Znížia sa poplatky a zlepšia sa elektronické služby pre podnikateľov (zjednotenie dokumentácie pri zápise zmien, štandardizované formuláre pre malé a stredné podniky). Rozšíri sa dostupnosť služieb rozšírením počtu externých registrátorov, ktorý budú môcť zapísať subjekt do obchodného registra. </w:t>
      </w:r>
      <w:r w:rsidR="00E91161">
        <w:rPr>
          <w:rFonts w:ascii="Arial Narrow" w:hAnsi="Arial Narrow"/>
        </w:rPr>
        <w:t>Konkrétny návrh</w:t>
      </w:r>
      <w:r w:rsidR="00E91161" w:rsidRPr="00E91161">
        <w:rPr>
          <w:rFonts w:ascii="Arial Narrow" w:hAnsi="Arial Narrow"/>
        </w:rPr>
        <w:t xml:space="preserve"> opatrení na zlepšenie fungovania obchodného registra </w:t>
      </w:r>
      <w:r w:rsidR="00A17743">
        <w:rPr>
          <w:rFonts w:ascii="Arial Narrow" w:hAnsi="Arial Narrow"/>
        </w:rPr>
        <w:t xml:space="preserve">už prešiel pripomienkovým konaním a </w:t>
      </w:r>
      <w:r w:rsidR="00E91161">
        <w:rPr>
          <w:rFonts w:ascii="Arial Narrow" w:hAnsi="Arial Narrow"/>
        </w:rPr>
        <w:t xml:space="preserve">bude predložený </w:t>
      </w:r>
      <w:r w:rsidR="00E91161" w:rsidRPr="00E91161">
        <w:rPr>
          <w:rFonts w:ascii="Arial Narrow" w:hAnsi="Arial Narrow"/>
        </w:rPr>
        <w:t>na rokovani</w:t>
      </w:r>
      <w:r w:rsidR="00E91161">
        <w:rPr>
          <w:rFonts w:ascii="Arial Narrow" w:hAnsi="Arial Narrow"/>
        </w:rPr>
        <w:t>e vlády, pričom vláda by</w:t>
      </w:r>
      <w:r w:rsidR="00E91161" w:rsidRPr="00E91161">
        <w:rPr>
          <w:rFonts w:ascii="Arial Narrow" w:hAnsi="Arial Narrow"/>
        </w:rPr>
        <w:t xml:space="preserve"> mala </w:t>
      </w:r>
      <w:r w:rsidR="00A17743">
        <w:rPr>
          <w:rFonts w:ascii="Arial Narrow" w:hAnsi="Arial Narrow"/>
        </w:rPr>
        <w:t xml:space="preserve">následne </w:t>
      </w:r>
      <w:r w:rsidR="00E91161" w:rsidRPr="00E91161">
        <w:rPr>
          <w:rFonts w:ascii="Arial Narrow" w:hAnsi="Arial Narrow"/>
        </w:rPr>
        <w:t>uznesením zaviazať</w:t>
      </w:r>
      <w:r w:rsidR="00E91161">
        <w:rPr>
          <w:rFonts w:ascii="Arial Narrow" w:hAnsi="Arial Narrow"/>
        </w:rPr>
        <w:t xml:space="preserve"> </w:t>
      </w:r>
      <w:r w:rsidR="007A35D4">
        <w:rPr>
          <w:rFonts w:ascii="Arial Narrow" w:hAnsi="Arial Narrow"/>
        </w:rPr>
        <w:t xml:space="preserve">MS SR </w:t>
      </w:r>
      <w:r w:rsidR="00A17743">
        <w:rPr>
          <w:rFonts w:ascii="Arial Narrow" w:hAnsi="Arial Narrow"/>
        </w:rPr>
        <w:t xml:space="preserve">k </w:t>
      </w:r>
      <w:r w:rsidR="00E91161" w:rsidRPr="00E91161">
        <w:rPr>
          <w:rFonts w:ascii="Arial Narrow" w:hAnsi="Arial Narrow"/>
        </w:rPr>
        <w:t>plneniu jednotlivých opatrení aj s určením termínov</w:t>
      </w:r>
      <w:r w:rsidR="00E91161">
        <w:rPr>
          <w:rFonts w:ascii="Arial Narrow" w:hAnsi="Arial Narrow"/>
        </w:rPr>
        <w:t>.</w:t>
      </w:r>
    </w:p>
    <w:p w14:paraId="556C5B7F" w14:textId="77777777" w:rsidR="007D2366" w:rsidRDefault="007D2366" w:rsidP="007D2366">
      <w:pPr>
        <w:spacing w:after="0" w:line="240" w:lineRule="auto"/>
        <w:jc w:val="both"/>
        <w:rPr>
          <w:rFonts w:ascii="Arial Narrow" w:hAnsi="Arial Narrow"/>
        </w:rPr>
      </w:pPr>
    </w:p>
    <w:p w14:paraId="57092DCE" w14:textId="77777777" w:rsidR="003E24E1" w:rsidRDefault="00F80953" w:rsidP="00F80953">
      <w:pPr>
        <w:spacing w:after="0" w:line="240" w:lineRule="auto"/>
        <w:jc w:val="both"/>
        <w:rPr>
          <w:rFonts w:ascii="Arial Narrow" w:eastAsiaTheme="minorHAnsi" w:hAnsi="Arial Narrow" w:cstheme="minorBidi"/>
          <w:lang w:eastAsia="en-US"/>
        </w:rPr>
      </w:pPr>
      <w:r w:rsidRPr="00F80953">
        <w:rPr>
          <w:rFonts w:ascii="Arial Narrow" w:hAnsi="Arial Narrow"/>
        </w:rPr>
        <w:t xml:space="preserve">MH SR </w:t>
      </w:r>
      <w:r>
        <w:rPr>
          <w:rFonts w:ascii="Arial Narrow" w:hAnsi="Arial Narrow"/>
        </w:rPr>
        <w:t>má v rámci agendy</w:t>
      </w:r>
      <w:r w:rsidRPr="00F80953">
        <w:rPr>
          <w:rFonts w:ascii="Arial Narrow" w:hAnsi="Arial Narrow"/>
        </w:rPr>
        <w:t xml:space="preserve"> zlepšova</w:t>
      </w:r>
      <w:r>
        <w:rPr>
          <w:rFonts w:ascii="Arial Narrow" w:hAnsi="Arial Narrow"/>
        </w:rPr>
        <w:t xml:space="preserve">nia podnikateľského prostredia za </w:t>
      </w:r>
      <w:r w:rsidRPr="00F80953">
        <w:rPr>
          <w:rFonts w:ascii="Arial Narrow" w:hAnsi="Arial Narrow"/>
        </w:rPr>
        <w:t xml:space="preserve">cieľ pripraviť do konca súčasného volebného obdobia </w:t>
      </w:r>
      <w:r w:rsidRPr="007A35D4">
        <w:rPr>
          <w:rFonts w:ascii="Arial Narrow" w:hAnsi="Arial Narrow"/>
          <w:b/>
        </w:rPr>
        <w:t>tri až</w:t>
      </w:r>
      <w:r w:rsidRPr="00F80953">
        <w:rPr>
          <w:rFonts w:ascii="Arial Narrow" w:hAnsi="Arial Narrow"/>
        </w:rPr>
        <w:t xml:space="preserve"> </w:t>
      </w:r>
      <w:r w:rsidRPr="00C806CF">
        <w:rPr>
          <w:rFonts w:ascii="Arial Narrow" w:hAnsi="Arial Narrow"/>
          <w:b/>
        </w:rPr>
        <w:t>štyri balíčky podnikateľských opatrení</w:t>
      </w:r>
      <w:r>
        <w:rPr>
          <w:rFonts w:ascii="Arial Narrow" w:hAnsi="Arial Narrow"/>
        </w:rPr>
        <w:t>.</w:t>
      </w:r>
      <w:r w:rsidRPr="00F80953">
        <w:rPr>
          <w:rFonts w:ascii="Arial Narrow" w:hAnsi="Arial Narrow"/>
        </w:rPr>
        <w:t xml:space="preserve"> </w:t>
      </w:r>
      <w:r>
        <w:rPr>
          <w:rFonts w:ascii="Arial Narrow" w:hAnsi="Arial Narrow"/>
        </w:rPr>
        <w:t>Prvý</w:t>
      </w:r>
      <w:r w:rsidRPr="00F80953">
        <w:rPr>
          <w:rFonts w:ascii="Arial Narrow" w:hAnsi="Arial Narrow"/>
        </w:rPr>
        <w:t xml:space="preserve"> </w:t>
      </w:r>
      <w:r w:rsidR="00807B51">
        <w:rPr>
          <w:rFonts w:ascii="Arial Narrow" w:hAnsi="Arial Narrow"/>
        </w:rPr>
        <w:t xml:space="preserve">návrh </w:t>
      </w:r>
      <w:r>
        <w:rPr>
          <w:rFonts w:ascii="Arial Narrow" w:hAnsi="Arial Narrow"/>
        </w:rPr>
        <w:t xml:space="preserve">s 35 opatreniami bol </w:t>
      </w:r>
      <w:r w:rsidR="00807B51">
        <w:rPr>
          <w:rFonts w:ascii="Arial Narrow" w:hAnsi="Arial Narrow"/>
        </w:rPr>
        <w:t xml:space="preserve"> </w:t>
      </w:r>
      <w:r>
        <w:rPr>
          <w:rFonts w:ascii="Arial Narrow" w:hAnsi="Arial Narrow"/>
        </w:rPr>
        <w:t xml:space="preserve">schválený </w:t>
      </w:r>
      <w:r w:rsidR="00807B51">
        <w:rPr>
          <w:rFonts w:ascii="Arial Narrow" w:hAnsi="Arial Narrow"/>
        </w:rPr>
        <w:t xml:space="preserve">vládou </w:t>
      </w:r>
      <w:r>
        <w:rPr>
          <w:rFonts w:ascii="Arial Narrow" w:hAnsi="Arial Narrow"/>
        </w:rPr>
        <w:t>v minulom roku</w:t>
      </w:r>
      <w:r w:rsidR="00807B51">
        <w:rPr>
          <w:rFonts w:ascii="Arial Narrow" w:hAnsi="Arial Narrow"/>
        </w:rPr>
        <w:t>. V</w:t>
      </w:r>
      <w:r w:rsidR="00B131FA">
        <w:rPr>
          <w:rFonts w:ascii="Arial Narrow" w:hAnsi="Arial Narrow"/>
        </w:rPr>
        <w:t xml:space="preserve"> roku </w:t>
      </w:r>
      <w:r w:rsidR="00807B51">
        <w:rPr>
          <w:rFonts w:ascii="Arial Narrow" w:hAnsi="Arial Narrow"/>
        </w:rPr>
        <w:t xml:space="preserve">2018 by mal byť na </w:t>
      </w:r>
      <w:r w:rsidR="00B131FA">
        <w:rPr>
          <w:rFonts w:ascii="Arial Narrow" w:hAnsi="Arial Narrow"/>
        </w:rPr>
        <w:t xml:space="preserve">základe </w:t>
      </w:r>
      <w:r w:rsidR="00807B51">
        <w:rPr>
          <w:rFonts w:ascii="Arial Narrow" w:hAnsi="Arial Narrow"/>
        </w:rPr>
        <w:t>podnetov od podnikateľov predstave</w:t>
      </w:r>
      <w:r w:rsidR="00B131FA">
        <w:rPr>
          <w:rFonts w:ascii="Arial Narrow" w:hAnsi="Arial Narrow"/>
        </w:rPr>
        <w:t xml:space="preserve">ný </w:t>
      </w:r>
      <w:r w:rsidR="00807B51">
        <w:rPr>
          <w:rFonts w:ascii="Arial Narrow" w:hAnsi="Arial Narrow"/>
        </w:rPr>
        <w:t xml:space="preserve">i </w:t>
      </w:r>
      <w:r w:rsidR="00B131FA">
        <w:rPr>
          <w:rFonts w:ascii="Arial Narrow" w:hAnsi="Arial Narrow"/>
        </w:rPr>
        <w:t xml:space="preserve">druhý </w:t>
      </w:r>
      <w:r w:rsidR="00807B51">
        <w:rPr>
          <w:rFonts w:ascii="Arial Narrow" w:hAnsi="Arial Narrow"/>
        </w:rPr>
        <w:t>balíček.</w:t>
      </w:r>
      <w:r w:rsidR="003E24E1">
        <w:rPr>
          <w:rFonts w:asciiTheme="minorHAnsi" w:eastAsiaTheme="minorHAnsi" w:hAnsiTheme="minorHAnsi" w:cstheme="minorBidi"/>
          <w:lang w:eastAsia="en-US"/>
        </w:rPr>
        <w:t xml:space="preserve"> </w:t>
      </w:r>
      <w:r w:rsidR="003E24E1">
        <w:rPr>
          <w:rFonts w:ascii="Arial Narrow" w:eastAsiaTheme="minorHAnsi" w:hAnsi="Arial Narrow" w:cstheme="minorBidi"/>
          <w:lang w:eastAsia="en-US"/>
        </w:rPr>
        <w:t xml:space="preserve">Zároveň sa bude raz ročne zverejňovať </w:t>
      </w:r>
      <w:r w:rsidR="003E24E1" w:rsidRPr="003E24E1">
        <w:rPr>
          <w:rFonts w:ascii="Arial Narrow" w:eastAsiaTheme="minorHAnsi" w:hAnsi="Arial Narrow" w:cstheme="minorBidi"/>
          <w:lang w:eastAsia="en-US"/>
        </w:rPr>
        <w:t xml:space="preserve">odpočet už zrealizovaných opatrení zo schválených balíčkov. </w:t>
      </w:r>
    </w:p>
    <w:p w14:paraId="2A2164DA" w14:textId="77777777" w:rsidR="003E24E1" w:rsidRDefault="003E24E1" w:rsidP="00F80953">
      <w:pPr>
        <w:spacing w:after="0" w:line="240" w:lineRule="auto"/>
        <w:jc w:val="both"/>
        <w:rPr>
          <w:rFonts w:ascii="Arial Narrow" w:eastAsiaTheme="minorHAnsi" w:hAnsi="Arial Narrow" w:cstheme="minorBidi"/>
          <w:lang w:eastAsia="en-US"/>
        </w:rPr>
      </w:pPr>
    </w:p>
    <w:p w14:paraId="38FEFEFD" w14:textId="162F2815" w:rsidR="00F80953" w:rsidRPr="00F80953" w:rsidRDefault="00C806CF" w:rsidP="00F80953">
      <w:pPr>
        <w:spacing w:after="0" w:line="240" w:lineRule="auto"/>
        <w:jc w:val="both"/>
        <w:rPr>
          <w:rFonts w:ascii="Arial Narrow" w:hAnsi="Arial Narrow"/>
        </w:rPr>
      </w:pPr>
      <w:r w:rsidRPr="00C806CF">
        <w:rPr>
          <w:rFonts w:ascii="Arial Narrow" w:hAnsi="Arial Narrow"/>
        </w:rPr>
        <w:t xml:space="preserve">Pripravuje sa tiež </w:t>
      </w:r>
      <w:r w:rsidRPr="00C806CF">
        <w:rPr>
          <w:rFonts w:ascii="Arial Narrow" w:hAnsi="Arial Narrow"/>
          <w:b/>
        </w:rPr>
        <w:t>informačný portál pre podnikateľov</w:t>
      </w:r>
      <w:r w:rsidRPr="00C806CF">
        <w:rPr>
          <w:rFonts w:ascii="Arial Narrow" w:hAnsi="Arial Narrow"/>
        </w:rPr>
        <w:t>, ktorého cieľom by mala byť napríklad lepšia orientácia v legislatíve, či rýchla navigácia pri hľadaní štátnych inštitúcií, na ktoré sa majú podnikatelia v jednotlivých situáciách obrátiť.</w:t>
      </w:r>
    </w:p>
    <w:p w14:paraId="2989004F" w14:textId="77777777" w:rsidR="007D2366" w:rsidRDefault="007D2366" w:rsidP="007D2366">
      <w:pPr>
        <w:spacing w:after="0" w:line="240" w:lineRule="auto"/>
        <w:jc w:val="both"/>
        <w:rPr>
          <w:rFonts w:ascii="Arial Narrow" w:hAnsi="Arial Narrow"/>
        </w:rPr>
      </w:pPr>
    </w:p>
    <w:p w14:paraId="07DDACB8" w14:textId="2D00E6AE" w:rsidR="00E550DB" w:rsidRDefault="008860BC" w:rsidP="007D2366">
      <w:pPr>
        <w:spacing w:after="0" w:line="240" w:lineRule="auto"/>
        <w:jc w:val="both"/>
        <w:rPr>
          <w:rFonts w:ascii="Arial Narrow" w:hAnsi="Arial Narrow"/>
        </w:rPr>
      </w:pPr>
      <w:r>
        <w:rPr>
          <w:rFonts w:ascii="Arial Narrow" w:hAnsi="Arial Narrow"/>
        </w:rPr>
        <w:t xml:space="preserve">Na začiatku roka </w:t>
      </w:r>
      <w:r w:rsidR="00B131FA">
        <w:rPr>
          <w:rFonts w:ascii="Arial Narrow" w:hAnsi="Arial Narrow"/>
        </w:rPr>
        <w:t>2018 bol vládou schválený</w:t>
      </w:r>
      <w:r w:rsidR="007D2366" w:rsidRPr="009A551F">
        <w:rPr>
          <w:rFonts w:ascii="Arial Narrow" w:hAnsi="Arial Narrow"/>
        </w:rPr>
        <w:t xml:space="preserve"> </w:t>
      </w:r>
      <w:r w:rsidR="007D2366" w:rsidRPr="009A551F">
        <w:rPr>
          <w:rFonts w:ascii="Arial Narrow" w:hAnsi="Arial Narrow"/>
          <w:b/>
        </w:rPr>
        <w:t>strateg</w:t>
      </w:r>
      <w:r w:rsidR="007D2366">
        <w:rPr>
          <w:rFonts w:ascii="Arial Narrow" w:hAnsi="Arial Narrow"/>
          <w:b/>
        </w:rPr>
        <w:t xml:space="preserve">ický dokument lepšej regulácie </w:t>
      </w:r>
      <w:r w:rsidR="007D2366" w:rsidRPr="00403D5A">
        <w:rPr>
          <w:rFonts w:ascii="Arial Narrow" w:hAnsi="Arial Narrow"/>
          <w:b/>
          <w:i/>
        </w:rPr>
        <w:t>RIA 2020</w:t>
      </w:r>
      <w:r w:rsidR="00FB5FE9">
        <w:rPr>
          <w:rFonts w:ascii="Arial Narrow" w:hAnsi="Arial Narrow"/>
        </w:rPr>
        <w:t>, ktorý</w:t>
      </w:r>
      <w:r w:rsidR="00B131FA">
        <w:rPr>
          <w:rFonts w:ascii="Arial Narrow" w:hAnsi="Arial Narrow"/>
        </w:rPr>
        <w:t xml:space="preserve"> </w:t>
      </w:r>
      <w:r w:rsidR="006A105E">
        <w:rPr>
          <w:rFonts w:ascii="Arial Narrow" w:hAnsi="Arial Narrow"/>
        </w:rPr>
        <w:t>predpokladá</w:t>
      </w:r>
      <w:r w:rsidR="00B131FA">
        <w:rPr>
          <w:rFonts w:ascii="Arial Narrow" w:hAnsi="Arial Narrow"/>
        </w:rPr>
        <w:t xml:space="preserve"> </w:t>
      </w:r>
      <w:r w:rsidR="00FB5FE9">
        <w:rPr>
          <w:rFonts w:ascii="Arial Narrow" w:hAnsi="Arial Narrow"/>
        </w:rPr>
        <w:t>zavedenie</w:t>
      </w:r>
      <w:r w:rsidR="00ED31A6" w:rsidRPr="00ED31A6">
        <w:rPr>
          <w:rFonts w:ascii="Arial Narrow" w:hAnsi="Arial Narrow"/>
        </w:rPr>
        <w:t xml:space="preserve"> princíp</w:t>
      </w:r>
      <w:r w:rsidR="00FB5FE9">
        <w:rPr>
          <w:rFonts w:ascii="Arial Narrow" w:hAnsi="Arial Narrow"/>
        </w:rPr>
        <w:t>u</w:t>
      </w:r>
      <w:r w:rsidR="00BA6E1A">
        <w:rPr>
          <w:rFonts w:ascii="Arial Narrow" w:hAnsi="Arial Narrow"/>
        </w:rPr>
        <w:t xml:space="preserve"> na zníženie regulácie </w:t>
      </w:r>
      <w:proofErr w:type="spellStart"/>
      <w:r w:rsidR="00BA6E1A" w:rsidRPr="00BA6E1A">
        <w:rPr>
          <w:rFonts w:ascii="Arial Narrow" w:hAnsi="Arial Narrow"/>
          <w:i/>
        </w:rPr>
        <w:t>one</w:t>
      </w:r>
      <w:proofErr w:type="spellEnd"/>
      <w:r w:rsidR="00BA6E1A" w:rsidRPr="00BA6E1A">
        <w:rPr>
          <w:rFonts w:ascii="Arial Narrow" w:hAnsi="Arial Narrow"/>
          <w:i/>
        </w:rPr>
        <w:t xml:space="preserve">-in, </w:t>
      </w:r>
      <w:proofErr w:type="spellStart"/>
      <w:r w:rsidR="00BA6E1A" w:rsidRPr="00BA6E1A">
        <w:rPr>
          <w:rFonts w:ascii="Arial Narrow" w:hAnsi="Arial Narrow"/>
          <w:i/>
        </w:rPr>
        <w:t>one-ou</w:t>
      </w:r>
      <w:r w:rsidR="007E0B08">
        <w:rPr>
          <w:rFonts w:ascii="Arial Narrow" w:hAnsi="Arial Narrow"/>
          <w:i/>
        </w:rPr>
        <w:t>t</w:t>
      </w:r>
      <w:proofErr w:type="spellEnd"/>
      <w:r w:rsidR="007E0B08">
        <w:rPr>
          <w:rStyle w:val="Odkaznapoznmkupodiarou"/>
          <w:rFonts w:ascii="Arial Narrow" w:hAnsi="Arial Narrow"/>
          <w:i/>
        </w:rPr>
        <w:footnoteReference w:id="56"/>
      </w:r>
      <w:r w:rsidR="007E0B08">
        <w:rPr>
          <w:rFonts w:ascii="Arial Narrow" w:hAnsi="Arial Narrow"/>
          <w:i/>
        </w:rPr>
        <w:t xml:space="preserve"> </w:t>
      </w:r>
      <w:r w:rsidR="00ED31A6" w:rsidRPr="00ED31A6">
        <w:rPr>
          <w:rFonts w:ascii="Arial Narrow" w:hAnsi="Arial Narrow"/>
        </w:rPr>
        <w:t>do legislatívneho procesu</w:t>
      </w:r>
      <w:r w:rsidR="00ED31A6">
        <w:rPr>
          <w:rFonts w:ascii="Arial Narrow" w:hAnsi="Arial Narrow"/>
        </w:rPr>
        <w:t xml:space="preserve">, </w:t>
      </w:r>
      <w:r w:rsidR="00FB5FE9">
        <w:rPr>
          <w:rFonts w:ascii="Arial Narrow" w:hAnsi="Arial Narrow"/>
        </w:rPr>
        <w:t>uskutočnenie pilotného</w:t>
      </w:r>
      <w:r w:rsidR="00ED31A6" w:rsidRPr="00ED31A6">
        <w:rPr>
          <w:rFonts w:ascii="Arial Narrow" w:hAnsi="Arial Narrow"/>
        </w:rPr>
        <w:t xml:space="preserve"> projekt</w:t>
      </w:r>
      <w:r w:rsidR="00FB5FE9">
        <w:rPr>
          <w:rFonts w:ascii="Arial Narrow" w:hAnsi="Arial Narrow"/>
        </w:rPr>
        <w:t>u</w:t>
      </w:r>
      <w:r w:rsidR="00ED31A6" w:rsidRPr="00ED31A6">
        <w:rPr>
          <w:rFonts w:ascii="Arial Narrow" w:hAnsi="Arial Narrow"/>
        </w:rPr>
        <w:t xml:space="preserve"> ex-post hodnotenia vybranej regulácie</w:t>
      </w:r>
      <w:r w:rsidR="00ED31A6">
        <w:rPr>
          <w:rFonts w:ascii="Arial Narrow" w:hAnsi="Arial Narrow"/>
        </w:rPr>
        <w:t xml:space="preserve">, či </w:t>
      </w:r>
      <w:r w:rsidR="00ED31A6" w:rsidRPr="00ED31A6">
        <w:rPr>
          <w:rFonts w:ascii="Arial Narrow" w:hAnsi="Arial Narrow"/>
        </w:rPr>
        <w:t xml:space="preserve">vytvorenie komplexnej IT platformy lepšej regulácie </w:t>
      </w:r>
      <w:r w:rsidR="00ED31A6">
        <w:rPr>
          <w:rFonts w:ascii="Arial Narrow" w:hAnsi="Arial Narrow"/>
        </w:rPr>
        <w:t xml:space="preserve">(simulácie vplyvov navrhovaných regulácií, </w:t>
      </w:r>
      <w:r w:rsidR="00ED31A6" w:rsidRPr="00ED31A6">
        <w:rPr>
          <w:rFonts w:ascii="Arial Narrow" w:hAnsi="Arial Narrow"/>
        </w:rPr>
        <w:t>automatizácia proce</w:t>
      </w:r>
      <w:r w:rsidR="00ED31A6">
        <w:rPr>
          <w:rFonts w:ascii="Arial Narrow" w:hAnsi="Arial Narrow"/>
        </w:rPr>
        <w:t xml:space="preserve">su ex </w:t>
      </w:r>
      <w:proofErr w:type="spellStart"/>
      <w:r w:rsidR="00ED31A6">
        <w:rPr>
          <w:rFonts w:ascii="Arial Narrow" w:hAnsi="Arial Narrow"/>
        </w:rPr>
        <w:t>ante</w:t>
      </w:r>
      <w:proofErr w:type="spellEnd"/>
      <w:r w:rsidR="00ED31A6">
        <w:rPr>
          <w:rFonts w:ascii="Arial Narrow" w:hAnsi="Arial Narrow"/>
        </w:rPr>
        <w:t xml:space="preserve"> posudzovania vplyvov</w:t>
      </w:r>
      <w:r w:rsidR="00FB5FE9">
        <w:rPr>
          <w:rFonts w:ascii="Arial Narrow" w:hAnsi="Arial Narrow"/>
        </w:rPr>
        <w:t xml:space="preserve"> regulácie</w:t>
      </w:r>
      <w:r w:rsidR="00ED31A6">
        <w:rPr>
          <w:rFonts w:ascii="Arial Narrow" w:hAnsi="Arial Narrow"/>
        </w:rPr>
        <w:t>).</w:t>
      </w:r>
    </w:p>
    <w:p w14:paraId="5E37D666" w14:textId="77777777" w:rsidR="00E550DB" w:rsidRDefault="00E550DB" w:rsidP="00E550DB">
      <w:pPr>
        <w:spacing w:after="0" w:line="240" w:lineRule="auto"/>
        <w:rPr>
          <w:rFonts w:ascii="Arial Narrow" w:hAnsi="Arial Narrow"/>
        </w:rPr>
      </w:pPr>
      <w:r>
        <w:rPr>
          <w:rFonts w:ascii="Arial Narrow" w:hAnsi="Arial Narrow"/>
        </w:rPr>
        <w:br w:type="page"/>
      </w:r>
    </w:p>
    <w:p w14:paraId="1F28F2CE" w14:textId="77777777" w:rsidR="00E550DB" w:rsidRPr="00256D89" w:rsidRDefault="00E550DB" w:rsidP="00E550DB">
      <w:pPr>
        <w:pStyle w:val="Nadpis2"/>
        <w:numPr>
          <w:ilvl w:val="1"/>
          <w:numId w:val="1"/>
        </w:numPr>
        <w:spacing w:after="240" w:line="240" w:lineRule="auto"/>
        <w:jc w:val="both"/>
        <w:rPr>
          <w:rFonts w:ascii="Arial Narrow" w:hAnsi="Arial Narrow"/>
          <w:color w:val="2C9ADC"/>
          <w:sz w:val="32"/>
          <w:szCs w:val="28"/>
        </w:rPr>
      </w:pPr>
      <w:bookmarkStart w:id="89" w:name="_Toc508039589"/>
      <w:r w:rsidRPr="00256D89">
        <w:rPr>
          <w:rFonts w:ascii="Arial Narrow" w:hAnsi="Arial Narrow"/>
          <w:color w:val="2C9ADC"/>
          <w:sz w:val="32"/>
          <w:szCs w:val="28"/>
        </w:rPr>
        <w:lastRenderedPageBreak/>
        <w:t>Dopravná infraštruktúra</w:t>
      </w:r>
      <w:bookmarkEnd w:id="89"/>
    </w:p>
    <w:p w14:paraId="00F783F5" w14:textId="12832D65" w:rsidR="00E550DB" w:rsidRDefault="00E550DB" w:rsidP="00E550DB">
      <w:pPr>
        <w:pStyle w:val="Default"/>
        <w:jc w:val="both"/>
        <w:rPr>
          <w:rFonts w:ascii="Arial Narrow" w:hAnsi="Arial Narrow"/>
          <w:i/>
          <w:iCs/>
          <w:color w:val="auto"/>
          <w:sz w:val="22"/>
          <w:szCs w:val="22"/>
        </w:rPr>
      </w:pPr>
      <w:r>
        <w:rPr>
          <w:rFonts w:ascii="Arial Narrow" w:hAnsi="Arial Narrow"/>
          <w:i/>
          <w:iCs/>
          <w:color w:val="auto"/>
          <w:sz w:val="22"/>
          <w:szCs w:val="22"/>
        </w:rPr>
        <w:t xml:space="preserve">Rezort dopravy </w:t>
      </w:r>
      <w:r w:rsidR="003514C2">
        <w:rPr>
          <w:rFonts w:ascii="Arial Narrow" w:hAnsi="Arial Narrow"/>
          <w:i/>
          <w:iCs/>
          <w:color w:val="auto"/>
          <w:sz w:val="22"/>
          <w:szCs w:val="22"/>
        </w:rPr>
        <w:t xml:space="preserve">postupne </w:t>
      </w:r>
      <w:r>
        <w:rPr>
          <w:rFonts w:ascii="Arial Narrow" w:hAnsi="Arial Narrow"/>
          <w:i/>
          <w:iCs/>
          <w:color w:val="auto"/>
          <w:sz w:val="22"/>
          <w:szCs w:val="22"/>
        </w:rPr>
        <w:t>implementuje opatrenia</w:t>
      </w:r>
      <w:r w:rsidRPr="007B28E6">
        <w:rPr>
          <w:rFonts w:ascii="Arial Narrow" w:hAnsi="Arial Narrow"/>
          <w:i/>
          <w:iCs/>
          <w:sz w:val="22"/>
          <w:szCs w:val="22"/>
        </w:rPr>
        <w:t xml:space="preserve"> </w:t>
      </w:r>
      <w:r>
        <w:rPr>
          <w:rFonts w:ascii="Arial Narrow" w:hAnsi="Arial Narrow"/>
          <w:i/>
          <w:iCs/>
          <w:sz w:val="22"/>
          <w:szCs w:val="22"/>
        </w:rPr>
        <w:t>r</w:t>
      </w:r>
      <w:r>
        <w:rPr>
          <w:rFonts w:ascii="Arial Narrow" w:hAnsi="Arial Narrow"/>
          <w:i/>
          <w:iCs/>
          <w:color w:val="auto"/>
          <w:sz w:val="22"/>
          <w:szCs w:val="22"/>
        </w:rPr>
        <w:t xml:space="preserve">evízie výdavkov na dopravu z roku 2016. </w:t>
      </w:r>
      <w:r w:rsidRPr="007B28E6">
        <w:rPr>
          <w:rFonts w:ascii="Arial Narrow" w:hAnsi="Arial Narrow"/>
          <w:i/>
          <w:iCs/>
          <w:color w:val="auto"/>
          <w:sz w:val="22"/>
          <w:szCs w:val="22"/>
        </w:rPr>
        <w:t>Kľúčové pre zvýšenie hodnoty dopravných investícii je nastavenie jasných, analyticky podložených investičných priorít</w:t>
      </w:r>
      <w:r>
        <w:rPr>
          <w:rFonts w:ascii="Arial Narrow" w:hAnsi="Arial Narrow"/>
          <w:i/>
          <w:iCs/>
          <w:color w:val="auto"/>
          <w:sz w:val="22"/>
          <w:szCs w:val="22"/>
        </w:rPr>
        <w:t xml:space="preserve">. </w:t>
      </w:r>
      <w:r w:rsidRPr="00FF6D6B">
        <w:rPr>
          <w:rFonts w:ascii="Arial Narrow" w:hAnsi="Arial Narrow"/>
          <w:i/>
          <w:iCs/>
          <w:color w:val="auto"/>
          <w:sz w:val="22"/>
          <w:szCs w:val="22"/>
        </w:rPr>
        <w:t>V rámci kapitoly rezort</w:t>
      </w:r>
      <w:r w:rsidR="00FF6D6B" w:rsidRPr="00FF6D6B">
        <w:rPr>
          <w:rFonts w:ascii="Arial Narrow" w:hAnsi="Arial Narrow"/>
          <w:i/>
          <w:iCs/>
          <w:color w:val="auto"/>
          <w:sz w:val="22"/>
          <w:szCs w:val="22"/>
        </w:rPr>
        <w:t xml:space="preserve"> hľadá spôsoby </w:t>
      </w:r>
      <w:r w:rsidRPr="00FF6D6B">
        <w:rPr>
          <w:rFonts w:ascii="Arial Narrow" w:hAnsi="Arial Narrow"/>
          <w:i/>
          <w:iCs/>
          <w:color w:val="auto"/>
          <w:sz w:val="22"/>
          <w:szCs w:val="22"/>
        </w:rPr>
        <w:t>navyš</w:t>
      </w:r>
      <w:r w:rsidR="00FF6D6B" w:rsidRPr="00FF6D6B">
        <w:rPr>
          <w:rFonts w:ascii="Arial Narrow" w:hAnsi="Arial Narrow"/>
          <w:i/>
          <w:iCs/>
          <w:color w:val="auto"/>
          <w:sz w:val="22"/>
          <w:szCs w:val="22"/>
        </w:rPr>
        <w:t>ovania</w:t>
      </w:r>
      <w:r w:rsidRPr="00FF6D6B">
        <w:rPr>
          <w:rFonts w:ascii="Arial Narrow" w:hAnsi="Arial Narrow"/>
          <w:i/>
          <w:iCs/>
          <w:color w:val="auto"/>
          <w:sz w:val="22"/>
          <w:szCs w:val="22"/>
        </w:rPr>
        <w:t xml:space="preserve"> výdavk</w:t>
      </w:r>
      <w:r w:rsidR="00FF6D6B" w:rsidRPr="00FF6D6B">
        <w:rPr>
          <w:rFonts w:ascii="Arial Narrow" w:hAnsi="Arial Narrow"/>
          <w:i/>
          <w:iCs/>
          <w:color w:val="auto"/>
          <w:sz w:val="22"/>
          <w:szCs w:val="22"/>
        </w:rPr>
        <w:t>ov</w:t>
      </w:r>
      <w:r w:rsidRPr="00FF6D6B">
        <w:rPr>
          <w:rFonts w:ascii="Arial Narrow" w:hAnsi="Arial Narrow"/>
          <w:i/>
          <w:iCs/>
          <w:color w:val="auto"/>
          <w:sz w:val="22"/>
          <w:szCs w:val="22"/>
        </w:rPr>
        <w:t xml:space="preserve"> na opravu a údržbu ciest I. triedy. Bud</w:t>
      </w:r>
      <w:r w:rsidR="00FF6D6B" w:rsidRPr="00FF6D6B">
        <w:rPr>
          <w:rFonts w:ascii="Arial Narrow" w:hAnsi="Arial Narrow"/>
          <w:i/>
          <w:iCs/>
          <w:color w:val="auto"/>
          <w:sz w:val="22"/>
          <w:szCs w:val="22"/>
        </w:rPr>
        <w:t>e</w:t>
      </w:r>
      <w:r w:rsidRPr="00FF6D6B">
        <w:rPr>
          <w:rFonts w:ascii="Arial Narrow" w:hAnsi="Arial Narrow"/>
          <w:i/>
          <w:iCs/>
          <w:color w:val="auto"/>
          <w:sz w:val="22"/>
          <w:szCs w:val="22"/>
        </w:rPr>
        <w:t xml:space="preserve"> sa </w:t>
      </w:r>
      <w:r w:rsidR="00FF6D6B" w:rsidRPr="00FF6D6B">
        <w:rPr>
          <w:rFonts w:ascii="Arial Narrow" w:hAnsi="Arial Narrow"/>
          <w:i/>
          <w:iCs/>
          <w:color w:val="auto"/>
          <w:sz w:val="22"/>
          <w:szCs w:val="22"/>
        </w:rPr>
        <w:t xml:space="preserve">rozširovať rozsah </w:t>
      </w:r>
      <w:r w:rsidRPr="00FF6D6B">
        <w:rPr>
          <w:rFonts w:ascii="Arial Narrow" w:hAnsi="Arial Narrow"/>
          <w:i/>
          <w:iCs/>
          <w:color w:val="auto"/>
          <w:sz w:val="22"/>
          <w:szCs w:val="22"/>
        </w:rPr>
        <w:t>zverejňova</w:t>
      </w:r>
      <w:r w:rsidR="00FF6D6B" w:rsidRPr="00FF6D6B">
        <w:rPr>
          <w:rFonts w:ascii="Arial Narrow" w:hAnsi="Arial Narrow"/>
          <w:i/>
          <w:iCs/>
          <w:color w:val="auto"/>
          <w:sz w:val="22"/>
          <w:szCs w:val="22"/>
        </w:rPr>
        <w:t>ných</w:t>
      </w:r>
      <w:r w:rsidRPr="00FF6D6B">
        <w:rPr>
          <w:rFonts w:ascii="Arial Narrow" w:hAnsi="Arial Narrow"/>
          <w:i/>
          <w:iCs/>
          <w:color w:val="auto"/>
          <w:sz w:val="22"/>
          <w:szCs w:val="22"/>
        </w:rPr>
        <w:t xml:space="preserve"> dát pri dopravných projektoch čerpajúcich verejné zdroje.</w:t>
      </w:r>
      <w:r w:rsidRPr="00EA341E">
        <w:t xml:space="preserve"> </w:t>
      </w:r>
      <w:r>
        <w:rPr>
          <w:rFonts w:ascii="Arial Narrow" w:hAnsi="Arial Narrow"/>
          <w:i/>
          <w:iCs/>
          <w:color w:val="auto"/>
          <w:sz w:val="22"/>
          <w:szCs w:val="22"/>
        </w:rPr>
        <w:t>A</w:t>
      </w:r>
      <w:r w:rsidRPr="00EA341E">
        <w:rPr>
          <w:rFonts w:ascii="Arial Narrow" w:hAnsi="Arial Narrow"/>
          <w:i/>
          <w:iCs/>
          <w:color w:val="auto"/>
          <w:sz w:val="22"/>
          <w:szCs w:val="22"/>
        </w:rPr>
        <w:t>nal</w:t>
      </w:r>
      <w:r>
        <w:rPr>
          <w:rFonts w:ascii="Arial Narrow" w:hAnsi="Arial Narrow"/>
          <w:i/>
          <w:iCs/>
          <w:color w:val="auto"/>
          <w:sz w:val="22"/>
          <w:szCs w:val="22"/>
        </w:rPr>
        <w:t xml:space="preserve">ýza </w:t>
      </w:r>
      <w:r w:rsidRPr="00EA341E">
        <w:rPr>
          <w:rFonts w:ascii="Arial Narrow" w:hAnsi="Arial Narrow"/>
          <w:i/>
          <w:iCs/>
          <w:color w:val="auto"/>
          <w:sz w:val="22"/>
          <w:szCs w:val="22"/>
        </w:rPr>
        <w:t>slovensk</w:t>
      </w:r>
      <w:r>
        <w:rPr>
          <w:rFonts w:ascii="Arial Narrow" w:hAnsi="Arial Narrow"/>
          <w:i/>
          <w:iCs/>
          <w:color w:val="auto"/>
          <w:sz w:val="22"/>
          <w:szCs w:val="22"/>
        </w:rPr>
        <w:t>ého</w:t>
      </w:r>
      <w:r w:rsidRPr="00EA341E">
        <w:rPr>
          <w:rFonts w:ascii="Arial Narrow" w:hAnsi="Arial Narrow"/>
          <w:i/>
          <w:iCs/>
          <w:color w:val="auto"/>
          <w:sz w:val="22"/>
          <w:szCs w:val="22"/>
        </w:rPr>
        <w:t xml:space="preserve"> prístup</w:t>
      </w:r>
      <w:r>
        <w:rPr>
          <w:rFonts w:ascii="Arial Narrow" w:hAnsi="Arial Narrow"/>
          <w:i/>
          <w:iCs/>
          <w:color w:val="auto"/>
          <w:sz w:val="22"/>
          <w:szCs w:val="22"/>
        </w:rPr>
        <w:t>u</w:t>
      </w:r>
      <w:r w:rsidRPr="00EA341E">
        <w:rPr>
          <w:rFonts w:ascii="Arial Narrow" w:hAnsi="Arial Narrow"/>
          <w:i/>
          <w:iCs/>
          <w:color w:val="auto"/>
          <w:sz w:val="22"/>
          <w:szCs w:val="22"/>
        </w:rPr>
        <w:t xml:space="preserve"> odhadovania nákladov výstavby diaľnic a rýchlostných ciest</w:t>
      </w:r>
      <w:r>
        <w:rPr>
          <w:rFonts w:ascii="Arial Narrow" w:hAnsi="Arial Narrow"/>
          <w:i/>
          <w:iCs/>
          <w:color w:val="auto"/>
          <w:sz w:val="22"/>
          <w:szCs w:val="22"/>
        </w:rPr>
        <w:t xml:space="preserve"> v spolupráci s OECD odporúča</w:t>
      </w:r>
      <w:r w:rsidRPr="00EA341E">
        <w:t xml:space="preserve"> </w:t>
      </w:r>
      <w:r w:rsidRPr="00EA341E">
        <w:rPr>
          <w:rFonts w:ascii="Arial Narrow" w:hAnsi="Arial Narrow"/>
          <w:i/>
          <w:iCs/>
          <w:color w:val="auto"/>
          <w:sz w:val="22"/>
          <w:szCs w:val="22"/>
        </w:rPr>
        <w:t>vytvoriť verejnú databázu historických jednotkových cien pre diaľnice a ostatné sektory verejných prác a zabezpečiť odborné kapacity podporujúce odhadovanie nákladov.</w:t>
      </w:r>
    </w:p>
    <w:p w14:paraId="328E0D8B" w14:textId="77777777" w:rsidR="00E550DB" w:rsidRPr="001A153E" w:rsidRDefault="00E550DB" w:rsidP="00E550DB">
      <w:pPr>
        <w:pStyle w:val="Default"/>
        <w:jc w:val="both"/>
        <w:rPr>
          <w:rFonts w:ascii="Arial Narrow" w:hAnsi="Arial Narrow"/>
          <w:iCs/>
          <w:color w:val="auto"/>
          <w:sz w:val="22"/>
          <w:szCs w:val="22"/>
        </w:rPr>
      </w:pPr>
    </w:p>
    <w:p w14:paraId="0EAA688A" w14:textId="5F4613D7" w:rsidR="00E550DB" w:rsidRDefault="00E550DB" w:rsidP="00BD665C">
      <w:pPr>
        <w:spacing w:after="120" w:line="240" w:lineRule="auto"/>
        <w:jc w:val="both"/>
        <w:rPr>
          <w:rFonts w:ascii="Arial Narrow" w:hAnsi="Arial Narrow"/>
        </w:rPr>
      </w:pPr>
      <w:r>
        <w:rPr>
          <w:rFonts w:ascii="Arial Narrow" w:hAnsi="Arial Narrow"/>
          <w:b/>
        </w:rPr>
        <w:t>V</w:t>
      </w:r>
      <w:r w:rsidRPr="006C5792">
        <w:rPr>
          <w:rFonts w:ascii="Arial Narrow" w:hAnsi="Arial Narrow"/>
          <w:b/>
        </w:rPr>
        <w:t>ýdavky</w:t>
      </w:r>
      <w:r>
        <w:rPr>
          <w:rFonts w:ascii="Arial Narrow" w:hAnsi="Arial Narrow"/>
          <w:b/>
        </w:rPr>
        <w:t xml:space="preserve"> MDV SR a ním zriadených organizácií na dopravu klesnú, dosiahnu</w:t>
      </w:r>
      <w:r w:rsidRPr="006C5792">
        <w:rPr>
          <w:rFonts w:ascii="Arial Narrow" w:hAnsi="Arial Narrow"/>
          <w:b/>
        </w:rPr>
        <w:t xml:space="preserve"> </w:t>
      </w:r>
      <w:r>
        <w:rPr>
          <w:rFonts w:ascii="Arial Narrow" w:hAnsi="Arial Narrow"/>
          <w:b/>
        </w:rPr>
        <w:t xml:space="preserve">1,5 </w:t>
      </w:r>
      <w:r w:rsidRPr="00464DA9">
        <w:rPr>
          <w:rFonts w:ascii="Arial Narrow" w:hAnsi="Arial Narrow"/>
          <w:b/>
        </w:rPr>
        <w:t>mld. eur</w:t>
      </w:r>
      <w:r w:rsidRPr="001F7D78">
        <w:rPr>
          <w:rFonts w:ascii="Arial Narrow" w:hAnsi="Arial Narrow"/>
          <w:b/>
        </w:rPr>
        <w:t xml:space="preserve"> </w:t>
      </w:r>
      <w:r w:rsidRPr="00464DA9">
        <w:rPr>
          <w:rFonts w:ascii="Arial Narrow" w:hAnsi="Arial Narrow"/>
          <w:b/>
        </w:rPr>
        <w:t>v roku 201</w:t>
      </w:r>
      <w:r>
        <w:rPr>
          <w:rFonts w:ascii="Arial Narrow" w:hAnsi="Arial Narrow"/>
          <w:b/>
        </w:rPr>
        <w:t>8</w:t>
      </w:r>
      <w:r w:rsidRPr="00464DA9">
        <w:rPr>
          <w:rFonts w:ascii="Arial Narrow" w:hAnsi="Arial Narrow"/>
          <w:b/>
        </w:rPr>
        <w:t>.</w:t>
      </w:r>
      <w:r>
        <w:rPr>
          <w:rFonts w:ascii="Arial Narrow" w:hAnsi="Arial Narrow"/>
          <w:b/>
        </w:rPr>
        <w:t xml:space="preserve"> </w:t>
      </w:r>
      <w:r w:rsidRPr="00A77EF6">
        <w:rPr>
          <w:rFonts w:ascii="Arial Narrow" w:hAnsi="Arial Narrow"/>
        </w:rPr>
        <w:t>V roku 2017 výdavky na výstavbu diaľnic a rýchlostných ciest oproti roku 2016</w:t>
      </w:r>
      <w:r>
        <w:rPr>
          <w:rFonts w:ascii="Arial Narrow" w:hAnsi="Arial Narrow"/>
        </w:rPr>
        <w:t xml:space="preserve"> </w:t>
      </w:r>
      <w:r w:rsidRPr="00E46B2E">
        <w:rPr>
          <w:rFonts w:ascii="Arial Narrow" w:hAnsi="Arial Narrow"/>
        </w:rPr>
        <w:t>klesli</w:t>
      </w:r>
      <w:r w:rsidRPr="00A77EF6">
        <w:rPr>
          <w:rFonts w:ascii="Arial Narrow" w:hAnsi="Arial Narrow"/>
        </w:rPr>
        <w:t xml:space="preserve">, </w:t>
      </w:r>
      <w:r w:rsidRPr="00E46B2E">
        <w:rPr>
          <w:rFonts w:ascii="Arial Narrow" w:hAnsi="Arial Narrow"/>
        </w:rPr>
        <w:t>pokles</w:t>
      </w:r>
      <w:r w:rsidRPr="00A77EF6">
        <w:rPr>
          <w:rFonts w:ascii="Arial Narrow" w:hAnsi="Arial Narrow"/>
        </w:rPr>
        <w:t xml:space="preserve"> nastal aj vo výdavkoch ŽSR na infraštruktúrne projekty.</w:t>
      </w:r>
      <w:r w:rsidR="00BD665C">
        <w:rPr>
          <w:rFonts w:ascii="Arial Narrow" w:hAnsi="Arial Narrow"/>
        </w:rPr>
        <w:t xml:space="preserve"> Došlo k zníženiu čerpania prostriedkov z EÚ fondov, kapitálové výdavky z vlastných zdrojov neklesli.</w:t>
      </w:r>
    </w:p>
    <w:p w14:paraId="553407CC" w14:textId="77777777" w:rsidR="00E550DB" w:rsidRPr="0003220D" w:rsidRDefault="00E550DB" w:rsidP="00E550DB">
      <w:pPr>
        <w:spacing w:after="0" w:line="240" w:lineRule="auto"/>
        <w:jc w:val="both"/>
        <w:rPr>
          <w:rFonts w:ascii="Arial Narrow" w:hAnsi="Arial Narrow"/>
          <w:sz w:val="10"/>
        </w:rPr>
      </w:pPr>
    </w:p>
    <w:tbl>
      <w:tblPr>
        <w:tblpPr w:leftFromText="141" w:rightFromText="141" w:bottomFromText="160" w:vertAnchor="text" w:horzAnchor="margin" w:tblpXSpec="center" w:tblpY="19"/>
        <w:tblOverlap w:val="neve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171"/>
        <w:gridCol w:w="222"/>
        <w:gridCol w:w="4171"/>
      </w:tblGrid>
      <w:tr w:rsidR="00F4376D" w:rsidRPr="006C5792" w14:paraId="225E485C" w14:textId="77777777" w:rsidTr="00F4376D">
        <w:trPr>
          <w:trHeight w:val="227"/>
        </w:trPr>
        <w:tc>
          <w:tcPr>
            <w:tcW w:w="2482" w:type="pct"/>
            <w:tcBorders>
              <w:top w:val="nil"/>
              <w:left w:val="nil"/>
              <w:bottom w:val="single" w:sz="4" w:space="0" w:color="auto"/>
              <w:right w:val="nil"/>
            </w:tcBorders>
            <w:vAlign w:val="center"/>
            <w:hideMark/>
          </w:tcPr>
          <w:p w14:paraId="481BF1C7" w14:textId="77777777" w:rsidR="00E550DB" w:rsidRPr="006C5792" w:rsidRDefault="00E550DB" w:rsidP="000A6E3E">
            <w:pPr>
              <w:pStyle w:val="Graf"/>
              <w:spacing w:after="0" w:line="240" w:lineRule="auto"/>
              <w:jc w:val="both"/>
              <w:rPr>
                <w:rFonts w:eastAsiaTheme="minorHAnsi" w:cstheme="minorBidi"/>
                <w:sz w:val="18"/>
              </w:rPr>
            </w:pPr>
            <w:bookmarkStart w:id="90" w:name="_Toc509513342"/>
            <w:r>
              <w:rPr>
                <w:rFonts w:eastAsia="Times New Roman" w:cs="Times New Roman"/>
                <w:color w:val="2C9ADC"/>
                <w:szCs w:val="18"/>
                <w:lang w:eastAsia="sk-SK"/>
              </w:rPr>
              <w:t>Graf</w:t>
            </w:r>
            <w:r w:rsidRPr="00686F3A">
              <w:rPr>
                <w:rFonts w:eastAsia="Times New Roman" w:cs="Times New Roman"/>
                <w:color w:val="2C9ADC"/>
                <w:szCs w:val="18"/>
                <w:lang w:eastAsia="sk-SK"/>
              </w:rPr>
              <w:t xml:space="preserve"> </w:t>
            </w:r>
            <w:r w:rsidRPr="00686F3A">
              <w:rPr>
                <w:rFonts w:eastAsia="Times New Roman" w:cs="Times New Roman"/>
                <w:color w:val="2C9ADC"/>
                <w:szCs w:val="18"/>
                <w:lang w:eastAsia="sk-SK"/>
              </w:rPr>
              <w:fldChar w:fldCharType="begin"/>
            </w:r>
            <w:r w:rsidRPr="00686F3A">
              <w:rPr>
                <w:rFonts w:eastAsia="Times New Roman" w:cs="Times New Roman"/>
                <w:color w:val="2C9ADC"/>
                <w:szCs w:val="18"/>
                <w:lang w:eastAsia="sk-SK"/>
              </w:rPr>
              <w:instrText xml:space="preserve"> SEQ GRAF \* ARABIC </w:instrText>
            </w:r>
            <w:r w:rsidRPr="00686F3A">
              <w:rPr>
                <w:rFonts w:eastAsia="Times New Roman" w:cs="Times New Roman"/>
                <w:color w:val="2C9ADC"/>
                <w:szCs w:val="18"/>
                <w:lang w:eastAsia="sk-SK"/>
              </w:rPr>
              <w:fldChar w:fldCharType="separate"/>
            </w:r>
            <w:r w:rsidR="00EE7207">
              <w:rPr>
                <w:rFonts w:eastAsia="Times New Roman" w:cs="Times New Roman"/>
                <w:noProof/>
                <w:color w:val="2C9ADC"/>
                <w:szCs w:val="18"/>
                <w:lang w:eastAsia="sk-SK"/>
              </w:rPr>
              <w:t>30</w:t>
            </w:r>
            <w:r w:rsidRPr="00686F3A">
              <w:rPr>
                <w:rFonts w:eastAsia="Times New Roman" w:cs="Times New Roman"/>
                <w:color w:val="2C9ADC"/>
                <w:szCs w:val="18"/>
                <w:lang w:eastAsia="sk-SK"/>
              </w:rPr>
              <w:fldChar w:fldCharType="end"/>
            </w:r>
            <w:r w:rsidRPr="00686F3A">
              <w:rPr>
                <w:rFonts w:eastAsia="Times New Roman" w:cs="Times New Roman"/>
                <w:color w:val="2C9ADC"/>
                <w:szCs w:val="18"/>
                <w:lang w:eastAsia="sk-SK"/>
              </w:rPr>
              <w:t>:</w:t>
            </w:r>
            <w:r>
              <w:t xml:space="preserve"> </w:t>
            </w:r>
            <w:r>
              <w:rPr>
                <w:rFonts w:eastAsia="Times New Roman" w:cs="Times New Roman"/>
                <w:color w:val="2C9ADC"/>
                <w:szCs w:val="18"/>
                <w:lang w:eastAsia="sk-SK"/>
              </w:rPr>
              <w:t>Výdavky</w:t>
            </w:r>
            <w:r w:rsidRPr="00686F3A">
              <w:rPr>
                <w:rFonts w:eastAsia="Times New Roman" w:cs="Times New Roman"/>
                <w:color w:val="2C9ADC"/>
                <w:szCs w:val="18"/>
                <w:lang w:eastAsia="sk-SK"/>
              </w:rPr>
              <w:t xml:space="preserve"> kapitoly MDV SR a ním zriadených organizácií na dopravu (v ml</w:t>
            </w:r>
            <w:r>
              <w:rPr>
                <w:rFonts w:eastAsia="Times New Roman" w:cs="Times New Roman"/>
                <w:color w:val="2C9ADC"/>
                <w:szCs w:val="18"/>
                <w:lang w:eastAsia="sk-SK"/>
              </w:rPr>
              <w:t>d</w:t>
            </w:r>
            <w:r w:rsidRPr="00686F3A">
              <w:rPr>
                <w:rFonts w:eastAsia="Times New Roman" w:cs="Times New Roman"/>
                <w:color w:val="2C9ADC"/>
                <w:szCs w:val="18"/>
                <w:lang w:eastAsia="sk-SK"/>
              </w:rPr>
              <w:t>. eur)</w:t>
            </w:r>
            <w:r w:rsidRPr="00310353">
              <w:rPr>
                <w:rFonts w:eastAsia="Times New Roman" w:cs="Times New Roman"/>
                <w:color w:val="2C9ADC"/>
                <w:szCs w:val="18"/>
                <w:vertAlign w:val="superscript"/>
                <w:lang w:eastAsia="sk-SK"/>
              </w:rPr>
              <w:footnoteReference w:id="57"/>
            </w:r>
            <w:bookmarkEnd w:id="90"/>
          </w:p>
        </w:tc>
        <w:tc>
          <w:tcPr>
            <w:tcW w:w="130" w:type="pct"/>
            <w:tcBorders>
              <w:top w:val="nil"/>
              <w:left w:val="nil"/>
              <w:bottom w:val="nil"/>
              <w:right w:val="nil"/>
            </w:tcBorders>
            <w:vAlign w:val="center"/>
          </w:tcPr>
          <w:p w14:paraId="731742DF" w14:textId="77777777" w:rsidR="00E550DB" w:rsidRPr="006C5792" w:rsidRDefault="00E550DB" w:rsidP="000A6E3E">
            <w:pPr>
              <w:spacing w:before="60" w:after="0" w:line="240" w:lineRule="auto"/>
              <w:rPr>
                <w:rFonts w:ascii="Arial Narrow" w:hAnsi="Arial Narrow" w:cs="Arial"/>
                <w:b/>
                <w:color w:val="2C9ADC"/>
                <w:sz w:val="20"/>
                <w:szCs w:val="18"/>
              </w:rPr>
            </w:pPr>
          </w:p>
        </w:tc>
        <w:tc>
          <w:tcPr>
            <w:tcW w:w="2388" w:type="pct"/>
            <w:tcBorders>
              <w:top w:val="nil"/>
              <w:left w:val="nil"/>
              <w:bottom w:val="single" w:sz="4" w:space="0" w:color="auto"/>
              <w:right w:val="nil"/>
            </w:tcBorders>
            <w:vAlign w:val="center"/>
            <w:hideMark/>
          </w:tcPr>
          <w:p w14:paraId="5E6D4E36" w14:textId="77777777" w:rsidR="00E550DB" w:rsidRPr="00310353" w:rsidRDefault="00E550DB" w:rsidP="000A6E3E">
            <w:pPr>
              <w:pStyle w:val="Graf"/>
              <w:spacing w:after="0" w:line="240" w:lineRule="auto"/>
              <w:rPr>
                <w:rFonts w:cstheme="minorBidi"/>
                <w:sz w:val="18"/>
                <w:szCs w:val="18"/>
                <w:vertAlign w:val="superscript"/>
              </w:rPr>
            </w:pPr>
            <w:bookmarkStart w:id="91" w:name="_Toc509513343"/>
            <w:r w:rsidRPr="00310353">
              <w:rPr>
                <w:rFonts w:cs="Arial"/>
                <w:color w:val="2C9ADC"/>
                <w:szCs w:val="18"/>
              </w:rPr>
              <w:t xml:space="preserve">Graf </w:t>
            </w:r>
            <w:r w:rsidRPr="00310353">
              <w:rPr>
                <w:rFonts w:cs="Arial"/>
                <w:color w:val="2C9ADC"/>
                <w:szCs w:val="18"/>
              </w:rPr>
              <w:fldChar w:fldCharType="begin"/>
            </w:r>
            <w:r w:rsidRPr="00310353">
              <w:rPr>
                <w:rFonts w:cs="Arial"/>
                <w:color w:val="2C9ADC"/>
                <w:szCs w:val="18"/>
              </w:rPr>
              <w:instrText xml:space="preserve"> SEQ GRAF \* ARABIC </w:instrText>
            </w:r>
            <w:r w:rsidRPr="00310353">
              <w:rPr>
                <w:rFonts w:cs="Arial"/>
                <w:color w:val="2C9ADC"/>
                <w:szCs w:val="18"/>
              </w:rPr>
              <w:fldChar w:fldCharType="separate"/>
            </w:r>
            <w:r w:rsidR="00EE7207">
              <w:rPr>
                <w:rFonts w:cs="Arial"/>
                <w:noProof/>
                <w:color w:val="2C9ADC"/>
                <w:szCs w:val="18"/>
              </w:rPr>
              <w:t>31</w:t>
            </w:r>
            <w:r w:rsidRPr="00310353">
              <w:rPr>
                <w:rFonts w:cs="Arial"/>
                <w:color w:val="2C9ADC"/>
                <w:szCs w:val="18"/>
              </w:rPr>
              <w:fldChar w:fldCharType="end"/>
            </w:r>
            <w:r>
              <w:rPr>
                <w:rFonts w:cs="Arial"/>
                <w:color w:val="2C9ADC"/>
                <w:szCs w:val="18"/>
              </w:rPr>
              <w:t>: Kapitálové výdavky</w:t>
            </w:r>
            <w:r w:rsidRPr="00310353">
              <w:rPr>
                <w:rFonts w:cs="Arial"/>
                <w:color w:val="2C9ADC"/>
                <w:szCs w:val="18"/>
              </w:rPr>
              <w:t xml:space="preserve"> NDS a ŽSR + platba za dostupnosť v PPP projektoch (</w:t>
            </w:r>
            <w:r>
              <w:rPr>
                <w:rFonts w:cs="Arial"/>
                <w:color w:val="2C9ADC"/>
                <w:szCs w:val="18"/>
              </w:rPr>
              <w:t xml:space="preserve">v </w:t>
            </w:r>
            <w:r w:rsidRPr="00310353">
              <w:rPr>
                <w:rFonts w:cs="Arial"/>
                <w:color w:val="2C9ADC"/>
                <w:szCs w:val="18"/>
              </w:rPr>
              <w:t>ml</w:t>
            </w:r>
            <w:r>
              <w:rPr>
                <w:rFonts w:cs="Arial"/>
                <w:color w:val="2C9ADC"/>
                <w:szCs w:val="18"/>
              </w:rPr>
              <w:t>d</w:t>
            </w:r>
            <w:r w:rsidRPr="00310353">
              <w:rPr>
                <w:rFonts w:cs="Arial"/>
                <w:color w:val="2C9ADC"/>
                <w:szCs w:val="18"/>
              </w:rPr>
              <w:t>. eur)</w:t>
            </w:r>
            <w:bookmarkEnd w:id="91"/>
          </w:p>
        </w:tc>
      </w:tr>
      <w:tr w:rsidR="00F4376D" w:rsidRPr="006C5792" w14:paraId="0EB6D0A6" w14:textId="77777777" w:rsidTr="00F4376D">
        <w:tblPrEx>
          <w:tblCellMar>
            <w:left w:w="108" w:type="dxa"/>
            <w:right w:w="108" w:type="dxa"/>
          </w:tblCellMar>
        </w:tblPrEx>
        <w:trPr>
          <w:trHeight w:val="3042"/>
        </w:trPr>
        <w:tc>
          <w:tcPr>
            <w:tcW w:w="2482" w:type="pct"/>
            <w:tcBorders>
              <w:top w:val="single" w:sz="4" w:space="0" w:color="auto"/>
              <w:left w:val="nil"/>
              <w:bottom w:val="single" w:sz="4" w:space="0" w:color="auto"/>
              <w:right w:val="nil"/>
            </w:tcBorders>
          </w:tcPr>
          <w:p w14:paraId="160AA3A0" w14:textId="1A0529CA" w:rsidR="00E550DB" w:rsidRPr="006C5792" w:rsidRDefault="00F4376D" w:rsidP="000A6E3E">
            <w:pPr>
              <w:spacing w:before="40" w:after="0" w:line="240" w:lineRule="auto"/>
              <w:jc w:val="center"/>
              <w:rPr>
                <w:rFonts w:ascii="Arial Narrow" w:hAnsi="Arial Narrow" w:cs="Arial"/>
                <w:b/>
                <w:sz w:val="20"/>
                <w:szCs w:val="20"/>
              </w:rPr>
            </w:pPr>
            <w:r>
              <w:rPr>
                <w:noProof/>
                <w:lang w:val="en-US" w:eastAsia="en-US"/>
              </w:rPr>
              <w:drawing>
                <wp:inline distT="0" distB="0" distL="0" distR="0" wp14:anchorId="5320F6F5" wp14:editId="5D2085C5">
                  <wp:extent cx="2562225" cy="2476500"/>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130" w:type="pct"/>
            <w:tcBorders>
              <w:top w:val="nil"/>
              <w:left w:val="nil"/>
              <w:bottom w:val="nil"/>
              <w:right w:val="nil"/>
            </w:tcBorders>
            <w:vAlign w:val="center"/>
          </w:tcPr>
          <w:p w14:paraId="3133FF6D" w14:textId="77777777" w:rsidR="00E550DB" w:rsidRPr="006C5792" w:rsidRDefault="00E550DB" w:rsidP="000A6E3E">
            <w:pPr>
              <w:spacing w:before="40" w:after="0" w:line="240" w:lineRule="auto"/>
              <w:jc w:val="center"/>
              <w:rPr>
                <w:rFonts w:ascii="Arial Narrow" w:hAnsi="Arial Narrow" w:cs="Arial"/>
                <w:b/>
                <w:sz w:val="20"/>
                <w:szCs w:val="20"/>
              </w:rPr>
            </w:pPr>
          </w:p>
        </w:tc>
        <w:tc>
          <w:tcPr>
            <w:tcW w:w="2388" w:type="pct"/>
            <w:tcBorders>
              <w:top w:val="single" w:sz="4" w:space="0" w:color="auto"/>
              <w:left w:val="nil"/>
              <w:bottom w:val="single" w:sz="4" w:space="0" w:color="auto"/>
              <w:right w:val="nil"/>
            </w:tcBorders>
            <w:hideMark/>
          </w:tcPr>
          <w:p w14:paraId="32DACB52" w14:textId="6ECFAB06" w:rsidR="00E550DB" w:rsidRPr="006C5792" w:rsidRDefault="00F4376D" w:rsidP="000A6E3E">
            <w:pPr>
              <w:spacing w:before="40" w:after="0" w:line="240" w:lineRule="auto"/>
              <w:jc w:val="center"/>
              <w:rPr>
                <w:rFonts w:ascii="Arial Narrow" w:hAnsi="Arial Narrow" w:cs="Arial"/>
                <w:b/>
                <w:sz w:val="20"/>
                <w:szCs w:val="20"/>
              </w:rPr>
            </w:pPr>
            <w:r>
              <w:rPr>
                <w:noProof/>
                <w:lang w:val="en-US" w:eastAsia="en-US"/>
              </w:rPr>
              <w:drawing>
                <wp:inline distT="0" distB="0" distL="0" distR="0" wp14:anchorId="224DA813" wp14:editId="1FDE513F">
                  <wp:extent cx="2562225" cy="2419350"/>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F4376D" w:rsidRPr="006C5792" w14:paraId="3EA83295" w14:textId="77777777" w:rsidTr="00F4376D">
        <w:trPr>
          <w:trHeight w:val="453"/>
        </w:trPr>
        <w:tc>
          <w:tcPr>
            <w:tcW w:w="2482" w:type="pct"/>
            <w:tcBorders>
              <w:top w:val="single" w:sz="4" w:space="0" w:color="auto"/>
              <w:left w:val="nil"/>
              <w:bottom w:val="nil"/>
              <w:right w:val="nil"/>
            </w:tcBorders>
            <w:vAlign w:val="center"/>
            <w:hideMark/>
          </w:tcPr>
          <w:p w14:paraId="166F2B34" w14:textId="15D5A233" w:rsidR="00E550DB" w:rsidRPr="006C5792" w:rsidRDefault="00E550DB" w:rsidP="000A6E3E">
            <w:pPr>
              <w:spacing w:after="0" w:line="240" w:lineRule="auto"/>
              <w:rPr>
                <w:rFonts w:ascii="Arial Narrow" w:hAnsi="Arial Narrow" w:cs="Arial"/>
                <w:i/>
                <w:sz w:val="16"/>
                <w:szCs w:val="16"/>
              </w:rPr>
            </w:pPr>
            <w:r w:rsidRPr="001702CF">
              <w:rPr>
                <w:rFonts w:ascii="Arial Narrow" w:hAnsi="Arial Narrow" w:cs="Arial"/>
                <w:i/>
                <w:sz w:val="16"/>
                <w:szCs w:val="16"/>
              </w:rPr>
              <w:t>*Zdroje ŠR, EÚ a spolufinancovania, vlastné zdroje (bez výdavkov na splácanie istín úverov – kategória 820)</w:t>
            </w:r>
            <w:r>
              <w:rPr>
                <w:rFonts w:ascii="Arial Narrow" w:hAnsi="Arial Narrow" w:cs="Arial"/>
                <w:i/>
                <w:sz w:val="16"/>
                <w:szCs w:val="16"/>
              </w:rPr>
              <w:t xml:space="preserve"> </w:t>
            </w:r>
            <w:r w:rsidRPr="006C5792">
              <w:rPr>
                <w:rFonts w:ascii="Arial Narrow" w:hAnsi="Arial Narrow" w:cs="Arial"/>
                <w:i/>
                <w:sz w:val="16"/>
                <w:szCs w:val="16"/>
              </w:rPr>
              <w:t xml:space="preserve"> </w:t>
            </w:r>
            <w:r w:rsidR="003772D2">
              <w:rPr>
                <w:rFonts w:ascii="Arial Narrow" w:hAnsi="Arial Narrow" w:cs="Arial"/>
                <w:i/>
                <w:sz w:val="16"/>
                <w:szCs w:val="16"/>
              </w:rPr>
              <w:t xml:space="preserve">        </w:t>
            </w:r>
            <w:r w:rsidRPr="006C5792">
              <w:rPr>
                <w:rFonts w:ascii="Arial Narrow" w:hAnsi="Arial Narrow" w:cs="Arial"/>
                <w:i/>
                <w:sz w:val="16"/>
                <w:szCs w:val="16"/>
              </w:rPr>
              <w:t xml:space="preserve">Zdroj: </w:t>
            </w:r>
            <w:r>
              <w:rPr>
                <w:rFonts w:ascii="Arial Narrow" w:hAnsi="Arial Narrow" w:cs="Arial"/>
                <w:i/>
                <w:sz w:val="16"/>
                <w:szCs w:val="16"/>
              </w:rPr>
              <w:t>RVS, MDV SR</w:t>
            </w:r>
          </w:p>
        </w:tc>
        <w:tc>
          <w:tcPr>
            <w:tcW w:w="130" w:type="pct"/>
            <w:tcBorders>
              <w:top w:val="nil"/>
              <w:left w:val="nil"/>
              <w:bottom w:val="nil"/>
              <w:right w:val="nil"/>
            </w:tcBorders>
            <w:vAlign w:val="center"/>
          </w:tcPr>
          <w:p w14:paraId="41D91486" w14:textId="77777777" w:rsidR="00E550DB" w:rsidRPr="006C5792" w:rsidRDefault="00E550DB" w:rsidP="000A6E3E">
            <w:pPr>
              <w:spacing w:after="0" w:line="240" w:lineRule="auto"/>
              <w:jc w:val="center"/>
              <w:rPr>
                <w:rFonts w:ascii="Arial Narrow" w:hAnsi="Arial Narrow" w:cs="Arial"/>
                <w:i/>
                <w:sz w:val="16"/>
                <w:szCs w:val="16"/>
              </w:rPr>
            </w:pPr>
          </w:p>
        </w:tc>
        <w:tc>
          <w:tcPr>
            <w:tcW w:w="2388" w:type="pct"/>
            <w:tcBorders>
              <w:top w:val="single" w:sz="4" w:space="0" w:color="auto"/>
              <w:left w:val="nil"/>
              <w:bottom w:val="nil"/>
              <w:right w:val="nil"/>
            </w:tcBorders>
            <w:vAlign w:val="center"/>
            <w:hideMark/>
          </w:tcPr>
          <w:p w14:paraId="3FF54015" w14:textId="77777777" w:rsidR="00E550DB" w:rsidRPr="006C5792" w:rsidRDefault="00E550DB" w:rsidP="000A6E3E">
            <w:pPr>
              <w:spacing w:after="0" w:line="240" w:lineRule="auto"/>
              <w:jc w:val="right"/>
              <w:rPr>
                <w:rFonts w:ascii="Arial Narrow" w:hAnsi="Arial Narrow" w:cs="Arial"/>
                <w:i/>
                <w:sz w:val="16"/>
                <w:szCs w:val="16"/>
              </w:rPr>
            </w:pPr>
            <w:r w:rsidRPr="006C5792">
              <w:rPr>
                <w:rFonts w:ascii="Arial Narrow" w:hAnsi="Arial Narrow" w:cs="Arial"/>
                <w:i/>
                <w:sz w:val="16"/>
                <w:szCs w:val="16"/>
              </w:rPr>
              <w:t xml:space="preserve">Zdroj: </w:t>
            </w:r>
            <w:r>
              <w:rPr>
                <w:rFonts w:ascii="Arial Narrow" w:hAnsi="Arial Narrow" w:cs="Arial"/>
                <w:i/>
                <w:sz w:val="16"/>
                <w:szCs w:val="16"/>
              </w:rPr>
              <w:t>RVS, MDV SR</w:t>
            </w:r>
          </w:p>
        </w:tc>
      </w:tr>
    </w:tbl>
    <w:p w14:paraId="39AE5612" w14:textId="634BF57A" w:rsidR="00E550DB" w:rsidRDefault="00E550DB" w:rsidP="00E550DB">
      <w:pPr>
        <w:spacing w:after="0" w:line="240" w:lineRule="auto"/>
        <w:jc w:val="both"/>
        <w:rPr>
          <w:rFonts w:ascii="Arial Narrow" w:hAnsi="Arial Narrow"/>
        </w:rPr>
      </w:pPr>
      <w:r w:rsidRPr="009F3B91">
        <w:rPr>
          <w:rFonts w:ascii="Arial Narrow" w:hAnsi="Arial Narrow"/>
        </w:rPr>
        <w:t>Zvýšené úsilie bude potrebné alokovať na projekt obchvatu Bratislavy D4/R7, ktorý sa dostal do sklzu. Skorší termín realizácie bol totiž hlavným dôvodom výhodnosti financovania obchvatu formou PPP oproti financovaniu štátom.</w:t>
      </w:r>
      <w:r w:rsidR="00FF6D6B">
        <w:rPr>
          <w:rFonts w:ascii="Arial Narrow" w:hAnsi="Arial Narrow"/>
        </w:rPr>
        <w:t xml:space="preserve"> </w:t>
      </w:r>
      <w:r w:rsidR="00FF6D6B" w:rsidRPr="009F3B91">
        <w:rPr>
          <w:rFonts w:ascii="Arial Narrow" w:hAnsi="Arial Narrow"/>
        </w:rPr>
        <w:t>Prioritou ostáva implementácia opatrení revízie výdavkov na dopravu, ktoré sa plnia len čiastočne.</w:t>
      </w:r>
    </w:p>
    <w:p w14:paraId="5BCA4E6B" w14:textId="77777777" w:rsidR="00873A21" w:rsidRDefault="00873A21" w:rsidP="00E550DB">
      <w:pPr>
        <w:spacing w:after="0" w:line="240" w:lineRule="auto"/>
        <w:jc w:val="both"/>
        <w:rPr>
          <w:rFonts w:ascii="Arial Narrow" w:hAnsi="Arial Narrow"/>
        </w:rPr>
      </w:pPr>
    </w:p>
    <w:p w14:paraId="7233188F" w14:textId="77777777" w:rsidR="00873A21" w:rsidRPr="00CB46E9" w:rsidRDefault="00873A21" w:rsidP="00873A21">
      <w:pPr>
        <w:spacing w:after="0" w:line="240" w:lineRule="auto"/>
        <w:jc w:val="both"/>
        <w:rPr>
          <w:rFonts w:ascii="Arial Narrow" w:hAnsi="Arial Narrow"/>
        </w:rPr>
      </w:pPr>
      <w:r>
        <w:rPr>
          <w:rFonts w:ascii="Arial Narrow" w:hAnsi="Arial Narrow"/>
          <w:b/>
          <w:i/>
        </w:rPr>
        <w:t xml:space="preserve">Opatrenia </w:t>
      </w:r>
      <w:r w:rsidRPr="00CB46E9">
        <w:rPr>
          <w:rFonts w:ascii="Arial Narrow" w:hAnsi="Arial Narrow"/>
          <w:b/>
          <w:i/>
        </w:rPr>
        <w:t>vyplývajúce z revízie výdavkov</w:t>
      </w:r>
      <w:r w:rsidRPr="00CB46E9">
        <w:rPr>
          <w:rFonts w:ascii="Arial Narrow" w:hAnsi="Arial Narrow"/>
        </w:rPr>
        <w:t xml:space="preserve"> </w:t>
      </w:r>
    </w:p>
    <w:p w14:paraId="6495E330" w14:textId="77777777" w:rsidR="00E550DB" w:rsidRDefault="00E550DB" w:rsidP="00E550DB">
      <w:pPr>
        <w:spacing w:after="0" w:line="240" w:lineRule="auto"/>
        <w:jc w:val="both"/>
        <w:rPr>
          <w:rFonts w:ascii="Arial Narrow" w:hAnsi="Arial Narrow"/>
        </w:rPr>
      </w:pPr>
      <w:r w:rsidRPr="00462369">
        <w:rPr>
          <w:rFonts w:ascii="Arial Narrow" w:hAnsi="Arial Narrow"/>
          <w:b/>
        </w:rPr>
        <w:t>Kľúčové pre zvýšenie hodnoty dopravných investícii je nastavenie jasných, analyticky podložených investičných priorít</w:t>
      </w:r>
      <w:r w:rsidRPr="00462369">
        <w:rPr>
          <w:rFonts w:ascii="Arial Narrow" w:hAnsi="Arial Narrow"/>
        </w:rPr>
        <w:t xml:space="preserve"> vo všetkých sektoroch dopravy a zverejnenie záväzného a pravidelne aktualizova</w:t>
      </w:r>
      <w:r>
        <w:rPr>
          <w:rFonts w:ascii="Arial Narrow" w:hAnsi="Arial Narrow"/>
        </w:rPr>
        <w:t>ného investičného plánu MDV SR</w:t>
      </w:r>
      <w:r w:rsidRPr="00462369">
        <w:rPr>
          <w:rFonts w:ascii="Arial Narrow" w:hAnsi="Arial Narrow"/>
        </w:rPr>
        <w:t xml:space="preserve">. Lepšie plánovanie projektov zároveň zlepšuje zameranie obmedzených kapacít a </w:t>
      </w:r>
      <w:r>
        <w:rPr>
          <w:rFonts w:ascii="Arial Narrow" w:hAnsi="Arial Narrow"/>
        </w:rPr>
        <w:t>financií na prioritné projekty.</w:t>
      </w:r>
    </w:p>
    <w:p w14:paraId="6539A08C" w14:textId="77777777" w:rsidR="00E550DB" w:rsidRPr="00462369" w:rsidRDefault="00E550DB" w:rsidP="00E550DB">
      <w:pPr>
        <w:spacing w:after="0" w:line="240" w:lineRule="auto"/>
        <w:jc w:val="both"/>
        <w:rPr>
          <w:rFonts w:ascii="Arial Narrow" w:hAnsi="Arial Narrow"/>
        </w:rPr>
      </w:pPr>
    </w:p>
    <w:p w14:paraId="6ED0FB37" w14:textId="1EA824DD" w:rsidR="00E550DB" w:rsidRDefault="00E550DB" w:rsidP="00E550DB">
      <w:pPr>
        <w:spacing w:after="0" w:line="240" w:lineRule="auto"/>
        <w:jc w:val="both"/>
        <w:rPr>
          <w:rFonts w:ascii="Arial Narrow" w:hAnsi="Arial Narrow"/>
        </w:rPr>
      </w:pPr>
      <w:r w:rsidRPr="00CD51B5">
        <w:rPr>
          <w:rFonts w:ascii="Arial Narrow" w:hAnsi="Arial Narrow"/>
          <w:b/>
        </w:rPr>
        <w:t xml:space="preserve">MDV SR </w:t>
      </w:r>
      <w:r w:rsidR="00781A40" w:rsidRPr="00781A40">
        <w:rPr>
          <w:rFonts w:ascii="Arial Narrow" w:hAnsi="Arial Narrow"/>
        </w:rPr>
        <w:t xml:space="preserve">bude </w:t>
      </w:r>
      <w:r w:rsidRPr="00862CD5">
        <w:rPr>
          <w:rFonts w:ascii="Arial Narrow" w:hAnsi="Arial Narrow"/>
        </w:rPr>
        <w:t>pr</w:t>
      </w:r>
      <w:r w:rsidR="00781A40">
        <w:rPr>
          <w:rFonts w:ascii="Arial Narrow" w:hAnsi="Arial Narrow"/>
        </w:rPr>
        <w:t>i</w:t>
      </w:r>
      <w:r w:rsidRPr="00862CD5">
        <w:rPr>
          <w:rFonts w:ascii="Arial Narrow" w:hAnsi="Arial Narrow"/>
        </w:rPr>
        <w:t xml:space="preserve"> nov</w:t>
      </w:r>
      <w:r w:rsidR="00781A40">
        <w:rPr>
          <w:rFonts w:ascii="Arial Narrow" w:hAnsi="Arial Narrow"/>
        </w:rPr>
        <w:t>ých</w:t>
      </w:r>
      <w:r w:rsidRPr="00862CD5">
        <w:rPr>
          <w:rFonts w:ascii="Arial Narrow" w:hAnsi="Arial Narrow"/>
        </w:rPr>
        <w:t xml:space="preserve"> investičn</w:t>
      </w:r>
      <w:r w:rsidR="00781A40">
        <w:rPr>
          <w:rFonts w:ascii="Arial Narrow" w:hAnsi="Arial Narrow"/>
        </w:rPr>
        <w:t>ých</w:t>
      </w:r>
      <w:r w:rsidRPr="00862CD5">
        <w:rPr>
          <w:rFonts w:ascii="Arial Narrow" w:hAnsi="Arial Narrow"/>
        </w:rPr>
        <w:t xml:space="preserve"> projekt</w:t>
      </w:r>
      <w:r w:rsidR="00781A40">
        <w:rPr>
          <w:rFonts w:ascii="Arial Narrow" w:hAnsi="Arial Narrow"/>
        </w:rPr>
        <w:t>och</w:t>
      </w:r>
      <w:r w:rsidRPr="00862CD5">
        <w:rPr>
          <w:rFonts w:ascii="Arial Narrow" w:hAnsi="Arial Narrow"/>
        </w:rPr>
        <w:t xml:space="preserve"> nad 20 mil. eur</w:t>
      </w:r>
      <w:r w:rsidRPr="007B197A">
        <w:rPr>
          <w:rFonts w:ascii="Arial Narrow" w:hAnsi="Arial Narrow"/>
          <w:b/>
        </w:rPr>
        <w:t xml:space="preserve"> </w:t>
      </w:r>
      <w:r w:rsidRPr="007B197A">
        <w:rPr>
          <w:rFonts w:ascii="Arial Narrow" w:hAnsi="Arial Narrow"/>
        </w:rPr>
        <w:t>v rámci prípravy zadania štúdie realizovateľnosti</w:t>
      </w:r>
      <w:r w:rsidR="00781A40">
        <w:rPr>
          <w:rFonts w:ascii="Arial Narrow" w:hAnsi="Arial Narrow"/>
        </w:rPr>
        <w:t xml:space="preserve"> </w:t>
      </w:r>
      <w:r w:rsidR="00B41C93">
        <w:rPr>
          <w:rFonts w:ascii="Arial Narrow" w:hAnsi="Arial Narrow"/>
        </w:rPr>
        <w:t xml:space="preserve">posudzovať vhodnosť aplikácie </w:t>
      </w:r>
      <w:proofErr w:type="spellStart"/>
      <w:r w:rsidR="00B41C93">
        <w:rPr>
          <w:rFonts w:ascii="Arial Narrow" w:hAnsi="Arial Narrow"/>
        </w:rPr>
        <w:t>multimodálnych</w:t>
      </w:r>
      <w:proofErr w:type="spellEnd"/>
      <w:r w:rsidR="00B41C93">
        <w:rPr>
          <w:rFonts w:ascii="Arial Narrow" w:hAnsi="Arial Narrow"/>
        </w:rPr>
        <w:t xml:space="preserve"> variantov</w:t>
      </w:r>
      <w:r w:rsidR="00781A40">
        <w:rPr>
          <w:rFonts w:ascii="Arial Narrow" w:hAnsi="Arial Narrow"/>
        </w:rPr>
        <w:t>.</w:t>
      </w:r>
      <w:r w:rsidR="0046095E">
        <w:rPr>
          <w:rFonts w:ascii="Arial Narrow" w:hAnsi="Arial Narrow"/>
        </w:rPr>
        <w:t xml:space="preserve"> MDV SR </w:t>
      </w:r>
      <w:r>
        <w:rPr>
          <w:rFonts w:ascii="Arial Narrow" w:hAnsi="Arial Narrow"/>
        </w:rPr>
        <w:t>r</w:t>
      </w:r>
      <w:r w:rsidRPr="007B197A">
        <w:rPr>
          <w:rFonts w:ascii="Arial Narrow" w:hAnsi="Arial Narrow"/>
        </w:rPr>
        <w:t>ealiz</w:t>
      </w:r>
      <w:r>
        <w:rPr>
          <w:rFonts w:ascii="Arial Narrow" w:hAnsi="Arial Narrow"/>
        </w:rPr>
        <w:t>uje</w:t>
      </w:r>
      <w:r w:rsidRPr="007B197A">
        <w:rPr>
          <w:rFonts w:ascii="Arial Narrow" w:hAnsi="Arial Narrow"/>
        </w:rPr>
        <w:t xml:space="preserve"> štúdi</w:t>
      </w:r>
      <w:r>
        <w:rPr>
          <w:rFonts w:ascii="Arial Narrow" w:hAnsi="Arial Narrow"/>
        </w:rPr>
        <w:t>e</w:t>
      </w:r>
      <w:r w:rsidRPr="007B197A">
        <w:rPr>
          <w:rFonts w:ascii="Arial Narrow" w:hAnsi="Arial Narrow"/>
        </w:rPr>
        <w:t xml:space="preserve"> realizovateľnosti na začiatku </w:t>
      </w:r>
      <w:proofErr w:type="spellStart"/>
      <w:r w:rsidRPr="007B197A">
        <w:rPr>
          <w:rFonts w:ascii="Arial Narrow" w:hAnsi="Arial Narrow"/>
        </w:rPr>
        <w:t>predinvestičného</w:t>
      </w:r>
      <w:proofErr w:type="spellEnd"/>
      <w:r w:rsidRPr="007B197A">
        <w:rPr>
          <w:rFonts w:ascii="Arial Narrow" w:hAnsi="Arial Narrow"/>
        </w:rPr>
        <w:t xml:space="preserve"> procesu</w:t>
      </w:r>
      <w:r>
        <w:rPr>
          <w:rFonts w:ascii="Arial Narrow" w:hAnsi="Arial Narrow"/>
        </w:rPr>
        <w:t>.</w:t>
      </w:r>
      <w:r w:rsidR="00B41C93" w:rsidRPr="00B41C93">
        <w:t xml:space="preserve"> </w:t>
      </w:r>
      <w:r w:rsidR="00B41C93" w:rsidRPr="00B41C93">
        <w:rPr>
          <w:rFonts w:ascii="Arial Narrow" w:hAnsi="Arial Narrow"/>
        </w:rPr>
        <w:t xml:space="preserve">Vypracovanie metodiky pre zohľadňovanie </w:t>
      </w:r>
      <w:proofErr w:type="spellStart"/>
      <w:r w:rsidR="00B41C93" w:rsidRPr="00B41C93">
        <w:rPr>
          <w:rFonts w:ascii="Arial Narrow" w:hAnsi="Arial Narrow"/>
        </w:rPr>
        <w:t>multimodálneho</w:t>
      </w:r>
      <w:proofErr w:type="spellEnd"/>
      <w:r w:rsidR="00B41C93" w:rsidRPr="00B41C93">
        <w:rPr>
          <w:rFonts w:ascii="Arial Narrow" w:hAnsi="Arial Narrow"/>
        </w:rPr>
        <w:t xml:space="preserve"> posúdenia a jej zverejnenie sa predpokladá koncom roka 2018.</w:t>
      </w:r>
    </w:p>
    <w:p w14:paraId="2707D0FB" w14:textId="3A0A210D" w:rsidR="00E550DB" w:rsidRDefault="00E550DB" w:rsidP="00E550DB">
      <w:pPr>
        <w:spacing w:after="0" w:line="240" w:lineRule="auto"/>
        <w:jc w:val="both"/>
        <w:rPr>
          <w:rFonts w:ascii="Arial Narrow" w:hAnsi="Arial Narrow" w:cs="Tahoma"/>
          <w:color w:val="000000"/>
          <w:szCs w:val="20"/>
          <w:shd w:val="clear" w:color="auto" w:fill="FFFFFF"/>
        </w:rPr>
      </w:pPr>
      <w:r>
        <w:rPr>
          <w:rFonts w:ascii="Arial Narrow" w:hAnsi="Arial Narrow" w:cs="Tahoma"/>
          <w:color w:val="000000"/>
          <w:szCs w:val="20"/>
          <w:shd w:val="clear" w:color="auto" w:fill="FFFFFF"/>
        </w:rPr>
        <w:lastRenderedPageBreak/>
        <w:t>V</w:t>
      </w:r>
      <w:r w:rsidRPr="00BF747D">
        <w:rPr>
          <w:rFonts w:ascii="Arial Narrow" w:hAnsi="Arial Narrow" w:cs="Tahoma"/>
          <w:color w:val="000000"/>
          <w:szCs w:val="20"/>
          <w:shd w:val="clear" w:color="auto" w:fill="FFFFFF"/>
        </w:rPr>
        <w:t xml:space="preserve"> spolupráci s mimovládnymi organizáciami </w:t>
      </w:r>
      <w:r>
        <w:rPr>
          <w:rFonts w:ascii="Arial Narrow" w:hAnsi="Arial Narrow" w:cs="Tahoma"/>
          <w:color w:val="000000"/>
          <w:szCs w:val="20"/>
          <w:shd w:val="clear" w:color="auto" w:fill="FFFFFF"/>
        </w:rPr>
        <w:t xml:space="preserve">sa </w:t>
      </w:r>
      <w:r w:rsidRPr="00BF747D">
        <w:rPr>
          <w:rFonts w:ascii="Arial Narrow" w:hAnsi="Arial Narrow" w:cs="Tahoma"/>
          <w:color w:val="000000"/>
          <w:szCs w:val="20"/>
          <w:shd w:val="clear" w:color="auto" w:fill="FFFFFF"/>
        </w:rPr>
        <w:t xml:space="preserve">pracuje na </w:t>
      </w:r>
      <w:r>
        <w:rPr>
          <w:rFonts w:ascii="Arial Narrow" w:hAnsi="Arial Narrow" w:cs="Tahoma"/>
          <w:color w:val="000000"/>
          <w:szCs w:val="20"/>
          <w:shd w:val="clear" w:color="auto" w:fill="FFFFFF"/>
        </w:rPr>
        <w:t>tom</w:t>
      </w:r>
      <w:r w:rsidRPr="00BF747D">
        <w:rPr>
          <w:rFonts w:ascii="Arial Narrow" w:hAnsi="Arial Narrow" w:cs="Tahoma"/>
          <w:color w:val="000000"/>
          <w:szCs w:val="20"/>
          <w:shd w:val="clear" w:color="auto" w:fill="FFFFFF"/>
        </w:rPr>
        <w:t xml:space="preserve">, aby </w:t>
      </w:r>
      <w:r w:rsidRPr="000258A6">
        <w:rPr>
          <w:rFonts w:ascii="Arial Narrow" w:hAnsi="Arial Narrow" w:cs="Tahoma"/>
          <w:b/>
          <w:color w:val="000000"/>
          <w:szCs w:val="20"/>
          <w:shd w:val="clear" w:color="auto" w:fill="FFFFFF"/>
        </w:rPr>
        <w:t>údaje o realizovaných projektoch boli zverejňované v požadovanom rozsahu a v užívateľsky prívetivej forme</w:t>
      </w:r>
      <w:r>
        <w:rPr>
          <w:rFonts w:ascii="Arial Narrow" w:hAnsi="Arial Narrow" w:cs="Tahoma"/>
          <w:color w:val="000000"/>
          <w:szCs w:val="20"/>
          <w:shd w:val="clear" w:color="auto" w:fill="FFFFFF"/>
        </w:rPr>
        <w:t>. V </w:t>
      </w:r>
      <w:r w:rsidRPr="00BF747D">
        <w:rPr>
          <w:rFonts w:ascii="Arial Narrow" w:hAnsi="Arial Narrow" w:cs="Tahoma"/>
          <w:color w:val="000000"/>
          <w:szCs w:val="20"/>
          <w:shd w:val="clear" w:color="auto" w:fill="FFFFFF"/>
        </w:rPr>
        <w:t>budúcnosti</w:t>
      </w:r>
      <w:r>
        <w:rPr>
          <w:rFonts w:ascii="Arial Narrow" w:hAnsi="Arial Narrow" w:cs="Tahoma"/>
          <w:color w:val="000000"/>
          <w:szCs w:val="20"/>
          <w:shd w:val="clear" w:color="auto" w:fill="FFFFFF"/>
        </w:rPr>
        <w:t xml:space="preserve"> sa</w:t>
      </w:r>
      <w:r w:rsidRPr="00BF747D">
        <w:rPr>
          <w:rFonts w:ascii="Arial Narrow" w:hAnsi="Arial Narrow" w:cs="Tahoma"/>
          <w:color w:val="000000"/>
          <w:szCs w:val="20"/>
          <w:shd w:val="clear" w:color="auto" w:fill="FFFFFF"/>
        </w:rPr>
        <w:t xml:space="preserve"> </w:t>
      </w:r>
      <w:r>
        <w:rPr>
          <w:rFonts w:ascii="Arial Narrow" w:hAnsi="Arial Narrow" w:cs="Tahoma"/>
          <w:color w:val="000000"/>
          <w:szCs w:val="20"/>
          <w:shd w:val="clear" w:color="auto" w:fill="FFFFFF"/>
        </w:rPr>
        <w:t>bud</w:t>
      </w:r>
      <w:r w:rsidR="00FF6D6B">
        <w:rPr>
          <w:rFonts w:ascii="Arial Narrow" w:hAnsi="Arial Narrow" w:cs="Tahoma"/>
          <w:color w:val="000000"/>
          <w:szCs w:val="20"/>
          <w:shd w:val="clear" w:color="auto" w:fill="FFFFFF"/>
        </w:rPr>
        <w:t>e</w:t>
      </w:r>
      <w:r>
        <w:rPr>
          <w:rFonts w:ascii="Arial Narrow" w:hAnsi="Arial Narrow" w:cs="Tahoma"/>
          <w:color w:val="000000"/>
          <w:szCs w:val="20"/>
          <w:shd w:val="clear" w:color="auto" w:fill="FFFFFF"/>
        </w:rPr>
        <w:t xml:space="preserve"> </w:t>
      </w:r>
      <w:r w:rsidR="00FF6D6B">
        <w:rPr>
          <w:rFonts w:ascii="Arial Narrow" w:hAnsi="Arial Narrow" w:cs="Tahoma"/>
          <w:color w:val="000000"/>
          <w:szCs w:val="20"/>
          <w:shd w:val="clear" w:color="auto" w:fill="FFFFFF"/>
        </w:rPr>
        <w:t xml:space="preserve">rozširovať </w:t>
      </w:r>
      <w:r w:rsidR="00FF6D6B" w:rsidRPr="00E51637">
        <w:rPr>
          <w:rFonts w:ascii="Arial Narrow" w:hAnsi="Arial Narrow" w:cs="Tahoma"/>
          <w:color w:val="000000"/>
          <w:szCs w:val="20"/>
          <w:shd w:val="clear" w:color="auto" w:fill="FFFFFF"/>
        </w:rPr>
        <w:t xml:space="preserve">okruh projektov </w:t>
      </w:r>
      <w:r w:rsidR="00FF6D6B">
        <w:rPr>
          <w:rFonts w:ascii="Arial Narrow" w:hAnsi="Arial Narrow" w:cs="Tahoma"/>
          <w:color w:val="000000"/>
          <w:szCs w:val="20"/>
          <w:shd w:val="clear" w:color="auto" w:fill="FFFFFF"/>
        </w:rPr>
        <w:t xml:space="preserve">čerpajúcich verejné zdroje, u </w:t>
      </w:r>
      <w:r w:rsidR="00FF6D6B" w:rsidRPr="00E51637">
        <w:rPr>
          <w:rFonts w:ascii="Arial Narrow" w:hAnsi="Arial Narrow" w:cs="Tahoma"/>
          <w:color w:val="000000"/>
          <w:szCs w:val="20"/>
          <w:shd w:val="clear" w:color="auto" w:fill="FFFFFF"/>
        </w:rPr>
        <w:t>ktorých sa bud</w:t>
      </w:r>
      <w:r w:rsidR="00FF6D6B" w:rsidRPr="008F643C">
        <w:rPr>
          <w:rFonts w:ascii="Arial Narrow" w:hAnsi="Arial Narrow" w:cs="Tahoma"/>
          <w:color w:val="000000"/>
          <w:szCs w:val="20"/>
          <w:shd w:val="clear" w:color="auto" w:fill="FFFFFF"/>
        </w:rPr>
        <w:t>ú</w:t>
      </w:r>
      <w:r w:rsidR="00FF6D6B" w:rsidRPr="00E51637">
        <w:rPr>
          <w:rFonts w:ascii="Arial Narrow" w:hAnsi="Arial Narrow" w:cs="Tahoma"/>
          <w:color w:val="000000"/>
          <w:szCs w:val="20"/>
          <w:shd w:val="clear" w:color="auto" w:fill="FFFFFF"/>
        </w:rPr>
        <w:t xml:space="preserve"> </w:t>
      </w:r>
      <w:r w:rsidR="00FF6D6B" w:rsidRPr="00E71863">
        <w:rPr>
          <w:rFonts w:ascii="Arial Narrow" w:hAnsi="Arial Narrow" w:cs="Tahoma"/>
          <w:color w:val="000000"/>
          <w:szCs w:val="20"/>
          <w:shd w:val="clear" w:color="auto" w:fill="FFFFFF"/>
        </w:rPr>
        <w:t>zverejňova</w:t>
      </w:r>
      <w:r w:rsidR="00FF6D6B" w:rsidRPr="008F643C">
        <w:rPr>
          <w:rFonts w:ascii="Arial Narrow" w:hAnsi="Arial Narrow" w:cs="Tahoma"/>
          <w:color w:val="000000"/>
          <w:szCs w:val="20"/>
          <w:shd w:val="clear" w:color="auto" w:fill="FFFFFF"/>
        </w:rPr>
        <w:t xml:space="preserve">ť relevantné </w:t>
      </w:r>
      <w:r w:rsidR="00FF6D6B" w:rsidRPr="00E51637">
        <w:rPr>
          <w:rFonts w:ascii="Arial Narrow" w:hAnsi="Arial Narrow" w:cs="Tahoma"/>
          <w:color w:val="000000"/>
          <w:szCs w:val="20"/>
          <w:shd w:val="clear" w:color="auto" w:fill="FFFFFF"/>
        </w:rPr>
        <w:t>dát</w:t>
      </w:r>
      <w:r w:rsidR="00FF6D6B" w:rsidRPr="008F643C">
        <w:rPr>
          <w:rFonts w:ascii="Arial Narrow" w:hAnsi="Arial Narrow" w:cs="Tahoma"/>
          <w:color w:val="000000"/>
          <w:szCs w:val="20"/>
          <w:shd w:val="clear" w:color="auto" w:fill="FFFFFF"/>
        </w:rPr>
        <w:t>a</w:t>
      </w:r>
      <w:r w:rsidR="00FF6D6B" w:rsidRPr="00BF747D">
        <w:rPr>
          <w:rFonts w:ascii="Arial Narrow" w:hAnsi="Arial Narrow" w:cs="Tahoma"/>
          <w:color w:val="000000"/>
          <w:szCs w:val="20"/>
          <w:shd w:val="clear" w:color="auto" w:fill="FFFFFF"/>
        </w:rPr>
        <w:t>.</w:t>
      </w:r>
      <w:r>
        <w:rPr>
          <w:rFonts w:ascii="Arial Narrow" w:hAnsi="Arial Narrow" w:cs="Tahoma"/>
          <w:color w:val="000000"/>
          <w:szCs w:val="20"/>
          <w:shd w:val="clear" w:color="auto" w:fill="FFFFFF"/>
        </w:rPr>
        <w:t xml:space="preserve"> V</w:t>
      </w:r>
      <w:r w:rsidRPr="00BF747D">
        <w:rPr>
          <w:rFonts w:ascii="Arial Narrow" w:hAnsi="Arial Narrow" w:cs="Tahoma"/>
          <w:color w:val="000000"/>
          <w:szCs w:val="20"/>
          <w:shd w:val="clear" w:color="auto" w:fill="FFFFFF"/>
        </w:rPr>
        <w:t xml:space="preserve"> súčasnosti </w:t>
      </w:r>
      <w:r>
        <w:rPr>
          <w:rFonts w:ascii="Arial Narrow" w:hAnsi="Arial Narrow" w:cs="Tahoma"/>
          <w:color w:val="000000"/>
          <w:szCs w:val="20"/>
          <w:shd w:val="clear" w:color="auto" w:fill="FFFFFF"/>
        </w:rPr>
        <w:t xml:space="preserve">sa </w:t>
      </w:r>
      <w:r w:rsidRPr="00BF747D">
        <w:rPr>
          <w:rFonts w:ascii="Arial Narrow" w:hAnsi="Arial Narrow" w:cs="Tahoma"/>
          <w:color w:val="000000"/>
          <w:szCs w:val="20"/>
          <w:shd w:val="clear" w:color="auto" w:fill="FFFFFF"/>
        </w:rPr>
        <w:t>na p</w:t>
      </w:r>
      <w:r>
        <w:rPr>
          <w:rFonts w:ascii="Arial Narrow" w:hAnsi="Arial Narrow" w:cs="Tahoma"/>
          <w:color w:val="000000"/>
          <w:szCs w:val="20"/>
          <w:shd w:val="clear" w:color="auto" w:fill="FFFFFF"/>
        </w:rPr>
        <w:t>ortáli otvorených dát zverejňujú</w:t>
      </w:r>
      <w:r w:rsidRPr="00BF747D">
        <w:rPr>
          <w:rFonts w:ascii="Arial Narrow" w:hAnsi="Arial Narrow" w:cs="Tahoma"/>
          <w:color w:val="000000"/>
          <w:szCs w:val="20"/>
          <w:shd w:val="clear" w:color="auto" w:fill="FFFFFF"/>
        </w:rPr>
        <w:t xml:space="preserve"> </w:t>
      </w:r>
      <w:r>
        <w:rPr>
          <w:rFonts w:ascii="Arial Narrow" w:hAnsi="Arial Narrow" w:cs="Tahoma"/>
          <w:color w:val="000000"/>
          <w:szCs w:val="20"/>
          <w:shd w:val="clear" w:color="auto" w:fill="FFFFFF"/>
        </w:rPr>
        <w:t>prvé</w:t>
      </w:r>
      <w:r w:rsidRPr="00BF747D">
        <w:rPr>
          <w:rFonts w:ascii="Arial Narrow" w:hAnsi="Arial Narrow" w:cs="Tahoma"/>
          <w:color w:val="000000"/>
          <w:szCs w:val="20"/>
          <w:shd w:val="clear" w:color="auto" w:fill="FFFFFF"/>
        </w:rPr>
        <w:t xml:space="preserve"> </w:t>
      </w:r>
      <w:proofErr w:type="spellStart"/>
      <w:r w:rsidRPr="00BF747D">
        <w:rPr>
          <w:rFonts w:ascii="Arial Narrow" w:hAnsi="Arial Narrow" w:cs="Tahoma"/>
          <w:color w:val="000000"/>
          <w:szCs w:val="20"/>
          <w:shd w:val="clear" w:color="auto" w:fill="FFFFFF"/>
        </w:rPr>
        <w:t>dataset</w:t>
      </w:r>
      <w:r>
        <w:rPr>
          <w:rFonts w:ascii="Arial Narrow" w:hAnsi="Arial Narrow" w:cs="Tahoma"/>
          <w:color w:val="000000"/>
          <w:szCs w:val="20"/>
          <w:shd w:val="clear" w:color="auto" w:fill="FFFFFF"/>
        </w:rPr>
        <w:t>y</w:t>
      </w:r>
      <w:proofErr w:type="spellEnd"/>
      <w:r>
        <w:rPr>
          <w:rFonts w:ascii="Arial Narrow" w:hAnsi="Arial Narrow" w:cs="Tahoma"/>
          <w:color w:val="000000"/>
          <w:szCs w:val="20"/>
          <w:shd w:val="clear" w:color="auto" w:fill="FFFFFF"/>
        </w:rPr>
        <w:t>.</w:t>
      </w:r>
    </w:p>
    <w:p w14:paraId="71E8FC9B" w14:textId="77777777" w:rsidR="00E550DB" w:rsidRDefault="00E550DB" w:rsidP="00E550DB">
      <w:pPr>
        <w:spacing w:after="0" w:line="240" w:lineRule="auto"/>
        <w:jc w:val="both"/>
        <w:rPr>
          <w:rFonts w:ascii="Arial Narrow" w:hAnsi="Arial Narrow" w:cs="Tahoma"/>
          <w:color w:val="000000"/>
          <w:szCs w:val="20"/>
          <w:shd w:val="clear" w:color="auto" w:fill="FFFFFF"/>
        </w:rPr>
      </w:pPr>
    </w:p>
    <w:p w14:paraId="122FB4D5" w14:textId="355328D9" w:rsidR="00A6743E" w:rsidRDefault="00E550DB" w:rsidP="00A6743E">
      <w:pPr>
        <w:spacing w:after="0" w:line="240" w:lineRule="auto"/>
        <w:jc w:val="both"/>
        <w:rPr>
          <w:rFonts w:ascii="Arial Narrow" w:hAnsi="Arial Narrow" w:cs="Arial Narrow"/>
          <w:highlight w:val="yellow"/>
        </w:rPr>
      </w:pPr>
      <w:r>
        <w:rPr>
          <w:rFonts w:ascii="Arial Narrow" w:hAnsi="Arial Narrow"/>
        </w:rPr>
        <w:t xml:space="preserve">MDV SR naďalej bude intenzívne </w:t>
      </w:r>
      <w:r w:rsidRPr="00CD51B5">
        <w:rPr>
          <w:rFonts w:ascii="Arial Narrow" w:hAnsi="Arial Narrow"/>
          <w:b/>
        </w:rPr>
        <w:t>hľadať spôsoby navýšenia výdavkov na opravu a údržbu ciest I. triedy</w:t>
      </w:r>
      <w:r>
        <w:rPr>
          <w:rFonts w:ascii="Arial Narrow" w:hAnsi="Arial Narrow"/>
        </w:rPr>
        <w:t>, v priebehu roka</w:t>
      </w:r>
      <w:r w:rsidRPr="00862CD5">
        <w:rPr>
          <w:rFonts w:ascii="Arial Narrow" w:hAnsi="Arial Narrow"/>
        </w:rPr>
        <w:t xml:space="preserve"> 2017 boli navýšené prostriedky pre rekonštrukciu a údržbu ciest I. triedy </w:t>
      </w:r>
      <w:r w:rsidR="0046095E">
        <w:rPr>
          <w:rFonts w:ascii="Arial Narrow" w:hAnsi="Arial Narrow"/>
        </w:rPr>
        <w:t xml:space="preserve">o 30,5 mil. </w:t>
      </w:r>
      <w:r w:rsidRPr="009F63CE">
        <w:rPr>
          <w:rFonts w:ascii="Arial Narrow" w:hAnsi="Arial Narrow"/>
        </w:rPr>
        <w:t>eur.</w:t>
      </w:r>
      <w:r w:rsidR="00A6743E">
        <w:rPr>
          <w:rFonts w:ascii="Arial Narrow" w:hAnsi="Arial Narrow"/>
        </w:rPr>
        <w:t xml:space="preserve"> MDV </w:t>
      </w:r>
      <w:r w:rsidR="0046095E">
        <w:rPr>
          <w:rFonts w:ascii="Arial Narrow" w:hAnsi="Arial Narrow"/>
        </w:rPr>
        <w:t xml:space="preserve">SR </w:t>
      </w:r>
      <w:r w:rsidR="00A6743E">
        <w:rPr>
          <w:rFonts w:ascii="Arial Narrow" w:hAnsi="Arial Narrow"/>
        </w:rPr>
        <w:t>bude hľadať spôsoby ako udržateľným spôsobom zabezpečiť vyššie financovanie ciest I. triedy na úkor menej prioritných výdavkov</w:t>
      </w:r>
      <w:r w:rsidR="00F46D77">
        <w:rPr>
          <w:rFonts w:ascii="Arial Narrow" w:hAnsi="Arial Narrow"/>
        </w:rPr>
        <w:t xml:space="preserve"> kapitoly</w:t>
      </w:r>
      <w:r w:rsidR="00A6743E">
        <w:rPr>
          <w:rFonts w:ascii="Arial Narrow" w:hAnsi="Arial Narrow"/>
        </w:rPr>
        <w:t xml:space="preserve">. Zdroje je možné nájsť aj odložením tvorby projektovej dokumentácie pre </w:t>
      </w:r>
      <w:r w:rsidR="00F46D77">
        <w:rPr>
          <w:rFonts w:ascii="Arial Narrow" w:hAnsi="Arial Narrow"/>
        </w:rPr>
        <w:t xml:space="preserve">iné dopravné </w:t>
      </w:r>
      <w:r w:rsidR="00A6743E">
        <w:rPr>
          <w:rFonts w:ascii="Arial Narrow" w:hAnsi="Arial Narrow"/>
        </w:rPr>
        <w:t>projekty</w:t>
      </w:r>
      <w:r w:rsidR="00F46D77">
        <w:rPr>
          <w:rFonts w:ascii="Arial Narrow" w:hAnsi="Arial Narrow"/>
        </w:rPr>
        <w:t xml:space="preserve"> (vr</w:t>
      </w:r>
      <w:r w:rsidR="00B14B48">
        <w:rPr>
          <w:rFonts w:ascii="Arial Narrow" w:hAnsi="Arial Narrow"/>
        </w:rPr>
        <w:t>átane diaľnic,</w:t>
      </w:r>
      <w:r w:rsidR="00F46D77">
        <w:rPr>
          <w:rFonts w:ascii="Arial Narrow" w:hAnsi="Arial Narrow"/>
        </w:rPr>
        <w:t> rýchlostných ciest a železničných projektov)</w:t>
      </w:r>
      <w:r w:rsidR="00A6743E">
        <w:rPr>
          <w:rFonts w:ascii="Arial Narrow" w:hAnsi="Arial Narrow"/>
        </w:rPr>
        <w:t xml:space="preserve"> s nízkou prioritou a predpokladanou realizáciou po roku 2030.</w:t>
      </w:r>
    </w:p>
    <w:p w14:paraId="4B38FFDB" w14:textId="77777777" w:rsidR="00E550DB" w:rsidRDefault="00E550DB" w:rsidP="00E550DB">
      <w:pPr>
        <w:spacing w:after="0" w:line="240" w:lineRule="auto"/>
        <w:jc w:val="both"/>
        <w:rPr>
          <w:rFonts w:ascii="Arial Narrow" w:hAnsi="Arial Narrow"/>
        </w:rPr>
      </w:pPr>
    </w:p>
    <w:p w14:paraId="2A17EE33" w14:textId="2C56F171" w:rsidR="00E550DB" w:rsidRPr="0046095E" w:rsidRDefault="00E550DB" w:rsidP="00E550DB">
      <w:pPr>
        <w:spacing w:after="0" w:line="240" w:lineRule="auto"/>
        <w:jc w:val="both"/>
        <w:rPr>
          <w:rFonts w:ascii="Arial Narrow" w:hAnsi="Arial Narrow"/>
          <w:b/>
        </w:rPr>
      </w:pPr>
      <w:r>
        <w:rPr>
          <w:rFonts w:ascii="Arial Narrow" w:hAnsi="Arial Narrow"/>
        </w:rPr>
        <w:t xml:space="preserve">V železničnej infraštruktúre MDV SR </w:t>
      </w:r>
      <w:r w:rsidRPr="000C2B00">
        <w:rPr>
          <w:rFonts w:ascii="Arial Narrow" w:hAnsi="Arial Narrow"/>
          <w:b/>
        </w:rPr>
        <w:t>realizuje</w:t>
      </w:r>
      <w:r w:rsidRPr="000C2B00">
        <w:rPr>
          <w:rFonts w:ascii="Arial Narrow" w:hAnsi="Arial Narrow"/>
        </w:rPr>
        <w:t xml:space="preserve"> </w:t>
      </w:r>
      <w:r w:rsidRPr="000C2B00">
        <w:rPr>
          <w:rFonts w:ascii="Arial Narrow" w:hAnsi="Arial Narrow"/>
          <w:b/>
        </w:rPr>
        <w:t xml:space="preserve">úspory </w:t>
      </w:r>
      <w:r>
        <w:rPr>
          <w:rFonts w:ascii="Arial Narrow" w:hAnsi="Arial Narrow"/>
          <w:b/>
        </w:rPr>
        <w:t xml:space="preserve">zavedením diaľkového riadenia dopravy </w:t>
      </w:r>
      <w:r w:rsidR="0046095E">
        <w:rPr>
          <w:rFonts w:ascii="Arial Narrow" w:hAnsi="Arial Narrow"/>
          <w:b/>
        </w:rPr>
        <w:t>–</w:t>
      </w:r>
      <w:r>
        <w:rPr>
          <w:rFonts w:ascii="Arial Narrow" w:hAnsi="Arial Narrow"/>
          <w:b/>
        </w:rPr>
        <w:t xml:space="preserve">  </w:t>
      </w:r>
      <w:proofErr w:type="spellStart"/>
      <w:r>
        <w:rPr>
          <w:rFonts w:ascii="Arial Narrow" w:hAnsi="Arial Narrow"/>
          <w:b/>
        </w:rPr>
        <w:t>dispečerizáciou</w:t>
      </w:r>
      <w:proofErr w:type="spellEnd"/>
      <w:r>
        <w:rPr>
          <w:rFonts w:ascii="Arial Narrow" w:hAnsi="Arial Narrow"/>
          <w:b/>
        </w:rPr>
        <w:t xml:space="preserve"> </w:t>
      </w:r>
      <w:r>
        <w:rPr>
          <w:rFonts w:ascii="Arial Narrow" w:hAnsi="Arial Narrow"/>
        </w:rPr>
        <w:t>v prvom kroku realizáciou menších investícii s vysokou návratnosťou. Taktiež zo</w:t>
      </w:r>
      <w:r w:rsidRPr="00A25B42">
        <w:rPr>
          <w:rFonts w:ascii="Arial Narrow" w:hAnsi="Arial Narrow"/>
        </w:rPr>
        <w:t>ptimaliz</w:t>
      </w:r>
      <w:r>
        <w:rPr>
          <w:rFonts w:ascii="Arial Narrow" w:hAnsi="Arial Narrow"/>
        </w:rPr>
        <w:t>uje</w:t>
      </w:r>
      <w:r w:rsidRPr="00A25B42">
        <w:rPr>
          <w:rFonts w:ascii="Arial Narrow" w:hAnsi="Arial Narrow"/>
        </w:rPr>
        <w:t xml:space="preserve"> jednotkov</w:t>
      </w:r>
      <w:r>
        <w:rPr>
          <w:rFonts w:ascii="Arial Narrow" w:hAnsi="Arial Narrow"/>
        </w:rPr>
        <w:t>é</w:t>
      </w:r>
      <w:r w:rsidRPr="00A25B42">
        <w:rPr>
          <w:rFonts w:ascii="Arial Narrow" w:hAnsi="Arial Narrow"/>
        </w:rPr>
        <w:t xml:space="preserve"> náklad</w:t>
      </w:r>
      <w:r>
        <w:rPr>
          <w:rFonts w:ascii="Arial Narrow" w:hAnsi="Arial Narrow"/>
        </w:rPr>
        <w:t>y</w:t>
      </w:r>
      <w:r w:rsidRPr="00A25B42">
        <w:rPr>
          <w:rFonts w:ascii="Arial Narrow" w:hAnsi="Arial Narrow"/>
        </w:rPr>
        <w:t xml:space="preserve"> </w:t>
      </w:r>
      <w:r>
        <w:rPr>
          <w:rFonts w:ascii="Arial Narrow" w:hAnsi="Arial Narrow"/>
        </w:rPr>
        <w:t>a zvýši</w:t>
      </w:r>
      <w:r w:rsidRPr="00A25B42">
        <w:rPr>
          <w:rFonts w:ascii="Arial Narrow" w:hAnsi="Arial Narrow"/>
        </w:rPr>
        <w:t xml:space="preserve"> výnos</w:t>
      </w:r>
      <w:r>
        <w:rPr>
          <w:rFonts w:ascii="Arial Narrow" w:hAnsi="Arial Narrow"/>
        </w:rPr>
        <w:t>y</w:t>
      </w:r>
      <w:r w:rsidRPr="00A25B42">
        <w:rPr>
          <w:rFonts w:ascii="Arial Narrow" w:hAnsi="Arial Narrow"/>
        </w:rPr>
        <w:t>, spolu o 20 % v dotovanej verejnej osobnej železničnej doprave</w:t>
      </w:r>
      <w:r>
        <w:rPr>
          <w:rFonts w:ascii="Arial Narrow" w:hAnsi="Arial Narrow"/>
        </w:rPr>
        <w:t xml:space="preserve">. V rámci optimalizácie už </w:t>
      </w:r>
      <w:r w:rsidRPr="000C2B00">
        <w:rPr>
          <w:rFonts w:ascii="Arial Narrow" w:hAnsi="Arial Narrow"/>
        </w:rPr>
        <w:t>analyzuje dopady prípadnej eliminácie 234 km tratí</w:t>
      </w:r>
      <w:r w:rsidRPr="00A746FB">
        <w:rPr>
          <w:rFonts w:ascii="Arial Narrow" w:hAnsi="Arial Narrow"/>
        </w:rPr>
        <w:t xml:space="preserve"> s nízkym využitím bez osobnej dopravy</w:t>
      </w:r>
      <w:r>
        <w:rPr>
          <w:rStyle w:val="Odkaznapoznmkupodiarou"/>
          <w:rFonts w:ascii="Arial Narrow" w:hAnsi="Arial Narrow"/>
        </w:rPr>
        <w:footnoteReference w:id="58"/>
      </w:r>
      <w:r>
        <w:rPr>
          <w:rFonts w:ascii="Arial Narrow" w:hAnsi="Arial Narrow"/>
        </w:rPr>
        <w:t xml:space="preserve"> </w:t>
      </w:r>
      <w:r w:rsidRPr="00BF7847">
        <w:rPr>
          <w:rFonts w:ascii="Arial Narrow" w:hAnsi="Arial Narrow"/>
        </w:rPr>
        <w:t>a ďalších 91 km tratí s minimálnou osobnou dopravou</w:t>
      </w:r>
      <w:r>
        <w:rPr>
          <w:rFonts w:ascii="Arial Narrow" w:hAnsi="Arial Narrow"/>
        </w:rPr>
        <w:t>.</w:t>
      </w:r>
      <w:r w:rsidRPr="000C2B00">
        <w:t xml:space="preserve"> </w:t>
      </w:r>
      <w:r>
        <w:rPr>
          <w:rFonts w:ascii="Arial Narrow" w:hAnsi="Arial Narrow"/>
        </w:rPr>
        <w:t>Zabezpečí, aby p</w:t>
      </w:r>
      <w:r w:rsidRPr="00850BA9">
        <w:rPr>
          <w:rFonts w:ascii="Arial Narrow" w:hAnsi="Arial Narrow"/>
        </w:rPr>
        <w:t>rioritné projekty železničnej infraštruktúry</w:t>
      </w:r>
      <w:r>
        <w:rPr>
          <w:rFonts w:ascii="Arial Narrow" w:hAnsi="Arial Narrow"/>
        </w:rPr>
        <w:t xml:space="preserve"> boli</w:t>
      </w:r>
      <w:r w:rsidRPr="00850BA9">
        <w:rPr>
          <w:rFonts w:ascii="Arial Narrow" w:hAnsi="Arial Narrow"/>
        </w:rPr>
        <w:t xml:space="preserve"> pred verejným obstarávaním</w:t>
      </w:r>
      <w:r>
        <w:rPr>
          <w:rFonts w:ascii="Arial Narrow" w:hAnsi="Arial Narrow"/>
        </w:rPr>
        <w:t xml:space="preserve"> na dodávateľa stavebných prác</w:t>
      </w:r>
      <w:r w:rsidRPr="00850BA9">
        <w:rPr>
          <w:rFonts w:ascii="Arial Narrow" w:hAnsi="Arial Narrow"/>
        </w:rPr>
        <w:t xml:space="preserve"> </w:t>
      </w:r>
      <w:r w:rsidR="00B14B48">
        <w:rPr>
          <w:rFonts w:ascii="Arial Narrow" w:hAnsi="Arial Narrow"/>
        </w:rPr>
        <w:t xml:space="preserve">predložené na </w:t>
      </w:r>
      <w:r w:rsidRPr="00850BA9">
        <w:rPr>
          <w:rFonts w:ascii="Arial Narrow" w:hAnsi="Arial Narrow"/>
        </w:rPr>
        <w:t>hodnoten</w:t>
      </w:r>
      <w:r w:rsidR="00B14B48">
        <w:rPr>
          <w:rFonts w:ascii="Arial Narrow" w:hAnsi="Arial Narrow"/>
        </w:rPr>
        <w:t>ie</w:t>
      </w:r>
      <w:r w:rsidRPr="00850BA9">
        <w:rPr>
          <w:rFonts w:ascii="Arial Narrow" w:hAnsi="Arial Narrow"/>
        </w:rPr>
        <w:t xml:space="preserve"> aj zo strany MF SR</w:t>
      </w:r>
      <w:r>
        <w:rPr>
          <w:rFonts w:ascii="Arial Narrow" w:hAnsi="Arial Narrow"/>
        </w:rPr>
        <w:t>.</w:t>
      </w:r>
    </w:p>
    <w:p w14:paraId="7319D9C4" w14:textId="77777777" w:rsidR="00E550DB" w:rsidRPr="00145DAF" w:rsidRDefault="00E550DB" w:rsidP="00E550DB">
      <w:pPr>
        <w:spacing w:after="0" w:line="240" w:lineRule="auto"/>
        <w:jc w:val="both"/>
        <w:rPr>
          <w:rFonts w:ascii="Arial Narrow" w:hAnsi="Arial Narrow"/>
          <w:highlight w:val="cyan"/>
        </w:rPr>
      </w:pPr>
    </w:p>
    <w:p w14:paraId="41C419BB" w14:textId="0E02C938" w:rsidR="00E550DB" w:rsidRPr="00244CF7" w:rsidRDefault="00E550DB" w:rsidP="00E550DB">
      <w:pPr>
        <w:spacing w:after="0" w:line="240" w:lineRule="auto"/>
        <w:jc w:val="both"/>
        <w:rPr>
          <w:rFonts w:ascii="Arial Narrow" w:eastAsia="Calibri" w:hAnsi="Arial Narrow"/>
          <w:b/>
          <w:i/>
        </w:rPr>
      </w:pPr>
      <w:r w:rsidRPr="00244CF7">
        <w:rPr>
          <w:rFonts w:ascii="Arial Narrow" w:hAnsi="Arial Narrow"/>
          <w:b/>
          <w:i/>
        </w:rPr>
        <w:t>Diaľnice</w:t>
      </w:r>
      <w:r w:rsidR="007F67FC">
        <w:rPr>
          <w:rFonts w:ascii="Arial Narrow" w:hAnsi="Arial Narrow"/>
          <w:b/>
          <w:i/>
        </w:rPr>
        <w:t>, rýchlostné cesty</w:t>
      </w:r>
      <w:r w:rsidRPr="00244CF7">
        <w:rPr>
          <w:rFonts w:ascii="Arial Narrow" w:hAnsi="Arial Narrow"/>
          <w:b/>
          <w:i/>
        </w:rPr>
        <w:t xml:space="preserve"> a c</w:t>
      </w:r>
      <w:r w:rsidRPr="00244CF7">
        <w:rPr>
          <w:rFonts w:ascii="Arial Narrow" w:eastAsia="Calibri" w:hAnsi="Arial Narrow"/>
          <w:b/>
          <w:i/>
        </w:rPr>
        <w:t>esty I. triedy</w:t>
      </w:r>
    </w:p>
    <w:p w14:paraId="1B1BF992" w14:textId="78A66834" w:rsidR="00E550DB" w:rsidRPr="00BD665C" w:rsidRDefault="00E550DB" w:rsidP="00BD665C">
      <w:pPr>
        <w:spacing w:after="0" w:line="240" w:lineRule="auto"/>
        <w:jc w:val="both"/>
        <w:rPr>
          <w:rFonts w:ascii="Arial Narrow" w:hAnsi="Arial Narrow"/>
        </w:rPr>
      </w:pPr>
      <w:r w:rsidRPr="00244CF7">
        <w:rPr>
          <w:rFonts w:ascii="Arial Narrow" w:eastAsia="Calibri" w:hAnsi="Arial Narrow"/>
          <w:color w:val="000000" w:themeColor="text1"/>
        </w:rPr>
        <w:t>V roku 2017</w:t>
      </w:r>
      <w:r>
        <w:rPr>
          <w:rFonts w:ascii="Arial Narrow" w:eastAsia="Calibri" w:hAnsi="Arial Narrow"/>
          <w:color w:val="000000" w:themeColor="text1"/>
        </w:rPr>
        <w:t xml:space="preserve"> prudko klesli </w:t>
      </w:r>
      <w:r w:rsidRPr="00244CF7">
        <w:rPr>
          <w:rFonts w:ascii="Arial Narrow" w:eastAsia="Calibri" w:hAnsi="Arial Narrow"/>
          <w:color w:val="000000" w:themeColor="text1"/>
        </w:rPr>
        <w:t xml:space="preserve">celkové kapitálové výdavky Slovenska na výstavbu diaľnic a rýchlostných </w:t>
      </w:r>
      <w:r w:rsidRPr="008D479D">
        <w:rPr>
          <w:rFonts w:ascii="Arial Narrow" w:eastAsia="Calibri" w:hAnsi="Arial Narrow"/>
          <w:color w:val="000000" w:themeColor="text1"/>
        </w:rPr>
        <w:t xml:space="preserve">ciest </w:t>
      </w:r>
      <w:r>
        <w:rPr>
          <w:rFonts w:ascii="Arial Narrow" w:eastAsia="Calibri" w:hAnsi="Arial Narrow"/>
          <w:color w:val="000000" w:themeColor="text1"/>
        </w:rPr>
        <w:t xml:space="preserve">na </w:t>
      </w:r>
      <w:r w:rsidRPr="008D479D">
        <w:rPr>
          <w:rFonts w:ascii="Arial Narrow" w:eastAsia="Calibri" w:hAnsi="Arial Narrow"/>
          <w:color w:val="000000" w:themeColor="text1"/>
        </w:rPr>
        <w:t>380</w:t>
      </w:r>
      <w:r w:rsidRPr="00244CF7">
        <w:rPr>
          <w:rFonts w:ascii="Arial Narrow" w:eastAsia="Calibri" w:hAnsi="Arial Narrow"/>
          <w:color w:val="000000" w:themeColor="text1"/>
        </w:rPr>
        <w:t xml:space="preserve"> mil. eur</w:t>
      </w:r>
      <w:r w:rsidRPr="00244CF7">
        <w:rPr>
          <w:rStyle w:val="Odkaznapoznmkupodiarou"/>
          <w:rFonts w:ascii="Arial Narrow" w:eastAsia="Calibri" w:hAnsi="Arial Narrow"/>
          <w:color w:val="000000" w:themeColor="text1"/>
        </w:rPr>
        <w:footnoteReference w:id="59"/>
      </w:r>
      <w:r w:rsidRPr="00244CF7">
        <w:rPr>
          <w:rFonts w:ascii="Arial Narrow" w:eastAsia="Calibri" w:hAnsi="Arial Narrow"/>
          <w:color w:val="000000" w:themeColor="text1"/>
        </w:rPr>
        <w:t xml:space="preserve">. </w:t>
      </w:r>
      <w:r w:rsidR="00BD665C">
        <w:rPr>
          <w:rFonts w:ascii="Arial Narrow" w:hAnsi="Arial Narrow"/>
        </w:rPr>
        <w:t xml:space="preserve">Došlo k zníženiu čerpania prostriedkov z EÚ fondov, kapitálové výdavky z vlastných zdrojov neklesli. </w:t>
      </w:r>
      <w:r>
        <w:rPr>
          <w:rFonts w:ascii="Arial Narrow" w:eastAsia="Calibri" w:hAnsi="Arial Narrow"/>
          <w:color w:val="000000" w:themeColor="text1"/>
        </w:rPr>
        <w:t>Nízke</w:t>
      </w:r>
      <w:r w:rsidRPr="00244CF7">
        <w:rPr>
          <w:rFonts w:ascii="Arial Narrow" w:eastAsia="Calibri" w:hAnsi="Arial Narrow"/>
          <w:color w:val="000000" w:themeColor="text1"/>
        </w:rPr>
        <w:t xml:space="preserve"> tempo kapitálových výdavkov </w:t>
      </w:r>
      <w:r>
        <w:rPr>
          <w:rFonts w:ascii="Arial Narrow" w:eastAsia="Calibri" w:hAnsi="Arial Narrow"/>
          <w:color w:val="000000" w:themeColor="text1"/>
        </w:rPr>
        <w:t>bude pokračovať aj v roku 2018</w:t>
      </w:r>
      <w:r w:rsidRPr="00244CF7">
        <w:rPr>
          <w:rFonts w:ascii="Arial Narrow" w:eastAsia="Calibri" w:hAnsi="Arial Narrow"/>
          <w:color w:val="000000" w:themeColor="text1"/>
        </w:rPr>
        <w:t>, kd</w:t>
      </w:r>
      <w:r>
        <w:rPr>
          <w:rFonts w:ascii="Arial Narrow" w:eastAsia="Calibri" w:hAnsi="Arial Narrow"/>
          <w:color w:val="000000" w:themeColor="text1"/>
        </w:rPr>
        <w:t>e</w:t>
      </w:r>
      <w:r w:rsidRPr="00244CF7">
        <w:rPr>
          <w:rFonts w:ascii="Arial Narrow" w:eastAsia="Calibri" w:hAnsi="Arial Narrow"/>
          <w:color w:val="000000" w:themeColor="text1"/>
        </w:rPr>
        <w:t xml:space="preserve"> je na výstavbu nových úsekov alokovaných </w:t>
      </w:r>
      <w:r>
        <w:rPr>
          <w:rFonts w:ascii="Arial Narrow" w:eastAsia="Calibri" w:hAnsi="Arial Narrow"/>
          <w:color w:val="000000" w:themeColor="text1"/>
        </w:rPr>
        <w:t>iba 183</w:t>
      </w:r>
      <w:r w:rsidRPr="00244CF7">
        <w:rPr>
          <w:rFonts w:ascii="Arial Narrow" w:eastAsia="Calibri" w:hAnsi="Arial Narrow"/>
          <w:color w:val="000000" w:themeColor="text1"/>
        </w:rPr>
        <w:t xml:space="preserve"> m</w:t>
      </w:r>
      <w:r>
        <w:rPr>
          <w:rFonts w:ascii="Arial Narrow" w:eastAsia="Calibri" w:hAnsi="Arial Narrow"/>
          <w:color w:val="000000" w:themeColor="text1"/>
        </w:rPr>
        <w:t>i</w:t>
      </w:r>
      <w:r w:rsidRPr="00244CF7">
        <w:rPr>
          <w:rFonts w:ascii="Arial Narrow" w:eastAsia="Calibri" w:hAnsi="Arial Narrow"/>
          <w:color w:val="000000" w:themeColor="text1"/>
        </w:rPr>
        <w:t xml:space="preserve">l. eur, </w:t>
      </w:r>
      <w:r>
        <w:rPr>
          <w:rFonts w:ascii="Arial Narrow" w:eastAsia="Calibri" w:hAnsi="Arial Narrow"/>
          <w:color w:val="000000" w:themeColor="text1"/>
        </w:rPr>
        <w:t xml:space="preserve">len malá časť </w:t>
      </w:r>
      <w:r>
        <w:rPr>
          <w:rFonts w:ascii="Arial Narrow" w:eastAsia="Calibri" w:hAnsi="Arial Narrow"/>
          <w:color w:val="000000" w:themeColor="text1"/>
          <w:lang w:val="en-US"/>
        </w:rPr>
        <w:t xml:space="preserve">z </w:t>
      </w:r>
      <w:proofErr w:type="spellStart"/>
      <w:r>
        <w:rPr>
          <w:rFonts w:ascii="Arial Narrow" w:eastAsia="Calibri" w:hAnsi="Arial Narrow"/>
          <w:color w:val="000000" w:themeColor="text1"/>
          <w:lang w:val="en-US"/>
        </w:rPr>
        <w:t>nich</w:t>
      </w:r>
      <w:proofErr w:type="spellEnd"/>
      <w:r w:rsidRPr="00244CF7">
        <w:rPr>
          <w:rFonts w:ascii="Arial Narrow" w:eastAsia="Calibri" w:hAnsi="Arial Narrow"/>
          <w:color w:val="000000" w:themeColor="text1"/>
        </w:rPr>
        <w:t xml:space="preserve"> z</w:t>
      </w:r>
      <w:r>
        <w:rPr>
          <w:rFonts w:ascii="Arial Narrow" w:eastAsia="Calibri" w:hAnsi="Arial Narrow"/>
          <w:color w:val="000000" w:themeColor="text1"/>
        </w:rPr>
        <w:t>o zahraničných grantov</w:t>
      </w:r>
      <w:r w:rsidRPr="00244CF7">
        <w:rPr>
          <w:rFonts w:ascii="Arial Narrow" w:eastAsia="Calibri" w:hAnsi="Arial Narrow"/>
          <w:color w:val="000000" w:themeColor="text1"/>
        </w:rPr>
        <w:t>.</w:t>
      </w:r>
      <w:r w:rsidR="00617EE2">
        <w:rPr>
          <w:rFonts w:ascii="Arial Narrow" w:eastAsia="Calibri" w:hAnsi="Arial Narrow"/>
          <w:color w:val="000000" w:themeColor="text1"/>
        </w:rPr>
        <w:t xml:space="preserve"> Dôvodom je najmä nepripravenosť výstavby nových úsekov, nie rozpočtové obmedzenia projektov.</w:t>
      </w:r>
    </w:p>
    <w:p w14:paraId="1B421954" w14:textId="77777777" w:rsidR="00E550DB" w:rsidRPr="001E5334" w:rsidRDefault="00E550DB" w:rsidP="00E550DB">
      <w:pPr>
        <w:spacing w:after="0" w:line="240" w:lineRule="auto"/>
        <w:jc w:val="both"/>
        <w:rPr>
          <w:rFonts w:ascii="Arial Narrow" w:eastAsia="Calibri" w:hAnsi="Arial Narrow"/>
        </w:rPr>
      </w:pPr>
    </w:p>
    <w:tbl>
      <w:tblPr>
        <w:tblpPr w:leftFromText="141" w:rightFromText="141" w:bottomFromText="160" w:vertAnchor="text" w:horzAnchor="margin" w:tblpXSpec="center" w:tblpY="19"/>
        <w:tblOverlap w:val="neve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171"/>
        <w:gridCol w:w="222"/>
        <w:gridCol w:w="4171"/>
      </w:tblGrid>
      <w:tr w:rsidR="00E550DB" w:rsidRPr="006C5792" w14:paraId="3C23B252" w14:textId="77777777" w:rsidTr="00F35141">
        <w:trPr>
          <w:trHeight w:val="283"/>
        </w:trPr>
        <w:tc>
          <w:tcPr>
            <w:tcW w:w="2516" w:type="pct"/>
            <w:tcBorders>
              <w:top w:val="nil"/>
              <w:left w:val="nil"/>
              <w:bottom w:val="single" w:sz="4" w:space="0" w:color="auto"/>
              <w:right w:val="nil"/>
            </w:tcBorders>
            <w:vAlign w:val="center"/>
            <w:hideMark/>
          </w:tcPr>
          <w:p w14:paraId="51D26356" w14:textId="77777777" w:rsidR="00E550DB" w:rsidRPr="006C5792" w:rsidRDefault="00E550DB" w:rsidP="009D1400">
            <w:pPr>
              <w:pStyle w:val="Graf"/>
              <w:spacing w:after="0" w:line="240" w:lineRule="auto"/>
              <w:rPr>
                <w:rFonts w:eastAsiaTheme="minorHAnsi" w:cstheme="minorBidi"/>
                <w:sz w:val="18"/>
              </w:rPr>
            </w:pPr>
            <w:bookmarkStart w:id="92" w:name="_Toc509513344"/>
            <w:r w:rsidRPr="00310353">
              <w:rPr>
                <w:rFonts w:cs="Arial"/>
                <w:color w:val="2C9ADC"/>
                <w:szCs w:val="18"/>
              </w:rPr>
              <w:t xml:space="preserve">Graf </w:t>
            </w:r>
            <w:r w:rsidRPr="00310353">
              <w:rPr>
                <w:rFonts w:cs="Arial"/>
                <w:color w:val="2C9ADC"/>
                <w:szCs w:val="18"/>
              </w:rPr>
              <w:fldChar w:fldCharType="begin"/>
            </w:r>
            <w:r w:rsidRPr="00310353">
              <w:rPr>
                <w:rFonts w:cs="Arial"/>
                <w:color w:val="2C9ADC"/>
                <w:szCs w:val="18"/>
              </w:rPr>
              <w:instrText xml:space="preserve"> SEQ GRAF \* ARABIC </w:instrText>
            </w:r>
            <w:r w:rsidRPr="00310353">
              <w:rPr>
                <w:rFonts w:cs="Arial"/>
                <w:color w:val="2C9ADC"/>
                <w:szCs w:val="18"/>
              </w:rPr>
              <w:fldChar w:fldCharType="separate"/>
            </w:r>
            <w:r w:rsidR="00EE7207">
              <w:rPr>
                <w:rFonts w:cs="Arial"/>
                <w:noProof/>
                <w:color w:val="2C9ADC"/>
                <w:szCs w:val="18"/>
              </w:rPr>
              <w:t>32</w:t>
            </w:r>
            <w:r w:rsidRPr="00310353">
              <w:rPr>
                <w:rFonts w:cs="Arial"/>
                <w:color w:val="2C9ADC"/>
                <w:szCs w:val="18"/>
              </w:rPr>
              <w:fldChar w:fldCharType="end"/>
            </w:r>
            <w:r w:rsidRPr="00310353">
              <w:rPr>
                <w:rFonts w:cs="Arial"/>
                <w:color w:val="2C9ADC"/>
                <w:szCs w:val="18"/>
              </w:rPr>
              <w:t>:</w:t>
            </w:r>
            <w:r>
              <w:rPr>
                <w:rFonts w:cs="Arial"/>
                <w:color w:val="2C9ADC"/>
                <w:szCs w:val="18"/>
              </w:rPr>
              <w:t xml:space="preserve"> </w:t>
            </w:r>
            <w:r w:rsidRPr="003654F6">
              <w:rPr>
                <w:rFonts w:cs="Arial"/>
                <w:color w:val="2C9ADC"/>
                <w:szCs w:val="18"/>
              </w:rPr>
              <w:t>Výstavba diaľnic a</w:t>
            </w:r>
            <w:r>
              <w:rPr>
                <w:rFonts w:cs="Arial"/>
                <w:color w:val="2C9ADC"/>
                <w:szCs w:val="18"/>
              </w:rPr>
              <w:t> rýchlostných ciest na Slovensku (v km)</w:t>
            </w:r>
            <w:bookmarkEnd w:id="92"/>
          </w:p>
        </w:tc>
        <w:tc>
          <w:tcPr>
            <w:tcW w:w="130" w:type="pct"/>
            <w:tcBorders>
              <w:top w:val="nil"/>
              <w:left w:val="nil"/>
              <w:bottom w:val="nil"/>
              <w:right w:val="nil"/>
            </w:tcBorders>
            <w:vAlign w:val="center"/>
          </w:tcPr>
          <w:p w14:paraId="0F39C073" w14:textId="77777777" w:rsidR="00E550DB" w:rsidRPr="006C5792" w:rsidRDefault="00E550DB" w:rsidP="009D1400">
            <w:pPr>
              <w:spacing w:after="0" w:line="240" w:lineRule="auto"/>
              <w:rPr>
                <w:rFonts w:ascii="Arial Narrow" w:hAnsi="Arial Narrow" w:cs="Arial"/>
                <w:b/>
                <w:color w:val="2C9ADC"/>
                <w:sz w:val="20"/>
                <w:szCs w:val="18"/>
              </w:rPr>
            </w:pPr>
          </w:p>
        </w:tc>
        <w:tc>
          <w:tcPr>
            <w:tcW w:w="2355" w:type="pct"/>
            <w:tcBorders>
              <w:top w:val="nil"/>
              <w:left w:val="nil"/>
              <w:bottom w:val="single" w:sz="4" w:space="0" w:color="auto"/>
              <w:right w:val="nil"/>
            </w:tcBorders>
            <w:vAlign w:val="center"/>
            <w:hideMark/>
          </w:tcPr>
          <w:p w14:paraId="3598A5F7" w14:textId="77777777" w:rsidR="00E550DB" w:rsidRPr="006C5792" w:rsidRDefault="00E550DB" w:rsidP="009D1400">
            <w:pPr>
              <w:pStyle w:val="Graf"/>
              <w:spacing w:after="0" w:line="240" w:lineRule="auto"/>
              <w:jc w:val="both"/>
              <w:rPr>
                <w:rFonts w:cstheme="minorBidi"/>
                <w:sz w:val="18"/>
                <w:szCs w:val="18"/>
              </w:rPr>
            </w:pPr>
            <w:bookmarkStart w:id="93" w:name="_Toc509513345"/>
            <w:r w:rsidRPr="00B53236">
              <w:rPr>
                <w:rFonts w:eastAsia="Times New Roman" w:cs="Times New Roman"/>
                <w:color w:val="2C9ADC"/>
                <w:szCs w:val="18"/>
                <w:lang w:eastAsia="sk-SK"/>
              </w:rPr>
              <w:t xml:space="preserve">Graf </w:t>
            </w:r>
            <w:r w:rsidRPr="00B53236">
              <w:rPr>
                <w:rFonts w:eastAsia="Times New Roman" w:cs="Times New Roman"/>
                <w:color w:val="2C9ADC"/>
                <w:szCs w:val="18"/>
                <w:lang w:eastAsia="sk-SK"/>
              </w:rPr>
              <w:fldChar w:fldCharType="begin"/>
            </w:r>
            <w:r w:rsidRPr="00B53236">
              <w:rPr>
                <w:rFonts w:eastAsia="Times New Roman" w:cs="Times New Roman"/>
                <w:color w:val="2C9ADC"/>
                <w:szCs w:val="18"/>
                <w:lang w:eastAsia="sk-SK"/>
              </w:rPr>
              <w:instrText xml:space="preserve"> SEQ GRAF \* ARABIC </w:instrText>
            </w:r>
            <w:r w:rsidRPr="00B53236">
              <w:rPr>
                <w:rFonts w:eastAsia="Times New Roman" w:cs="Times New Roman"/>
                <w:color w:val="2C9ADC"/>
                <w:szCs w:val="18"/>
                <w:lang w:eastAsia="sk-SK"/>
              </w:rPr>
              <w:fldChar w:fldCharType="separate"/>
            </w:r>
            <w:r w:rsidR="00EE7207">
              <w:rPr>
                <w:rFonts w:eastAsia="Times New Roman" w:cs="Times New Roman"/>
                <w:noProof/>
                <w:color w:val="2C9ADC"/>
                <w:szCs w:val="18"/>
                <w:lang w:eastAsia="sk-SK"/>
              </w:rPr>
              <w:t>33</w:t>
            </w:r>
            <w:r w:rsidRPr="00B53236">
              <w:rPr>
                <w:rFonts w:eastAsia="Times New Roman" w:cs="Times New Roman"/>
                <w:color w:val="2C9ADC"/>
                <w:szCs w:val="18"/>
                <w:lang w:eastAsia="sk-SK"/>
              </w:rPr>
              <w:fldChar w:fldCharType="end"/>
            </w:r>
            <w:r>
              <w:rPr>
                <w:rFonts w:eastAsia="Times New Roman" w:cs="Times New Roman"/>
                <w:color w:val="2C9ADC"/>
                <w:szCs w:val="18"/>
                <w:lang w:eastAsia="sk-SK"/>
              </w:rPr>
              <w:t xml:space="preserve">: </w:t>
            </w:r>
            <w:r w:rsidRPr="00B53236">
              <w:rPr>
                <w:rFonts w:eastAsia="Times New Roman" w:cs="Times New Roman"/>
                <w:color w:val="2C9ADC"/>
                <w:szCs w:val="18"/>
                <w:lang w:eastAsia="sk-SK"/>
              </w:rPr>
              <w:t>Výdavky SSC (mil. eur) a stav ciest I. triedy</w:t>
            </w:r>
            <w:bookmarkEnd w:id="93"/>
          </w:p>
        </w:tc>
      </w:tr>
      <w:tr w:rsidR="00E550DB" w:rsidRPr="006C5792" w14:paraId="2A0F87C9" w14:textId="77777777" w:rsidTr="00F35141">
        <w:tblPrEx>
          <w:tblCellMar>
            <w:left w:w="108" w:type="dxa"/>
            <w:right w:w="108" w:type="dxa"/>
          </w:tblCellMar>
        </w:tblPrEx>
        <w:trPr>
          <w:trHeight w:val="871"/>
        </w:trPr>
        <w:tc>
          <w:tcPr>
            <w:tcW w:w="2516" w:type="pct"/>
            <w:tcBorders>
              <w:top w:val="single" w:sz="4" w:space="0" w:color="auto"/>
              <w:left w:val="nil"/>
              <w:bottom w:val="single" w:sz="4" w:space="0" w:color="auto"/>
              <w:right w:val="nil"/>
            </w:tcBorders>
          </w:tcPr>
          <w:p w14:paraId="407CD978" w14:textId="77777777" w:rsidR="00E550DB" w:rsidRPr="006C5792" w:rsidRDefault="00E550DB" w:rsidP="009D1400">
            <w:pPr>
              <w:spacing w:after="0" w:line="240" w:lineRule="auto"/>
              <w:ind w:left="-108"/>
              <w:jc w:val="center"/>
              <w:rPr>
                <w:rFonts w:ascii="Arial Narrow" w:hAnsi="Arial Narrow" w:cs="Arial"/>
                <w:b/>
                <w:sz w:val="20"/>
                <w:szCs w:val="20"/>
              </w:rPr>
            </w:pPr>
            <w:r>
              <w:rPr>
                <w:noProof/>
                <w:lang w:val="en-US" w:eastAsia="en-US"/>
              </w:rPr>
              <w:drawing>
                <wp:inline distT="0" distB="0" distL="0" distR="0" wp14:anchorId="00F301F7" wp14:editId="323613D0">
                  <wp:extent cx="2667000" cy="2200910"/>
                  <wp:effectExtent l="0" t="0" r="0" b="8890"/>
                  <wp:docPr id="231" name="Graf 2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130" w:type="pct"/>
            <w:tcBorders>
              <w:top w:val="nil"/>
              <w:left w:val="nil"/>
              <w:bottom w:val="nil"/>
              <w:right w:val="nil"/>
            </w:tcBorders>
            <w:vAlign w:val="center"/>
          </w:tcPr>
          <w:p w14:paraId="10AF96BB" w14:textId="77777777" w:rsidR="00E550DB" w:rsidRPr="006C5792" w:rsidRDefault="00E550DB" w:rsidP="009D1400">
            <w:pPr>
              <w:spacing w:after="0" w:line="240" w:lineRule="auto"/>
              <w:jc w:val="center"/>
              <w:rPr>
                <w:rFonts w:ascii="Arial Narrow" w:hAnsi="Arial Narrow" w:cs="Arial"/>
                <w:b/>
                <w:sz w:val="20"/>
                <w:szCs w:val="20"/>
              </w:rPr>
            </w:pPr>
          </w:p>
        </w:tc>
        <w:tc>
          <w:tcPr>
            <w:tcW w:w="2355" w:type="pct"/>
            <w:tcBorders>
              <w:top w:val="single" w:sz="4" w:space="0" w:color="auto"/>
              <w:left w:val="nil"/>
              <w:bottom w:val="single" w:sz="4" w:space="0" w:color="auto"/>
              <w:right w:val="nil"/>
            </w:tcBorders>
            <w:vAlign w:val="center"/>
            <w:hideMark/>
          </w:tcPr>
          <w:p w14:paraId="3B363802" w14:textId="00FE6860" w:rsidR="00E550DB" w:rsidRPr="006C5792" w:rsidRDefault="00F35141" w:rsidP="009D1400">
            <w:pPr>
              <w:spacing w:after="0" w:line="240" w:lineRule="auto"/>
              <w:ind w:left="-169"/>
              <w:jc w:val="center"/>
              <w:rPr>
                <w:rFonts w:ascii="Arial Narrow" w:hAnsi="Arial Narrow" w:cs="Arial"/>
                <w:b/>
                <w:sz w:val="20"/>
                <w:szCs w:val="20"/>
              </w:rPr>
            </w:pPr>
            <w:r>
              <w:rPr>
                <w:noProof/>
                <w:lang w:val="en-US" w:eastAsia="en-US"/>
              </w:rPr>
              <w:drawing>
                <wp:inline distT="0" distB="0" distL="0" distR="0" wp14:anchorId="3AF6CFBE" wp14:editId="4C05904E">
                  <wp:extent cx="2705100" cy="2142490"/>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E550DB" w:rsidRPr="006C5792" w14:paraId="14CE7477" w14:textId="77777777" w:rsidTr="00F35141">
        <w:trPr>
          <w:trHeight w:val="110"/>
        </w:trPr>
        <w:tc>
          <w:tcPr>
            <w:tcW w:w="2516" w:type="pct"/>
            <w:tcBorders>
              <w:top w:val="single" w:sz="4" w:space="0" w:color="auto"/>
              <w:left w:val="nil"/>
              <w:bottom w:val="nil"/>
              <w:right w:val="nil"/>
            </w:tcBorders>
            <w:vAlign w:val="center"/>
            <w:hideMark/>
          </w:tcPr>
          <w:p w14:paraId="30D8E271" w14:textId="77777777" w:rsidR="00E550DB" w:rsidRPr="006C5792" w:rsidRDefault="00E550DB" w:rsidP="009D1400">
            <w:pPr>
              <w:spacing w:after="0" w:line="240" w:lineRule="auto"/>
              <w:jc w:val="right"/>
              <w:rPr>
                <w:rFonts w:ascii="Arial Narrow" w:hAnsi="Arial Narrow" w:cs="Arial"/>
                <w:i/>
                <w:sz w:val="16"/>
                <w:szCs w:val="16"/>
              </w:rPr>
            </w:pPr>
            <w:r w:rsidRPr="006C5792">
              <w:rPr>
                <w:rFonts w:ascii="Arial Narrow" w:hAnsi="Arial Narrow" w:cs="Arial"/>
                <w:i/>
                <w:sz w:val="16"/>
                <w:szCs w:val="16"/>
              </w:rPr>
              <w:t xml:space="preserve">Zdroj: </w:t>
            </w:r>
            <w:r>
              <w:rPr>
                <w:rFonts w:ascii="Arial Narrow" w:hAnsi="Arial Narrow" w:cs="Arial"/>
                <w:i/>
                <w:sz w:val="16"/>
                <w:szCs w:val="16"/>
              </w:rPr>
              <w:t>NDS, MDV SR</w:t>
            </w:r>
          </w:p>
        </w:tc>
        <w:tc>
          <w:tcPr>
            <w:tcW w:w="130" w:type="pct"/>
            <w:tcBorders>
              <w:top w:val="nil"/>
              <w:left w:val="nil"/>
              <w:bottom w:val="nil"/>
              <w:right w:val="nil"/>
            </w:tcBorders>
            <w:vAlign w:val="center"/>
          </w:tcPr>
          <w:p w14:paraId="0B73DA47" w14:textId="77777777" w:rsidR="00E550DB" w:rsidRPr="006C5792" w:rsidRDefault="00E550DB" w:rsidP="009D1400">
            <w:pPr>
              <w:spacing w:after="0" w:line="240" w:lineRule="auto"/>
              <w:jc w:val="center"/>
              <w:rPr>
                <w:rFonts w:ascii="Arial Narrow" w:hAnsi="Arial Narrow" w:cs="Arial"/>
                <w:i/>
                <w:sz w:val="16"/>
                <w:szCs w:val="16"/>
              </w:rPr>
            </w:pPr>
          </w:p>
        </w:tc>
        <w:tc>
          <w:tcPr>
            <w:tcW w:w="2355" w:type="pct"/>
            <w:tcBorders>
              <w:top w:val="single" w:sz="4" w:space="0" w:color="auto"/>
              <w:left w:val="nil"/>
              <w:bottom w:val="nil"/>
              <w:right w:val="nil"/>
            </w:tcBorders>
            <w:hideMark/>
          </w:tcPr>
          <w:p w14:paraId="7689855F" w14:textId="77777777" w:rsidR="00E550DB" w:rsidRPr="006C5792" w:rsidRDefault="00E550DB" w:rsidP="009D1400">
            <w:pPr>
              <w:spacing w:after="0" w:line="240" w:lineRule="auto"/>
              <w:jc w:val="right"/>
              <w:rPr>
                <w:rFonts w:ascii="Arial Narrow" w:hAnsi="Arial Narrow" w:cs="Arial"/>
                <w:i/>
                <w:sz w:val="16"/>
                <w:szCs w:val="16"/>
              </w:rPr>
            </w:pPr>
            <w:r>
              <w:rPr>
                <w:rFonts w:ascii="Arial Narrow" w:hAnsi="Arial Narrow" w:cs="Arial"/>
                <w:i/>
                <w:sz w:val="16"/>
                <w:szCs w:val="16"/>
              </w:rPr>
              <w:t>Zdroj: RVS</w:t>
            </w:r>
            <w:r w:rsidRPr="006C5792">
              <w:rPr>
                <w:rFonts w:ascii="Arial Narrow" w:hAnsi="Arial Narrow" w:cs="Arial"/>
                <w:i/>
                <w:sz w:val="16"/>
                <w:szCs w:val="16"/>
              </w:rPr>
              <w:t xml:space="preserve">, </w:t>
            </w:r>
            <w:r>
              <w:rPr>
                <w:rFonts w:ascii="Arial Narrow" w:hAnsi="Arial Narrow" w:cs="Arial"/>
                <w:i/>
                <w:sz w:val="16"/>
                <w:szCs w:val="16"/>
              </w:rPr>
              <w:t>SSC</w:t>
            </w:r>
          </w:p>
        </w:tc>
      </w:tr>
    </w:tbl>
    <w:p w14:paraId="4F56C2E2" w14:textId="77777777" w:rsidR="00E550DB" w:rsidRDefault="00E550DB" w:rsidP="00E550DB">
      <w:pPr>
        <w:spacing w:after="0" w:line="240" w:lineRule="auto"/>
        <w:jc w:val="both"/>
        <w:rPr>
          <w:rFonts w:ascii="Arial Narrow" w:eastAsia="Calibri" w:hAnsi="Arial Narrow"/>
        </w:rPr>
      </w:pPr>
    </w:p>
    <w:p w14:paraId="4E7F4725" w14:textId="2BF739B4" w:rsidR="00E550DB" w:rsidRDefault="00E550DB" w:rsidP="00E550DB">
      <w:pPr>
        <w:spacing w:after="0" w:line="240" w:lineRule="auto"/>
        <w:jc w:val="both"/>
        <w:rPr>
          <w:rFonts w:ascii="Arial Narrow" w:eastAsia="Calibri" w:hAnsi="Arial Narrow"/>
        </w:rPr>
      </w:pPr>
      <w:r w:rsidRPr="00B25644">
        <w:rPr>
          <w:rFonts w:ascii="Arial Narrow" w:eastAsia="Calibri" w:hAnsi="Arial Narrow"/>
        </w:rPr>
        <w:t xml:space="preserve">Bežné </w:t>
      </w:r>
      <w:r w:rsidRPr="00B25644">
        <w:rPr>
          <w:rFonts w:ascii="Arial Narrow" w:eastAsia="Calibri" w:hAnsi="Arial Narrow"/>
          <w:b/>
        </w:rPr>
        <w:t>výdavky</w:t>
      </w:r>
      <w:r w:rsidRPr="00B25644">
        <w:rPr>
          <w:rFonts w:ascii="Arial Narrow" w:hAnsi="Arial Narrow"/>
          <w:b/>
        </w:rPr>
        <w:t xml:space="preserve"> Slovenskej správy ciest (</w:t>
      </w:r>
      <w:r w:rsidRPr="00B25644">
        <w:rPr>
          <w:rFonts w:ascii="Arial Narrow" w:eastAsia="Calibri" w:hAnsi="Arial Narrow"/>
          <w:b/>
        </w:rPr>
        <w:t>SSC)</w:t>
      </w:r>
      <w:r w:rsidRPr="00B25644">
        <w:rPr>
          <w:rFonts w:ascii="Arial Narrow" w:eastAsia="Calibri" w:hAnsi="Arial Narrow"/>
        </w:rPr>
        <w:t xml:space="preserve"> na údržbu a opravy 3 176 km ciest I. triedy </w:t>
      </w:r>
      <w:r w:rsidRPr="00B25644">
        <w:rPr>
          <w:rFonts w:ascii="Arial Narrow" w:eastAsia="Calibri" w:hAnsi="Arial Narrow"/>
          <w:b/>
        </w:rPr>
        <w:t>sú</w:t>
      </w:r>
      <w:r w:rsidRPr="00B25644">
        <w:rPr>
          <w:rFonts w:ascii="Arial Narrow" w:eastAsia="Calibri" w:hAnsi="Arial Narrow"/>
        </w:rPr>
        <w:t xml:space="preserve"> </w:t>
      </w:r>
      <w:r w:rsidRPr="00B25644">
        <w:rPr>
          <w:rFonts w:ascii="Arial Narrow" w:eastAsia="Calibri" w:hAnsi="Arial Narrow"/>
          <w:b/>
        </w:rPr>
        <w:t>stále</w:t>
      </w:r>
      <w:r>
        <w:rPr>
          <w:rFonts w:ascii="Arial Narrow" w:eastAsia="Calibri" w:hAnsi="Arial Narrow"/>
        </w:rPr>
        <w:t xml:space="preserve"> </w:t>
      </w:r>
      <w:r w:rsidRPr="00B25644">
        <w:rPr>
          <w:rFonts w:ascii="Arial Narrow" w:eastAsia="Calibri" w:hAnsi="Arial Narrow"/>
          <w:b/>
        </w:rPr>
        <w:t>nedostatočné</w:t>
      </w:r>
      <w:r w:rsidRPr="00B25644">
        <w:rPr>
          <w:rFonts w:ascii="Arial Narrow" w:eastAsia="Calibri" w:hAnsi="Arial Narrow"/>
        </w:rPr>
        <w:t>. V roku 201</w:t>
      </w:r>
      <w:r>
        <w:rPr>
          <w:rFonts w:ascii="Arial Narrow" w:eastAsia="Calibri" w:hAnsi="Arial Narrow"/>
        </w:rPr>
        <w:t>6 bolo stále</w:t>
      </w:r>
      <w:r w:rsidRPr="00B25644">
        <w:rPr>
          <w:rFonts w:ascii="Arial Narrow" w:eastAsia="Calibri" w:hAnsi="Arial Narrow"/>
        </w:rPr>
        <w:t xml:space="preserve"> </w:t>
      </w:r>
      <w:r w:rsidRPr="003B0F18">
        <w:rPr>
          <w:rFonts w:ascii="Arial Narrow" w:eastAsia="Calibri" w:hAnsi="Arial Narrow"/>
        </w:rPr>
        <w:t>38</w:t>
      </w:r>
      <w:r w:rsidRPr="00B25644">
        <w:rPr>
          <w:rFonts w:ascii="Arial Narrow" w:eastAsia="Calibri" w:hAnsi="Arial Narrow"/>
        </w:rPr>
        <w:t xml:space="preserve"> % ciest v nevyhovujúcom a havarijnom stave a aj dnešné cesty v dobrom stave sa pri súčasnej úrovni financií na údržbu a opravy budú postupne dostávať do nevyhovujúceho stavu a následne vyžadovať drahú rekonštrukciu. </w:t>
      </w:r>
      <w:r>
        <w:rPr>
          <w:rFonts w:ascii="Arial Narrow" w:eastAsia="Calibri" w:hAnsi="Arial Narrow"/>
        </w:rPr>
        <w:t>Rozpočet</w:t>
      </w:r>
      <w:r w:rsidRPr="00B25644">
        <w:rPr>
          <w:rFonts w:ascii="Arial Narrow" w:eastAsia="Calibri" w:hAnsi="Arial Narrow"/>
        </w:rPr>
        <w:t xml:space="preserve"> výdavkov na údržbu a opravy v</w:t>
      </w:r>
      <w:r>
        <w:rPr>
          <w:rFonts w:ascii="Arial Narrow" w:eastAsia="Calibri" w:hAnsi="Arial Narrow"/>
        </w:rPr>
        <w:t> roku 2017 dosiahol</w:t>
      </w:r>
      <w:r w:rsidRPr="00B25644">
        <w:rPr>
          <w:rFonts w:ascii="Arial Narrow" w:eastAsia="Calibri" w:hAnsi="Arial Narrow"/>
        </w:rPr>
        <w:t xml:space="preserve"> </w:t>
      </w:r>
      <w:r w:rsidRPr="001111C4">
        <w:rPr>
          <w:rFonts w:ascii="Arial Narrow" w:eastAsia="Calibri" w:hAnsi="Arial Narrow"/>
        </w:rPr>
        <w:t xml:space="preserve">50 </w:t>
      </w:r>
      <w:r w:rsidRPr="00B25644">
        <w:rPr>
          <w:rFonts w:ascii="Arial Narrow" w:eastAsia="Calibri" w:hAnsi="Arial Narrow"/>
        </w:rPr>
        <w:t>mil. eur, rozpočet na roky 201</w:t>
      </w:r>
      <w:r>
        <w:rPr>
          <w:rFonts w:ascii="Arial Narrow" w:eastAsia="Calibri" w:hAnsi="Arial Narrow"/>
        </w:rPr>
        <w:t>8</w:t>
      </w:r>
      <w:r w:rsidRPr="00B25644">
        <w:rPr>
          <w:rFonts w:ascii="Arial Narrow" w:eastAsia="Calibri" w:hAnsi="Arial Narrow"/>
        </w:rPr>
        <w:t xml:space="preserve"> až 2019</w:t>
      </w:r>
      <w:r>
        <w:rPr>
          <w:rFonts w:ascii="Arial Narrow" w:eastAsia="Calibri" w:hAnsi="Arial Narrow"/>
        </w:rPr>
        <w:t xml:space="preserve"> predpokladá úroveň </w:t>
      </w:r>
      <w:r w:rsidRPr="003E31A0">
        <w:rPr>
          <w:rFonts w:ascii="Arial Narrow" w:eastAsia="Calibri" w:hAnsi="Arial Narrow"/>
        </w:rPr>
        <w:t>48</w:t>
      </w:r>
      <w:r w:rsidRPr="00B25644">
        <w:rPr>
          <w:rFonts w:ascii="Arial Narrow" w:eastAsia="Calibri" w:hAnsi="Arial Narrow"/>
        </w:rPr>
        <w:t xml:space="preserve"> mil. eur ročne, pričom optimálna ročná úroveň </w:t>
      </w:r>
      <w:r w:rsidR="00B14B48">
        <w:rPr>
          <w:rFonts w:ascii="Arial Narrow" w:eastAsia="Calibri" w:hAnsi="Arial Narrow"/>
        </w:rPr>
        <w:t xml:space="preserve">(bez započítania úsekov, ktoré sú už teraz v havarijnom stave) </w:t>
      </w:r>
      <w:r w:rsidRPr="00B25644">
        <w:rPr>
          <w:rFonts w:ascii="Arial Narrow" w:eastAsia="Calibri" w:hAnsi="Arial Narrow"/>
        </w:rPr>
        <w:t>je podľ</w:t>
      </w:r>
      <w:r>
        <w:rPr>
          <w:rFonts w:ascii="Arial Narrow" w:eastAsia="Calibri" w:hAnsi="Arial Narrow"/>
        </w:rPr>
        <w:t>a revízie výdavkov 64 mil. eur.</w:t>
      </w:r>
    </w:p>
    <w:p w14:paraId="3043AB96" w14:textId="77777777" w:rsidR="005F6C18" w:rsidRDefault="005F6C18" w:rsidP="00E550DB">
      <w:pPr>
        <w:spacing w:after="0" w:line="240" w:lineRule="auto"/>
        <w:jc w:val="both"/>
        <w:rPr>
          <w:rFonts w:ascii="Arial Narrow" w:eastAsia="Calibri" w:hAnsi="Arial Narrow"/>
        </w:rPr>
      </w:pPr>
    </w:p>
    <w:p w14:paraId="7852160D" w14:textId="2D9677E2" w:rsidR="00A1212E" w:rsidRPr="00260526" w:rsidRDefault="00A1212E" w:rsidP="00A1212E">
      <w:pPr>
        <w:spacing w:after="0" w:line="240" w:lineRule="auto"/>
        <w:jc w:val="both"/>
        <w:rPr>
          <w:rFonts w:ascii="Arial Narrow" w:eastAsia="Calibri" w:hAnsi="Arial Narrow"/>
          <w:b/>
        </w:rPr>
      </w:pPr>
      <w:r>
        <w:rPr>
          <w:rFonts w:ascii="Arial Narrow" w:eastAsia="Calibri" w:hAnsi="Arial Narrow"/>
        </w:rPr>
        <w:t xml:space="preserve">MDV SR v spolupráci s OECD a MF SR </w:t>
      </w:r>
      <w:r w:rsidRPr="002849F4">
        <w:rPr>
          <w:rFonts w:ascii="Arial Narrow" w:eastAsia="Calibri" w:hAnsi="Arial Narrow"/>
          <w:b/>
        </w:rPr>
        <w:t>analyzovalo</w:t>
      </w:r>
      <w:r>
        <w:rPr>
          <w:rFonts w:ascii="Arial Narrow" w:eastAsia="Calibri" w:hAnsi="Arial Narrow"/>
          <w:b/>
        </w:rPr>
        <w:t xml:space="preserve"> </w:t>
      </w:r>
      <w:r w:rsidRPr="002849F4">
        <w:rPr>
          <w:rFonts w:ascii="Arial Narrow" w:eastAsia="Calibri" w:hAnsi="Arial Narrow"/>
          <w:b/>
        </w:rPr>
        <w:t>slovenský prístup odhadovania nákladov výstavby diaľnic a rýchlostných ciest</w:t>
      </w:r>
      <w:r w:rsidRPr="00B95641">
        <w:rPr>
          <w:rFonts w:ascii="Arial Narrow" w:eastAsia="Calibri" w:hAnsi="Arial Narrow"/>
        </w:rPr>
        <w:t xml:space="preserve"> a</w:t>
      </w:r>
      <w:r>
        <w:rPr>
          <w:rFonts w:ascii="Arial Narrow" w:eastAsia="Calibri" w:hAnsi="Arial Narrow"/>
        </w:rPr>
        <w:t> </w:t>
      </w:r>
      <w:r w:rsidRPr="00B95641">
        <w:rPr>
          <w:rFonts w:ascii="Arial Narrow" w:eastAsia="Calibri" w:hAnsi="Arial Narrow"/>
        </w:rPr>
        <w:t>konfront</w:t>
      </w:r>
      <w:r>
        <w:rPr>
          <w:rFonts w:ascii="Arial Narrow" w:eastAsia="Calibri" w:hAnsi="Arial Narrow"/>
        </w:rPr>
        <w:t xml:space="preserve">ovalo </w:t>
      </w:r>
      <w:r w:rsidRPr="00B95641">
        <w:rPr>
          <w:rFonts w:ascii="Arial Narrow" w:eastAsia="Calibri" w:hAnsi="Arial Narrow"/>
        </w:rPr>
        <w:t>ho s medzinárodnou praxou</w:t>
      </w:r>
      <w:r>
        <w:rPr>
          <w:rFonts w:ascii="Arial Narrow" w:eastAsia="Calibri" w:hAnsi="Arial Narrow"/>
        </w:rPr>
        <w:t>. Analýza</w:t>
      </w:r>
      <w:r w:rsidRPr="00A1212E">
        <w:rPr>
          <w:rStyle w:val="Odkaznapoznmkupodiarou"/>
          <w:rFonts w:ascii="Arial Narrow" w:eastAsia="Calibri" w:hAnsi="Arial Narrow"/>
        </w:rPr>
        <w:footnoteReference w:id="60"/>
      </w:r>
      <w:r>
        <w:rPr>
          <w:rFonts w:ascii="Arial Narrow" w:eastAsia="Calibri" w:hAnsi="Arial Narrow"/>
        </w:rPr>
        <w:t xml:space="preserve"> ukázala, že f</w:t>
      </w:r>
      <w:r w:rsidRPr="00EA18E5">
        <w:rPr>
          <w:rFonts w:ascii="Arial Narrow" w:eastAsia="Calibri" w:hAnsi="Arial Narrow"/>
        </w:rPr>
        <w:t>inálne náklady slovenských projektov boli v priemere o 20 % nižšie n</w:t>
      </w:r>
      <w:r>
        <w:rPr>
          <w:rFonts w:ascii="Arial Narrow" w:eastAsia="Calibri" w:hAnsi="Arial Narrow"/>
        </w:rPr>
        <w:t xml:space="preserve">ež odhad štátnej expertízy, ktorá je pripravovaná v skorej fáze projektu. </w:t>
      </w:r>
      <w:r w:rsidRPr="00EF2EF4">
        <w:rPr>
          <w:rFonts w:ascii="Arial Narrow" w:eastAsia="Calibri" w:hAnsi="Arial Narrow"/>
        </w:rPr>
        <w:t>Dosahované hodnoty kontrastujú s medzinárodnými skúsenosťami, kde bolo zaznamenané priemerné prekročenie rozpočtu</w:t>
      </w:r>
      <w:r>
        <w:rPr>
          <w:rFonts w:ascii="Arial Narrow" w:eastAsia="Calibri" w:hAnsi="Arial Narrow"/>
        </w:rPr>
        <w:t xml:space="preserve"> </w:t>
      </w:r>
      <w:r w:rsidRPr="00EB4664">
        <w:rPr>
          <w:rFonts w:ascii="Arial Narrow" w:eastAsia="Calibri" w:hAnsi="Arial Narrow"/>
        </w:rPr>
        <w:t>o 20</w:t>
      </w:r>
      <w:r w:rsidRPr="00EF2EF4">
        <w:rPr>
          <w:rFonts w:ascii="Arial Narrow" w:eastAsia="Calibri" w:hAnsi="Arial Narrow"/>
        </w:rPr>
        <w:t xml:space="preserve"> %.</w:t>
      </w:r>
      <w:r>
        <w:rPr>
          <w:rFonts w:ascii="Arial Narrow" w:eastAsia="Calibri" w:hAnsi="Arial Narrow"/>
        </w:rPr>
        <w:t xml:space="preserve"> </w:t>
      </w:r>
      <w:r w:rsidRPr="00EA18E5">
        <w:rPr>
          <w:rFonts w:ascii="Arial Narrow" w:eastAsia="Calibri" w:hAnsi="Arial Narrow"/>
        </w:rPr>
        <w:t>Ako primárna príčina sa javí použitie neúmerne vysokých jednotkových cien pri tvorbe odhadov</w:t>
      </w:r>
      <w:r>
        <w:rPr>
          <w:rFonts w:ascii="Arial Narrow" w:eastAsia="Calibri" w:hAnsi="Arial Narrow"/>
        </w:rPr>
        <w:t>, čo</w:t>
      </w:r>
      <w:r w:rsidRPr="00EC5AAD">
        <w:rPr>
          <w:rFonts w:ascii="Arial Narrow" w:eastAsia="Calibri" w:hAnsi="Arial Narrow"/>
        </w:rPr>
        <w:t xml:space="preserve"> vyplýva z nedostatočnej databázy historických jednotkových cien</w:t>
      </w:r>
      <w:r>
        <w:rPr>
          <w:rFonts w:ascii="Arial Narrow" w:eastAsia="Calibri" w:hAnsi="Arial Narrow"/>
        </w:rPr>
        <w:t xml:space="preserve"> a nedostatočného posúdenia rizika</w:t>
      </w:r>
      <w:r w:rsidRPr="00EC5AAD">
        <w:rPr>
          <w:rFonts w:ascii="Arial Narrow" w:eastAsia="Calibri" w:hAnsi="Arial Narrow"/>
        </w:rPr>
        <w:t>. Používanie ne</w:t>
      </w:r>
      <w:r>
        <w:rPr>
          <w:rFonts w:ascii="Arial Narrow" w:eastAsia="Calibri" w:hAnsi="Arial Narrow"/>
        </w:rPr>
        <w:t>presných</w:t>
      </w:r>
      <w:r w:rsidRPr="00EC5AAD">
        <w:rPr>
          <w:rFonts w:ascii="Arial Narrow" w:eastAsia="Calibri" w:hAnsi="Arial Narrow"/>
        </w:rPr>
        <w:t xml:space="preserve"> (príliš vysokých alebo príliš nízkych) odhadov môže m</w:t>
      </w:r>
      <w:r w:rsidR="0046095E">
        <w:rPr>
          <w:rFonts w:ascii="Arial Narrow" w:eastAsia="Calibri" w:hAnsi="Arial Narrow"/>
        </w:rPr>
        <w:t>ať potenciálne negatívne vplyvy</w:t>
      </w:r>
      <w:r w:rsidRPr="00EC5AAD">
        <w:rPr>
          <w:rFonts w:ascii="Arial Narrow" w:eastAsia="Calibri" w:hAnsi="Arial Narrow"/>
        </w:rPr>
        <w:t xml:space="preserve"> na analýzy prínosov a nákladov (CBA) a výber projektov.</w:t>
      </w:r>
      <w:r>
        <w:rPr>
          <w:rFonts w:ascii="Arial Narrow" w:eastAsia="Calibri" w:hAnsi="Arial Narrow"/>
        </w:rPr>
        <w:t xml:space="preserve"> Preto analýza odporúča napr.</w:t>
      </w:r>
      <w:r w:rsidRPr="000C6A20">
        <w:t xml:space="preserve"> </w:t>
      </w:r>
      <w:r w:rsidRPr="001D3EFE">
        <w:rPr>
          <w:rFonts w:ascii="Arial Narrow" w:eastAsia="Calibri" w:hAnsi="Arial Narrow"/>
          <w:b/>
        </w:rPr>
        <w:t>vytvoriť verejnú databázu historických jednotkových cien pre diaľnice a ostatné sektory verejných prác</w:t>
      </w:r>
      <w:r>
        <w:rPr>
          <w:rFonts w:ascii="Arial Narrow" w:eastAsia="Calibri" w:hAnsi="Arial Narrow"/>
        </w:rPr>
        <w:t xml:space="preserve"> a </w:t>
      </w:r>
      <w:r w:rsidRPr="00260526">
        <w:rPr>
          <w:rFonts w:ascii="Arial Narrow" w:eastAsia="Calibri" w:hAnsi="Arial Narrow"/>
          <w:b/>
        </w:rPr>
        <w:t>zabezpečiť odborné kapacity podporujúce odhadovanie nákladov</w:t>
      </w:r>
      <w:r>
        <w:rPr>
          <w:rFonts w:ascii="Arial Narrow" w:eastAsia="Calibri" w:hAnsi="Arial Narrow"/>
          <w:b/>
        </w:rPr>
        <w:t>.</w:t>
      </w:r>
    </w:p>
    <w:p w14:paraId="7C62E0AC" w14:textId="77777777" w:rsidR="00A1212E" w:rsidRPr="00A1212E" w:rsidRDefault="00A1212E" w:rsidP="00E550DB">
      <w:pPr>
        <w:spacing w:after="0" w:line="240" w:lineRule="auto"/>
        <w:rPr>
          <w:rFonts w:ascii="Arial Narrow" w:eastAsia="Calibri" w:hAnsi="Arial Narrow"/>
          <w:b/>
        </w:rPr>
      </w:pPr>
    </w:p>
    <w:p w14:paraId="05B220E2" w14:textId="77777777" w:rsidR="00E550DB" w:rsidRPr="00A77EF6" w:rsidRDefault="00E550DB" w:rsidP="00E550DB">
      <w:pPr>
        <w:spacing w:after="0" w:line="240" w:lineRule="auto"/>
        <w:rPr>
          <w:rFonts w:ascii="Arial Narrow" w:eastAsia="Calibri" w:hAnsi="Arial Narrow"/>
        </w:rPr>
      </w:pPr>
      <w:r w:rsidRPr="00A77EF6">
        <w:rPr>
          <w:rFonts w:ascii="Arial Narrow" w:eastAsia="Calibri" w:hAnsi="Arial Narrow"/>
          <w:b/>
          <w:i/>
        </w:rPr>
        <w:t>Železnice</w:t>
      </w:r>
      <w:r w:rsidRPr="00A77EF6">
        <w:rPr>
          <w:rFonts w:ascii="Arial Narrow" w:eastAsia="Calibri" w:hAnsi="Arial Narrow"/>
        </w:rPr>
        <w:t xml:space="preserve"> </w:t>
      </w:r>
    </w:p>
    <w:p w14:paraId="1DA423A5" w14:textId="464C092A" w:rsidR="00E550DB" w:rsidRPr="00A423BB" w:rsidRDefault="00E550DB" w:rsidP="00E550DB">
      <w:pPr>
        <w:pStyle w:val="Default"/>
        <w:jc w:val="both"/>
        <w:rPr>
          <w:rFonts w:ascii="Arial Narrow" w:hAnsi="Arial Narrow"/>
          <w:color w:val="auto"/>
          <w:sz w:val="22"/>
          <w:szCs w:val="22"/>
        </w:rPr>
      </w:pPr>
      <w:r w:rsidRPr="00CC4F2A">
        <w:rPr>
          <w:rFonts w:ascii="Arial Narrow" w:hAnsi="Arial Narrow"/>
          <w:color w:val="auto"/>
          <w:sz w:val="22"/>
          <w:szCs w:val="22"/>
        </w:rPr>
        <w:t xml:space="preserve">Pokračuje prebiehajúca </w:t>
      </w:r>
      <w:r w:rsidRPr="00A423BB">
        <w:rPr>
          <w:rFonts w:ascii="Arial Narrow" w:hAnsi="Arial Narrow"/>
          <w:b/>
          <w:bCs/>
          <w:color w:val="auto"/>
          <w:sz w:val="22"/>
          <w:szCs w:val="22"/>
        </w:rPr>
        <w:t>modernizácia železničného koridoru</w:t>
      </w:r>
      <w:r w:rsidRPr="00A423BB">
        <w:rPr>
          <w:rFonts w:ascii="Arial Narrow" w:hAnsi="Arial Narrow"/>
          <w:color w:val="auto"/>
          <w:sz w:val="22"/>
          <w:szCs w:val="22"/>
        </w:rPr>
        <w:t xml:space="preserve"> </w:t>
      </w:r>
      <w:r w:rsidRPr="00A423BB">
        <w:rPr>
          <w:rFonts w:ascii="Arial Narrow" w:hAnsi="Arial Narrow"/>
          <w:b/>
          <w:bCs/>
          <w:color w:val="auto"/>
          <w:sz w:val="22"/>
          <w:szCs w:val="22"/>
        </w:rPr>
        <w:t>Bratislava – Žilina</w:t>
      </w:r>
      <w:r w:rsidRPr="00A423BB">
        <w:rPr>
          <w:rFonts w:ascii="Arial Narrow" w:hAnsi="Arial Narrow"/>
          <w:color w:val="auto"/>
          <w:sz w:val="22"/>
          <w:szCs w:val="22"/>
        </w:rPr>
        <w:t xml:space="preserve"> a obstaranie vlakových súprav</w:t>
      </w:r>
      <w:r w:rsidRPr="00E0105E">
        <w:rPr>
          <w:rFonts w:ascii="Arial Narrow" w:hAnsi="Arial Narrow"/>
          <w:color w:val="auto"/>
          <w:sz w:val="22"/>
          <w:szCs w:val="22"/>
        </w:rPr>
        <w:t xml:space="preserve">, začína modernizácia koridorov Bratislava – Kúty št. hr. a Žilina – Košice. </w:t>
      </w:r>
      <w:r w:rsidRPr="00CC4F2A">
        <w:rPr>
          <w:rFonts w:ascii="Arial Narrow" w:hAnsi="Arial Narrow"/>
          <w:color w:val="auto"/>
          <w:sz w:val="22"/>
          <w:szCs w:val="22"/>
        </w:rPr>
        <w:t xml:space="preserve">Na </w:t>
      </w:r>
      <w:r w:rsidR="00531254" w:rsidRPr="00531254">
        <w:rPr>
          <w:rFonts w:ascii="Arial Narrow" w:hAnsi="Arial Narrow"/>
          <w:color w:val="auto"/>
          <w:sz w:val="22"/>
          <w:szCs w:val="22"/>
        </w:rPr>
        <w:t xml:space="preserve">vybraných traťových úsekoch </w:t>
      </w:r>
      <w:r w:rsidR="00531254">
        <w:rPr>
          <w:rFonts w:ascii="Arial Narrow" w:hAnsi="Arial Narrow"/>
          <w:color w:val="auto"/>
          <w:sz w:val="22"/>
          <w:szCs w:val="22"/>
        </w:rPr>
        <w:t xml:space="preserve">na </w:t>
      </w:r>
      <w:r w:rsidRPr="00E0105E">
        <w:rPr>
          <w:rFonts w:ascii="Arial Narrow" w:hAnsi="Arial Narrow"/>
          <w:color w:val="auto"/>
          <w:sz w:val="22"/>
          <w:szCs w:val="22"/>
        </w:rPr>
        <w:t xml:space="preserve">severnom </w:t>
      </w:r>
      <w:r w:rsidRPr="00CC4F2A">
        <w:rPr>
          <w:rFonts w:ascii="Arial Narrow" w:hAnsi="Arial Narrow"/>
          <w:color w:val="auto"/>
          <w:sz w:val="22"/>
          <w:szCs w:val="22"/>
        </w:rPr>
        <w:t xml:space="preserve">železničnom koridore sa zvýši </w:t>
      </w:r>
      <w:r w:rsidRPr="009F3B91">
        <w:rPr>
          <w:rFonts w:ascii="Arial Narrow" w:hAnsi="Arial Narrow"/>
          <w:color w:val="auto"/>
          <w:sz w:val="22"/>
          <w:szCs w:val="22"/>
        </w:rPr>
        <w:t xml:space="preserve">maximálna </w:t>
      </w:r>
      <w:r w:rsidRPr="00095A70">
        <w:rPr>
          <w:rFonts w:ascii="Arial Narrow" w:hAnsi="Arial Narrow"/>
          <w:color w:val="auto"/>
          <w:sz w:val="22"/>
          <w:szCs w:val="22"/>
        </w:rPr>
        <w:t>p</w:t>
      </w:r>
      <w:r w:rsidRPr="00CC4F2A">
        <w:rPr>
          <w:rFonts w:ascii="Arial Narrow" w:hAnsi="Arial Narrow"/>
          <w:color w:val="auto"/>
          <w:sz w:val="22"/>
          <w:szCs w:val="22"/>
        </w:rPr>
        <w:t xml:space="preserve">revádzková rýchlosť vlakov </w:t>
      </w:r>
      <w:r>
        <w:rPr>
          <w:rFonts w:ascii="Arial Narrow" w:hAnsi="Arial Narrow"/>
          <w:color w:val="auto"/>
          <w:sz w:val="22"/>
          <w:szCs w:val="22"/>
        </w:rPr>
        <w:t>na</w:t>
      </w:r>
      <w:r w:rsidRPr="00E0105E">
        <w:rPr>
          <w:rFonts w:ascii="Arial Narrow" w:hAnsi="Arial Narrow"/>
          <w:color w:val="auto"/>
          <w:sz w:val="22"/>
          <w:szCs w:val="22"/>
        </w:rPr>
        <w:t xml:space="preserve"> </w:t>
      </w:r>
      <w:r w:rsidRPr="00CC4F2A">
        <w:rPr>
          <w:rFonts w:ascii="Arial Narrow" w:hAnsi="Arial Narrow"/>
          <w:color w:val="auto"/>
          <w:sz w:val="22"/>
          <w:szCs w:val="22"/>
        </w:rPr>
        <w:t>160 km</w:t>
      </w:r>
      <w:r w:rsidRPr="00A423BB">
        <w:rPr>
          <w:rFonts w:ascii="Arial Narrow" w:hAnsi="Arial Narrow"/>
          <w:color w:val="auto"/>
          <w:sz w:val="22"/>
          <w:szCs w:val="22"/>
        </w:rPr>
        <w:t>/hod</w:t>
      </w:r>
      <w:r w:rsidR="00531254">
        <w:rPr>
          <w:rFonts w:ascii="Arial Narrow" w:hAnsi="Arial Narrow"/>
          <w:color w:val="auto"/>
          <w:sz w:val="22"/>
          <w:szCs w:val="22"/>
        </w:rPr>
        <w:t>.</w:t>
      </w:r>
      <w:r w:rsidRPr="00E0105E">
        <w:rPr>
          <w:rFonts w:ascii="Arial Narrow" w:hAnsi="Arial Narrow"/>
          <w:color w:val="auto"/>
          <w:sz w:val="22"/>
          <w:szCs w:val="22"/>
        </w:rPr>
        <w:t xml:space="preserve"> </w:t>
      </w:r>
      <w:r>
        <w:rPr>
          <w:rFonts w:ascii="Arial Narrow" w:hAnsi="Arial Narrow"/>
          <w:color w:val="auto"/>
          <w:sz w:val="22"/>
          <w:szCs w:val="22"/>
        </w:rPr>
        <w:t xml:space="preserve">Zároveň dôjde k zvýšeniu </w:t>
      </w:r>
      <w:r w:rsidRPr="00CC4F2A">
        <w:rPr>
          <w:rFonts w:ascii="Arial Narrow" w:hAnsi="Arial Narrow"/>
          <w:color w:val="auto"/>
          <w:sz w:val="22"/>
          <w:szCs w:val="22"/>
        </w:rPr>
        <w:t>komfort</w:t>
      </w:r>
      <w:r>
        <w:rPr>
          <w:rFonts w:ascii="Arial Narrow" w:hAnsi="Arial Narrow"/>
          <w:color w:val="auto"/>
          <w:sz w:val="22"/>
          <w:szCs w:val="22"/>
        </w:rPr>
        <w:t>u poskytovaného cestujúcim</w:t>
      </w:r>
      <w:r w:rsidRPr="00CC4F2A">
        <w:rPr>
          <w:rFonts w:ascii="Arial Narrow" w:hAnsi="Arial Narrow"/>
          <w:color w:val="auto"/>
          <w:sz w:val="22"/>
          <w:szCs w:val="22"/>
        </w:rPr>
        <w:t>.</w:t>
      </w:r>
    </w:p>
    <w:p w14:paraId="3CF8247E" w14:textId="77777777" w:rsidR="00E550DB" w:rsidRDefault="00E550DB" w:rsidP="00E550DB">
      <w:pPr>
        <w:pStyle w:val="Default"/>
        <w:jc w:val="both"/>
        <w:rPr>
          <w:rFonts w:ascii="Arial Narrow" w:hAnsi="Arial Narrow"/>
          <w:color w:val="auto"/>
          <w:sz w:val="22"/>
          <w:szCs w:val="22"/>
        </w:rPr>
      </w:pPr>
    </w:p>
    <w:p w14:paraId="169CCE6B" w14:textId="421C1ABA" w:rsidR="00E550DB" w:rsidRDefault="00E550DB" w:rsidP="00E550DB">
      <w:pPr>
        <w:pStyle w:val="Default"/>
        <w:jc w:val="both"/>
        <w:rPr>
          <w:rFonts w:ascii="Arial Narrow" w:hAnsi="Arial Narrow"/>
          <w:color w:val="auto"/>
          <w:sz w:val="22"/>
          <w:szCs w:val="22"/>
        </w:rPr>
      </w:pPr>
      <w:r w:rsidRPr="009C2945">
        <w:rPr>
          <w:rFonts w:ascii="Arial Narrow" w:hAnsi="Arial Narrow"/>
          <w:b/>
          <w:bCs/>
          <w:color w:val="auto"/>
          <w:sz w:val="22"/>
          <w:szCs w:val="22"/>
        </w:rPr>
        <w:t xml:space="preserve">Existuje potenciál pre efektívnejšie využitie </w:t>
      </w:r>
      <w:r w:rsidRPr="00E0105E">
        <w:rPr>
          <w:rFonts w:ascii="Arial Narrow" w:hAnsi="Arial Narrow"/>
          <w:b/>
          <w:bCs/>
          <w:color w:val="auto"/>
          <w:sz w:val="22"/>
          <w:szCs w:val="22"/>
        </w:rPr>
        <w:t xml:space="preserve">vlakových súprav </w:t>
      </w:r>
      <w:r w:rsidRPr="00CC4F2A">
        <w:rPr>
          <w:rFonts w:ascii="Arial Narrow" w:hAnsi="Arial Narrow"/>
          <w:b/>
          <w:bCs/>
          <w:color w:val="auto"/>
          <w:sz w:val="22"/>
          <w:szCs w:val="22"/>
        </w:rPr>
        <w:t xml:space="preserve">zvýšením </w:t>
      </w:r>
      <w:r w:rsidRPr="00E0105E">
        <w:rPr>
          <w:rFonts w:ascii="Arial Narrow" w:hAnsi="Arial Narrow"/>
          <w:b/>
          <w:bCs/>
          <w:color w:val="auto"/>
          <w:sz w:val="22"/>
          <w:szCs w:val="22"/>
        </w:rPr>
        <w:t xml:space="preserve">nábehu </w:t>
      </w:r>
      <w:r w:rsidRPr="00CC4F2A">
        <w:rPr>
          <w:rFonts w:ascii="Arial Narrow" w:hAnsi="Arial Narrow"/>
          <w:b/>
          <w:bCs/>
          <w:color w:val="auto"/>
          <w:sz w:val="22"/>
          <w:szCs w:val="22"/>
        </w:rPr>
        <w:t>a obsadenosti vlakov.</w:t>
      </w:r>
      <w:r w:rsidRPr="009C2945">
        <w:rPr>
          <w:rFonts w:ascii="Arial Narrow" w:hAnsi="Arial Narrow"/>
          <w:color w:val="auto"/>
          <w:sz w:val="22"/>
          <w:szCs w:val="22"/>
        </w:rPr>
        <w:t xml:space="preserve"> ZSSK by zvýšením priemerného denného počtu hodín jazdy každého vozňa o 15 % (úroveň ČR) mohlo znížiť potrebu vozňov</w:t>
      </w:r>
      <w:r w:rsidR="003A28D7">
        <w:rPr>
          <w:rFonts w:ascii="Arial Narrow" w:hAnsi="Arial Narrow"/>
          <w:color w:val="auto"/>
          <w:sz w:val="22"/>
          <w:szCs w:val="22"/>
        </w:rPr>
        <w:t xml:space="preserve"> o </w:t>
      </w:r>
      <w:r w:rsidRPr="009C2945">
        <w:rPr>
          <w:rFonts w:ascii="Arial Narrow" w:hAnsi="Arial Narrow"/>
          <w:color w:val="auto"/>
          <w:sz w:val="22"/>
          <w:szCs w:val="22"/>
        </w:rPr>
        <w:t>42 alebo zvýšením priemernej obsadenosti vozňov o 10 % znížiť potrebu vozňov o 30. Kombináciou týchto zlepšení predpokladáme nižšiu potrebu o 68 vozňov.</w:t>
      </w:r>
    </w:p>
    <w:p w14:paraId="18A78DC7" w14:textId="77777777" w:rsidR="00E550DB" w:rsidRPr="009C2945" w:rsidRDefault="00E550DB" w:rsidP="00E550DB">
      <w:pPr>
        <w:pStyle w:val="Default"/>
        <w:jc w:val="both"/>
        <w:rPr>
          <w:rFonts w:ascii="Arial Narrow" w:hAnsi="Arial Narrow"/>
          <w:color w:val="auto"/>
          <w:sz w:val="22"/>
          <w:szCs w:val="22"/>
        </w:rPr>
      </w:pPr>
    </w:p>
    <w:p w14:paraId="6EF6D9E4" w14:textId="41529145" w:rsidR="00E550DB" w:rsidRPr="00B14433" w:rsidRDefault="00E550DB" w:rsidP="00E550DB">
      <w:pPr>
        <w:pStyle w:val="Default"/>
        <w:jc w:val="both"/>
        <w:rPr>
          <w:rFonts w:ascii="Arial Narrow" w:hAnsi="Arial Narrow"/>
          <w:color w:val="auto"/>
          <w:sz w:val="22"/>
          <w:szCs w:val="22"/>
        </w:rPr>
      </w:pPr>
      <w:r w:rsidRPr="00B14433">
        <w:rPr>
          <w:rFonts w:ascii="Arial Narrow" w:hAnsi="Arial Narrow"/>
          <w:color w:val="auto"/>
          <w:sz w:val="22"/>
          <w:szCs w:val="22"/>
        </w:rPr>
        <w:t xml:space="preserve">MDV </w:t>
      </w:r>
      <w:r w:rsidR="00531254">
        <w:rPr>
          <w:rFonts w:ascii="Arial Narrow" w:hAnsi="Arial Narrow"/>
          <w:color w:val="auto"/>
          <w:sz w:val="22"/>
          <w:szCs w:val="22"/>
        </w:rPr>
        <w:t xml:space="preserve">SR </w:t>
      </w:r>
      <w:r w:rsidRPr="00B14433">
        <w:rPr>
          <w:rFonts w:ascii="Arial Narrow" w:hAnsi="Arial Narrow"/>
          <w:color w:val="auto"/>
          <w:sz w:val="22"/>
          <w:szCs w:val="22"/>
        </w:rPr>
        <w:t>posilní o 3,4 % železničnú dopravu na najvýznamnejších tratiach. Ďalšie posilnenie</w:t>
      </w:r>
      <w:r w:rsidR="00531254">
        <w:rPr>
          <w:rFonts w:ascii="Arial Narrow" w:hAnsi="Arial Narrow"/>
          <w:color w:val="auto"/>
          <w:sz w:val="22"/>
          <w:szCs w:val="22"/>
        </w:rPr>
        <w:t>, predbežne</w:t>
      </w:r>
      <w:r w:rsidRPr="00B14433">
        <w:rPr>
          <w:rFonts w:ascii="Arial Narrow" w:hAnsi="Arial Narrow"/>
          <w:color w:val="auto"/>
          <w:sz w:val="22"/>
          <w:szCs w:val="22"/>
        </w:rPr>
        <w:t xml:space="preserve"> o 1,6 %</w:t>
      </w:r>
      <w:r w:rsidR="00531254">
        <w:rPr>
          <w:rFonts w:ascii="Arial Narrow" w:hAnsi="Arial Narrow"/>
          <w:color w:val="auto"/>
          <w:sz w:val="22"/>
          <w:szCs w:val="22"/>
        </w:rPr>
        <w:t>,</w:t>
      </w:r>
      <w:r w:rsidRPr="00B14433">
        <w:rPr>
          <w:rFonts w:ascii="Arial Narrow" w:hAnsi="Arial Narrow"/>
          <w:color w:val="auto"/>
          <w:sz w:val="22"/>
          <w:szCs w:val="22"/>
        </w:rPr>
        <w:t xml:space="preserve"> je možné aj bez zvýšenia dotácii</w:t>
      </w:r>
      <w:r w:rsidR="00531254">
        <w:rPr>
          <w:rFonts w:ascii="Arial Narrow" w:hAnsi="Arial Narrow"/>
          <w:color w:val="auto"/>
          <w:sz w:val="22"/>
          <w:szCs w:val="22"/>
        </w:rPr>
        <w:t xml:space="preserve"> preskupením</w:t>
      </w:r>
      <w:r w:rsidRPr="00B14433">
        <w:rPr>
          <w:rFonts w:ascii="Arial Narrow" w:hAnsi="Arial Narrow"/>
          <w:color w:val="auto"/>
          <w:sz w:val="22"/>
          <w:szCs w:val="22"/>
        </w:rPr>
        <w:t xml:space="preserve"> neproduktívnych výkonov </w:t>
      </w:r>
      <w:r w:rsidR="0046095E">
        <w:rPr>
          <w:rFonts w:ascii="Arial Narrow" w:hAnsi="Arial Narrow"/>
          <w:color w:val="auto"/>
          <w:sz w:val="22"/>
          <w:szCs w:val="22"/>
        </w:rPr>
        <w:t xml:space="preserve">– </w:t>
      </w:r>
      <w:r w:rsidRPr="00B14433">
        <w:rPr>
          <w:rFonts w:ascii="Arial Narrow" w:hAnsi="Arial Narrow"/>
          <w:color w:val="auto"/>
          <w:sz w:val="22"/>
          <w:szCs w:val="22"/>
        </w:rPr>
        <w:t>dotovaných vlakov, ktoré nevozia cestujúcich (súpravové vlaky)</w:t>
      </w:r>
      <w:r w:rsidR="00531254" w:rsidRPr="00E71863">
        <w:rPr>
          <w:rFonts w:ascii="Arial Narrow" w:hAnsi="Arial Narrow"/>
          <w:color w:val="auto"/>
          <w:sz w:val="22"/>
          <w:szCs w:val="22"/>
        </w:rPr>
        <w:t xml:space="preserve"> na produktívne výkony s cieľom dosiahnutia efektívnejšieho využitia jednotlivýc</w:t>
      </w:r>
      <w:r w:rsidR="00531254" w:rsidRPr="0016105B">
        <w:rPr>
          <w:rFonts w:ascii="Arial Narrow" w:hAnsi="Arial Narrow"/>
          <w:color w:val="auto"/>
          <w:sz w:val="22"/>
          <w:szCs w:val="22"/>
        </w:rPr>
        <w:t>h vozidiel.</w:t>
      </w:r>
    </w:p>
    <w:p w14:paraId="0F11EE6D" w14:textId="77777777" w:rsidR="00E550DB" w:rsidRDefault="00E550DB" w:rsidP="00E550DB">
      <w:pPr>
        <w:pStyle w:val="Default"/>
        <w:tabs>
          <w:tab w:val="left" w:pos="1785"/>
        </w:tabs>
        <w:jc w:val="both"/>
        <w:rPr>
          <w:rFonts w:ascii="Arial Narrow" w:hAnsi="Arial Narrow"/>
          <w:color w:val="auto"/>
          <w:sz w:val="22"/>
          <w:szCs w:val="22"/>
        </w:rPr>
      </w:pPr>
    </w:p>
    <w:p w14:paraId="3DF482F8" w14:textId="1880BE0E" w:rsidR="00E550DB" w:rsidRPr="00CC4F2A" w:rsidRDefault="00454A66" w:rsidP="00E550DB">
      <w:pPr>
        <w:pStyle w:val="Default"/>
        <w:jc w:val="both"/>
        <w:rPr>
          <w:rFonts w:ascii="Arial Narrow" w:hAnsi="Arial Narrow"/>
          <w:color w:val="auto"/>
          <w:sz w:val="22"/>
          <w:szCs w:val="22"/>
        </w:rPr>
      </w:pPr>
      <w:r>
        <w:rPr>
          <w:rFonts w:ascii="Arial Narrow" w:hAnsi="Arial Narrow"/>
          <w:color w:val="auto"/>
          <w:sz w:val="22"/>
          <w:szCs w:val="22"/>
        </w:rPr>
        <w:t>Pre zvýšenie dopytu</w:t>
      </w:r>
      <w:r w:rsidR="00E550DB" w:rsidRPr="00CC4F2A">
        <w:rPr>
          <w:rFonts w:ascii="Arial Narrow" w:hAnsi="Arial Narrow"/>
          <w:color w:val="auto"/>
          <w:sz w:val="22"/>
          <w:szCs w:val="22"/>
        </w:rPr>
        <w:t xml:space="preserve"> po verejnej doprave </w:t>
      </w:r>
      <w:r w:rsidR="00E550DB" w:rsidRPr="00B14433">
        <w:rPr>
          <w:rFonts w:ascii="Arial Narrow" w:hAnsi="Arial Narrow"/>
          <w:color w:val="auto"/>
          <w:sz w:val="22"/>
          <w:szCs w:val="22"/>
        </w:rPr>
        <w:t>a jej zefe</w:t>
      </w:r>
      <w:r w:rsidR="00E550DB">
        <w:rPr>
          <w:rFonts w:ascii="Arial Narrow" w:hAnsi="Arial Narrow"/>
          <w:color w:val="auto"/>
          <w:sz w:val="22"/>
          <w:szCs w:val="22"/>
        </w:rPr>
        <w:t>k</w:t>
      </w:r>
      <w:r w:rsidR="00E550DB" w:rsidRPr="00B14433">
        <w:rPr>
          <w:rFonts w:ascii="Arial Narrow" w:hAnsi="Arial Narrow"/>
          <w:color w:val="auto"/>
          <w:sz w:val="22"/>
          <w:szCs w:val="22"/>
        </w:rPr>
        <w:t xml:space="preserve">tívnenie </w:t>
      </w:r>
      <w:r>
        <w:rPr>
          <w:rFonts w:ascii="Arial Narrow" w:hAnsi="Arial Narrow"/>
          <w:color w:val="auto"/>
          <w:sz w:val="22"/>
          <w:szCs w:val="22"/>
        </w:rPr>
        <w:t xml:space="preserve">je možné zvážiť </w:t>
      </w:r>
      <w:r w:rsidR="00E550DB" w:rsidRPr="00CC4F2A">
        <w:rPr>
          <w:rFonts w:ascii="Arial Narrow" w:hAnsi="Arial Narrow"/>
          <w:color w:val="auto"/>
          <w:sz w:val="22"/>
          <w:szCs w:val="22"/>
        </w:rPr>
        <w:t xml:space="preserve">aj </w:t>
      </w:r>
      <w:r w:rsidR="00E550DB" w:rsidRPr="009C2945">
        <w:rPr>
          <w:rFonts w:ascii="Arial Narrow" w:hAnsi="Arial Narrow"/>
          <w:b/>
          <w:bCs/>
          <w:color w:val="auto"/>
          <w:sz w:val="22"/>
          <w:szCs w:val="22"/>
        </w:rPr>
        <w:t>rozšíren</w:t>
      </w:r>
      <w:r>
        <w:rPr>
          <w:rFonts w:ascii="Arial Narrow" w:hAnsi="Arial Narrow"/>
          <w:b/>
          <w:bCs/>
          <w:color w:val="auto"/>
          <w:sz w:val="22"/>
          <w:szCs w:val="22"/>
        </w:rPr>
        <w:t>ie</w:t>
      </w:r>
      <w:r w:rsidR="00E550DB" w:rsidRPr="009C2945">
        <w:rPr>
          <w:rFonts w:ascii="Arial Narrow" w:hAnsi="Arial Narrow"/>
          <w:b/>
          <w:bCs/>
          <w:color w:val="auto"/>
          <w:sz w:val="22"/>
          <w:szCs w:val="22"/>
        </w:rPr>
        <w:t xml:space="preserve"> konkurencie</w:t>
      </w:r>
      <w:r w:rsidR="00E550DB" w:rsidRPr="009C2945">
        <w:rPr>
          <w:rFonts w:ascii="Arial Narrow" w:hAnsi="Arial Narrow"/>
          <w:color w:val="auto"/>
          <w:sz w:val="22"/>
          <w:szCs w:val="22"/>
        </w:rPr>
        <w:t xml:space="preserve"> a</w:t>
      </w:r>
      <w:r>
        <w:rPr>
          <w:rFonts w:ascii="Arial Narrow" w:hAnsi="Arial Narrow"/>
          <w:color w:val="auto"/>
          <w:sz w:val="22"/>
          <w:szCs w:val="22"/>
        </w:rPr>
        <w:t xml:space="preserve"> zavedenie </w:t>
      </w:r>
      <w:r w:rsidR="00E550DB" w:rsidRPr="009C2945">
        <w:rPr>
          <w:rFonts w:ascii="Arial Narrow" w:hAnsi="Arial Narrow"/>
          <w:color w:val="auto"/>
          <w:sz w:val="22"/>
          <w:szCs w:val="22"/>
        </w:rPr>
        <w:t>tendr</w:t>
      </w:r>
      <w:r>
        <w:rPr>
          <w:rFonts w:ascii="Arial Narrow" w:hAnsi="Arial Narrow"/>
          <w:color w:val="auto"/>
          <w:sz w:val="22"/>
          <w:szCs w:val="22"/>
        </w:rPr>
        <w:t>ov</w:t>
      </w:r>
      <w:r w:rsidR="00E550DB" w:rsidRPr="009C2945">
        <w:rPr>
          <w:rFonts w:ascii="Arial Narrow" w:hAnsi="Arial Narrow"/>
          <w:color w:val="auto"/>
          <w:sz w:val="22"/>
          <w:szCs w:val="22"/>
        </w:rPr>
        <w:t xml:space="preserve"> na jednotlivé železničné trate</w:t>
      </w:r>
      <w:r w:rsidR="00E550DB" w:rsidRPr="00B14433">
        <w:rPr>
          <w:rFonts w:ascii="Arial Narrow" w:hAnsi="Arial Narrow"/>
          <w:color w:val="auto"/>
          <w:sz w:val="22"/>
          <w:szCs w:val="22"/>
        </w:rPr>
        <w:t xml:space="preserve">. V tendri môže štát vyberať z ponuky viacerých dopravcov a znížiť nároky na dotáciu, rozšíriť počet spojov alebo zvýšiť kvalitu cestovania. Pred zahájením liberalizácie je potrebné poznať údaje o počte cestujúcich </w:t>
      </w:r>
      <w:r w:rsidR="0046095E">
        <w:rPr>
          <w:rFonts w:ascii="Arial Narrow" w:hAnsi="Arial Narrow"/>
          <w:color w:val="auto"/>
          <w:sz w:val="22"/>
          <w:szCs w:val="22"/>
        </w:rPr>
        <w:t>a ekonomike jednotlivých liniek</w:t>
      </w:r>
      <w:r w:rsidR="00E550DB" w:rsidRPr="00B14433">
        <w:rPr>
          <w:rFonts w:ascii="Arial Narrow" w:hAnsi="Arial Narrow"/>
          <w:color w:val="auto"/>
          <w:sz w:val="22"/>
          <w:szCs w:val="22"/>
        </w:rPr>
        <w:t>.</w:t>
      </w:r>
      <w:r w:rsidR="0046095E">
        <w:rPr>
          <w:rFonts w:ascii="Arial Narrow" w:hAnsi="Arial Narrow"/>
          <w:color w:val="auto"/>
          <w:sz w:val="22"/>
          <w:szCs w:val="22"/>
        </w:rPr>
        <w:t xml:space="preserve"> V </w:t>
      </w:r>
      <w:r w:rsidR="00E550DB" w:rsidRPr="00B14433">
        <w:rPr>
          <w:rFonts w:ascii="Arial Narrow" w:hAnsi="Arial Narrow"/>
          <w:color w:val="auto"/>
          <w:sz w:val="22"/>
          <w:szCs w:val="22"/>
        </w:rPr>
        <w:t xml:space="preserve">prvej fáze MDV </w:t>
      </w:r>
      <w:r w:rsidR="007F67FC">
        <w:rPr>
          <w:rFonts w:ascii="Arial Narrow" w:hAnsi="Arial Narrow"/>
          <w:color w:val="auto"/>
          <w:sz w:val="22"/>
          <w:szCs w:val="22"/>
        </w:rPr>
        <w:t xml:space="preserve">SR </w:t>
      </w:r>
      <w:r w:rsidR="00E550DB" w:rsidRPr="00B14433">
        <w:rPr>
          <w:rFonts w:ascii="Arial Narrow" w:hAnsi="Arial Narrow"/>
          <w:color w:val="auto"/>
          <w:sz w:val="22"/>
          <w:szCs w:val="22"/>
        </w:rPr>
        <w:t>pripravuje súťaže prevažne na lokálne trate.</w:t>
      </w:r>
    </w:p>
    <w:p w14:paraId="685146D9" w14:textId="77777777" w:rsidR="00E550DB" w:rsidRPr="00B14433" w:rsidRDefault="00E550DB" w:rsidP="00E550DB">
      <w:pPr>
        <w:pStyle w:val="Default"/>
        <w:jc w:val="both"/>
        <w:rPr>
          <w:rFonts w:ascii="Arial Narrow" w:hAnsi="Arial Narrow"/>
          <w:color w:val="auto"/>
          <w:sz w:val="22"/>
          <w:szCs w:val="22"/>
        </w:rPr>
      </w:pPr>
    </w:p>
    <w:p w14:paraId="1117DC1C" w14:textId="3C039A26" w:rsidR="00E550DB" w:rsidRPr="00B14433" w:rsidRDefault="00E550DB" w:rsidP="00E550DB">
      <w:pPr>
        <w:pStyle w:val="Default"/>
        <w:jc w:val="both"/>
        <w:rPr>
          <w:rFonts w:ascii="Arial Narrow" w:hAnsi="Arial Narrow"/>
          <w:color w:val="auto"/>
          <w:sz w:val="22"/>
          <w:szCs w:val="22"/>
        </w:rPr>
      </w:pPr>
      <w:r w:rsidRPr="00B14433">
        <w:rPr>
          <w:rFonts w:ascii="Arial Narrow" w:hAnsi="Arial Narrow"/>
          <w:color w:val="auto"/>
          <w:sz w:val="22"/>
          <w:szCs w:val="22"/>
        </w:rPr>
        <w:t xml:space="preserve">Optimalizácia finančnej situácie ZSSK je možná aj dôkladnejším plánovaním investičných projektov. </w:t>
      </w:r>
      <w:r w:rsidRPr="00B14433">
        <w:rPr>
          <w:rFonts w:ascii="Arial Narrow" w:hAnsi="Arial Narrow"/>
          <w:b/>
          <w:color w:val="auto"/>
          <w:sz w:val="22"/>
          <w:szCs w:val="22"/>
        </w:rPr>
        <w:t>Alternatívy k investíciám ako napr. dlhodobé prenájmy by mali byť dôkladne analyzované</w:t>
      </w:r>
      <w:r w:rsidRPr="00B14433">
        <w:rPr>
          <w:rFonts w:ascii="Arial Narrow" w:hAnsi="Arial Narrow"/>
          <w:color w:val="auto"/>
          <w:sz w:val="22"/>
          <w:szCs w:val="22"/>
        </w:rPr>
        <w:t xml:space="preserve"> a posúdené voči nákupu. Realizované by malo byť optimálne riešenie. </w:t>
      </w:r>
    </w:p>
    <w:p w14:paraId="5B63D984" w14:textId="77777777" w:rsidR="00D34724" w:rsidRPr="00E550DB" w:rsidRDefault="00D34724" w:rsidP="007D2366">
      <w:pPr>
        <w:spacing w:after="0" w:line="240" w:lineRule="auto"/>
        <w:jc w:val="both"/>
        <w:rPr>
          <w:rFonts w:ascii="Arial Narrow" w:hAnsi="Arial Narrow"/>
          <w:i/>
          <w:sz w:val="16"/>
          <w:szCs w:val="16"/>
        </w:rPr>
      </w:pPr>
    </w:p>
    <w:p w14:paraId="209C7166" w14:textId="77777777" w:rsidR="00D34724" w:rsidRPr="001C3D5C" w:rsidRDefault="00D34724" w:rsidP="007D2366">
      <w:pPr>
        <w:spacing w:after="0" w:line="240" w:lineRule="auto"/>
        <w:jc w:val="both"/>
        <w:rPr>
          <w:rFonts w:ascii="Arial Narrow" w:hAnsi="Arial Narrow"/>
        </w:rPr>
      </w:pPr>
    </w:p>
    <w:p w14:paraId="2CB724BB" w14:textId="77777777" w:rsidR="007D2366" w:rsidRDefault="007D2366" w:rsidP="007D2366">
      <w:pPr>
        <w:pStyle w:val="Nadpis2"/>
        <w:numPr>
          <w:ilvl w:val="1"/>
          <w:numId w:val="1"/>
        </w:numPr>
        <w:spacing w:after="240" w:line="240" w:lineRule="auto"/>
        <w:jc w:val="both"/>
        <w:rPr>
          <w:rFonts w:ascii="Arial Narrow" w:hAnsi="Arial Narrow"/>
          <w:color w:val="2C9ADC"/>
          <w:sz w:val="32"/>
          <w:szCs w:val="28"/>
        </w:rPr>
      </w:pPr>
      <w:r>
        <w:br w:type="page"/>
      </w:r>
      <w:bookmarkStart w:id="94" w:name="_Toc480749817"/>
      <w:bookmarkStart w:id="95" w:name="_Toc508039590"/>
      <w:r w:rsidRPr="00256D89">
        <w:rPr>
          <w:rFonts w:ascii="Arial Narrow" w:hAnsi="Arial Narrow"/>
          <w:color w:val="2C9ADC"/>
          <w:sz w:val="32"/>
          <w:szCs w:val="28"/>
        </w:rPr>
        <w:lastRenderedPageBreak/>
        <w:t>Environmentálna udržateľnosť a</w:t>
      </w:r>
      <w:r>
        <w:rPr>
          <w:rFonts w:ascii="Arial Narrow" w:hAnsi="Arial Narrow"/>
          <w:color w:val="2C9ADC"/>
          <w:sz w:val="32"/>
          <w:szCs w:val="28"/>
        </w:rPr>
        <w:t> </w:t>
      </w:r>
      <w:r w:rsidRPr="00256D89">
        <w:rPr>
          <w:rFonts w:ascii="Arial Narrow" w:hAnsi="Arial Narrow"/>
          <w:color w:val="2C9ADC"/>
          <w:sz w:val="32"/>
          <w:szCs w:val="28"/>
        </w:rPr>
        <w:t>energetika</w:t>
      </w:r>
      <w:bookmarkEnd w:id="94"/>
      <w:bookmarkEnd w:id="95"/>
    </w:p>
    <w:p w14:paraId="0908E923" w14:textId="573C9457" w:rsidR="00F84E19" w:rsidRDefault="00F84E19" w:rsidP="007D2366">
      <w:pPr>
        <w:spacing w:after="0" w:line="240" w:lineRule="auto"/>
        <w:jc w:val="both"/>
        <w:rPr>
          <w:rFonts w:ascii="Arial Narrow" w:hAnsi="Arial Narrow"/>
          <w:i/>
        </w:rPr>
      </w:pPr>
      <w:r w:rsidRPr="00F84E19">
        <w:rPr>
          <w:rFonts w:ascii="Arial Narrow" w:hAnsi="Arial Narrow"/>
          <w:i/>
        </w:rPr>
        <w:t>Implementácia opatrení identifikovaných</w:t>
      </w:r>
      <w:r w:rsidR="001F0913">
        <w:rPr>
          <w:rFonts w:ascii="Arial Narrow" w:hAnsi="Arial Narrow"/>
          <w:i/>
        </w:rPr>
        <w:t xml:space="preserve"> v revízii výdavkov na životné </w:t>
      </w:r>
      <w:r w:rsidRPr="00F84E19">
        <w:rPr>
          <w:rFonts w:ascii="Arial Narrow" w:hAnsi="Arial Narrow"/>
          <w:i/>
        </w:rPr>
        <w:t xml:space="preserve">prostredie zvýši hodnotu za peniaze opatrení v oblasti zlepšovania kvality životného prostredia. Prijaté strategické dokumenty vytvoria rámec smerovania jednotlivých politík životného prostredia a navrhujú systémové riešenia pre najväčšie environmentálne výzvy Slovenska. </w:t>
      </w:r>
      <w:r w:rsidR="00D54B28">
        <w:rPr>
          <w:rFonts w:ascii="Arial Narrow" w:hAnsi="Arial Narrow"/>
          <w:i/>
        </w:rPr>
        <w:t xml:space="preserve">S cieľom </w:t>
      </w:r>
      <w:r w:rsidR="00D54B28" w:rsidRPr="00F84E19">
        <w:rPr>
          <w:rFonts w:ascii="Arial Narrow" w:hAnsi="Arial Narrow"/>
          <w:i/>
        </w:rPr>
        <w:t>zvýšiť mieru recyklácie</w:t>
      </w:r>
      <w:r w:rsidR="00752A3C">
        <w:rPr>
          <w:rFonts w:ascii="Arial Narrow" w:hAnsi="Arial Narrow"/>
          <w:i/>
        </w:rPr>
        <w:t xml:space="preserve"> </w:t>
      </w:r>
      <w:r w:rsidR="00D54B28">
        <w:rPr>
          <w:rFonts w:ascii="Arial Narrow" w:hAnsi="Arial Narrow"/>
          <w:i/>
        </w:rPr>
        <w:t>v</w:t>
      </w:r>
      <w:r w:rsidR="00D54B28" w:rsidRPr="00F84E19">
        <w:rPr>
          <w:rFonts w:ascii="Arial Narrow" w:hAnsi="Arial Narrow"/>
          <w:i/>
        </w:rPr>
        <w:t xml:space="preserve"> oblasti odpadového hospodárstva </w:t>
      </w:r>
      <w:r w:rsidR="003B7B8B">
        <w:rPr>
          <w:rFonts w:ascii="Arial Narrow" w:hAnsi="Arial Narrow"/>
          <w:i/>
        </w:rPr>
        <w:t xml:space="preserve">bude od januára 2019 implementovaná </w:t>
      </w:r>
      <w:r w:rsidR="00D54B28" w:rsidRPr="00F84E19">
        <w:rPr>
          <w:rFonts w:ascii="Arial Narrow" w:hAnsi="Arial Narrow"/>
          <w:i/>
        </w:rPr>
        <w:t>novel</w:t>
      </w:r>
      <w:r w:rsidR="003B7B8B">
        <w:rPr>
          <w:rFonts w:ascii="Arial Narrow" w:hAnsi="Arial Narrow"/>
          <w:i/>
        </w:rPr>
        <w:t>a</w:t>
      </w:r>
      <w:r w:rsidR="00D54B28" w:rsidRPr="00F84E19">
        <w:rPr>
          <w:rFonts w:ascii="Arial Narrow" w:hAnsi="Arial Narrow"/>
          <w:i/>
        </w:rPr>
        <w:t xml:space="preserve"> zákona o poplatkoch znevýhodň</w:t>
      </w:r>
      <w:r w:rsidR="00D54B28">
        <w:rPr>
          <w:rFonts w:ascii="Arial Narrow" w:hAnsi="Arial Narrow"/>
          <w:i/>
        </w:rPr>
        <w:t>ujúca</w:t>
      </w:r>
      <w:r w:rsidR="00D54B28" w:rsidRPr="00F84E19">
        <w:rPr>
          <w:rFonts w:ascii="Arial Narrow" w:hAnsi="Arial Narrow"/>
          <w:i/>
        </w:rPr>
        <w:t xml:space="preserve"> skládkovanie . Vytvorí sa rámec pre prechod na obehové a zelené hospodárstvo. Bude podporované environmentálne vzdelávanie.</w:t>
      </w:r>
    </w:p>
    <w:p w14:paraId="35E496F7" w14:textId="77777777" w:rsidR="00A4169E" w:rsidRDefault="00A4169E" w:rsidP="007D2366">
      <w:pPr>
        <w:spacing w:after="0" w:line="240" w:lineRule="auto"/>
        <w:jc w:val="both"/>
        <w:rPr>
          <w:rFonts w:ascii="Arial Narrow" w:hAnsi="Arial Narrow"/>
          <w:i/>
        </w:rPr>
      </w:pPr>
    </w:p>
    <w:tbl>
      <w:tblPr>
        <w:tblW w:w="8635" w:type="dxa"/>
        <w:tblCellMar>
          <w:left w:w="70" w:type="dxa"/>
          <w:right w:w="70" w:type="dxa"/>
        </w:tblCellMar>
        <w:tblLook w:val="04A0" w:firstRow="1" w:lastRow="0" w:firstColumn="1" w:lastColumn="0" w:noHBand="0" w:noVBand="1"/>
      </w:tblPr>
      <w:tblGrid>
        <w:gridCol w:w="3524"/>
        <w:gridCol w:w="375"/>
        <w:gridCol w:w="514"/>
        <w:gridCol w:w="514"/>
        <w:gridCol w:w="514"/>
        <w:gridCol w:w="514"/>
        <w:gridCol w:w="514"/>
        <w:gridCol w:w="514"/>
        <w:gridCol w:w="514"/>
        <w:gridCol w:w="19"/>
        <w:gridCol w:w="495"/>
        <w:gridCol w:w="26"/>
        <w:gridCol w:w="513"/>
        <w:gridCol w:w="85"/>
      </w:tblGrid>
      <w:tr w:rsidR="00A4169E" w:rsidRPr="00451A15" w14:paraId="1B85EE99" w14:textId="77777777" w:rsidTr="00B5129A">
        <w:trPr>
          <w:gridAfter w:val="1"/>
          <w:wAfter w:w="85" w:type="dxa"/>
          <w:trHeight w:val="262"/>
        </w:trPr>
        <w:tc>
          <w:tcPr>
            <w:tcW w:w="7516" w:type="dxa"/>
            <w:gridSpan w:val="10"/>
            <w:tcBorders>
              <w:top w:val="nil"/>
              <w:left w:val="nil"/>
              <w:bottom w:val="single" w:sz="4" w:space="0" w:color="auto"/>
              <w:right w:val="nil"/>
            </w:tcBorders>
            <w:shd w:val="clear" w:color="auto" w:fill="auto"/>
            <w:noWrap/>
            <w:vAlign w:val="center"/>
            <w:hideMark/>
          </w:tcPr>
          <w:p w14:paraId="1D8064DD" w14:textId="77777777" w:rsidR="00A4169E" w:rsidRPr="00451A15" w:rsidRDefault="00A4169E" w:rsidP="00B5129A">
            <w:pPr>
              <w:spacing w:after="0" w:line="240" w:lineRule="auto"/>
              <w:rPr>
                <w:rFonts w:ascii="Arial Narrow" w:hAnsi="Arial Narrow"/>
                <w:b/>
                <w:bCs/>
                <w:color w:val="2C9ADC"/>
                <w:sz w:val="20"/>
                <w:szCs w:val="20"/>
              </w:rPr>
            </w:pPr>
            <w:r w:rsidRPr="00451A15">
              <w:rPr>
                <w:rFonts w:ascii="Arial Narrow" w:hAnsi="Arial Narrow"/>
                <w:b/>
                <w:bCs/>
                <w:color w:val="2C9ADC"/>
                <w:sz w:val="20"/>
                <w:szCs w:val="20"/>
              </w:rPr>
              <w:t>Výsledkové indikátory pre environmentálnu udržateľnosť a energetiku</w:t>
            </w:r>
          </w:p>
        </w:tc>
        <w:tc>
          <w:tcPr>
            <w:tcW w:w="521" w:type="dxa"/>
            <w:gridSpan w:val="2"/>
            <w:tcBorders>
              <w:top w:val="nil"/>
              <w:left w:val="nil"/>
              <w:bottom w:val="nil"/>
              <w:right w:val="nil"/>
            </w:tcBorders>
            <w:shd w:val="clear" w:color="auto" w:fill="auto"/>
            <w:noWrap/>
            <w:vAlign w:val="center"/>
            <w:hideMark/>
          </w:tcPr>
          <w:p w14:paraId="61AA31AC" w14:textId="77777777" w:rsidR="00A4169E" w:rsidRPr="00451A15" w:rsidRDefault="00A4169E" w:rsidP="00B5129A">
            <w:pPr>
              <w:spacing w:after="0" w:line="240" w:lineRule="auto"/>
              <w:rPr>
                <w:rFonts w:ascii="Arial Narrow" w:hAnsi="Arial Narrow"/>
                <w:b/>
                <w:bCs/>
                <w:color w:val="2C9ADC"/>
                <w:sz w:val="20"/>
                <w:szCs w:val="20"/>
              </w:rPr>
            </w:pPr>
          </w:p>
        </w:tc>
        <w:tc>
          <w:tcPr>
            <w:tcW w:w="513" w:type="dxa"/>
            <w:tcBorders>
              <w:top w:val="nil"/>
              <w:left w:val="nil"/>
              <w:bottom w:val="nil"/>
              <w:right w:val="nil"/>
            </w:tcBorders>
            <w:shd w:val="clear" w:color="auto" w:fill="auto"/>
            <w:noWrap/>
            <w:vAlign w:val="bottom"/>
            <w:hideMark/>
          </w:tcPr>
          <w:p w14:paraId="594086F3" w14:textId="77777777" w:rsidR="00A4169E" w:rsidRPr="00451A15" w:rsidRDefault="00A4169E" w:rsidP="00B5129A">
            <w:pPr>
              <w:spacing w:after="0" w:line="240" w:lineRule="auto"/>
              <w:rPr>
                <w:rFonts w:ascii="Times New Roman" w:hAnsi="Times New Roman"/>
                <w:sz w:val="20"/>
                <w:szCs w:val="20"/>
              </w:rPr>
            </w:pPr>
          </w:p>
        </w:tc>
      </w:tr>
      <w:tr w:rsidR="00A4169E" w:rsidRPr="00451A15" w14:paraId="062C9715" w14:textId="77777777" w:rsidTr="00B5129A">
        <w:trPr>
          <w:trHeight w:val="361"/>
        </w:trPr>
        <w:tc>
          <w:tcPr>
            <w:tcW w:w="3524" w:type="dxa"/>
            <w:tcBorders>
              <w:top w:val="nil"/>
              <w:left w:val="nil"/>
              <w:bottom w:val="single" w:sz="4" w:space="0" w:color="auto"/>
              <w:right w:val="nil"/>
            </w:tcBorders>
            <w:shd w:val="clear" w:color="auto" w:fill="auto"/>
            <w:noWrap/>
            <w:vAlign w:val="center"/>
            <w:hideMark/>
          </w:tcPr>
          <w:p w14:paraId="7C1F20A5" w14:textId="77777777" w:rsidR="00A4169E" w:rsidRPr="00451A15" w:rsidRDefault="00A4169E" w:rsidP="00B5129A">
            <w:pPr>
              <w:spacing w:after="0" w:line="240" w:lineRule="auto"/>
              <w:rPr>
                <w:rFonts w:ascii="Arial Narrow" w:hAnsi="Arial Narrow"/>
                <w:b/>
                <w:bCs/>
                <w:color w:val="FFFFFF"/>
                <w:sz w:val="20"/>
                <w:szCs w:val="20"/>
              </w:rPr>
            </w:pPr>
            <w:r w:rsidRPr="00451A15">
              <w:rPr>
                <w:rFonts w:ascii="Arial Narrow" w:hAnsi="Arial Narrow"/>
                <w:b/>
                <w:bCs/>
                <w:color w:val="FFFFFF"/>
                <w:sz w:val="20"/>
                <w:szCs w:val="20"/>
              </w:rPr>
              <w:t> </w:t>
            </w:r>
          </w:p>
        </w:tc>
        <w:tc>
          <w:tcPr>
            <w:tcW w:w="375" w:type="dxa"/>
            <w:tcBorders>
              <w:top w:val="nil"/>
              <w:left w:val="nil"/>
              <w:bottom w:val="single" w:sz="4" w:space="0" w:color="auto"/>
              <w:right w:val="nil"/>
            </w:tcBorders>
            <w:shd w:val="clear" w:color="auto" w:fill="auto"/>
            <w:noWrap/>
            <w:vAlign w:val="center"/>
            <w:hideMark/>
          </w:tcPr>
          <w:p w14:paraId="51345B91" w14:textId="77777777" w:rsidR="00A4169E" w:rsidRPr="00451A15" w:rsidRDefault="00A4169E" w:rsidP="00B5129A">
            <w:pPr>
              <w:spacing w:after="0" w:line="240" w:lineRule="auto"/>
              <w:rPr>
                <w:rFonts w:ascii="Arial Narrow" w:hAnsi="Arial Narrow"/>
                <w:b/>
                <w:bCs/>
                <w:color w:val="FFFFFF"/>
                <w:sz w:val="20"/>
                <w:szCs w:val="20"/>
              </w:rPr>
            </w:pPr>
            <w:r w:rsidRPr="00451A15">
              <w:rPr>
                <w:rFonts w:ascii="Arial Narrow" w:hAnsi="Arial Narrow"/>
                <w:b/>
                <w:bCs/>
                <w:color w:val="FFFFFF"/>
                <w:sz w:val="20"/>
                <w:szCs w:val="20"/>
              </w:rPr>
              <w:t> </w:t>
            </w:r>
          </w:p>
        </w:tc>
        <w:tc>
          <w:tcPr>
            <w:tcW w:w="514" w:type="dxa"/>
            <w:tcBorders>
              <w:top w:val="nil"/>
              <w:left w:val="nil"/>
              <w:bottom w:val="single" w:sz="4" w:space="0" w:color="auto"/>
              <w:right w:val="nil"/>
            </w:tcBorders>
            <w:shd w:val="clear" w:color="auto" w:fill="auto"/>
            <w:vAlign w:val="center"/>
            <w:hideMark/>
          </w:tcPr>
          <w:p w14:paraId="60A9ACCE" w14:textId="77777777" w:rsidR="00A4169E" w:rsidRPr="00451A15" w:rsidRDefault="00A4169E" w:rsidP="00B5129A">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2009</w:t>
            </w:r>
          </w:p>
        </w:tc>
        <w:tc>
          <w:tcPr>
            <w:tcW w:w="514" w:type="dxa"/>
            <w:tcBorders>
              <w:top w:val="nil"/>
              <w:left w:val="nil"/>
              <w:bottom w:val="single" w:sz="4" w:space="0" w:color="auto"/>
              <w:right w:val="nil"/>
            </w:tcBorders>
            <w:shd w:val="clear" w:color="auto" w:fill="auto"/>
            <w:vAlign w:val="center"/>
          </w:tcPr>
          <w:p w14:paraId="68574096" w14:textId="77777777" w:rsidR="00A4169E" w:rsidRPr="00451A15" w:rsidRDefault="00A4169E" w:rsidP="00B5129A">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2010</w:t>
            </w:r>
          </w:p>
        </w:tc>
        <w:tc>
          <w:tcPr>
            <w:tcW w:w="514" w:type="dxa"/>
            <w:tcBorders>
              <w:top w:val="nil"/>
              <w:left w:val="nil"/>
              <w:bottom w:val="single" w:sz="4" w:space="0" w:color="auto"/>
              <w:right w:val="nil"/>
            </w:tcBorders>
            <w:shd w:val="clear" w:color="auto" w:fill="auto"/>
            <w:vAlign w:val="center"/>
          </w:tcPr>
          <w:p w14:paraId="7655ADF4" w14:textId="77777777" w:rsidR="00A4169E" w:rsidRPr="00451A15" w:rsidRDefault="00A4169E" w:rsidP="00B5129A">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2011</w:t>
            </w:r>
          </w:p>
        </w:tc>
        <w:tc>
          <w:tcPr>
            <w:tcW w:w="514" w:type="dxa"/>
            <w:tcBorders>
              <w:top w:val="nil"/>
              <w:left w:val="nil"/>
              <w:bottom w:val="single" w:sz="4" w:space="0" w:color="auto"/>
              <w:right w:val="nil"/>
            </w:tcBorders>
            <w:shd w:val="clear" w:color="auto" w:fill="auto"/>
            <w:vAlign w:val="center"/>
          </w:tcPr>
          <w:p w14:paraId="4FFF6652" w14:textId="77777777" w:rsidR="00A4169E" w:rsidRPr="00451A15" w:rsidRDefault="00A4169E" w:rsidP="00B5129A">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2012</w:t>
            </w:r>
          </w:p>
        </w:tc>
        <w:tc>
          <w:tcPr>
            <w:tcW w:w="514" w:type="dxa"/>
            <w:tcBorders>
              <w:top w:val="nil"/>
              <w:left w:val="nil"/>
              <w:bottom w:val="single" w:sz="4" w:space="0" w:color="auto"/>
              <w:right w:val="nil"/>
            </w:tcBorders>
            <w:shd w:val="clear" w:color="auto" w:fill="auto"/>
            <w:vAlign w:val="center"/>
          </w:tcPr>
          <w:p w14:paraId="14053B39" w14:textId="77777777" w:rsidR="00A4169E" w:rsidRPr="00451A15" w:rsidRDefault="00A4169E" w:rsidP="00B5129A">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2013</w:t>
            </w:r>
          </w:p>
        </w:tc>
        <w:tc>
          <w:tcPr>
            <w:tcW w:w="514" w:type="dxa"/>
            <w:tcBorders>
              <w:top w:val="nil"/>
              <w:left w:val="nil"/>
              <w:bottom w:val="single" w:sz="4" w:space="0" w:color="auto"/>
              <w:right w:val="nil"/>
            </w:tcBorders>
            <w:shd w:val="clear" w:color="auto" w:fill="auto"/>
            <w:vAlign w:val="center"/>
          </w:tcPr>
          <w:p w14:paraId="27BDAE9C" w14:textId="77777777" w:rsidR="00A4169E" w:rsidRPr="00451A15" w:rsidRDefault="00A4169E" w:rsidP="00B5129A">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2014</w:t>
            </w:r>
          </w:p>
        </w:tc>
        <w:tc>
          <w:tcPr>
            <w:tcW w:w="514" w:type="dxa"/>
            <w:tcBorders>
              <w:top w:val="nil"/>
              <w:left w:val="nil"/>
              <w:bottom w:val="single" w:sz="4" w:space="0" w:color="auto"/>
              <w:right w:val="nil"/>
            </w:tcBorders>
            <w:shd w:val="clear" w:color="auto" w:fill="auto"/>
            <w:vAlign w:val="center"/>
          </w:tcPr>
          <w:p w14:paraId="32E0534A" w14:textId="77777777" w:rsidR="00A4169E" w:rsidRPr="00451A15" w:rsidRDefault="00A4169E" w:rsidP="00B5129A">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2015</w:t>
            </w:r>
          </w:p>
        </w:tc>
        <w:tc>
          <w:tcPr>
            <w:tcW w:w="514" w:type="dxa"/>
            <w:gridSpan w:val="2"/>
            <w:tcBorders>
              <w:top w:val="single" w:sz="4" w:space="0" w:color="auto"/>
              <w:left w:val="nil"/>
              <w:bottom w:val="single" w:sz="4" w:space="0" w:color="auto"/>
              <w:right w:val="nil"/>
            </w:tcBorders>
            <w:shd w:val="clear" w:color="auto" w:fill="auto"/>
            <w:vAlign w:val="center"/>
          </w:tcPr>
          <w:p w14:paraId="62E815B2" w14:textId="77777777" w:rsidR="00A4169E" w:rsidRPr="00451A15" w:rsidRDefault="00A4169E" w:rsidP="00B5129A">
            <w:pPr>
              <w:spacing w:after="0" w:line="240" w:lineRule="auto"/>
              <w:jc w:val="center"/>
              <w:rPr>
                <w:rFonts w:ascii="Arial Narrow" w:hAnsi="Arial Narrow"/>
                <w:b/>
                <w:bCs/>
                <w:color w:val="000000"/>
                <w:sz w:val="20"/>
                <w:szCs w:val="20"/>
              </w:rPr>
            </w:pPr>
            <w:r>
              <w:rPr>
                <w:rFonts w:ascii="Arial Narrow" w:hAnsi="Arial Narrow"/>
                <w:b/>
                <w:bCs/>
                <w:color w:val="000000"/>
                <w:sz w:val="20"/>
                <w:szCs w:val="20"/>
              </w:rPr>
              <w:t>2016</w:t>
            </w:r>
          </w:p>
        </w:tc>
        <w:tc>
          <w:tcPr>
            <w:tcW w:w="624" w:type="dxa"/>
            <w:gridSpan w:val="3"/>
            <w:tcBorders>
              <w:top w:val="single" w:sz="4" w:space="0" w:color="auto"/>
              <w:left w:val="nil"/>
              <w:bottom w:val="single" w:sz="4" w:space="0" w:color="auto"/>
              <w:right w:val="nil"/>
            </w:tcBorders>
            <w:shd w:val="clear" w:color="auto" w:fill="auto"/>
            <w:vAlign w:val="center"/>
            <w:hideMark/>
          </w:tcPr>
          <w:p w14:paraId="7C95495E" w14:textId="77777777" w:rsidR="00A4169E" w:rsidRPr="00451A15" w:rsidRDefault="00A4169E" w:rsidP="00B5129A">
            <w:pPr>
              <w:spacing w:after="0" w:line="240" w:lineRule="auto"/>
              <w:rPr>
                <w:rFonts w:ascii="Arial Narrow" w:hAnsi="Arial Narrow"/>
                <w:b/>
                <w:bCs/>
                <w:sz w:val="20"/>
                <w:szCs w:val="20"/>
              </w:rPr>
            </w:pPr>
            <w:r w:rsidRPr="00451A15">
              <w:rPr>
                <w:rFonts w:ascii="Arial Narrow" w:hAnsi="Arial Narrow"/>
                <w:b/>
                <w:bCs/>
                <w:sz w:val="20"/>
                <w:szCs w:val="20"/>
              </w:rPr>
              <w:t>Cieľ 2020</w:t>
            </w:r>
          </w:p>
        </w:tc>
      </w:tr>
      <w:tr w:rsidR="00A4169E" w:rsidRPr="00451A15" w14:paraId="57E9EC59" w14:textId="77777777" w:rsidTr="00B5129A">
        <w:trPr>
          <w:trHeight w:val="248"/>
        </w:trPr>
        <w:tc>
          <w:tcPr>
            <w:tcW w:w="3524" w:type="dxa"/>
            <w:tcBorders>
              <w:top w:val="nil"/>
              <w:left w:val="nil"/>
              <w:bottom w:val="nil"/>
              <w:right w:val="nil"/>
            </w:tcBorders>
            <w:shd w:val="clear" w:color="auto" w:fill="auto"/>
            <w:noWrap/>
            <w:vAlign w:val="center"/>
            <w:hideMark/>
          </w:tcPr>
          <w:p w14:paraId="77ACC4E3" w14:textId="77777777" w:rsidR="00A4169E" w:rsidRPr="00451A15" w:rsidRDefault="00A4169E" w:rsidP="00B5129A">
            <w:pPr>
              <w:spacing w:after="0" w:line="240" w:lineRule="auto"/>
              <w:jc w:val="both"/>
              <w:rPr>
                <w:rFonts w:ascii="Arial Narrow" w:hAnsi="Arial Narrow"/>
                <w:b/>
                <w:bCs/>
                <w:color w:val="000000"/>
                <w:sz w:val="20"/>
                <w:szCs w:val="20"/>
              </w:rPr>
            </w:pPr>
            <w:r w:rsidRPr="00451A15">
              <w:rPr>
                <w:rFonts w:ascii="Arial Narrow" w:hAnsi="Arial Narrow"/>
                <w:b/>
                <w:bCs/>
                <w:color w:val="000000"/>
                <w:sz w:val="20"/>
                <w:szCs w:val="20"/>
              </w:rPr>
              <w:t>Emisie skleníkových plynov mimo ETS</w:t>
            </w:r>
            <w:r>
              <w:rPr>
                <w:rStyle w:val="Odkaznapoznmkupodiarou"/>
                <w:rFonts w:ascii="Arial Narrow" w:hAnsi="Arial Narrow"/>
                <w:b/>
                <w:bCs/>
                <w:color w:val="000000"/>
                <w:sz w:val="20"/>
                <w:szCs w:val="20"/>
              </w:rPr>
              <w:footnoteReference w:id="61"/>
            </w:r>
          </w:p>
        </w:tc>
        <w:tc>
          <w:tcPr>
            <w:tcW w:w="375" w:type="dxa"/>
            <w:tcBorders>
              <w:top w:val="nil"/>
              <w:left w:val="nil"/>
              <w:bottom w:val="nil"/>
              <w:right w:val="nil"/>
            </w:tcBorders>
            <w:shd w:val="clear" w:color="auto" w:fill="auto"/>
            <w:noWrap/>
            <w:vAlign w:val="center"/>
            <w:hideMark/>
          </w:tcPr>
          <w:p w14:paraId="3A0A2483" w14:textId="77777777" w:rsidR="00A4169E" w:rsidRPr="00451A15" w:rsidRDefault="00A4169E" w:rsidP="00B5129A">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SK</w:t>
            </w:r>
          </w:p>
        </w:tc>
        <w:tc>
          <w:tcPr>
            <w:tcW w:w="514" w:type="dxa"/>
            <w:tcBorders>
              <w:top w:val="nil"/>
              <w:left w:val="nil"/>
              <w:bottom w:val="nil"/>
              <w:right w:val="nil"/>
            </w:tcBorders>
            <w:shd w:val="clear" w:color="auto" w:fill="auto"/>
            <w:vAlign w:val="center"/>
            <w:hideMark/>
          </w:tcPr>
          <w:p w14:paraId="32278CBC" w14:textId="77777777" w:rsidR="00A4169E" w:rsidRPr="007C4F02" w:rsidRDefault="00A4169E" w:rsidP="00B5129A">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-8,1</w:t>
            </w:r>
          </w:p>
        </w:tc>
        <w:tc>
          <w:tcPr>
            <w:tcW w:w="514" w:type="dxa"/>
            <w:tcBorders>
              <w:top w:val="nil"/>
              <w:left w:val="nil"/>
              <w:bottom w:val="nil"/>
              <w:right w:val="nil"/>
            </w:tcBorders>
            <w:shd w:val="clear" w:color="auto" w:fill="auto"/>
            <w:vAlign w:val="center"/>
          </w:tcPr>
          <w:p w14:paraId="324EC54A" w14:textId="77777777" w:rsidR="00A4169E" w:rsidRPr="007C4F02" w:rsidRDefault="00A4169E" w:rsidP="00B5129A">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-5,1</w:t>
            </w:r>
          </w:p>
        </w:tc>
        <w:tc>
          <w:tcPr>
            <w:tcW w:w="514" w:type="dxa"/>
            <w:tcBorders>
              <w:top w:val="nil"/>
              <w:left w:val="nil"/>
              <w:bottom w:val="nil"/>
              <w:right w:val="nil"/>
            </w:tcBorders>
            <w:shd w:val="clear" w:color="auto" w:fill="auto"/>
            <w:vAlign w:val="center"/>
          </w:tcPr>
          <w:p w14:paraId="12F37C2E" w14:textId="77777777" w:rsidR="00A4169E" w:rsidRPr="007C4F02" w:rsidRDefault="00A4169E" w:rsidP="00B5129A">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-11,2</w:t>
            </w:r>
          </w:p>
        </w:tc>
        <w:tc>
          <w:tcPr>
            <w:tcW w:w="514" w:type="dxa"/>
            <w:tcBorders>
              <w:top w:val="nil"/>
              <w:left w:val="nil"/>
              <w:bottom w:val="nil"/>
              <w:right w:val="nil"/>
            </w:tcBorders>
            <w:shd w:val="clear" w:color="auto" w:fill="auto"/>
            <w:vAlign w:val="center"/>
          </w:tcPr>
          <w:p w14:paraId="21EFB173" w14:textId="77777777" w:rsidR="00A4169E" w:rsidRPr="007C4F02" w:rsidRDefault="00A4169E" w:rsidP="00B5129A">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-14,7</w:t>
            </w:r>
          </w:p>
        </w:tc>
        <w:tc>
          <w:tcPr>
            <w:tcW w:w="514" w:type="dxa"/>
            <w:tcBorders>
              <w:top w:val="nil"/>
              <w:left w:val="nil"/>
              <w:bottom w:val="nil"/>
              <w:right w:val="nil"/>
            </w:tcBorders>
            <w:shd w:val="clear" w:color="auto" w:fill="auto"/>
            <w:vAlign w:val="center"/>
          </w:tcPr>
          <w:p w14:paraId="03776039" w14:textId="77777777" w:rsidR="00A4169E" w:rsidRPr="007C4F02" w:rsidRDefault="00A4169E" w:rsidP="00B5129A">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-19,5</w:t>
            </w:r>
          </w:p>
        </w:tc>
        <w:tc>
          <w:tcPr>
            <w:tcW w:w="514" w:type="dxa"/>
            <w:tcBorders>
              <w:top w:val="nil"/>
              <w:left w:val="nil"/>
              <w:bottom w:val="nil"/>
              <w:right w:val="nil"/>
            </w:tcBorders>
            <w:shd w:val="clear" w:color="auto" w:fill="auto"/>
            <w:vAlign w:val="center"/>
          </w:tcPr>
          <w:p w14:paraId="15B31D36" w14:textId="77777777" w:rsidR="00A4169E" w:rsidRPr="007C4F02" w:rsidRDefault="00A4169E" w:rsidP="00B5129A">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-24,4</w:t>
            </w:r>
          </w:p>
        </w:tc>
        <w:tc>
          <w:tcPr>
            <w:tcW w:w="514" w:type="dxa"/>
            <w:tcBorders>
              <w:top w:val="nil"/>
              <w:left w:val="nil"/>
              <w:bottom w:val="nil"/>
              <w:right w:val="nil"/>
            </w:tcBorders>
            <w:shd w:val="clear" w:color="auto" w:fill="auto"/>
            <w:vAlign w:val="center"/>
          </w:tcPr>
          <w:p w14:paraId="1374646E" w14:textId="77777777" w:rsidR="00A4169E" w:rsidRPr="007C4F02" w:rsidRDefault="00A4169E" w:rsidP="00B5129A">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-23,2</w:t>
            </w:r>
          </w:p>
        </w:tc>
        <w:tc>
          <w:tcPr>
            <w:tcW w:w="514" w:type="dxa"/>
            <w:gridSpan w:val="2"/>
            <w:tcBorders>
              <w:top w:val="nil"/>
              <w:left w:val="nil"/>
              <w:bottom w:val="nil"/>
              <w:right w:val="nil"/>
            </w:tcBorders>
            <w:shd w:val="clear" w:color="auto" w:fill="auto"/>
            <w:vAlign w:val="center"/>
          </w:tcPr>
          <w:p w14:paraId="733D9232"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624" w:type="dxa"/>
            <w:gridSpan w:val="3"/>
            <w:tcBorders>
              <w:top w:val="nil"/>
              <w:left w:val="nil"/>
              <w:bottom w:val="nil"/>
              <w:right w:val="nil"/>
            </w:tcBorders>
            <w:shd w:val="clear" w:color="auto" w:fill="auto"/>
            <w:vAlign w:val="center"/>
            <w:hideMark/>
          </w:tcPr>
          <w:p w14:paraId="1C1E77E2" w14:textId="77777777" w:rsidR="00A4169E" w:rsidRPr="007C4F02" w:rsidRDefault="00A4169E" w:rsidP="00B5129A">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13</w:t>
            </w:r>
          </w:p>
        </w:tc>
      </w:tr>
      <w:tr w:rsidR="00A4169E" w:rsidRPr="00451A15" w14:paraId="12072751" w14:textId="77777777" w:rsidTr="00B5129A">
        <w:trPr>
          <w:trHeight w:val="248"/>
        </w:trPr>
        <w:tc>
          <w:tcPr>
            <w:tcW w:w="3524" w:type="dxa"/>
            <w:tcBorders>
              <w:top w:val="nil"/>
              <w:left w:val="nil"/>
              <w:bottom w:val="single" w:sz="4" w:space="0" w:color="auto"/>
              <w:right w:val="nil"/>
            </w:tcBorders>
            <w:shd w:val="clear" w:color="auto" w:fill="auto"/>
            <w:noWrap/>
            <w:vAlign w:val="center"/>
            <w:hideMark/>
          </w:tcPr>
          <w:p w14:paraId="441CE49A" w14:textId="77777777" w:rsidR="00A4169E" w:rsidRPr="00451A15" w:rsidRDefault="00A4169E" w:rsidP="00B5129A">
            <w:pPr>
              <w:spacing w:after="0" w:line="240" w:lineRule="auto"/>
              <w:jc w:val="both"/>
              <w:rPr>
                <w:rFonts w:ascii="Arial Narrow" w:hAnsi="Arial Narrow"/>
                <w:color w:val="000000"/>
                <w:sz w:val="20"/>
                <w:szCs w:val="20"/>
              </w:rPr>
            </w:pPr>
            <w:r w:rsidRPr="00451A15">
              <w:rPr>
                <w:rFonts w:ascii="Arial Narrow" w:hAnsi="Arial Narrow"/>
                <w:color w:val="000000"/>
                <w:sz w:val="20"/>
                <w:szCs w:val="20"/>
              </w:rPr>
              <w:t>(%, zmena voči roku 2005)</w:t>
            </w:r>
          </w:p>
        </w:tc>
        <w:tc>
          <w:tcPr>
            <w:tcW w:w="375" w:type="dxa"/>
            <w:tcBorders>
              <w:top w:val="nil"/>
              <w:left w:val="nil"/>
              <w:bottom w:val="single" w:sz="4" w:space="0" w:color="auto"/>
              <w:right w:val="nil"/>
            </w:tcBorders>
            <w:shd w:val="clear" w:color="auto" w:fill="auto"/>
            <w:noWrap/>
            <w:vAlign w:val="center"/>
            <w:hideMark/>
          </w:tcPr>
          <w:p w14:paraId="237AD2B8" w14:textId="77777777" w:rsidR="00A4169E" w:rsidRPr="00451A15" w:rsidRDefault="00A4169E" w:rsidP="00B5129A">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EÚ</w:t>
            </w:r>
          </w:p>
        </w:tc>
        <w:tc>
          <w:tcPr>
            <w:tcW w:w="514" w:type="dxa"/>
            <w:tcBorders>
              <w:top w:val="nil"/>
              <w:left w:val="nil"/>
              <w:bottom w:val="nil"/>
              <w:right w:val="nil"/>
            </w:tcBorders>
            <w:shd w:val="clear" w:color="auto" w:fill="auto"/>
            <w:vAlign w:val="center"/>
            <w:hideMark/>
          </w:tcPr>
          <w:p w14:paraId="39F2B077" w14:textId="77777777" w:rsidR="00A4169E" w:rsidRPr="007C4F02" w:rsidRDefault="00A4169E" w:rsidP="00B5129A">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-6,0</w:t>
            </w:r>
          </w:p>
        </w:tc>
        <w:tc>
          <w:tcPr>
            <w:tcW w:w="514" w:type="dxa"/>
            <w:tcBorders>
              <w:top w:val="nil"/>
              <w:left w:val="nil"/>
              <w:bottom w:val="nil"/>
              <w:right w:val="nil"/>
            </w:tcBorders>
            <w:shd w:val="clear" w:color="auto" w:fill="auto"/>
            <w:vAlign w:val="center"/>
          </w:tcPr>
          <w:p w14:paraId="2E6893FB" w14:textId="77777777" w:rsidR="00A4169E" w:rsidRPr="007C4F02" w:rsidRDefault="00A4169E" w:rsidP="00B5129A">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-3,9</w:t>
            </w:r>
          </w:p>
        </w:tc>
        <w:tc>
          <w:tcPr>
            <w:tcW w:w="514" w:type="dxa"/>
            <w:tcBorders>
              <w:top w:val="nil"/>
              <w:left w:val="nil"/>
              <w:bottom w:val="nil"/>
              <w:right w:val="nil"/>
            </w:tcBorders>
            <w:shd w:val="clear" w:color="auto" w:fill="auto"/>
            <w:vAlign w:val="center"/>
          </w:tcPr>
          <w:p w14:paraId="7D01DA59" w14:textId="77777777" w:rsidR="00A4169E" w:rsidRPr="007C4F02" w:rsidRDefault="00A4169E" w:rsidP="00B5129A">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-7,9</w:t>
            </w:r>
          </w:p>
        </w:tc>
        <w:tc>
          <w:tcPr>
            <w:tcW w:w="514" w:type="dxa"/>
            <w:tcBorders>
              <w:top w:val="nil"/>
              <w:left w:val="nil"/>
              <w:bottom w:val="nil"/>
              <w:right w:val="nil"/>
            </w:tcBorders>
            <w:shd w:val="clear" w:color="auto" w:fill="auto"/>
            <w:vAlign w:val="center"/>
          </w:tcPr>
          <w:p w14:paraId="4B228430" w14:textId="77777777" w:rsidR="00A4169E" w:rsidRPr="007C4F02" w:rsidRDefault="00A4169E" w:rsidP="00B5129A">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-8,7</w:t>
            </w:r>
          </w:p>
        </w:tc>
        <w:tc>
          <w:tcPr>
            <w:tcW w:w="514" w:type="dxa"/>
            <w:tcBorders>
              <w:top w:val="nil"/>
              <w:left w:val="nil"/>
              <w:bottom w:val="nil"/>
              <w:right w:val="nil"/>
            </w:tcBorders>
            <w:shd w:val="clear" w:color="auto" w:fill="auto"/>
            <w:vAlign w:val="center"/>
          </w:tcPr>
          <w:p w14:paraId="06360905" w14:textId="77777777" w:rsidR="00A4169E" w:rsidRPr="007C4F02" w:rsidRDefault="00A4169E" w:rsidP="00B5129A">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-9,9</w:t>
            </w:r>
          </w:p>
        </w:tc>
        <w:tc>
          <w:tcPr>
            <w:tcW w:w="514" w:type="dxa"/>
            <w:tcBorders>
              <w:top w:val="nil"/>
              <w:left w:val="nil"/>
              <w:bottom w:val="nil"/>
              <w:right w:val="nil"/>
            </w:tcBorders>
            <w:shd w:val="clear" w:color="auto" w:fill="auto"/>
            <w:vAlign w:val="center"/>
          </w:tcPr>
          <w:p w14:paraId="6204C7A7" w14:textId="77777777" w:rsidR="00A4169E" w:rsidRPr="007C4F02" w:rsidRDefault="00A4169E" w:rsidP="00B5129A">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-13,0</w:t>
            </w:r>
          </w:p>
        </w:tc>
        <w:tc>
          <w:tcPr>
            <w:tcW w:w="514" w:type="dxa"/>
            <w:tcBorders>
              <w:top w:val="nil"/>
              <w:left w:val="nil"/>
              <w:bottom w:val="nil"/>
              <w:right w:val="nil"/>
            </w:tcBorders>
            <w:shd w:val="clear" w:color="auto" w:fill="auto"/>
            <w:vAlign w:val="center"/>
          </w:tcPr>
          <w:p w14:paraId="6C6C2C67" w14:textId="77777777" w:rsidR="00A4169E" w:rsidRPr="007C4F02" w:rsidRDefault="00A4169E" w:rsidP="00B5129A">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w:t>
            </w:r>
          </w:p>
        </w:tc>
        <w:tc>
          <w:tcPr>
            <w:tcW w:w="514" w:type="dxa"/>
            <w:gridSpan w:val="2"/>
            <w:tcBorders>
              <w:top w:val="nil"/>
              <w:left w:val="nil"/>
              <w:bottom w:val="nil"/>
              <w:right w:val="nil"/>
            </w:tcBorders>
            <w:shd w:val="clear" w:color="auto" w:fill="auto"/>
            <w:vAlign w:val="center"/>
          </w:tcPr>
          <w:p w14:paraId="0CF06A5A"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w:t>
            </w:r>
          </w:p>
        </w:tc>
        <w:tc>
          <w:tcPr>
            <w:tcW w:w="624" w:type="dxa"/>
            <w:gridSpan w:val="3"/>
            <w:tcBorders>
              <w:top w:val="nil"/>
              <w:left w:val="nil"/>
              <w:bottom w:val="nil"/>
              <w:right w:val="nil"/>
            </w:tcBorders>
            <w:shd w:val="clear" w:color="auto" w:fill="auto"/>
            <w:vAlign w:val="center"/>
            <w:hideMark/>
          </w:tcPr>
          <w:p w14:paraId="7E2CA6C7" w14:textId="77777777" w:rsidR="00A4169E" w:rsidRPr="007C4F02" w:rsidRDefault="00A4169E" w:rsidP="00B5129A">
            <w:pPr>
              <w:spacing w:after="0" w:line="240" w:lineRule="auto"/>
              <w:rPr>
                <w:rFonts w:ascii="Arial Narrow" w:hAnsi="Arial Narrow"/>
                <w:color w:val="000000"/>
                <w:sz w:val="20"/>
                <w:szCs w:val="20"/>
              </w:rPr>
            </w:pPr>
            <w:r>
              <w:rPr>
                <w:rFonts w:ascii="Arial Narrow" w:hAnsi="Arial Narrow"/>
                <w:color w:val="000000"/>
                <w:sz w:val="20"/>
                <w:szCs w:val="20"/>
              </w:rPr>
              <w:t xml:space="preserve">  </w:t>
            </w:r>
            <w:r w:rsidRPr="007C4F02">
              <w:rPr>
                <w:rFonts w:ascii="Arial Narrow" w:hAnsi="Arial Narrow"/>
                <w:color w:val="000000"/>
                <w:sz w:val="20"/>
                <w:szCs w:val="20"/>
              </w:rPr>
              <w:t>-10</w:t>
            </w:r>
          </w:p>
        </w:tc>
      </w:tr>
      <w:tr w:rsidR="00A4169E" w:rsidRPr="00451A15" w14:paraId="52FBE6C5" w14:textId="77777777" w:rsidTr="00B5129A">
        <w:trPr>
          <w:trHeight w:val="248"/>
        </w:trPr>
        <w:tc>
          <w:tcPr>
            <w:tcW w:w="3524" w:type="dxa"/>
            <w:tcBorders>
              <w:top w:val="nil"/>
              <w:left w:val="nil"/>
              <w:bottom w:val="nil"/>
              <w:right w:val="nil"/>
            </w:tcBorders>
            <w:shd w:val="clear" w:color="auto" w:fill="auto"/>
            <w:noWrap/>
            <w:vAlign w:val="center"/>
            <w:hideMark/>
          </w:tcPr>
          <w:p w14:paraId="377C0E31" w14:textId="77777777" w:rsidR="00A4169E" w:rsidRPr="00451A15" w:rsidRDefault="00A4169E" w:rsidP="00B5129A">
            <w:pPr>
              <w:spacing w:after="0" w:line="240" w:lineRule="auto"/>
              <w:rPr>
                <w:rFonts w:ascii="Arial Narrow" w:hAnsi="Arial Narrow"/>
                <w:b/>
                <w:bCs/>
                <w:color w:val="000000"/>
                <w:sz w:val="20"/>
                <w:szCs w:val="20"/>
              </w:rPr>
            </w:pPr>
            <w:r w:rsidRPr="00451A15">
              <w:rPr>
                <w:rFonts w:ascii="Arial Narrow" w:hAnsi="Arial Narrow"/>
                <w:b/>
                <w:bCs/>
                <w:color w:val="000000"/>
                <w:sz w:val="20"/>
                <w:szCs w:val="20"/>
              </w:rPr>
              <w:t>Podiel OZE</w:t>
            </w:r>
            <w:r>
              <w:rPr>
                <w:rStyle w:val="Odkaznapoznmkupodiarou"/>
                <w:rFonts w:ascii="Arial Narrow" w:hAnsi="Arial Narrow"/>
                <w:b/>
                <w:bCs/>
                <w:color w:val="000000"/>
                <w:sz w:val="20"/>
                <w:szCs w:val="20"/>
              </w:rPr>
              <w:footnoteReference w:id="62"/>
            </w:r>
            <w:r w:rsidRPr="00451A15">
              <w:rPr>
                <w:rFonts w:ascii="Arial Narrow" w:hAnsi="Arial Narrow"/>
                <w:b/>
                <w:bCs/>
                <w:color w:val="000000"/>
                <w:sz w:val="20"/>
                <w:szCs w:val="20"/>
              </w:rPr>
              <w:t xml:space="preserve"> na hrubej konečnej spotrebe</w:t>
            </w:r>
          </w:p>
        </w:tc>
        <w:tc>
          <w:tcPr>
            <w:tcW w:w="375" w:type="dxa"/>
            <w:tcBorders>
              <w:top w:val="nil"/>
              <w:left w:val="nil"/>
              <w:bottom w:val="nil"/>
              <w:right w:val="nil"/>
            </w:tcBorders>
            <w:shd w:val="clear" w:color="auto" w:fill="auto"/>
            <w:noWrap/>
            <w:vAlign w:val="center"/>
            <w:hideMark/>
          </w:tcPr>
          <w:p w14:paraId="2D393762" w14:textId="77777777" w:rsidR="00A4169E" w:rsidRPr="00451A15" w:rsidRDefault="00A4169E" w:rsidP="00B5129A">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SK</w:t>
            </w:r>
          </w:p>
        </w:tc>
        <w:tc>
          <w:tcPr>
            <w:tcW w:w="514" w:type="dxa"/>
            <w:tcBorders>
              <w:top w:val="single" w:sz="4" w:space="0" w:color="auto"/>
              <w:left w:val="nil"/>
              <w:bottom w:val="nil"/>
              <w:right w:val="nil"/>
            </w:tcBorders>
            <w:shd w:val="clear" w:color="auto" w:fill="auto"/>
            <w:vAlign w:val="center"/>
            <w:hideMark/>
          </w:tcPr>
          <w:p w14:paraId="070E6C51"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9,4</w:t>
            </w:r>
          </w:p>
        </w:tc>
        <w:tc>
          <w:tcPr>
            <w:tcW w:w="514" w:type="dxa"/>
            <w:tcBorders>
              <w:top w:val="single" w:sz="4" w:space="0" w:color="auto"/>
              <w:left w:val="nil"/>
              <w:bottom w:val="nil"/>
              <w:right w:val="nil"/>
            </w:tcBorders>
            <w:shd w:val="clear" w:color="auto" w:fill="auto"/>
            <w:vAlign w:val="center"/>
          </w:tcPr>
          <w:p w14:paraId="4F5E1E5D"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9,1</w:t>
            </w:r>
          </w:p>
        </w:tc>
        <w:tc>
          <w:tcPr>
            <w:tcW w:w="514" w:type="dxa"/>
            <w:tcBorders>
              <w:top w:val="single" w:sz="4" w:space="0" w:color="auto"/>
              <w:left w:val="nil"/>
              <w:bottom w:val="nil"/>
              <w:right w:val="nil"/>
            </w:tcBorders>
            <w:shd w:val="clear" w:color="auto" w:fill="auto"/>
            <w:vAlign w:val="center"/>
          </w:tcPr>
          <w:p w14:paraId="68BFC5CD" w14:textId="77777777" w:rsidR="00A4169E" w:rsidRPr="007C4F02" w:rsidRDefault="00A4169E" w:rsidP="00B5129A">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10,3</w:t>
            </w:r>
          </w:p>
        </w:tc>
        <w:tc>
          <w:tcPr>
            <w:tcW w:w="514" w:type="dxa"/>
            <w:tcBorders>
              <w:top w:val="single" w:sz="4" w:space="0" w:color="auto"/>
              <w:left w:val="nil"/>
              <w:bottom w:val="nil"/>
              <w:right w:val="nil"/>
            </w:tcBorders>
            <w:shd w:val="clear" w:color="auto" w:fill="auto"/>
            <w:vAlign w:val="center"/>
          </w:tcPr>
          <w:p w14:paraId="20143885" w14:textId="77777777" w:rsidR="00A4169E" w:rsidRPr="007C4F02" w:rsidRDefault="00A4169E" w:rsidP="00B5129A">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10,4</w:t>
            </w:r>
          </w:p>
        </w:tc>
        <w:tc>
          <w:tcPr>
            <w:tcW w:w="514" w:type="dxa"/>
            <w:tcBorders>
              <w:top w:val="single" w:sz="4" w:space="0" w:color="auto"/>
              <w:left w:val="nil"/>
              <w:bottom w:val="nil"/>
              <w:right w:val="nil"/>
            </w:tcBorders>
            <w:shd w:val="clear" w:color="auto" w:fill="auto"/>
            <w:vAlign w:val="center"/>
          </w:tcPr>
          <w:p w14:paraId="42C90123" w14:textId="77777777" w:rsidR="00A4169E" w:rsidRPr="007C4F02" w:rsidRDefault="00A4169E" w:rsidP="00B5129A">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10,1</w:t>
            </w:r>
          </w:p>
        </w:tc>
        <w:tc>
          <w:tcPr>
            <w:tcW w:w="514" w:type="dxa"/>
            <w:tcBorders>
              <w:top w:val="single" w:sz="4" w:space="0" w:color="auto"/>
              <w:left w:val="nil"/>
              <w:bottom w:val="nil"/>
              <w:right w:val="nil"/>
            </w:tcBorders>
            <w:shd w:val="clear" w:color="auto" w:fill="auto"/>
            <w:vAlign w:val="center"/>
          </w:tcPr>
          <w:p w14:paraId="343D65BF"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11,7</w:t>
            </w:r>
          </w:p>
        </w:tc>
        <w:tc>
          <w:tcPr>
            <w:tcW w:w="514" w:type="dxa"/>
            <w:tcBorders>
              <w:top w:val="single" w:sz="4" w:space="0" w:color="auto"/>
              <w:left w:val="nil"/>
              <w:bottom w:val="nil"/>
              <w:right w:val="nil"/>
            </w:tcBorders>
            <w:shd w:val="clear" w:color="auto" w:fill="auto"/>
            <w:vAlign w:val="bottom"/>
          </w:tcPr>
          <w:p w14:paraId="3275158C"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12,9</w:t>
            </w:r>
          </w:p>
        </w:tc>
        <w:tc>
          <w:tcPr>
            <w:tcW w:w="514" w:type="dxa"/>
            <w:gridSpan w:val="2"/>
            <w:tcBorders>
              <w:top w:val="single" w:sz="4" w:space="0" w:color="auto"/>
              <w:left w:val="nil"/>
              <w:bottom w:val="nil"/>
              <w:right w:val="nil"/>
            </w:tcBorders>
            <w:shd w:val="clear" w:color="auto" w:fill="auto"/>
            <w:vAlign w:val="bottom"/>
          </w:tcPr>
          <w:p w14:paraId="50C8686F"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12,0</w:t>
            </w:r>
          </w:p>
        </w:tc>
        <w:tc>
          <w:tcPr>
            <w:tcW w:w="624" w:type="dxa"/>
            <w:gridSpan w:val="3"/>
            <w:tcBorders>
              <w:top w:val="single" w:sz="4" w:space="0" w:color="auto"/>
              <w:left w:val="nil"/>
              <w:bottom w:val="nil"/>
              <w:right w:val="nil"/>
            </w:tcBorders>
            <w:shd w:val="clear" w:color="auto" w:fill="auto"/>
            <w:vAlign w:val="center"/>
            <w:hideMark/>
          </w:tcPr>
          <w:p w14:paraId="335B5C97" w14:textId="77777777" w:rsidR="00A4169E" w:rsidRPr="007C4F02" w:rsidRDefault="00A4169E" w:rsidP="00B5129A">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14</w:t>
            </w:r>
          </w:p>
        </w:tc>
      </w:tr>
      <w:tr w:rsidR="00A4169E" w:rsidRPr="00451A15" w14:paraId="59AF6F02" w14:textId="77777777" w:rsidTr="00B5129A">
        <w:trPr>
          <w:trHeight w:val="248"/>
        </w:trPr>
        <w:tc>
          <w:tcPr>
            <w:tcW w:w="3524" w:type="dxa"/>
            <w:tcBorders>
              <w:top w:val="nil"/>
              <w:left w:val="nil"/>
              <w:bottom w:val="single" w:sz="4" w:space="0" w:color="auto"/>
              <w:right w:val="nil"/>
            </w:tcBorders>
            <w:shd w:val="clear" w:color="auto" w:fill="auto"/>
            <w:noWrap/>
            <w:vAlign w:val="center"/>
            <w:hideMark/>
          </w:tcPr>
          <w:p w14:paraId="24D0EC35" w14:textId="77777777" w:rsidR="00A4169E" w:rsidRPr="00451A15" w:rsidRDefault="00A4169E" w:rsidP="00B5129A">
            <w:pPr>
              <w:spacing w:after="0" w:line="240" w:lineRule="auto"/>
              <w:jc w:val="both"/>
              <w:rPr>
                <w:rFonts w:ascii="Arial Narrow" w:hAnsi="Arial Narrow"/>
                <w:color w:val="000000"/>
                <w:sz w:val="20"/>
                <w:szCs w:val="20"/>
              </w:rPr>
            </w:pPr>
            <w:r w:rsidRPr="00451A15">
              <w:rPr>
                <w:rFonts w:ascii="Arial Narrow" w:hAnsi="Arial Narrow"/>
                <w:color w:val="000000"/>
                <w:sz w:val="20"/>
                <w:szCs w:val="20"/>
              </w:rPr>
              <w:t>(%)</w:t>
            </w:r>
          </w:p>
        </w:tc>
        <w:tc>
          <w:tcPr>
            <w:tcW w:w="375" w:type="dxa"/>
            <w:tcBorders>
              <w:top w:val="nil"/>
              <w:left w:val="nil"/>
              <w:bottom w:val="single" w:sz="4" w:space="0" w:color="auto"/>
              <w:right w:val="nil"/>
            </w:tcBorders>
            <w:shd w:val="clear" w:color="auto" w:fill="auto"/>
            <w:noWrap/>
            <w:vAlign w:val="center"/>
            <w:hideMark/>
          </w:tcPr>
          <w:p w14:paraId="7E028285" w14:textId="77777777" w:rsidR="00A4169E" w:rsidRPr="00451A15" w:rsidRDefault="00A4169E" w:rsidP="00B5129A">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EÚ</w:t>
            </w:r>
          </w:p>
        </w:tc>
        <w:tc>
          <w:tcPr>
            <w:tcW w:w="514" w:type="dxa"/>
            <w:tcBorders>
              <w:top w:val="nil"/>
              <w:left w:val="nil"/>
              <w:bottom w:val="single" w:sz="4" w:space="0" w:color="auto"/>
              <w:right w:val="nil"/>
            </w:tcBorders>
            <w:shd w:val="clear" w:color="auto" w:fill="auto"/>
            <w:vAlign w:val="center"/>
            <w:hideMark/>
          </w:tcPr>
          <w:p w14:paraId="41561D48" w14:textId="77777777" w:rsidR="00A4169E" w:rsidRPr="007C4F02" w:rsidRDefault="00A4169E" w:rsidP="00B5129A">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12,4</w:t>
            </w:r>
          </w:p>
        </w:tc>
        <w:tc>
          <w:tcPr>
            <w:tcW w:w="514" w:type="dxa"/>
            <w:tcBorders>
              <w:top w:val="nil"/>
              <w:left w:val="nil"/>
              <w:bottom w:val="single" w:sz="4" w:space="0" w:color="auto"/>
              <w:right w:val="nil"/>
            </w:tcBorders>
            <w:shd w:val="clear" w:color="auto" w:fill="auto"/>
            <w:vAlign w:val="center"/>
          </w:tcPr>
          <w:p w14:paraId="1FAE1B77"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12,9</w:t>
            </w:r>
          </w:p>
        </w:tc>
        <w:tc>
          <w:tcPr>
            <w:tcW w:w="514" w:type="dxa"/>
            <w:tcBorders>
              <w:top w:val="nil"/>
              <w:left w:val="nil"/>
              <w:bottom w:val="single" w:sz="4" w:space="0" w:color="auto"/>
              <w:right w:val="nil"/>
            </w:tcBorders>
            <w:shd w:val="clear" w:color="auto" w:fill="auto"/>
            <w:vAlign w:val="center"/>
          </w:tcPr>
          <w:p w14:paraId="75606291"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13,2</w:t>
            </w:r>
          </w:p>
        </w:tc>
        <w:tc>
          <w:tcPr>
            <w:tcW w:w="514" w:type="dxa"/>
            <w:tcBorders>
              <w:top w:val="nil"/>
              <w:left w:val="nil"/>
              <w:bottom w:val="single" w:sz="4" w:space="0" w:color="auto"/>
              <w:right w:val="nil"/>
            </w:tcBorders>
            <w:shd w:val="clear" w:color="auto" w:fill="auto"/>
            <w:vAlign w:val="center"/>
          </w:tcPr>
          <w:p w14:paraId="0DB259AD"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14,4</w:t>
            </w:r>
          </w:p>
        </w:tc>
        <w:tc>
          <w:tcPr>
            <w:tcW w:w="514" w:type="dxa"/>
            <w:tcBorders>
              <w:top w:val="nil"/>
              <w:left w:val="nil"/>
              <w:bottom w:val="single" w:sz="4" w:space="0" w:color="auto"/>
              <w:right w:val="nil"/>
            </w:tcBorders>
            <w:shd w:val="clear" w:color="auto" w:fill="auto"/>
            <w:vAlign w:val="center"/>
          </w:tcPr>
          <w:p w14:paraId="0E270536"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15,2</w:t>
            </w:r>
          </w:p>
        </w:tc>
        <w:tc>
          <w:tcPr>
            <w:tcW w:w="514" w:type="dxa"/>
            <w:tcBorders>
              <w:top w:val="nil"/>
              <w:left w:val="nil"/>
              <w:bottom w:val="single" w:sz="4" w:space="0" w:color="auto"/>
              <w:right w:val="nil"/>
            </w:tcBorders>
            <w:shd w:val="clear" w:color="auto" w:fill="auto"/>
            <w:vAlign w:val="center"/>
          </w:tcPr>
          <w:p w14:paraId="09FFA769"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16,1</w:t>
            </w:r>
          </w:p>
        </w:tc>
        <w:tc>
          <w:tcPr>
            <w:tcW w:w="514" w:type="dxa"/>
            <w:tcBorders>
              <w:top w:val="nil"/>
              <w:left w:val="nil"/>
              <w:bottom w:val="single" w:sz="4" w:space="0" w:color="auto"/>
              <w:right w:val="nil"/>
            </w:tcBorders>
            <w:shd w:val="clear" w:color="auto" w:fill="auto"/>
            <w:vAlign w:val="bottom"/>
          </w:tcPr>
          <w:p w14:paraId="2FC622DD"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16,7</w:t>
            </w:r>
          </w:p>
        </w:tc>
        <w:tc>
          <w:tcPr>
            <w:tcW w:w="514" w:type="dxa"/>
            <w:gridSpan w:val="2"/>
            <w:tcBorders>
              <w:top w:val="nil"/>
              <w:left w:val="nil"/>
              <w:bottom w:val="single" w:sz="4" w:space="0" w:color="auto"/>
              <w:right w:val="nil"/>
            </w:tcBorders>
            <w:shd w:val="clear" w:color="auto" w:fill="auto"/>
            <w:vAlign w:val="bottom"/>
          </w:tcPr>
          <w:p w14:paraId="5F344935"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17,0</w:t>
            </w:r>
          </w:p>
        </w:tc>
        <w:tc>
          <w:tcPr>
            <w:tcW w:w="624" w:type="dxa"/>
            <w:gridSpan w:val="3"/>
            <w:tcBorders>
              <w:top w:val="nil"/>
              <w:left w:val="nil"/>
              <w:bottom w:val="single" w:sz="4" w:space="0" w:color="auto"/>
              <w:right w:val="nil"/>
            </w:tcBorders>
            <w:shd w:val="clear" w:color="auto" w:fill="auto"/>
            <w:vAlign w:val="center"/>
            <w:hideMark/>
          </w:tcPr>
          <w:p w14:paraId="73E956AF" w14:textId="77777777" w:rsidR="00A4169E" w:rsidRPr="007C4F02" w:rsidRDefault="00A4169E" w:rsidP="00B5129A">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20</w:t>
            </w:r>
          </w:p>
        </w:tc>
      </w:tr>
      <w:tr w:rsidR="00A4169E" w:rsidRPr="00451A15" w14:paraId="1B025052" w14:textId="77777777" w:rsidTr="00B5129A">
        <w:trPr>
          <w:trHeight w:val="248"/>
        </w:trPr>
        <w:tc>
          <w:tcPr>
            <w:tcW w:w="3524" w:type="dxa"/>
            <w:tcBorders>
              <w:top w:val="nil"/>
              <w:left w:val="nil"/>
              <w:bottom w:val="nil"/>
              <w:right w:val="nil"/>
            </w:tcBorders>
            <w:shd w:val="clear" w:color="auto" w:fill="auto"/>
            <w:noWrap/>
            <w:vAlign w:val="center"/>
            <w:hideMark/>
          </w:tcPr>
          <w:p w14:paraId="3A428E3F" w14:textId="77777777" w:rsidR="00A4169E" w:rsidRPr="00451A15" w:rsidRDefault="00A4169E" w:rsidP="00B5129A">
            <w:pPr>
              <w:spacing w:after="0" w:line="240" w:lineRule="auto"/>
              <w:rPr>
                <w:rFonts w:ascii="Arial Narrow" w:hAnsi="Arial Narrow"/>
                <w:b/>
                <w:bCs/>
                <w:color w:val="000000"/>
                <w:sz w:val="20"/>
                <w:szCs w:val="20"/>
              </w:rPr>
            </w:pPr>
            <w:r w:rsidRPr="00451A15">
              <w:rPr>
                <w:rFonts w:ascii="Arial Narrow" w:hAnsi="Arial Narrow"/>
                <w:b/>
                <w:bCs/>
                <w:color w:val="000000"/>
                <w:sz w:val="20"/>
                <w:szCs w:val="20"/>
              </w:rPr>
              <w:t>Konečná energetická spotreba</w:t>
            </w:r>
          </w:p>
        </w:tc>
        <w:tc>
          <w:tcPr>
            <w:tcW w:w="375" w:type="dxa"/>
            <w:tcBorders>
              <w:top w:val="nil"/>
              <w:left w:val="nil"/>
              <w:bottom w:val="nil"/>
              <w:right w:val="nil"/>
            </w:tcBorders>
            <w:shd w:val="clear" w:color="auto" w:fill="auto"/>
            <w:noWrap/>
            <w:vAlign w:val="center"/>
            <w:hideMark/>
          </w:tcPr>
          <w:p w14:paraId="2657DDA8" w14:textId="77777777" w:rsidR="00A4169E" w:rsidRPr="00451A15" w:rsidRDefault="00A4169E" w:rsidP="00B5129A">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SK</w:t>
            </w:r>
          </w:p>
        </w:tc>
        <w:tc>
          <w:tcPr>
            <w:tcW w:w="514" w:type="dxa"/>
            <w:tcBorders>
              <w:top w:val="nil"/>
              <w:left w:val="nil"/>
              <w:bottom w:val="nil"/>
              <w:right w:val="nil"/>
            </w:tcBorders>
            <w:shd w:val="clear" w:color="auto" w:fill="auto"/>
            <w:vAlign w:val="center"/>
            <w:hideMark/>
          </w:tcPr>
          <w:p w14:paraId="13DF368C"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-7,0</w:t>
            </w:r>
          </w:p>
        </w:tc>
        <w:tc>
          <w:tcPr>
            <w:tcW w:w="514" w:type="dxa"/>
            <w:tcBorders>
              <w:top w:val="nil"/>
              <w:left w:val="nil"/>
              <w:bottom w:val="nil"/>
              <w:right w:val="nil"/>
            </w:tcBorders>
            <w:shd w:val="clear" w:color="auto" w:fill="auto"/>
            <w:vAlign w:val="center"/>
          </w:tcPr>
          <w:p w14:paraId="753C5B65"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0,9</w:t>
            </w:r>
          </w:p>
        </w:tc>
        <w:tc>
          <w:tcPr>
            <w:tcW w:w="514" w:type="dxa"/>
            <w:tcBorders>
              <w:top w:val="nil"/>
              <w:left w:val="nil"/>
              <w:bottom w:val="nil"/>
              <w:right w:val="nil"/>
            </w:tcBorders>
            <w:shd w:val="clear" w:color="auto" w:fill="auto"/>
            <w:vAlign w:val="center"/>
          </w:tcPr>
          <w:p w14:paraId="278B16EC"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-5,3</w:t>
            </w:r>
          </w:p>
        </w:tc>
        <w:tc>
          <w:tcPr>
            <w:tcW w:w="514" w:type="dxa"/>
            <w:tcBorders>
              <w:top w:val="nil"/>
              <w:left w:val="nil"/>
              <w:bottom w:val="nil"/>
              <w:right w:val="nil"/>
            </w:tcBorders>
            <w:shd w:val="clear" w:color="auto" w:fill="auto"/>
            <w:vAlign w:val="center"/>
          </w:tcPr>
          <w:p w14:paraId="1DFB1E7F"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-9,6</w:t>
            </w:r>
          </w:p>
        </w:tc>
        <w:tc>
          <w:tcPr>
            <w:tcW w:w="514" w:type="dxa"/>
            <w:tcBorders>
              <w:top w:val="nil"/>
              <w:left w:val="nil"/>
              <w:bottom w:val="nil"/>
              <w:right w:val="nil"/>
            </w:tcBorders>
            <w:shd w:val="clear" w:color="auto" w:fill="auto"/>
            <w:vAlign w:val="center"/>
          </w:tcPr>
          <w:p w14:paraId="45CDC1E8"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-7,0</w:t>
            </w:r>
          </w:p>
        </w:tc>
        <w:tc>
          <w:tcPr>
            <w:tcW w:w="514" w:type="dxa"/>
            <w:tcBorders>
              <w:top w:val="nil"/>
              <w:left w:val="nil"/>
              <w:bottom w:val="nil"/>
              <w:right w:val="nil"/>
            </w:tcBorders>
            <w:shd w:val="clear" w:color="auto" w:fill="auto"/>
            <w:vAlign w:val="center"/>
          </w:tcPr>
          <w:p w14:paraId="0194BDF9"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-12,3</w:t>
            </w:r>
          </w:p>
        </w:tc>
        <w:tc>
          <w:tcPr>
            <w:tcW w:w="514" w:type="dxa"/>
            <w:tcBorders>
              <w:top w:val="nil"/>
              <w:left w:val="nil"/>
              <w:bottom w:val="nil"/>
              <w:right w:val="nil"/>
            </w:tcBorders>
            <w:shd w:val="clear" w:color="auto" w:fill="auto"/>
            <w:vAlign w:val="center"/>
          </w:tcPr>
          <w:p w14:paraId="4248A105"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-11,4</w:t>
            </w:r>
          </w:p>
        </w:tc>
        <w:tc>
          <w:tcPr>
            <w:tcW w:w="514" w:type="dxa"/>
            <w:gridSpan w:val="2"/>
            <w:tcBorders>
              <w:top w:val="nil"/>
              <w:left w:val="nil"/>
              <w:bottom w:val="nil"/>
              <w:right w:val="nil"/>
            </w:tcBorders>
            <w:shd w:val="clear" w:color="auto" w:fill="auto"/>
            <w:vAlign w:val="center"/>
          </w:tcPr>
          <w:p w14:paraId="7756130F"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-8,8</w:t>
            </w:r>
          </w:p>
        </w:tc>
        <w:tc>
          <w:tcPr>
            <w:tcW w:w="624" w:type="dxa"/>
            <w:gridSpan w:val="3"/>
            <w:tcBorders>
              <w:top w:val="nil"/>
              <w:left w:val="nil"/>
              <w:bottom w:val="nil"/>
              <w:right w:val="nil"/>
            </w:tcBorders>
            <w:shd w:val="clear" w:color="auto" w:fill="auto"/>
            <w:vAlign w:val="center"/>
            <w:hideMark/>
          </w:tcPr>
          <w:p w14:paraId="3C260E60" w14:textId="77777777" w:rsidR="00A4169E" w:rsidRPr="007C4F02" w:rsidRDefault="00A4169E" w:rsidP="00B5129A">
            <w:pPr>
              <w:spacing w:after="0" w:line="240" w:lineRule="auto"/>
              <w:rPr>
                <w:rFonts w:ascii="Arial Narrow" w:hAnsi="Arial Narrow"/>
                <w:color w:val="000000"/>
                <w:sz w:val="20"/>
                <w:szCs w:val="20"/>
              </w:rPr>
            </w:pPr>
            <w:r>
              <w:rPr>
                <w:rFonts w:ascii="Arial Narrow" w:hAnsi="Arial Narrow"/>
                <w:color w:val="000000"/>
                <w:sz w:val="20"/>
                <w:szCs w:val="20"/>
              </w:rPr>
              <w:t xml:space="preserve">  </w:t>
            </w:r>
            <w:r w:rsidRPr="007C4F02">
              <w:rPr>
                <w:rFonts w:ascii="Arial Narrow" w:hAnsi="Arial Narrow"/>
                <w:color w:val="000000"/>
                <w:sz w:val="20"/>
                <w:szCs w:val="20"/>
              </w:rPr>
              <w:t>-</w:t>
            </w:r>
            <w:r w:rsidRPr="004B69FC">
              <w:rPr>
                <w:rFonts w:ascii="Arial Narrow" w:hAnsi="Arial Narrow"/>
                <w:color w:val="000000"/>
                <w:sz w:val="20"/>
                <w:szCs w:val="20"/>
              </w:rPr>
              <w:t>11</w:t>
            </w:r>
          </w:p>
        </w:tc>
      </w:tr>
      <w:tr w:rsidR="00A4169E" w:rsidRPr="00451A15" w14:paraId="31BC290E" w14:textId="77777777" w:rsidTr="00B5129A">
        <w:trPr>
          <w:trHeight w:val="248"/>
        </w:trPr>
        <w:tc>
          <w:tcPr>
            <w:tcW w:w="3524" w:type="dxa"/>
            <w:tcBorders>
              <w:top w:val="nil"/>
              <w:left w:val="nil"/>
              <w:bottom w:val="single" w:sz="4" w:space="0" w:color="auto"/>
              <w:right w:val="nil"/>
            </w:tcBorders>
            <w:shd w:val="clear" w:color="auto" w:fill="auto"/>
            <w:noWrap/>
            <w:vAlign w:val="center"/>
            <w:hideMark/>
          </w:tcPr>
          <w:p w14:paraId="42D00C4A" w14:textId="77777777" w:rsidR="00A4169E" w:rsidRPr="00451A15" w:rsidRDefault="00A4169E" w:rsidP="00B5129A">
            <w:pPr>
              <w:spacing w:after="0" w:line="240" w:lineRule="auto"/>
              <w:jc w:val="both"/>
              <w:rPr>
                <w:rFonts w:ascii="Arial Narrow" w:hAnsi="Arial Narrow"/>
                <w:color w:val="000000"/>
                <w:sz w:val="20"/>
                <w:szCs w:val="20"/>
              </w:rPr>
            </w:pPr>
            <w:r w:rsidRPr="00451A15">
              <w:rPr>
                <w:rFonts w:ascii="Arial Narrow" w:hAnsi="Arial Narrow"/>
                <w:color w:val="000000"/>
                <w:sz w:val="20"/>
                <w:szCs w:val="20"/>
              </w:rPr>
              <w:t>(%, zmena voči priemeru rokov 2001- 2005)</w:t>
            </w:r>
          </w:p>
        </w:tc>
        <w:tc>
          <w:tcPr>
            <w:tcW w:w="375" w:type="dxa"/>
            <w:tcBorders>
              <w:top w:val="nil"/>
              <w:left w:val="nil"/>
              <w:bottom w:val="single" w:sz="4" w:space="0" w:color="auto"/>
              <w:right w:val="nil"/>
            </w:tcBorders>
            <w:shd w:val="clear" w:color="auto" w:fill="auto"/>
            <w:noWrap/>
            <w:vAlign w:val="center"/>
            <w:hideMark/>
          </w:tcPr>
          <w:p w14:paraId="42745D0E" w14:textId="77777777" w:rsidR="00A4169E" w:rsidRPr="00451A15" w:rsidRDefault="00A4169E" w:rsidP="00B5129A">
            <w:pPr>
              <w:spacing w:after="0" w:line="240" w:lineRule="auto"/>
              <w:jc w:val="center"/>
              <w:rPr>
                <w:rFonts w:ascii="Arial Narrow" w:hAnsi="Arial Narrow"/>
                <w:b/>
                <w:bCs/>
                <w:color w:val="000000"/>
                <w:sz w:val="20"/>
                <w:szCs w:val="20"/>
              </w:rPr>
            </w:pPr>
            <w:r w:rsidRPr="00451A15">
              <w:rPr>
                <w:rFonts w:ascii="Arial Narrow" w:hAnsi="Arial Narrow"/>
                <w:b/>
                <w:bCs/>
                <w:color w:val="000000"/>
                <w:sz w:val="20"/>
                <w:szCs w:val="20"/>
              </w:rPr>
              <w:t>EÚ</w:t>
            </w:r>
          </w:p>
        </w:tc>
        <w:tc>
          <w:tcPr>
            <w:tcW w:w="514" w:type="dxa"/>
            <w:tcBorders>
              <w:top w:val="nil"/>
              <w:left w:val="nil"/>
              <w:bottom w:val="single" w:sz="4" w:space="0" w:color="auto"/>
              <w:right w:val="nil"/>
            </w:tcBorders>
            <w:shd w:val="clear" w:color="auto" w:fill="auto"/>
            <w:vAlign w:val="center"/>
            <w:hideMark/>
          </w:tcPr>
          <w:p w14:paraId="0522CAB1"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-4,8</w:t>
            </w:r>
          </w:p>
        </w:tc>
        <w:tc>
          <w:tcPr>
            <w:tcW w:w="514" w:type="dxa"/>
            <w:tcBorders>
              <w:top w:val="nil"/>
              <w:left w:val="nil"/>
              <w:bottom w:val="single" w:sz="4" w:space="0" w:color="auto"/>
              <w:right w:val="nil"/>
            </w:tcBorders>
            <w:shd w:val="clear" w:color="auto" w:fill="auto"/>
            <w:vAlign w:val="center"/>
          </w:tcPr>
          <w:p w14:paraId="22C68B4B"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-0,7</w:t>
            </w:r>
          </w:p>
        </w:tc>
        <w:tc>
          <w:tcPr>
            <w:tcW w:w="514" w:type="dxa"/>
            <w:tcBorders>
              <w:top w:val="nil"/>
              <w:left w:val="nil"/>
              <w:bottom w:val="single" w:sz="4" w:space="0" w:color="auto"/>
              <w:right w:val="nil"/>
            </w:tcBorders>
            <w:shd w:val="clear" w:color="auto" w:fill="auto"/>
            <w:vAlign w:val="center"/>
          </w:tcPr>
          <w:p w14:paraId="35DA8F6B"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-5,3</w:t>
            </w:r>
          </w:p>
        </w:tc>
        <w:tc>
          <w:tcPr>
            <w:tcW w:w="514" w:type="dxa"/>
            <w:tcBorders>
              <w:top w:val="nil"/>
              <w:left w:val="nil"/>
              <w:bottom w:val="single" w:sz="4" w:space="0" w:color="auto"/>
              <w:right w:val="nil"/>
            </w:tcBorders>
            <w:shd w:val="clear" w:color="auto" w:fill="auto"/>
            <w:vAlign w:val="center"/>
          </w:tcPr>
          <w:p w14:paraId="1CBCC72D"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-5,4</w:t>
            </w:r>
          </w:p>
        </w:tc>
        <w:tc>
          <w:tcPr>
            <w:tcW w:w="514" w:type="dxa"/>
            <w:tcBorders>
              <w:top w:val="nil"/>
              <w:left w:val="nil"/>
              <w:bottom w:val="single" w:sz="4" w:space="0" w:color="auto"/>
              <w:right w:val="nil"/>
            </w:tcBorders>
            <w:shd w:val="clear" w:color="auto" w:fill="auto"/>
            <w:vAlign w:val="center"/>
          </w:tcPr>
          <w:p w14:paraId="1131D1E2"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-5,4</w:t>
            </w:r>
          </w:p>
        </w:tc>
        <w:tc>
          <w:tcPr>
            <w:tcW w:w="514" w:type="dxa"/>
            <w:tcBorders>
              <w:top w:val="nil"/>
              <w:left w:val="nil"/>
              <w:bottom w:val="single" w:sz="4" w:space="0" w:color="auto"/>
              <w:right w:val="nil"/>
            </w:tcBorders>
            <w:shd w:val="clear" w:color="auto" w:fill="auto"/>
            <w:vAlign w:val="center"/>
          </w:tcPr>
          <w:p w14:paraId="3F4D77FC"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-9,3</w:t>
            </w:r>
          </w:p>
        </w:tc>
        <w:tc>
          <w:tcPr>
            <w:tcW w:w="514" w:type="dxa"/>
            <w:tcBorders>
              <w:top w:val="nil"/>
              <w:left w:val="nil"/>
              <w:bottom w:val="single" w:sz="4" w:space="0" w:color="auto"/>
              <w:right w:val="nil"/>
            </w:tcBorders>
            <w:shd w:val="clear" w:color="auto" w:fill="auto"/>
            <w:vAlign w:val="center"/>
          </w:tcPr>
          <w:p w14:paraId="1A00D0D2"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-7,3</w:t>
            </w:r>
          </w:p>
        </w:tc>
        <w:tc>
          <w:tcPr>
            <w:tcW w:w="514" w:type="dxa"/>
            <w:gridSpan w:val="2"/>
            <w:tcBorders>
              <w:top w:val="nil"/>
              <w:left w:val="nil"/>
              <w:bottom w:val="single" w:sz="4" w:space="0" w:color="auto"/>
              <w:right w:val="nil"/>
            </w:tcBorders>
            <w:shd w:val="clear" w:color="auto" w:fill="auto"/>
            <w:vAlign w:val="center"/>
          </w:tcPr>
          <w:p w14:paraId="2C57CCB3" w14:textId="77777777" w:rsidR="00A4169E" w:rsidRPr="007C4F02" w:rsidRDefault="00A4169E" w:rsidP="00B5129A">
            <w:pPr>
              <w:spacing w:after="0" w:line="240" w:lineRule="auto"/>
              <w:jc w:val="center"/>
              <w:rPr>
                <w:rFonts w:ascii="Arial Narrow" w:hAnsi="Arial Narrow"/>
                <w:color w:val="000000"/>
                <w:sz w:val="20"/>
                <w:szCs w:val="20"/>
              </w:rPr>
            </w:pPr>
            <w:r>
              <w:rPr>
                <w:rFonts w:ascii="Arial Narrow" w:hAnsi="Arial Narrow"/>
                <w:color w:val="000000"/>
                <w:sz w:val="20"/>
                <w:szCs w:val="20"/>
              </w:rPr>
              <w:t>-5,5</w:t>
            </w:r>
          </w:p>
        </w:tc>
        <w:tc>
          <w:tcPr>
            <w:tcW w:w="624" w:type="dxa"/>
            <w:gridSpan w:val="3"/>
            <w:tcBorders>
              <w:top w:val="nil"/>
              <w:left w:val="nil"/>
              <w:bottom w:val="single" w:sz="4" w:space="0" w:color="auto"/>
              <w:right w:val="nil"/>
            </w:tcBorders>
            <w:shd w:val="clear" w:color="auto" w:fill="auto"/>
            <w:vAlign w:val="center"/>
            <w:hideMark/>
          </w:tcPr>
          <w:p w14:paraId="3F54C2A6" w14:textId="77777777" w:rsidR="00A4169E" w:rsidRPr="007C4F02" w:rsidRDefault="00A4169E" w:rsidP="00B5129A">
            <w:pPr>
              <w:spacing w:after="0" w:line="240" w:lineRule="auto"/>
              <w:jc w:val="center"/>
              <w:rPr>
                <w:rFonts w:ascii="Arial Narrow" w:hAnsi="Arial Narrow"/>
                <w:color w:val="000000"/>
                <w:sz w:val="20"/>
                <w:szCs w:val="20"/>
              </w:rPr>
            </w:pPr>
            <w:r w:rsidRPr="007C4F02">
              <w:rPr>
                <w:rFonts w:ascii="Arial Narrow" w:hAnsi="Arial Narrow"/>
                <w:color w:val="000000"/>
                <w:sz w:val="20"/>
                <w:szCs w:val="20"/>
              </w:rPr>
              <w:t>-</w:t>
            </w:r>
            <w:r>
              <w:rPr>
                <w:rFonts w:ascii="Arial Narrow" w:hAnsi="Arial Narrow"/>
                <w:color w:val="000000"/>
                <w:sz w:val="20"/>
                <w:szCs w:val="20"/>
              </w:rPr>
              <w:t>7,3</w:t>
            </w:r>
          </w:p>
        </w:tc>
      </w:tr>
    </w:tbl>
    <w:p w14:paraId="34FE971C" w14:textId="68420EB5" w:rsidR="007D2366" w:rsidRPr="001F0913" w:rsidRDefault="007D2366" w:rsidP="007D2366">
      <w:pPr>
        <w:spacing w:after="0" w:line="240" w:lineRule="auto"/>
        <w:jc w:val="both"/>
        <w:rPr>
          <w:rFonts w:ascii="Arial Narrow" w:hAnsi="Arial Narrow"/>
          <w:i/>
        </w:rPr>
      </w:pPr>
      <w:r w:rsidRPr="00B83B6A">
        <w:rPr>
          <w:rFonts w:ascii="Arial Narrow" w:hAnsi="Arial Narrow"/>
          <w:i/>
        </w:rPr>
        <w:t xml:space="preserve"> </w:t>
      </w:r>
      <w:r>
        <w:rPr>
          <w:rFonts w:ascii="Arial Narrow" w:eastAsia="Calibri" w:hAnsi="Arial Narrow"/>
          <w:sz w:val="16"/>
          <w:szCs w:val="16"/>
          <w:lang w:eastAsia="en-US"/>
        </w:rPr>
        <w:tab/>
        <w:t xml:space="preserve">            </w:t>
      </w:r>
    </w:p>
    <w:p w14:paraId="25F7CA51" w14:textId="493B1C55" w:rsidR="007D2366" w:rsidRDefault="00983382" w:rsidP="007D2366">
      <w:pPr>
        <w:spacing w:after="0" w:line="240" w:lineRule="auto"/>
        <w:jc w:val="both"/>
        <w:rPr>
          <w:rFonts w:ascii="Arial Narrow" w:hAnsi="Arial Narrow"/>
          <w:vertAlign w:val="subscript"/>
        </w:rPr>
      </w:pPr>
      <w:r w:rsidRPr="00983382">
        <w:rPr>
          <w:rFonts w:ascii="Arial Narrow" w:hAnsi="Arial Narrow"/>
        </w:rPr>
        <w:t>V roku 2018 bola, na základe kompozitného indexu EPI</w:t>
      </w:r>
      <w:r w:rsidR="00644055">
        <w:rPr>
          <w:rStyle w:val="Odkaznapoznmkupodiarou"/>
          <w:rFonts w:ascii="Arial Narrow" w:hAnsi="Arial Narrow"/>
        </w:rPr>
        <w:footnoteReference w:id="63"/>
      </w:r>
      <w:r w:rsidRPr="00983382">
        <w:rPr>
          <w:rFonts w:ascii="Arial Narrow" w:hAnsi="Arial Narrow"/>
        </w:rPr>
        <w:t>, celková kvalita životného prostredia na Slovensku hodnotená ako 28. najlepšia na svete, čo predstavuje zhoršenie o štyri miesta v porovnaní s rokom 2016. Aj naďalej existujú oblasti ako odpadové hospodárstvo a kvalita ovzdušia, v ktorých výrazne zaostávame. Slovensko je pod priemerom krajín EU a V3 v miere recyklácie, hoci sa zlepšuje viac ako je priemerná zmena v EÚ. Nadpriemerne veľa obyvateľov Slovenska je vystavených š</w:t>
      </w:r>
      <w:r>
        <w:rPr>
          <w:rFonts w:ascii="Arial Narrow" w:hAnsi="Arial Narrow"/>
        </w:rPr>
        <w:t xml:space="preserve">kodlivým prachovým časticiam </w:t>
      </w:r>
      <w:r w:rsidR="007D2366" w:rsidRPr="003E15E2">
        <w:rPr>
          <w:rFonts w:ascii="Arial Narrow" w:hAnsi="Arial Narrow"/>
        </w:rPr>
        <w:t>PM</w:t>
      </w:r>
      <w:r w:rsidR="007D2366" w:rsidRPr="003E15E2">
        <w:rPr>
          <w:rFonts w:ascii="Arial Narrow" w:hAnsi="Arial Narrow"/>
          <w:vertAlign w:val="subscript"/>
        </w:rPr>
        <w:t>2,5</w:t>
      </w:r>
      <w:r w:rsidR="007D2366" w:rsidRPr="003E15E2">
        <w:rPr>
          <w:rFonts w:ascii="Arial Narrow" w:hAnsi="Arial Narrow"/>
        </w:rPr>
        <w:t>.</w:t>
      </w:r>
    </w:p>
    <w:p w14:paraId="2E19414B" w14:textId="77777777" w:rsidR="00983382" w:rsidRPr="003017FB" w:rsidRDefault="00983382" w:rsidP="007D2366">
      <w:pPr>
        <w:spacing w:after="0" w:line="240" w:lineRule="auto"/>
        <w:jc w:val="both"/>
        <w:rPr>
          <w:rFonts w:ascii="Arial Narrow" w:hAnsi="Arial Narrow"/>
          <w:vertAlign w:val="subscript"/>
        </w:rPr>
      </w:pPr>
    </w:p>
    <w:tbl>
      <w:tblPr>
        <w:tblpPr w:leftFromText="141" w:rightFromText="141" w:bottomFromText="160" w:vertAnchor="text" w:horzAnchor="margin" w:tblpXSpec="center" w:tblpY="19"/>
        <w:tblOverlap w:val="neve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3909"/>
        <w:gridCol w:w="146"/>
        <w:gridCol w:w="4509"/>
      </w:tblGrid>
      <w:tr w:rsidR="00CC150B" w:rsidRPr="006C5792" w14:paraId="078EED9E" w14:textId="77777777" w:rsidTr="00CC150B">
        <w:trPr>
          <w:trHeight w:val="227"/>
        </w:trPr>
        <w:tc>
          <w:tcPr>
            <w:tcW w:w="2282" w:type="pct"/>
            <w:tcBorders>
              <w:top w:val="nil"/>
              <w:left w:val="nil"/>
              <w:bottom w:val="single" w:sz="4" w:space="0" w:color="auto"/>
              <w:right w:val="nil"/>
            </w:tcBorders>
            <w:vAlign w:val="center"/>
            <w:hideMark/>
          </w:tcPr>
          <w:p w14:paraId="19EAB91C" w14:textId="77777777" w:rsidR="007D2366" w:rsidRPr="006C5792" w:rsidRDefault="007D2366" w:rsidP="00342E82">
            <w:pPr>
              <w:pStyle w:val="Graf"/>
              <w:spacing w:after="0" w:line="240" w:lineRule="auto"/>
              <w:jc w:val="both"/>
              <w:rPr>
                <w:rFonts w:eastAsiaTheme="minorHAnsi" w:cstheme="minorBidi"/>
                <w:sz w:val="18"/>
              </w:rPr>
            </w:pPr>
            <w:bookmarkStart w:id="96" w:name="_Toc480760524"/>
            <w:bookmarkStart w:id="97" w:name="_Toc509513346"/>
            <w:r>
              <w:rPr>
                <w:rFonts w:eastAsia="Times New Roman" w:cs="Times New Roman"/>
                <w:color w:val="2C9ADC"/>
                <w:szCs w:val="18"/>
                <w:lang w:eastAsia="sk-SK"/>
              </w:rPr>
              <w:t>Graf</w:t>
            </w:r>
            <w:r w:rsidRPr="00686F3A">
              <w:rPr>
                <w:rFonts w:eastAsia="Times New Roman" w:cs="Times New Roman"/>
                <w:color w:val="2C9ADC"/>
                <w:szCs w:val="18"/>
                <w:lang w:eastAsia="sk-SK"/>
              </w:rPr>
              <w:t xml:space="preserve"> </w:t>
            </w:r>
            <w:r w:rsidRPr="00686F3A">
              <w:rPr>
                <w:rFonts w:eastAsia="Times New Roman" w:cs="Times New Roman"/>
                <w:color w:val="2C9ADC"/>
                <w:szCs w:val="18"/>
                <w:lang w:eastAsia="sk-SK"/>
              </w:rPr>
              <w:fldChar w:fldCharType="begin"/>
            </w:r>
            <w:r w:rsidRPr="00686F3A">
              <w:rPr>
                <w:rFonts w:eastAsia="Times New Roman" w:cs="Times New Roman"/>
                <w:color w:val="2C9ADC"/>
                <w:szCs w:val="18"/>
                <w:lang w:eastAsia="sk-SK"/>
              </w:rPr>
              <w:instrText xml:space="preserve"> SEQ GRAF \* ARABIC </w:instrText>
            </w:r>
            <w:r w:rsidRPr="00686F3A">
              <w:rPr>
                <w:rFonts w:eastAsia="Times New Roman" w:cs="Times New Roman"/>
                <w:color w:val="2C9ADC"/>
                <w:szCs w:val="18"/>
                <w:lang w:eastAsia="sk-SK"/>
              </w:rPr>
              <w:fldChar w:fldCharType="separate"/>
            </w:r>
            <w:r w:rsidR="00EE7207">
              <w:rPr>
                <w:rFonts w:eastAsia="Times New Roman" w:cs="Times New Roman"/>
                <w:noProof/>
                <w:color w:val="2C9ADC"/>
                <w:szCs w:val="18"/>
                <w:lang w:eastAsia="sk-SK"/>
              </w:rPr>
              <w:t>34</w:t>
            </w:r>
            <w:r w:rsidRPr="00686F3A">
              <w:rPr>
                <w:rFonts w:eastAsia="Times New Roman" w:cs="Times New Roman"/>
                <w:color w:val="2C9ADC"/>
                <w:szCs w:val="18"/>
                <w:lang w:eastAsia="sk-SK"/>
              </w:rPr>
              <w:fldChar w:fldCharType="end"/>
            </w:r>
            <w:r w:rsidRPr="00686F3A">
              <w:rPr>
                <w:rFonts w:eastAsia="Times New Roman" w:cs="Times New Roman"/>
                <w:color w:val="2C9ADC"/>
                <w:szCs w:val="18"/>
                <w:lang w:eastAsia="sk-SK"/>
              </w:rPr>
              <w:t>:</w:t>
            </w:r>
            <w:r>
              <w:t xml:space="preserve"> </w:t>
            </w:r>
            <w:r w:rsidRPr="003017FB">
              <w:rPr>
                <w:rFonts w:eastAsia="Times New Roman" w:cs="Times New Roman"/>
                <w:color w:val="2C9ADC"/>
                <w:szCs w:val="18"/>
                <w:lang w:eastAsia="sk-SK"/>
              </w:rPr>
              <w:t>Miera recyklácie komunálneho odpadu</w:t>
            </w:r>
            <w:bookmarkEnd w:id="96"/>
            <w:bookmarkEnd w:id="97"/>
          </w:p>
        </w:tc>
        <w:tc>
          <w:tcPr>
            <w:tcW w:w="85" w:type="pct"/>
            <w:tcBorders>
              <w:top w:val="nil"/>
              <w:left w:val="nil"/>
              <w:bottom w:val="nil"/>
              <w:right w:val="nil"/>
            </w:tcBorders>
            <w:vAlign w:val="center"/>
          </w:tcPr>
          <w:p w14:paraId="5CCC18FF" w14:textId="77777777" w:rsidR="007D2366" w:rsidRPr="006C5792" w:rsidRDefault="007D2366" w:rsidP="00342E82">
            <w:pPr>
              <w:spacing w:before="60" w:after="0" w:line="240" w:lineRule="auto"/>
              <w:rPr>
                <w:rFonts w:ascii="Arial Narrow" w:hAnsi="Arial Narrow" w:cs="Arial"/>
                <w:b/>
                <w:color w:val="2C9ADC"/>
                <w:sz w:val="20"/>
                <w:szCs w:val="18"/>
              </w:rPr>
            </w:pPr>
          </w:p>
        </w:tc>
        <w:tc>
          <w:tcPr>
            <w:tcW w:w="2633" w:type="pct"/>
            <w:tcBorders>
              <w:top w:val="nil"/>
              <w:left w:val="nil"/>
              <w:bottom w:val="single" w:sz="4" w:space="0" w:color="auto"/>
              <w:right w:val="nil"/>
            </w:tcBorders>
            <w:vAlign w:val="center"/>
            <w:hideMark/>
          </w:tcPr>
          <w:p w14:paraId="1CE7E6D3" w14:textId="77777777" w:rsidR="007D2366" w:rsidRPr="00170162" w:rsidRDefault="007D2366" w:rsidP="00342E82">
            <w:pPr>
              <w:pStyle w:val="Graf"/>
              <w:spacing w:after="0" w:line="240" w:lineRule="auto"/>
              <w:rPr>
                <w:rFonts w:cs="Arial"/>
                <w:color w:val="2C9ADC"/>
                <w:szCs w:val="18"/>
              </w:rPr>
            </w:pPr>
            <w:bookmarkStart w:id="98" w:name="_Toc480760525"/>
            <w:bookmarkStart w:id="99" w:name="_Toc509513347"/>
            <w:r w:rsidRPr="00310353">
              <w:rPr>
                <w:rFonts w:cs="Arial"/>
                <w:color w:val="2C9ADC"/>
                <w:szCs w:val="18"/>
              </w:rPr>
              <w:t xml:space="preserve">Graf </w:t>
            </w:r>
            <w:r w:rsidRPr="00310353">
              <w:rPr>
                <w:rFonts w:cs="Arial"/>
                <w:color w:val="2C9ADC"/>
                <w:szCs w:val="18"/>
              </w:rPr>
              <w:fldChar w:fldCharType="begin"/>
            </w:r>
            <w:r w:rsidRPr="00310353">
              <w:rPr>
                <w:rFonts w:cs="Arial"/>
                <w:color w:val="2C9ADC"/>
                <w:szCs w:val="18"/>
              </w:rPr>
              <w:instrText xml:space="preserve"> SEQ GRAF \* ARABIC </w:instrText>
            </w:r>
            <w:r w:rsidRPr="00310353">
              <w:rPr>
                <w:rFonts w:cs="Arial"/>
                <w:color w:val="2C9ADC"/>
                <w:szCs w:val="18"/>
              </w:rPr>
              <w:fldChar w:fldCharType="separate"/>
            </w:r>
            <w:r w:rsidR="00EE7207">
              <w:rPr>
                <w:rFonts w:cs="Arial"/>
                <w:noProof/>
                <w:color w:val="2C9ADC"/>
                <w:szCs w:val="18"/>
              </w:rPr>
              <w:t>35</w:t>
            </w:r>
            <w:r w:rsidRPr="00310353">
              <w:rPr>
                <w:rFonts w:cs="Arial"/>
                <w:color w:val="2C9ADC"/>
                <w:szCs w:val="18"/>
              </w:rPr>
              <w:fldChar w:fldCharType="end"/>
            </w:r>
            <w:r w:rsidRPr="00310353">
              <w:rPr>
                <w:rFonts w:cs="Arial"/>
                <w:color w:val="2C9ADC"/>
                <w:szCs w:val="18"/>
              </w:rPr>
              <w:t xml:space="preserve">: </w:t>
            </w:r>
            <w:r w:rsidRPr="003017FB">
              <w:rPr>
                <w:rFonts w:cs="Arial"/>
                <w:color w:val="2C9ADC"/>
                <w:szCs w:val="18"/>
              </w:rPr>
              <w:t>Priemerné vystaven</w:t>
            </w:r>
            <w:r>
              <w:rPr>
                <w:rFonts w:cs="Arial"/>
                <w:color w:val="2C9ADC"/>
                <w:szCs w:val="18"/>
              </w:rPr>
              <w:t>ie obyvateľstva PM2,5 v µg/m3 (</w:t>
            </w:r>
            <w:r w:rsidR="009F1D81">
              <w:rPr>
                <w:rFonts w:cs="Arial"/>
                <w:color w:val="2C9ADC"/>
                <w:szCs w:val="18"/>
              </w:rPr>
              <w:t>2015, odhadované hodnoty</w:t>
            </w:r>
            <w:r w:rsidRPr="003017FB">
              <w:rPr>
                <w:rFonts w:cs="Arial"/>
                <w:color w:val="2C9ADC"/>
                <w:szCs w:val="18"/>
              </w:rPr>
              <w:t>)</w:t>
            </w:r>
            <w:bookmarkEnd w:id="98"/>
            <w:bookmarkEnd w:id="99"/>
          </w:p>
        </w:tc>
      </w:tr>
      <w:tr w:rsidR="00D63DFC" w:rsidRPr="006C5792" w14:paraId="1DDDFF10" w14:textId="77777777" w:rsidTr="00CC150B">
        <w:trPr>
          <w:trHeight w:val="3042"/>
        </w:trPr>
        <w:tc>
          <w:tcPr>
            <w:tcW w:w="2282" w:type="pct"/>
            <w:tcBorders>
              <w:top w:val="single" w:sz="4" w:space="0" w:color="auto"/>
              <w:left w:val="nil"/>
              <w:bottom w:val="single" w:sz="4" w:space="0" w:color="auto"/>
              <w:right w:val="nil"/>
            </w:tcBorders>
          </w:tcPr>
          <w:p w14:paraId="113E8C62" w14:textId="77777777" w:rsidR="007D2366" w:rsidRPr="006C5792" w:rsidRDefault="009F1D81" w:rsidP="00342E82">
            <w:pPr>
              <w:spacing w:before="40" w:after="0" w:line="240" w:lineRule="auto"/>
              <w:jc w:val="center"/>
              <w:rPr>
                <w:rFonts w:ascii="Arial Narrow" w:hAnsi="Arial Narrow" w:cs="Arial"/>
                <w:b/>
                <w:sz w:val="20"/>
                <w:szCs w:val="20"/>
              </w:rPr>
            </w:pPr>
            <w:r>
              <w:rPr>
                <w:noProof/>
                <w:lang w:val="en-US" w:eastAsia="en-US"/>
              </w:rPr>
              <w:drawing>
                <wp:inline distT="0" distB="0" distL="0" distR="0" wp14:anchorId="488F1E0F" wp14:editId="3581055C">
                  <wp:extent cx="2457450" cy="184785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85" w:type="pct"/>
            <w:tcBorders>
              <w:top w:val="nil"/>
              <w:left w:val="nil"/>
              <w:bottom w:val="nil"/>
              <w:right w:val="nil"/>
            </w:tcBorders>
            <w:vAlign w:val="center"/>
          </w:tcPr>
          <w:p w14:paraId="279C581B" w14:textId="77777777" w:rsidR="007D2366" w:rsidRPr="006C5792" w:rsidRDefault="007D2366" w:rsidP="00342E82">
            <w:pPr>
              <w:spacing w:before="40" w:after="0" w:line="240" w:lineRule="auto"/>
              <w:jc w:val="center"/>
              <w:rPr>
                <w:rFonts w:ascii="Arial Narrow" w:hAnsi="Arial Narrow" w:cs="Arial"/>
                <w:b/>
                <w:sz w:val="20"/>
                <w:szCs w:val="20"/>
              </w:rPr>
            </w:pPr>
          </w:p>
        </w:tc>
        <w:tc>
          <w:tcPr>
            <w:tcW w:w="2633" w:type="pct"/>
            <w:tcBorders>
              <w:top w:val="single" w:sz="4" w:space="0" w:color="auto"/>
              <w:left w:val="nil"/>
              <w:bottom w:val="single" w:sz="4" w:space="0" w:color="auto"/>
              <w:right w:val="nil"/>
            </w:tcBorders>
            <w:hideMark/>
          </w:tcPr>
          <w:p w14:paraId="33ECC8BE" w14:textId="77777777" w:rsidR="007D2366" w:rsidRPr="006C5792" w:rsidRDefault="009F1D81" w:rsidP="00342E82">
            <w:pPr>
              <w:spacing w:before="40" w:after="0" w:line="240" w:lineRule="auto"/>
              <w:jc w:val="center"/>
              <w:rPr>
                <w:rFonts w:ascii="Arial Narrow" w:hAnsi="Arial Narrow" w:cs="Arial"/>
                <w:b/>
                <w:sz w:val="20"/>
                <w:szCs w:val="20"/>
              </w:rPr>
            </w:pPr>
            <w:r>
              <w:rPr>
                <w:noProof/>
                <w:lang w:val="en-US" w:eastAsia="en-US"/>
              </w:rPr>
              <w:drawing>
                <wp:inline distT="0" distB="0" distL="0" distR="0" wp14:anchorId="31B76115" wp14:editId="6314211E">
                  <wp:extent cx="2847975" cy="184785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r w:rsidR="00CC150B" w:rsidRPr="006C5792" w14:paraId="47CC24CA" w14:textId="77777777" w:rsidTr="00CC150B">
        <w:trPr>
          <w:trHeight w:val="70"/>
        </w:trPr>
        <w:tc>
          <w:tcPr>
            <w:tcW w:w="2282" w:type="pct"/>
            <w:tcBorders>
              <w:top w:val="single" w:sz="4" w:space="0" w:color="auto"/>
              <w:left w:val="nil"/>
              <w:bottom w:val="nil"/>
              <w:right w:val="nil"/>
            </w:tcBorders>
            <w:vAlign w:val="center"/>
          </w:tcPr>
          <w:p w14:paraId="688EBAB6" w14:textId="77777777" w:rsidR="007D2366" w:rsidRPr="00C83F39" w:rsidRDefault="007D2366" w:rsidP="00BA6E1A">
            <w:pPr>
              <w:spacing w:after="0" w:line="240" w:lineRule="auto"/>
              <w:jc w:val="right"/>
              <w:rPr>
                <w:rFonts w:ascii="Arial Narrow" w:hAnsi="Arial Narrow" w:cs="Arial"/>
                <w:i/>
                <w:sz w:val="16"/>
                <w:szCs w:val="16"/>
              </w:rPr>
            </w:pPr>
            <w:r w:rsidRPr="00C83F39">
              <w:rPr>
                <w:rFonts w:ascii="Arial Narrow" w:hAnsi="Arial Narrow" w:cs="Arial Narrow"/>
                <w:i/>
                <w:iCs/>
                <w:color w:val="000000"/>
                <w:sz w:val="16"/>
                <w:szCs w:val="16"/>
              </w:rPr>
              <w:t xml:space="preserve">Zdroj: </w:t>
            </w:r>
            <w:proofErr w:type="spellStart"/>
            <w:r w:rsidRPr="00C83F39">
              <w:rPr>
                <w:rFonts w:ascii="Arial Narrow" w:hAnsi="Arial Narrow" w:cs="Arial Narrow"/>
                <w:i/>
                <w:iCs/>
                <w:color w:val="000000"/>
                <w:sz w:val="16"/>
                <w:szCs w:val="16"/>
              </w:rPr>
              <w:t>Eurostat</w:t>
            </w:r>
            <w:proofErr w:type="spellEnd"/>
          </w:p>
        </w:tc>
        <w:tc>
          <w:tcPr>
            <w:tcW w:w="85" w:type="pct"/>
            <w:tcBorders>
              <w:top w:val="nil"/>
              <w:left w:val="nil"/>
              <w:bottom w:val="nil"/>
              <w:right w:val="nil"/>
            </w:tcBorders>
            <w:vAlign w:val="center"/>
          </w:tcPr>
          <w:p w14:paraId="469DD745" w14:textId="77777777" w:rsidR="007D2366" w:rsidRPr="00C83F39" w:rsidRDefault="007D2366" w:rsidP="00BA6E1A">
            <w:pPr>
              <w:spacing w:after="0" w:line="240" w:lineRule="auto"/>
              <w:jc w:val="center"/>
              <w:rPr>
                <w:rFonts w:ascii="Arial Narrow" w:hAnsi="Arial Narrow" w:cs="Arial"/>
                <w:i/>
                <w:sz w:val="16"/>
                <w:szCs w:val="16"/>
              </w:rPr>
            </w:pPr>
          </w:p>
        </w:tc>
        <w:tc>
          <w:tcPr>
            <w:tcW w:w="2633" w:type="pct"/>
            <w:tcBorders>
              <w:top w:val="single" w:sz="4" w:space="0" w:color="auto"/>
              <w:left w:val="nil"/>
              <w:bottom w:val="nil"/>
              <w:right w:val="nil"/>
            </w:tcBorders>
            <w:vAlign w:val="center"/>
          </w:tcPr>
          <w:p w14:paraId="30585546" w14:textId="77777777" w:rsidR="007D2366" w:rsidRPr="00C83F39" w:rsidRDefault="007D2366" w:rsidP="00BA6E1A">
            <w:pPr>
              <w:spacing w:after="0" w:line="240" w:lineRule="auto"/>
              <w:jc w:val="right"/>
              <w:rPr>
                <w:rFonts w:ascii="Arial Narrow" w:hAnsi="Arial Narrow" w:cs="Arial"/>
                <w:i/>
                <w:sz w:val="16"/>
                <w:szCs w:val="16"/>
              </w:rPr>
            </w:pPr>
            <w:r w:rsidRPr="00C83F39">
              <w:rPr>
                <w:rFonts w:ascii="Arial Narrow" w:hAnsi="Arial Narrow" w:cs="Arial Narrow"/>
                <w:i/>
                <w:iCs/>
                <w:color w:val="000000"/>
                <w:sz w:val="16"/>
                <w:szCs w:val="16"/>
              </w:rPr>
              <w:t xml:space="preserve">Zdroj: </w:t>
            </w:r>
            <w:r>
              <w:rPr>
                <w:rFonts w:ascii="Arial Narrow" w:hAnsi="Arial Narrow" w:cs="Arial Narrow"/>
                <w:i/>
                <w:iCs/>
                <w:color w:val="000000"/>
                <w:sz w:val="16"/>
                <w:szCs w:val="16"/>
              </w:rPr>
              <w:t>OECD</w:t>
            </w:r>
          </w:p>
        </w:tc>
      </w:tr>
    </w:tbl>
    <w:p w14:paraId="7DAC225C" w14:textId="77777777" w:rsidR="00CC150B" w:rsidRPr="00A80551" w:rsidRDefault="00CC150B" w:rsidP="008A1BFF">
      <w:pPr>
        <w:spacing w:after="0" w:line="240" w:lineRule="auto"/>
        <w:jc w:val="both"/>
        <w:rPr>
          <w:rFonts w:ascii="Arial Narrow" w:hAnsi="Arial Narrow"/>
          <w:b/>
          <w:i/>
          <w:lang w:eastAsia="cs-CZ"/>
        </w:rPr>
      </w:pPr>
      <w:r w:rsidRPr="00A80551">
        <w:rPr>
          <w:rFonts w:ascii="Arial Narrow" w:hAnsi="Arial Narrow"/>
          <w:b/>
          <w:i/>
          <w:lang w:eastAsia="cs-CZ"/>
        </w:rPr>
        <w:t>Implementácia revízie výdavkov</w:t>
      </w:r>
    </w:p>
    <w:p w14:paraId="4FAF207A" w14:textId="77777777" w:rsidR="00CC150B" w:rsidRPr="00CC150B" w:rsidRDefault="00CC150B" w:rsidP="008A1BFF">
      <w:pPr>
        <w:spacing w:after="0" w:line="240" w:lineRule="auto"/>
        <w:jc w:val="both"/>
        <w:rPr>
          <w:rFonts w:ascii="Arial Narrow" w:hAnsi="Arial Narrow"/>
        </w:rPr>
      </w:pPr>
      <w:r w:rsidRPr="00CC150B">
        <w:rPr>
          <w:rFonts w:ascii="Arial Narrow" w:hAnsi="Arial Narrow"/>
        </w:rPr>
        <w:t>Opatrenia revízie výdavkov na životné prostredie budú realizované na základe Implementačného plánu 2018 v spolupráci s Úradom podpredsedu vlády SR pre investície a informatizáciu. Ich realizácia povedie k zvýšeniu hodnoty v oblasti zlepšovania kvality životného prostredia o 241 mil. eur v roku 2018</w:t>
      </w:r>
      <w:r w:rsidR="00BC3CC7">
        <w:rPr>
          <w:rFonts w:ascii="Arial Narrow" w:hAnsi="Arial Narrow"/>
        </w:rPr>
        <w:t>.</w:t>
      </w:r>
      <w:r w:rsidRPr="00CC150B">
        <w:rPr>
          <w:rFonts w:ascii="Arial Narrow" w:hAnsi="Arial Narrow"/>
        </w:rPr>
        <w:t xml:space="preserve"> </w:t>
      </w:r>
    </w:p>
    <w:p w14:paraId="0C7DC84F" w14:textId="77777777" w:rsidR="007D2366" w:rsidRDefault="007D2366" w:rsidP="008A1BFF">
      <w:pPr>
        <w:spacing w:after="0" w:line="240" w:lineRule="auto"/>
        <w:jc w:val="both"/>
        <w:rPr>
          <w:rFonts w:ascii="Arial Narrow" w:hAnsi="Arial Narrow"/>
          <w:b/>
          <w:bCs/>
          <w:i/>
          <w:iCs/>
        </w:rPr>
      </w:pPr>
    </w:p>
    <w:p w14:paraId="507A25F6" w14:textId="77777777" w:rsidR="009D1400" w:rsidRDefault="009D1400">
      <w:pPr>
        <w:spacing w:after="0" w:line="240" w:lineRule="auto"/>
        <w:rPr>
          <w:rFonts w:ascii="Arial Narrow" w:hAnsi="Arial Narrow"/>
          <w:b/>
          <w:bCs/>
          <w:i/>
          <w:iCs/>
        </w:rPr>
      </w:pPr>
      <w:r>
        <w:rPr>
          <w:rFonts w:ascii="Arial Narrow" w:hAnsi="Arial Narrow"/>
          <w:b/>
          <w:bCs/>
          <w:i/>
          <w:iCs/>
        </w:rPr>
        <w:br w:type="page"/>
      </w:r>
    </w:p>
    <w:p w14:paraId="790F2F19" w14:textId="77777777" w:rsidR="00CC150B" w:rsidRPr="009D01B4" w:rsidRDefault="00CC150B" w:rsidP="008A1BFF">
      <w:pPr>
        <w:autoSpaceDE w:val="0"/>
        <w:autoSpaceDN w:val="0"/>
        <w:adjustRightInd w:val="0"/>
        <w:spacing w:after="0" w:line="240" w:lineRule="auto"/>
        <w:jc w:val="both"/>
        <w:rPr>
          <w:rFonts w:ascii="Arial Narrow" w:hAnsi="Arial Narrow"/>
          <w:b/>
          <w:bCs/>
          <w:i/>
          <w:iCs/>
        </w:rPr>
      </w:pPr>
      <w:r w:rsidRPr="009D01B4">
        <w:rPr>
          <w:rFonts w:ascii="Arial Narrow" w:hAnsi="Arial Narrow"/>
          <w:b/>
          <w:bCs/>
          <w:i/>
          <w:iCs/>
        </w:rPr>
        <w:lastRenderedPageBreak/>
        <w:t xml:space="preserve">Informačná platforma </w:t>
      </w:r>
      <w:r>
        <w:rPr>
          <w:rFonts w:ascii="Arial Narrow" w:hAnsi="Arial Narrow"/>
          <w:b/>
          <w:bCs/>
          <w:i/>
          <w:iCs/>
        </w:rPr>
        <w:t>–</w:t>
      </w:r>
      <w:r w:rsidRPr="009D01B4">
        <w:rPr>
          <w:rFonts w:ascii="Arial Narrow" w:hAnsi="Arial Narrow"/>
          <w:b/>
          <w:bCs/>
          <w:i/>
          <w:iCs/>
        </w:rPr>
        <w:t xml:space="preserve"> Zelené hospodárstvo</w:t>
      </w:r>
    </w:p>
    <w:p w14:paraId="568EBF07" w14:textId="44E154A1" w:rsidR="00CC150B" w:rsidRPr="00CC150B" w:rsidRDefault="00CC150B" w:rsidP="008A1BFF">
      <w:pPr>
        <w:spacing w:after="0" w:line="240" w:lineRule="auto"/>
        <w:jc w:val="both"/>
        <w:rPr>
          <w:rFonts w:ascii="Arial Narrow" w:hAnsi="Arial Narrow"/>
        </w:rPr>
      </w:pPr>
      <w:r>
        <w:rPr>
          <w:rFonts w:ascii="Arial Narrow" w:hAnsi="Arial Narrow"/>
        </w:rPr>
        <w:t>Zelený vzdelávací fond</w:t>
      </w:r>
      <w:r w:rsidRPr="00CC150B">
        <w:rPr>
          <w:rFonts w:ascii="Arial Narrow" w:hAnsi="Arial Narrow"/>
        </w:rPr>
        <w:t xml:space="preserve"> bude po pilotnom ročníku pokračovať vo financovaní vzdelávac</w:t>
      </w:r>
      <w:r w:rsidR="001F0913">
        <w:rPr>
          <w:rFonts w:ascii="Arial Narrow" w:hAnsi="Arial Narrow"/>
        </w:rPr>
        <w:t xml:space="preserve">ích environmentálnych aktivít, </w:t>
      </w:r>
      <w:r w:rsidRPr="00CC150B">
        <w:rPr>
          <w:rFonts w:ascii="Arial Narrow" w:hAnsi="Arial Narrow"/>
        </w:rPr>
        <w:t>prostredníctvom podpory neziskových organizácií Informačná platforma Zelené hospodárstvo sa po pilotnej fáze zameranej na podnikateľskú sféru rozšíri na ďalšie subjekty. Bude prispievať k zvyšovaniu environmentálneho povedomia a poskytovať informácie z oblasti financovania prechodu na obehové hospodárstvo</w:t>
      </w:r>
      <w:r w:rsidR="00BC3CC7">
        <w:rPr>
          <w:rStyle w:val="Odkaznapoznmkupodiarou"/>
          <w:rFonts w:ascii="Arial Narrow" w:hAnsi="Arial Narrow"/>
        </w:rPr>
        <w:footnoteReference w:id="64"/>
      </w:r>
      <w:r w:rsidRPr="00CC150B">
        <w:rPr>
          <w:rFonts w:ascii="Arial Narrow" w:hAnsi="Arial Narrow"/>
        </w:rPr>
        <w:t>.</w:t>
      </w:r>
    </w:p>
    <w:p w14:paraId="3D434D94" w14:textId="77777777" w:rsidR="00CC150B" w:rsidRDefault="00CC150B" w:rsidP="008A1BFF">
      <w:pPr>
        <w:spacing w:after="0" w:line="240" w:lineRule="auto"/>
        <w:jc w:val="both"/>
        <w:rPr>
          <w:rFonts w:ascii="Arial Narrow" w:hAnsi="Arial Narrow"/>
          <w:b/>
          <w:bCs/>
          <w:i/>
          <w:iCs/>
        </w:rPr>
      </w:pPr>
    </w:p>
    <w:p w14:paraId="5A03FF08" w14:textId="77777777" w:rsidR="007D2366" w:rsidRDefault="007D2366" w:rsidP="008A1BFF">
      <w:pPr>
        <w:spacing w:after="0" w:line="240" w:lineRule="auto"/>
        <w:jc w:val="both"/>
        <w:rPr>
          <w:rFonts w:ascii="Arial Narrow" w:hAnsi="Arial Narrow"/>
          <w:b/>
          <w:bCs/>
          <w:i/>
          <w:iCs/>
        </w:rPr>
      </w:pPr>
      <w:r w:rsidRPr="009D01B4">
        <w:rPr>
          <w:rFonts w:ascii="Arial Narrow" w:hAnsi="Arial Narrow"/>
          <w:b/>
          <w:bCs/>
          <w:i/>
          <w:iCs/>
        </w:rPr>
        <w:t>Environmentálne stratégie</w:t>
      </w:r>
    </w:p>
    <w:p w14:paraId="665BAEB2" w14:textId="77777777" w:rsidR="00BA6E1A" w:rsidRDefault="00CC150B" w:rsidP="008A1BFF">
      <w:pPr>
        <w:spacing w:after="0" w:line="240" w:lineRule="auto"/>
        <w:jc w:val="both"/>
        <w:rPr>
          <w:rFonts w:ascii="Arial Narrow" w:hAnsi="Arial Narrow"/>
        </w:rPr>
      </w:pPr>
      <w:r w:rsidRPr="00CC150B">
        <w:rPr>
          <w:rFonts w:ascii="Arial Narrow" w:hAnsi="Arial Narrow"/>
        </w:rPr>
        <w:t xml:space="preserve">V priebehu roka 2018 bude vláde SR predložená na schválenie </w:t>
      </w:r>
      <w:r w:rsidRPr="00CC150B">
        <w:rPr>
          <w:rFonts w:ascii="Arial Narrow" w:hAnsi="Arial Narrow"/>
          <w:b/>
        </w:rPr>
        <w:t>Stratégia environmentálnej politiky do roku 2030</w:t>
      </w:r>
      <w:r w:rsidRPr="00CC150B">
        <w:rPr>
          <w:rFonts w:ascii="Arial Narrow" w:hAnsi="Arial Narrow"/>
        </w:rPr>
        <w:t xml:space="preserve">. </w:t>
      </w:r>
      <w:r w:rsidR="00BA6E1A">
        <w:rPr>
          <w:rFonts w:ascii="Arial Narrow" w:hAnsi="Arial Narrow"/>
        </w:rPr>
        <w:t>N</w:t>
      </w:r>
      <w:r w:rsidRPr="00CC150B">
        <w:rPr>
          <w:rFonts w:ascii="Arial Narrow" w:hAnsi="Arial Narrow"/>
        </w:rPr>
        <w:t xml:space="preserve">astavuje merateľné ciele a navrhuje systémové riešenia pre najväčšie environmentálne výzvy Slovenska, hlavne kvalitu ovzdušia, odpady a lesy. </w:t>
      </w:r>
    </w:p>
    <w:p w14:paraId="6649C5DE" w14:textId="77777777" w:rsidR="00BA6E1A" w:rsidRDefault="00BA6E1A" w:rsidP="008A1BFF">
      <w:pPr>
        <w:spacing w:after="0" w:line="240" w:lineRule="auto"/>
        <w:jc w:val="both"/>
        <w:rPr>
          <w:rFonts w:ascii="Arial Narrow" w:hAnsi="Arial Narrow"/>
        </w:rPr>
      </w:pPr>
    </w:p>
    <w:p w14:paraId="3738C25F" w14:textId="484EF88D" w:rsidR="00BA6E1A" w:rsidRDefault="00CC150B" w:rsidP="008A1BFF">
      <w:pPr>
        <w:spacing w:after="0" w:line="240" w:lineRule="auto"/>
        <w:jc w:val="both"/>
        <w:rPr>
          <w:rFonts w:ascii="Arial Narrow" w:hAnsi="Arial Narrow"/>
        </w:rPr>
      </w:pPr>
      <w:r w:rsidRPr="00CC150B">
        <w:rPr>
          <w:rFonts w:ascii="Arial Narrow" w:hAnsi="Arial Narrow"/>
        </w:rPr>
        <w:t xml:space="preserve">V prvej polovici roka 2018 bude publikovaná štúdia </w:t>
      </w:r>
      <w:proofErr w:type="spellStart"/>
      <w:r w:rsidRPr="00CC150B">
        <w:rPr>
          <w:rFonts w:ascii="Arial Narrow" w:hAnsi="Arial Narrow"/>
        </w:rPr>
        <w:t>nízkouh</w:t>
      </w:r>
      <w:r w:rsidR="001F0913">
        <w:rPr>
          <w:rFonts w:ascii="Arial Narrow" w:hAnsi="Arial Narrow"/>
        </w:rPr>
        <w:t>líkového</w:t>
      </w:r>
      <w:proofErr w:type="spellEnd"/>
      <w:r w:rsidR="001F0913">
        <w:rPr>
          <w:rFonts w:ascii="Arial Narrow" w:hAnsi="Arial Narrow"/>
        </w:rPr>
        <w:t xml:space="preserve"> rozvoja, ktorá vzniká v spolupráci MŽP SR </w:t>
      </w:r>
      <w:r w:rsidRPr="00CC150B">
        <w:rPr>
          <w:rFonts w:ascii="Arial Narrow" w:hAnsi="Arial Narrow"/>
        </w:rPr>
        <w:t xml:space="preserve">so Svetovou bankou a expertmi z iných rezortov. V nadväznosti na štúdiu bude pripravená </w:t>
      </w:r>
      <w:proofErr w:type="spellStart"/>
      <w:r w:rsidRPr="00CC150B">
        <w:rPr>
          <w:rFonts w:ascii="Arial Narrow" w:hAnsi="Arial Narrow"/>
          <w:b/>
        </w:rPr>
        <w:t>Nízkouhlíková</w:t>
      </w:r>
      <w:proofErr w:type="spellEnd"/>
      <w:r w:rsidRPr="00CC150B">
        <w:rPr>
          <w:rFonts w:ascii="Arial Narrow" w:hAnsi="Arial Narrow"/>
          <w:b/>
        </w:rPr>
        <w:t xml:space="preserve"> stratégia</w:t>
      </w:r>
      <w:r w:rsidRPr="00CC150B">
        <w:rPr>
          <w:rFonts w:ascii="Arial Narrow" w:hAnsi="Arial Narrow"/>
        </w:rPr>
        <w:t>, ktorá identifikuje</w:t>
      </w:r>
      <w:r w:rsidR="00B22F8C">
        <w:rPr>
          <w:rFonts w:ascii="Arial Narrow" w:hAnsi="Arial Narrow"/>
        </w:rPr>
        <w:t xml:space="preserve"> </w:t>
      </w:r>
      <w:r w:rsidR="00B22F8C" w:rsidRPr="00B22F8C">
        <w:rPr>
          <w:rFonts w:ascii="Arial Narrow" w:hAnsi="Arial Narrow"/>
        </w:rPr>
        <w:t>možnosti rozvoja slovenskej ekonomiky</w:t>
      </w:r>
      <w:r w:rsidR="00B22F8C" w:rsidRPr="00B14433">
        <w:rPr>
          <w:rFonts w:ascii="Arial Narrow" w:hAnsi="Arial Narrow"/>
        </w:rPr>
        <w:t xml:space="preserve"> </w:t>
      </w:r>
      <w:r w:rsidR="00B22F8C">
        <w:rPr>
          <w:rFonts w:ascii="Arial Narrow" w:hAnsi="Arial Narrow"/>
        </w:rPr>
        <w:t xml:space="preserve">a </w:t>
      </w:r>
      <w:r w:rsidR="00B22F8C" w:rsidRPr="00B14433">
        <w:rPr>
          <w:rFonts w:ascii="Arial Narrow" w:hAnsi="Arial Narrow"/>
        </w:rPr>
        <w:t>potenciál znižovania emisií nákladovo efektívnym spôsobom</w:t>
      </w:r>
      <w:r w:rsidR="00B22F8C">
        <w:rPr>
          <w:rFonts w:ascii="Arial Narrow" w:hAnsi="Arial Narrow"/>
        </w:rPr>
        <w:t xml:space="preserve"> </w:t>
      </w:r>
      <w:r w:rsidRPr="00CC150B">
        <w:rPr>
          <w:rFonts w:ascii="Arial Narrow" w:hAnsi="Arial Narrow"/>
        </w:rPr>
        <w:t xml:space="preserve">s výhľadom do roku 2050. </w:t>
      </w:r>
    </w:p>
    <w:p w14:paraId="17857F7F" w14:textId="77777777" w:rsidR="00BA6E1A" w:rsidRDefault="00BA6E1A" w:rsidP="008A1BFF">
      <w:pPr>
        <w:spacing w:after="0" w:line="240" w:lineRule="auto"/>
        <w:jc w:val="both"/>
        <w:rPr>
          <w:rFonts w:ascii="Arial Narrow" w:hAnsi="Arial Narrow"/>
        </w:rPr>
      </w:pPr>
    </w:p>
    <w:p w14:paraId="7778DB76" w14:textId="77777777" w:rsidR="00CC150B" w:rsidRPr="00CC150B" w:rsidRDefault="00CC150B" w:rsidP="008A1BFF">
      <w:pPr>
        <w:spacing w:after="0" w:line="240" w:lineRule="auto"/>
        <w:jc w:val="both"/>
        <w:rPr>
          <w:rFonts w:ascii="Arial Narrow" w:hAnsi="Arial Narrow"/>
        </w:rPr>
      </w:pPr>
      <w:r w:rsidRPr="00CC150B">
        <w:rPr>
          <w:rFonts w:ascii="Arial Narrow" w:hAnsi="Arial Narrow"/>
        </w:rPr>
        <w:t xml:space="preserve">Bude vypracovaný </w:t>
      </w:r>
      <w:r w:rsidRPr="00CC150B">
        <w:rPr>
          <w:rFonts w:ascii="Arial Narrow" w:hAnsi="Arial Narrow"/>
          <w:b/>
        </w:rPr>
        <w:t>Národný program riadenia znečisťovania ovzdušia</w:t>
      </w:r>
      <w:r w:rsidRPr="00CC150B">
        <w:rPr>
          <w:rFonts w:ascii="Arial Narrow" w:hAnsi="Arial Narrow"/>
        </w:rPr>
        <w:t xml:space="preserve"> a </w:t>
      </w:r>
      <w:r w:rsidRPr="00CC150B">
        <w:rPr>
          <w:rFonts w:ascii="Arial Narrow" w:hAnsi="Arial Narrow"/>
          <w:b/>
        </w:rPr>
        <w:t>Stratégia na zlepšenie kvality ovzdušia</w:t>
      </w:r>
      <w:r w:rsidRPr="00CC150B">
        <w:rPr>
          <w:rFonts w:ascii="Arial Narrow" w:hAnsi="Arial Narrow"/>
        </w:rPr>
        <w:t>, ktoré prispejú k zvýšeniu kvality ovzdušia a dosahovaniu medzinárodných záväzkov SR v oblasti znižovania emisií.</w:t>
      </w:r>
    </w:p>
    <w:p w14:paraId="72884423" w14:textId="77777777" w:rsidR="007D2366" w:rsidRPr="004D358F" w:rsidRDefault="007D2366" w:rsidP="008A1BFF">
      <w:pPr>
        <w:spacing w:after="0" w:line="240" w:lineRule="auto"/>
        <w:jc w:val="both"/>
        <w:rPr>
          <w:rFonts w:ascii="Arial Narrow" w:hAnsi="Arial Narrow"/>
        </w:rPr>
      </w:pPr>
    </w:p>
    <w:p w14:paraId="70AADFBC" w14:textId="77777777" w:rsidR="007D2366" w:rsidRPr="009D01B4" w:rsidRDefault="007D2366" w:rsidP="008A1BFF">
      <w:pPr>
        <w:spacing w:after="0" w:line="240" w:lineRule="auto"/>
        <w:jc w:val="both"/>
        <w:rPr>
          <w:rFonts w:ascii="Arial Narrow" w:hAnsi="Arial Narrow"/>
          <w:b/>
          <w:bCs/>
          <w:i/>
          <w:iCs/>
        </w:rPr>
      </w:pPr>
      <w:r w:rsidRPr="009D01B4">
        <w:rPr>
          <w:rFonts w:ascii="Arial Narrow" w:hAnsi="Arial Narrow"/>
          <w:b/>
          <w:bCs/>
          <w:i/>
          <w:iCs/>
        </w:rPr>
        <w:t>Odpadové hospodárstvo</w:t>
      </w:r>
    </w:p>
    <w:p w14:paraId="66561439" w14:textId="1B46AF8F" w:rsidR="008A1BFF" w:rsidRDefault="003B7B8B" w:rsidP="008A1BFF">
      <w:pPr>
        <w:autoSpaceDE w:val="0"/>
        <w:autoSpaceDN w:val="0"/>
        <w:adjustRightInd w:val="0"/>
        <w:spacing w:after="0" w:line="240" w:lineRule="auto"/>
        <w:jc w:val="both"/>
        <w:rPr>
          <w:rFonts w:ascii="Arial Narrow" w:hAnsi="Arial Narrow"/>
        </w:rPr>
      </w:pPr>
      <w:r w:rsidRPr="00632906">
        <w:rPr>
          <w:rFonts w:ascii="Arial Narrow" w:hAnsi="Arial Narrow"/>
        </w:rPr>
        <w:t>N</w:t>
      </w:r>
      <w:r w:rsidR="00CC150B" w:rsidRPr="00632906">
        <w:rPr>
          <w:rFonts w:ascii="Arial Narrow" w:hAnsi="Arial Narrow"/>
        </w:rPr>
        <w:t>ovel</w:t>
      </w:r>
      <w:r w:rsidRPr="00632906">
        <w:rPr>
          <w:rFonts w:ascii="Arial Narrow" w:hAnsi="Arial Narrow"/>
        </w:rPr>
        <w:t>a</w:t>
      </w:r>
      <w:r w:rsidR="00CC150B" w:rsidRPr="0021675E">
        <w:rPr>
          <w:rFonts w:ascii="Arial Narrow" w:hAnsi="Arial Narrow"/>
        </w:rPr>
        <w:t xml:space="preserve"> zákona </w:t>
      </w:r>
      <w:r w:rsidR="00CC150B" w:rsidRPr="0021675E">
        <w:rPr>
          <w:rFonts w:ascii="Arial Narrow" w:hAnsi="Arial Narrow"/>
          <w:b/>
        </w:rPr>
        <w:t>o poplatkoch za uloženie odpadov</w:t>
      </w:r>
      <w:r w:rsidRPr="00632906">
        <w:rPr>
          <w:rFonts w:ascii="Arial Narrow" w:hAnsi="Arial Narrow"/>
        </w:rPr>
        <w:t xml:space="preserve"> </w:t>
      </w:r>
      <w:r w:rsidR="00CC7191" w:rsidRPr="0021675E">
        <w:rPr>
          <w:rFonts w:ascii="Arial Narrow" w:hAnsi="Arial Narrow"/>
        </w:rPr>
        <w:t xml:space="preserve">s predpokladanou účinnosťou </w:t>
      </w:r>
      <w:r w:rsidRPr="00632906">
        <w:rPr>
          <w:rFonts w:ascii="Arial Narrow" w:hAnsi="Arial Narrow"/>
        </w:rPr>
        <w:t>od januára 2019</w:t>
      </w:r>
      <w:r w:rsidR="00CC150B" w:rsidRPr="00632906">
        <w:rPr>
          <w:rFonts w:ascii="Arial Narrow" w:hAnsi="Arial Narrow"/>
        </w:rPr>
        <w:t xml:space="preserve"> prispeje </w:t>
      </w:r>
      <w:r w:rsidR="00CC150B" w:rsidRPr="00632906">
        <w:rPr>
          <w:rFonts w:ascii="Arial Narrow" w:hAnsi="Arial Narrow"/>
          <w:b/>
        </w:rPr>
        <w:t>k nižšej miere skládkovania a zároveň vyššej recykláci</w:t>
      </w:r>
      <w:r w:rsidRPr="0021675E">
        <w:rPr>
          <w:rFonts w:ascii="Arial Narrow" w:hAnsi="Arial Narrow"/>
          <w:b/>
        </w:rPr>
        <w:t>i</w:t>
      </w:r>
      <w:r w:rsidR="00CC150B" w:rsidRPr="00632906">
        <w:rPr>
          <w:rFonts w:ascii="Arial Narrow" w:hAnsi="Arial Narrow"/>
        </w:rPr>
        <w:t>.</w:t>
      </w:r>
      <w:r w:rsidR="00CC150B" w:rsidRPr="00CC150B">
        <w:rPr>
          <w:rFonts w:ascii="Arial Narrow" w:hAnsi="Arial Narrow"/>
        </w:rPr>
        <w:t xml:space="preserve"> Bude iniciovaná tvorba konkrétnej cestovnej mapy pre obehové hospodárstvo, ktorá rozpracuje aspekty environmentálnej politiky obsiahnuté v pripravovanej Stratégii environmentálnej politiky SR do roku 2030. Zdôrazní sa zameranie na celý životný cyklus produktov a služieb s dôrazom na </w:t>
      </w:r>
      <w:proofErr w:type="spellStart"/>
      <w:r w:rsidR="00CC150B" w:rsidRPr="00CC150B">
        <w:rPr>
          <w:rFonts w:ascii="Arial Narrow" w:hAnsi="Arial Narrow"/>
        </w:rPr>
        <w:t>eko</w:t>
      </w:r>
      <w:proofErr w:type="spellEnd"/>
      <w:r w:rsidR="001015A7">
        <w:rPr>
          <w:rFonts w:ascii="Arial Narrow" w:hAnsi="Arial Narrow"/>
        </w:rPr>
        <w:t>-</w:t>
      </w:r>
      <w:r w:rsidR="001F0913">
        <w:rPr>
          <w:rFonts w:ascii="Arial Narrow" w:hAnsi="Arial Narrow"/>
        </w:rPr>
        <w:t xml:space="preserve">inovácie, racionálne </w:t>
      </w:r>
      <w:r w:rsidR="00CC150B" w:rsidRPr="00CC150B">
        <w:rPr>
          <w:rFonts w:ascii="Arial Narrow" w:hAnsi="Arial Narrow"/>
        </w:rPr>
        <w:t xml:space="preserve">využívanie prírodných zdrojov, produktový dizajn, udržateľnú výrobu a spotrebu. </w:t>
      </w:r>
    </w:p>
    <w:p w14:paraId="0F52C253" w14:textId="77777777" w:rsidR="008A1BFF" w:rsidRDefault="008A1BFF" w:rsidP="008A1BFF">
      <w:pPr>
        <w:autoSpaceDE w:val="0"/>
        <w:autoSpaceDN w:val="0"/>
        <w:adjustRightInd w:val="0"/>
        <w:spacing w:after="0" w:line="240" w:lineRule="auto"/>
        <w:jc w:val="both"/>
        <w:rPr>
          <w:rFonts w:ascii="Arial Narrow" w:hAnsi="Arial Narrow"/>
        </w:rPr>
      </w:pPr>
    </w:p>
    <w:p w14:paraId="74F5A80A" w14:textId="447AC89E" w:rsidR="00CC150B" w:rsidRPr="001F0913" w:rsidRDefault="00CC150B" w:rsidP="008A1BFF">
      <w:pPr>
        <w:autoSpaceDE w:val="0"/>
        <w:autoSpaceDN w:val="0"/>
        <w:adjustRightInd w:val="0"/>
        <w:spacing w:after="0" w:line="240" w:lineRule="auto"/>
        <w:jc w:val="both"/>
        <w:rPr>
          <w:rFonts w:ascii="Arial Narrow" w:hAnsi="Arial Narrow"/>
        </w:rPr>
      </w:pPr>
      <w:r w:rsidRPr="00CC150B">
        <w:rPr>
          <w:rFonts w:ascii="Arial Narrow" w:hAnsi="Arial Narrow"/>
        </w:rPr>
        <w:t xml:space="preserve">V roku 2018 bude prijatý nový </w:t>
      </w:r>
      <w:r w:rsidRPr="00CC150B">
        <w:rPr>
          <w:rFonts w:ascii="Arial Narrow" w:hAnsi="Arial Narrow"/>
          <w:b/>
        </w:rPr>
        <w:t>Program predchádzania vzniku odpadu</w:t>
      </w:r>
      <w:r w:rsidRPr="00CC150B">
        <w:rPr>
          <w:rFonts w:ascii="Arial Narrow" w:hAnsi="Arial Narrow"/>
        </w:rPr>
        <w:t xml:space="preserve"> Slovenskej republiky na roky 2019</w:t>
      </w:r>
      <w:r w:rsidR="001F0913">
        <w:rPr>
          <w:rFonts w:ascii="Arial Narrow" w:hAnsi="Arial Narrow"/>
        </w:rPr>
        <w:t xml:space="preserve"> – </w:t>
      </w:r>
      <w:r w:rsidRPr="00CC150B">
        <w:rPr>
          <w:rFonts w:ascii="Arial Narrow" w:hAnsi="Arial Narrow"/>
        </w:rPr>
        <w:t>2025. Cieľom programu bude minimalizácia tvorby odpadu a dôsledné dodržiavanie hierarchie odpadového hospodárstva. Nový informačný systém odpadového hospodárstva pomôže zlepšiť kontrolu nad tokmi odpadov</w:t>
      </w:r>
      <w:r w:rsidRPr="00CC150B">
        <w:rPr>
          <w:rFonts w:ascii="Arial Narrow" w:hAnsi="Arial Narrow"/>
          <w:bCs/>
        </w:rPr>
        <w:t>.</w:t>
      </w:r>
    </w:p>
    <w:p w14:paraId="0F3C8930" w14:textId="77777777" w:rsidR="00CC150B" w:rsidRDefault="00CC150B" w:rsidP="008A1BFF">
      <w:pPr>
        <w:pStyle w:val="Default"/>
        <w:jc w:val="both"/>
        <w:rPr>
          <w:rFonts w:ascii="Arial Narrow" w:hAnsi="Arial Narrow"/>
          <w:bCs/>
          <w:sz w:val="22"/>
          <w:szCs w:val="22"/>
        </w:rPr>
      </w:pPr>
    </w:p>
    <w:p w14:paraId="2067AC2A" w14:textId="77777777" w:rsidR="00CC150B" w:rsidRPr="00CC150B" w:rsidRDefault="00CC150B" w:rsidP="008A1BFF">
      <w:pPr>
        <w:autoSpaceDE w:val="0"/>
        <w:autoSpaceDN w:val="0"/>
        <w:adjustRightInd w:val="0"/>
        <w:spacing w:after="0" w:line="240" w:lineRule="auto"/>
        <w:jc w:val="both"/>
        <w:rPr>
          <w:rFonts w:ascii="Arial Narrow" w:hAnsi="Arial Narrow" w:cs="Arial"/>
          <w:b/>
          <w:bCs/>
          <w:i/>
          <w:color w:val="000000"/>
        </w:rPr>
      </w:pPr>
      <w:r w:rsidRPr="00CC150B">
        <w:rPr>
          <w:rFonts w:ascii="Arial Narrow" w:hAnsi="Arial Narrow" w:cs="Arial"/>
          <w:b/>
          <w:bCs/>
          <w:i/>
          <w:color w:val="000000"/>
        </w:rPr>
        <w:t>Ochrana prírody a biodiverzity</w:t>
      </w:r>
    </w:p>
    <w:p w14:paraId="444483CD" w14:textId="2623DB70" w:rsidR="00BE4558" w:rsidRDefault="00CC150B" w:rsidP="008A1BFF">
      <w:pPr>
        <w:autoSpaceDE w:val="0"/>
        <w:autoSpaceDN w:val="0"/>
        <w:adjustRightInd w:val="0"/>
        <w:spacing w:after="0" w:line="240" w:lineRule="auto"/>
        <w:jc w:val="both"/>
        <w:rPr>
          <w:rFonts w:ascii="Arial Narrow" w:hAnsi="Arial Narrow" w:cs="Arial"/>
          <w:bCs/>
          <w:color w:val="000000"/>
        </w:rPr>
      </w:pPr>
      <w:r w:rsidRPr="00CC150B">
        <w:rPr>
          <w:rFonts w:ascii="Arial Narrow" w:hAnsi="Arial Narrow" w:cs="Arial"/>
          <w:bCs/>
          <w:color w:val="000000"/>
        </w:rPr>
        <w:t>Zintenzívni sa riešenie otázky vlastníckych vzťahov v chránených územiach, vrátane kompetenčnej delimitácie pozemkov vo vlastníctve štátu. Zváži sa zavedenie inovatívnych zdrojov financovania ochrany prírody.</w:t>
      </w:r>
    </w:p>
    <w:p w14:paraId="48A610DC" w14:textId="77777777" w:rsidR="00BE4558" w:rsidRDefault="00BE4558">
      <w:pPr>
        <w:spacing w:after="0" w:line="240" w:lineRule="auto"/>
        <w:rPr>
          <w:rFonts w:ascii="Arial Narrow" w:hAnsi="Arial Narrow" w:cs="Arial"/>
          <w:bCs/>
          <w:color w:val="000000"/>
        </w:rPr>
      </w:pPr>
      <w:r>
        <w:rPr>
          <w:rFonts w:ascii="Arial Narrow" w:hAnsi="Arial Narrow" w:cs="Arial"/>
          <w:bCs/>
          <w:color w:val="000000"/>
        </w:rPr>
        <w:br w:type="page"/>
      </w:r>
    </w:p>
    <w:p w14:paraId="3B0144BB" w14:textId="77777777" w:rsidR="007D2366" w:rsidRPr="000D43EF" w:rsidRDefault="007D2366" w:rsidP="007D2366">
      <w:pPr>
        <w:pStyle w:val="Nadpis1"/>
        <w:numPr>
          <w:ilvl w:val="0"/>
          <w:numId w:val="1"/>
        </w:numPr>
        <w:spacing w:line="240" w:lineRule="auto"/>
        <w:rPr>
          <w:rFonts w:ascii="Arial Narrow" w:hAnsi="Arial Narrow"/>
          <w:color w:val="auto"/>
          <w:sz w:val="32"/>
          <w:szCs w:val="32"/>
        </w:rPr>
      </w:pPr>
      <w:bookmarkStart w:id="100" w:name="_Toc480749818"/>
      <w:bookmarkStart w:id="101" w:name="_Toc508039591"/>
      <w:r w:rsidRPr="000D43EF">
        <w:rPr>
          <w:rFonts w:ascii="Arial Narrow" w:hAnsi="Arial Narrow"/>
          <w:color w:val="auto"/>
          <w:sz w:val="32"/>
          <w:szCs w:val="32"/>
        </w:rPr>
        <w:lastRenderedPageBreak/>
        <w:t>Politika súdržnosti EÚ</w:t>
      </w:r>
      <w:bookmarkEnd w:id="100"/>
      <w:bookmarkEnd w:id="101"/>
      <w:r w:rsidRPr="000D43EF">
        <w:rPr>
          <w:rFonts w:ascii="Arial Narrow" w:hAnsi="Arial Narrow"/>
          <w:color w:val="auto"/>
          <w:sz w:val="32"/>
          <w:szCs w:val="32"/>
        </w:rPr>
        <w:t xml:space="preserve"> </w:t>
      </w:r>
    </w:p>
    <w:p w14:paraId="3AB6974B" w14:textId="77777777" w:rsidR="007D2366" w:rsidRDefault="007D2366" w:rsidP="007D2366">
      <w:pPr>
        <w:spacing w:after="0" w:line="240" w:lineRule="auto"/>
        <w:rPr>
          <w:rFonts w:ascii="Arial Narrow" w:hAnsi="Arial Narrow" w:cs="Arial Narrow"/>
          <w:bCs/>
        </w:rPr>
      </w:pPr>
    </w:p>
    <w:p w14:paraId="09D6FE87" w14:textId="556BD1C0" w:rsidR="007D2366" w:rsidRPr="00D91798" w:rsidRDefault="007D2366" w:rsidP="007D2366">
      <w:pPr>
        <w:spacing w:after="0" w:line="240" w:lineRule="auto"/>
        <w:jc w:val="both"/>
        <w:rPr>
          <w:rFonts w:ascii="Arial Narrow" w:hAnsi="Arial Narrow"/>
        </w:rPr>
      </w:pPr>
      <w:r w:rsidRPr="00D91798">
        <w:rPr>
          <w:rFonts w:ascii="Arial Narrow" w:hAnsi="Arial Narrow"/>
        </w:rPr>
        <w:t>Politika súdržnosti EÚ dlhodobo patrí medzi kľúčové nástroje sociálno-ekonomického rozvoja SR a napĺňania cieľov stratégie Európa 2020</w:t>
      </w:r>
      <w:r w:rsidR="00D07237">
        <w:rPr>
          <w:rFonts w:ascii="Arial Narrow" w:hAnsi="Arial Narrow"/>
        </w:rPr>
        <w:t xml:space="preserve"> a plnenia časti opatrení každoročného špecifického odporúčania Rady EÚ pre SR</w:t>
      </w:r>
      <w:r w:rsidRPr="00D91798">
        <w:rPr>
          <w:rFonts w:ascii="Arial Narrow" w:hAnsi="Arial Narrow"/>
        </w:rPr>
        <w:t>. Fondy politiky súdržnosti sú hlavným zdrojom financovania verejných investícií na Slovensku.</w:t>
      </w:r>
      <w:r w:rsidR="00D07237">
        <w:rPr>
          <w:rFonts w:ascii="Arial Narrow" w:hAnsi="Arial Narrow"/>
        </w:rPr>
        <w:t xml:space="preserve"> </w:t>
      </w:r>
      <w:r w:rsidR="00D07237" w:rsidRPr="00BE524F">
        <w:rPr>
          <w:rFonts w:ascii="Arial Narrow" w:hAnsi="Arial Narrow" w:cs="Arial Narrow"/>
          <w:bCs/>
        </w:rPr>
        <w:t>Z</w:t>
      </w:r>
      <w:r w:rsidR="00D07237">
        <w:rPr>
          <w:rFonts w:ascii="Arial Narrow" w:hAnsi="Arial Narrow" w:cs="Arial Narrow"/>
          <w:bCs/>
        </w:rPr>
        <w:t> </w:t>
      </w:r>
      <w:r w:rsidR="00D07237" w:rsidRPr="00BE524F">
        <w:rPr>
          <w:rFonts w:ascii="Arial Narrow" w:hAnsi="Arial Narrow" w:cs="Arial Narrow"/>
          <w:bCs/>
        </w:rPr>
        <w:t>celkového</w:t>
      </w:r>
      <w:r w:rsidR="00D07237">
        <w:rPr>
          <w:rFonts w:ascii="Arial Narrow" w:hAnsi="Arial Narrow" w:cs="Arial Narrow"/>
          <w:bCs/>
        </w:rPr>
        <w:t xml:space="preserve"> </w:t>
      </w:r>
      <w:r w:rsidR="00D07237" w:rsidRPr="00BE524F">
        <w:rPr>
          <w:rFonts w:ascii="Arial Narrow" w:hAnsi="Arial Narrow" w:cs="Arial Narrow"/>
          <w:bCs/>
        </w:rPr>
        <w:t>objemu</w:t>
      </w:r>
      <w:r w:rsidR="00D07237">
        <w:rPr>
          <w:rFonts w:ascii="Arial Narrow" w:hAnsi="Arial Narrow" w:cs="Arial Narrow"/>
          <w:bCs/>
        </w:rPr>
        <w:t xml:space="preserve"> </w:t>
      </w:r>
      <w:r w:rsidR="00D07237" w:rsidRPr="00BE524F">
        <w:rPr>
          <w:rFonts w:ascii="Arial Narrow" w:hAnsi="Arial Narrow" w:cs="Arial Narrow"/>
          <w:bCs/>
        </w:rPr>
        <w:t>EÚ zdrojov</w:t>
      </w:r>
      <w:r w:rsidR="00D07237" w:rsidRPr="00BE524F">
        <w:rPr>
          <w:rStyle w:val="Odkaznapoznmkupodiarou"/>
          <w:rFonts w:ascii="Arial Narrow" w:hAnsi="Arial Narrow" w:cs="Arial Narrow"/>
          <w:bCs/>
        </w:rPr>
        <w:footnoteReference w:id="65"/>
      </w:r>
      <w:r w:rsidR="00D07237" w:rsidRPr="00BE524F">
        <w:rPr>
          <w:rFonts w:ascii="Arial Narrow" w:hAnsi="Arial Narrow" w:cs="Arial Narrow"/>
          <w:bCs/>
        </w:rPr>
        <w:t xml:space="preserve"> v programovom období 2007 – 2013 tvorili investície 61 %.</w:t>
      </w:r>
      <w:r w:rsidRPr="00D91798">
        <w:rPr>
          <w:rFonts w:ascii="Arial Narrow" w:hAnsi="Arial Narrow"/>
        </w:rPr>
        <w:t xml:space="preserve"> </w:t>
      </w:r>
    </w:p>
    <w:p w14:paraId="17EF3233" w14:textId="77777777" w:rsidR="007D2366" w:rsidRPr="00D91798" w:rsidRDefault="007D2366" w:rsidP="007D2366">
      <w:pPr>
        <w:spacing w:after="0" w:line="240" w:lineRule="auto"/>
        <w:jc w:val="both"/>
        <w:rPr>
          <w:rFonts w:ascii="Arial Narrow" w:hAnsi="Arial Narrow"/>
        </w:rPr>
      </w:pPr>
    </w:p>
    <w:p w14:paraId="3177F813" w14:textId="08008B7B" w:rsidR="00D07237" w:rsidRPr="00D91798" w:rsidRDefault="00D07237" w:rsidP="00D07237">
      <w:pPr>
        <w:spacing w:after="0" w:line="240" w:lineRule="auto"/>
        <w:jc w:val="both"/>
        <w:rPr>
          <w:rFonts w:ascii="Arial Narrow" w:hAnsi="Arial Narrow"/>
        </w:rPr>
      </w:pPr>
      <w:r w:rsidRPr="009B4F59">
        <w:rPr>
          <w:rFonts w:ascii="Arial Narrow" w:hAnsi="Arial Narrow"/>
        </w:rPr>
        <w:t>V zmysle legislatívy EÚ bol</w:t>
      </w:r>
      <w:r>
        <w:rPr>
          <w:rFonts w:ascii="Arial Narrow" w:hAnsi="Arial Narrow"/>
        </w:rPr>
        <w:t>a</w:t>
      </w:r>
      <w:r w:rsidRPr="009B4F59">
        <w:rPr>
          <w:rFonts w:ascii="Arial Narrow" w:hAnsi="Arial Narrow"/>
        </w:rPr>
        <w:t xml:space="preserve"> do 31. marca 2017 Európskej komisii (EK) </w:t>
      </w:r>
      <w:r>
        <w:rPr>
          <w:rFonts w:ascii="Arial Narrow" w:hAnsi="Arial Narrow"/>
        </w:rPr>
        <w:t xml:space="preserve">zaslaná </w:t>
      </w:r>
      <w:r w:rsidRPr="009B4F59">
        <w:rPr>
          <w:rFonts w:ascii="Arial Narrow" w:hAnsi="Arial Narrow"/>
        </w:rPr>
        <w:t>kompletn</w:t>
      </w:r>
      <w:r>
        <w:rPr>
          <w:rFonts w:ascii="Arial Narrow" w:hAnsi="Arial Narrow"/>
        </w:rPr>
        <w:t>á</w:t>
      </w:r>
      <w:r w:rsidRPr="009B4F59">
        <w:rPr>
          <w:rFonts w:ascii="Arial Narrow" w:hAnsi="Arial Narrow"/>
        </w:rPr>
        <w:t xml:space="preserve"> záverečn</w:t>
      </w:r>
      <w:r>
        <w:rPr>
          <w:rFonts w:ascii="Arial Narrow" w:hAnsi="Arial Narrow"/>
        </w:rPr>
        <w:t>á</w:t>
      </w:r>
      <w:r w:rsidRPr="009B4F59">
        <w:rPr>
          <w:rFonts w:ascii="Arial Narrow" w:hAnsi="Arial Narrow"/>
        </w:rPr>
        <w:t xml:space="preserve"> dokumentáci</w:t>
      </w:r>
      <w:r>
        <w:rPr>
          <w:rFonts w:ascii="Arial Narrow" w:hAnsi="Arial Narrow"/>
        </w:rPr>
        <w:t>a</w:t>
      </w:r>
      <w:r w:rsidRPr="009B4F59">
        <w:rPr>
          <w:rFonts w:ascii="Arial Narrow" w:hAnsi="Arial Narrow"/>
        </w:rPr>
        <w:t xml:space="preserve"> </w:t>
      </w:r>
      <w:r>
        <w:rPr>
          <w:rFonts w:ascii="Arial Narrow" w:hAnsi="Arial Narrow"/>
        </w:rPr>
        <w:t>za</w:t>
      </w:r>
      <w:r w:rsidRPr="009B4F59">
        <w:rPr>
          <w:rFonts w:ascii="Arial Narrow" w:hAnsi="Arial Narrow"/>
        </w:rPr>
        <w:t xml:space="preserve"> operačné programy </w:t>
      </w:r>
      <w:r>
        <w:rPr>
          <w:rFonts w:ascii="Arial Narrow" w:hAnsi="Arial Narrow"/>
        </w:rPr>
        <w:t xml:space="preserve">(OP) </w:t>
      </w:r>
      <w:r w:rsidRPr="008F643C">
        <w:rPr>
          <w:rFonts w:ascii="Arial Narrow" w:hAnsi="Arial Narrow"/>
          <w:b/>
        </w:rPr>
        <w:t>programového obdobia 2007 – 2013</w:t>
      </w:r>
      <w:r>
        <w:rPr>
          <w:rFonts w:ascii="Arial Narrow" w:hAnsi="Arial Narrow"/>
          <w:b/>
        </w:rPr>
        <w:t xml:space="preserve">, </w:t>
      </w:r>
      <w:r w:rsidRPr="008F643C">
        <w:rPr>
          <w:rFonts w:ascii="Arial Narrow" w:hAnsi="Arial Narrow"/>
        </w:rPr>
        <w:t>ku ktorej</w:t>
      </w:r>
      <w:r w:rsidR="001F0913">
        <w:rPr>
          <w:rFonts w:ascii="Arial Narrow" w:hAnsi="Arial Narrow"/>
          <w:b/>
        </w:rPr>
        <w:t xml:space="preserve"> </w:t>
      </w:r>
      <w:r w:rsidRPr="009B4F59">
        <w:rPr>
          <w:rFonts w:ascii="Arial Narrow" w:hAnsi="Arial Narrow"/>
        </w:rPr>
        <w:t xml:space="preserve">počas roka 2017 prebiehala komunikácia s EK. Do konca roka 2017 bol zo strany EK uzatvorený prvý </w:t>
      </w:r>
      <w:r>
        <w:rPr>
          <w:rFonts w:ascii="Arial Narrow" w:hAnsi="Arial Narrow"/>
        </w:rPr>
        <w:t xml:space="preserve">OP </w:t>
      </w:r>
      <w:r w:rsidRPr="009B4F59">
        <w:rPr>
          <w:rFonts w:ascii="Arial Narrow" w:hAnsi="Arial Narrow"/>
        </w:rPr>
        <w:t>programového obdobia</w:t>
      </w:r>
      <w:r>
        <w:rPr>
          <w:rFonts w:ascii="Arial Narrow" w:hAnsi="Arial Narrow"/>
        </w:rPr>
        <w:t xml:space="preserve"> 2007 – 2013: INTERACT II. </w:t>
      </w:r>
    </w:p>
    <w:p w14:paraId="281F27B1" w14:textId="77777777" w:rsidR="007D2366" w:rsidRPr="00D91798" w:rsidRDefault="007D2366" w:rsidP="007D2366">
      <w:pPr>
        <w:spacing w:after="0" w:line="240" w:lineRule="auto"/>
        <w:jc w:val="both"/>
        <w:rPr>
          <w:rFonts w:ascii="Arial Narrow" w:hAnsi="Arial Narrow"/>
        </w:rPr>
      </w:pPr>
    </w:p>
    <w:p w14:paraId="4E4273E9" w14:textId="0B1E1624" w:rsidR="00725D82" w:rsidRDefault="009B4F59" w:rsidP="009B4F59">
      <w:pPr>
        <w:spacing w:after="0" w:line="240" w:lineRule="auto"/>
        <w:jc w:val="both"/>
        <w:rPr>
          <w:rFonts w:ascii="Arial Narrow" w:hAnsi="Arial Narrow"/>
        </w:rPr>
      </w:pPr>
      <w:r w:rsidRPr="00D91798">
        <w:rPr>
          <w:rFonts w:ascii="Arial Narrow" w:hAnsi="Arial Narrow"/>
        </w:rPr>
        <w:t>V roku 2015 sa skončilo oprávnené obdobie pre realizáciu výdavkov programového obdobia 2007 – 2013</w:t>
      </w:r>
      <w:r>
        <w:rPr>
          <w:rStyle w:val="Odkaznapoznmkupodiarou"/>
          <w:rFonts w:ascii="Arial Narrow" w:hAnsi="Arial Narrow"/>
        </w:rPr>
        <w:footnoteReference w:id="66"/>
      </w:r>
      <w:r w:rsidR="00725D82">
        <w:rPr>
          <w:rFonts w:ascii="Arial Narrow" w:hAnsi="Arial Narrow"/>
        </w:rPr>
        <w:t>. Celkové čerpanie</w:t>
      </w:r>
      <w:r w:rsidRPr="00D91798">
        <w:rPr>
          <w:rFonts w:ascii="Arial Narrow" w:hAnsi="Arial Narrow"/>
        </w:rPr>
        <w:t xml:space="preserve"> za</w:t>
      </w:r>
      <w:r w:rsidR="00725D82">
        <w:rPr>
          <w:rFonts w:ascii="Arial Narrow" w:hAnsi="Arial Narrow"/>
        </w:rPr>
        <w:t xml:space="preserve"> všetk</w:t>
      </w:r>
      <w:r w:rsidR="00D07237">
        <w:rPr>
          <w:rFonts w:ascii="Arial Narrow" w:hAnsi="Arial Narrow"/>
        </w:rPr>
        <w:t>ých</w:t>
      </w:r>
      <w:r w:rsidRPr="00D91798">
        <w:rPr>
          <w:rFonts w:ascii="Arial Narrow" w:hAnsi="Arial Narrow"/>
        </w:rPr>
        <w:t xml:space="preserve"> 1</w:t>
      </w:r>
      <w:r w:rsidR="00725D82">
        <w:rPr>
          <w:rFonts w:ascii="Arial Narrow" w:hAnsi="Arial Narrow"/>
        </w:rPr>
        <w:t>4</w:t>
      </w:r>
      <w:r w:rsidRPr="00D91798">
        <w:rPr>
          <w:rFonts w:ascii="Arial Narrow" w:hAnsi="Arial Narrow"/>
        </w:rPr>
        <w:t xml:space="preserve"> </w:t>
      </w:r>
      <w:r>
        <w:rPr>
          <w:rFonts w:ascii="Arial Narrow" w:hAnsi="Arial Narrow"/>
        </w:rPr>
        <w:t>OP</w:t>
      </w:r>
      <w:r w:rsidR="00725D82">
        <w:rPr>
          <w:rFonts w:ascii="Arial Narrow" w:hAnsi="Arial Narrow"/>
        </w:rPr>
        <w:t xml:space="preserve"> v riadiacej pôsobnosti Slovenska </w:t>
      </w:r>
      <w:r w:rsidR="00725D82" w:rsidRPr="00D91798">
        <w:rPr>
          <w:rFonts w:ascii="Arial Narrow" w:hAnsi="Arial Narrow"/>
        </w:rPr>
        <w:t>(vrátane OP Rybné hospodárstvo a programov OP Cezhraničná spolu</w:t>
      </w:r>
      <w:r w:rsidR="00725D82">
        <w:rPr>
          <w:rFonts w:ascii="Arial Narrow" w:hAnsi="Arial Narrow"/>
        </w:rPr>
        <w:t xml:space="preserve">práca SR – ČR a OP </w:t>
      </w:r>
      <w:proofErr w:type="spellStart"/>
      <w:r w:rsidR="00725D82">
        <w:rPr>
          <w:rFonts w:ascii="Arial Narrow" w:hAnsi="Arial Narrow"/>
        </w:rPr>
        <w:t>Interact</w:t>
      </w:r>
      <w:proofErr w:type="spellEnd"/>
      <w:r w:rsidR="00725D82">
        <w:rPr>
          <w:rFonts w:ascii="Arial Narrow" w:hAnsi="Arial Narrow"/>
        </w:rPr>
        <w:t xml:space="preserve"> II)</w:t>
      </w:r>
      <w:r>
        <w:rPr>
          <w:rFonts w:ascii="Arial Narrow" w:hAnsi="Arial Narrow"/>
        </w:rPr>
        <w:t xml:space="preserve"> dosiahlo ku koncu </w:t>
      </w:r>
      <w:r w:rsidR="00725D82">
        <w:rPr>
          <w:rFonts w:ascii="Arial Narrow" w:hAnsi="Arial Narrow"/>
        </w:rPr>
        <w:t>roka 2017 úroveň 97</w:t>
      </w:r>
      <w:r w:rsidR="00D07237">
        <w:rPr>
          <w:rFonts w:ascii="Arial Narrow" w:hAnsi="Arial Narrow"/>
        </w:rPr>
        <w:t xml:space="preserve"> % </w:t>
      </w:r>
      <w:r>
        <w:rPr>
          <w:rFonts w:ascii="Arial Narrow" w:hAnsi="Arial Narrow"/>
        </w:rPr>
        <w:t xml:space="preserve">z EÚ zdrojov </w:t>
      </w:r>
      <w:r w:rsidRPr="00D91798">
        <w:rPr>
          <w:rFonts w:ascii="Arial Narrow" w:hAnsi="Arial Narrow"/>
        </w:rPr>
        <w:t>(</w:t>
      </w:r>
      <w:r>
        <w:rPr>
          <w:rFonts w:ascii="Arial Narrow" w:hAnsi="Arial Narrow"/>
        </w:rPr>
        <w:t xml:space="preserve">z celkovej alokácie </w:t>
      </w:r>
      <w:r w:rsidRPr="00D91798">
        <w:rPr>
          <w:rFonts w:ascii="Arial Narrow" w:hAnsi="Arial Narrow"/>
        </w:rPr>
        <w:t>11,</w:t>
      </w:r>
      <w:r w:rsidR="00725D82">
        <w:rPr>
          <w:rFonts w:ascii="Arial Narrow" w:hAnsi="Arial Narrow"/>
        </w:rPr>
        <w:t>6</w:t>
      </w:r>
      <w:r w:rsidRPr="00D91798">
        <w:rPr>
          <w:rFonts w:ascii="Arial Narrow" w:hAnsi="Arial Narrow"/>
        </w:rPr>
        <w:t xml:space="preserve"> mld. </w:t>
      </w:r>
      <w:r>
        <w:rPr>
          <w:rFonts w:ascii="Arial Narrow" w:hAnsi="Arial Narrow"/>
        </w:rPr>
        <w:t>eur EÚ zdrojov</w:t>
      </w:r>
      <w:r w:rsidR="00D07237">
        <w:rPr>
          <w:rFonts w:ascii="Arial Narrow" w:hAnsi="Arial Narrow"/>
        </w:rPr>
        <w:t xml:space="preserve"> boli </w:t>
      </w:r>
      <w:r w:rsidR="00725D82">
        <w:rPr>
          <w:rFonts w:ascii="Arial Narrow" w:hAnsi="Arial Narrow"/>
        </w:rPr>
        <w:t>vyčerpané zdroje v objeme 11,3 mld</w:t>
      </w:r>
      <w:r w:rsidR="008D0834">
        <w:rPr>
          <w:rFonts w:ascii="Arial Narrow" w:hAnsi="Arial Narrow"/>
        </w:rPr>
        <w:t>. eur</w:t>
      </w:r>
      <w:r w:rsidRPr="00D91798">
        <w:rPr>
          <w:rFonts w:ascii="Arial Narrow" w:hAnsi="Arial Narrow"/>
        </w:rPr>
        <w:t xml:space="preserve">). </w:t>
      </w:r>
      <w:r w:rsidR="00725D82" w:rsidRPr="00725D82">
        <w:rPr>
          <w:rFonts w:ascii="Arial Narrow" w:hAnsi="Arial Narrow"/>
        </w:rPr>
        <w:t>Konečná úroveň čerpania bude známa až po akceptovaní záverečných žiadostí o platbu, záverečnej dokumentácie za jednotlivé programy zo strany EK a vysporiadaní otvorených prípadov.</w:t>
      </w:r>
    </w:p>
    <w:p w14:paraId="66659DD7" w14:textId="77777777" w:rsidR="007D2366" w:rsidRPr="003418D8" w:rsidRDefault="007D2366" w:rsidP="007D2366">
      <w:pPr>
        <w:spacing w:after="0" w:line="240" w:lineRule="auto"/>
        <w:rPr>
          <w:rFonts w:ascii="Arial Narrow" w:hAnsi="Arial Narrow" w:cs="Arial Narrow"/>
        </w:rPr>
      </w:pPr>
    </w:p>
    <w:p w14:paraId="63652608" w14:textId="77777777" w:rsidR="007D2366" w:rsidRPr="00DD185D" w:rsidRDefault="007D2366" w:rsidP="007D2366">
      <w:pPr>
        <w:pStyle w:val="Popis"/>
        <w:rPr>
          <w:rFonts w:cs="Arial"/>
          <w:szCs w:val="20"/>
        </w:rPr>
      </w:pPr>
      <w:bookmarkStart w:id="102" w:name="_Toc448745652"/>
      <w:bookmarkStart w:id="103" w:name="_Toc480760526"/>
      <w:bookmarkStart w:id="104" w:name="_Toc509513348"/>
      <w:r w:rsidRPr="003418D8">
        <w:t xml:space="preserve">Graf </w:t>
      </w:r>
      <w:fldSimple w:instr=" SEQ Graf \* ARABIC ">
        <w:r w:rsidR="00EE7207">
          <w:rPr>
            <w:noProof/>
          </w:rPr>
          <w:t>36</w:t>
        </w:r>
      </w:fldSimple>
      <w:r>
        <w:rPr>
          <w:rFonts w:cs="Arial"/>
          <w:b w:val="0"/>
          <w:szCs w:val="20"/>
        </w:rPr>
        <w:t xml:space="preserve">: </w:t>
      </w:r>
      <w:r w:rsidRPr="003418D8">
        <w:rPr>
          <w:rFonts w:cs="Arial"/>
          <w:szCs w:val="20"/>
        </w:rPr>
        <w:t>Čerpanie štrukturálny</w:t>
      </w:r>
      <w:r>
        <w:rPr>
          <w:rFonts w:cs="Arial"/>
          <w:szCs w:val="20"/>
        </w:rPr>
        <w:t xml:space="preserve">ch fondov a Kohézneho fondu, druhé </w:t>
      </w:r>
      <w:r w:rsidRPr="003418D8">
        <w:rPr>
          <w:rFonts w:cs="Arial"/>
          <w:szCs w:val="20"/>
        </w:rPr>
        <w:t>PO 2007</w:t>
      </w:r>
      <w:r>
        <w:rPr>
          <w:rFonts w:cs="Arial"/>
          <w:szCs w:val="20"/>
        </w:rPr>
        <w:t xml:space="preserve"> – </w:t>
      </w:r>
      <w:r w:rsidRPr="003418D8">
        <w:rPr>
          <w:rFonts w:cs="Arial"/>
          <w:szCs w:val="20"/>
        </w:rPr>
        <w:t>2013, (mil. eur)</w:t>
      </w:r>
      <w:bookmarkEnd w:id="102"/>
      <w:bookmarkEnd w:id="103"/>
      <w:bookmarkEnd w:id="104"/>
    </w:p>
    <w:tbl>
      <w:tblPr>
        <w:tblW w:w="8624" w:type="dxa"/>
        <w:jc w:val="center"/>
        <w:tblLayout w:type="fixed"/>
        <w:tblCellMar>
          <w:left w:w="70" w:type="dxa"/>
          <w:right w:w="70" w:type="dxa"/>
        </w:tblCellMar>
        <w:tblLook w:val="04A0" w:firstRow="1" w:lastRow="0" w:firstColumn="1" w:lastColumn="0" w:noHBand="0" w:noVBand="1"/>
      </w:tblPr>
      <w:tblGrid>
        <w:gridCol w:w="8624"/>
      </w:tblGrid>
      <w:tr w:rsidR="007D2366" w:rsidRPr="003418D8" w14:paraId="1A5E96B4" w14:textId="77777777" w:rsidTr="008D0834">
        <w:trPr>
          <w:trHeight w:val="269"/>
          <w:jc w:val="center"/>
        </w:trPr>
        <w:tc>
          <w:tcPr>
            <w:tcW w:w="8624" w:type="dxa"/>
            <w:tcBorders>
              <w:top w:val="single" w:sz="4" w:space="0" w:color="auto"/>
              <w:bottom w:val="single" w:sz="4" w:space="0" w:color="auto"/>
            </w:tcBorders>
            <w:noWrap/>
            <w:vAlign w:val="center"/>
            <w:hideMark/>
          </w:tcPr>
          <w:p w14:paraId="3A70F472" w14:textId="77777777" w:rsidR="007D2366" w:rsidRPr="003418D8" w:rsidRDefault="008D0834" w:rsidP="00342E82">
            <w:pPr>
              <w:spacing w:after="0" w:line="240" w:lineRule="auto"/>
              <w:rPr>
                <w:rFonts w:ascii="Arial Narrow" w:hAnsi="Arial Narrow"/>
                <w:b/>
                <w:bCs/>
                <w:color w:val="000000"/>
                <w:sz w:val="20"/>
                <w:szCs w:val="20"/>
              </w:rPr>
            </w:pPr>
            <w:r>
              <w:rPr>
                <w:noProof/>
                <w:lang w:val="en-US" w:eastAsia="en-US"/>
              </w:rPr>
              <w:drawing>
                <wp:inline distT="0" distB="0" distL="0" distR="0" wp14:anchorId="16476879" wp14:editId="4C7FA500">
                  <wp:extent cx="5387340" cy="1833245"/>
                  <wp:effectExtent l="0" t="0" r="3810" b="1460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r>
      <w:tr w:rsidR="007D2366" w:rsidRPr="003418D8" w14:paraId="4FF32EE1" w14:textId="77777777" w:rsidTr="008D0834">
        <w:trPr>
          <w:trHeight w:val="269"/>
          <w:jc w:val="center"/>
        </w:trPr>
        <w:tc>
          <w:tcPr>
            <w:tcW w:w="8624" w:type="dxa"/>
            <w:tcBorders>
              <w:top w:val="single" w:sz="4" w:space="0" w:color="auto"/>
            </w:tcBorders>
            <w:noWrap/>
            <w:vAlign w:val="center"/>
          </w:tcPr>
          <w:p w14:paraId="39C83056" w14:textId="77777777" w:rsidR="007D2366" w:rsidRPr="003418D8" w:rsidRDefault="007D2366" w:rsidP="00342E82">
            <w:pPr>
              <w:spacing w:after="0" w:line="240" w:lineRule="auto"/>
              <w:jc w:val="right"/>
              <w:rPr>
                <w:rFonts w:ascii="Arial Narrow" w:hAnsi="Arial Narrow"/>
                <w:bCs/>
                <w:i/>
                <w:color w:val="000000"/>
                <w:sz w:val="20"/>
                <w:szCs w:val="20"/>
              </w:rPr>
            </w:pPr>
            <w:r w:rsidRPr="003418D8">
              <w:rPr>
                <w:rFonts w:ascii="Arial Narrow" w:hAnsi="Arial Narrow"/>
                <w:bCs/>
                <w:i/>
                <w:color w:val="000000"/>
                <w:sz w:val="16"/>
                <w:szCs w:val="20"/>
              </w:rPr>
              <w:t>Zdroj: MF SR</w:t>
            </w:r>
          </w:p>
        </w:tc>
      </w:tr>
    </w:tbl>
    <w:p w14:paraId="3F5A4D33" w14:textId="77777777" w:rsidR="007D2366" w:rsidRDefault="007D2366" w:rsidP="007D2366">
      <w:pPr>
        <w:spacing w:after="0" w:line="240" w:lineRule="auto"/>
        <w:jc w:val="both"/>
        <w:rPr>
          <w:rFonts w:ascii="Arial Narrow" w:hAnsi="Arial Narrow"/>
        </w:rPr>
      </w:pPr>
    </w:p>
    <w:p w14:paraId="6F1BB497" w14:textId="3BCAF813" w:rsidR="00D07237" w:rsidRPr="0021675E" w:rsidRDefault="00DE3E2D" w:rsidP="00D07237">
      <w:pPr>
        <w:spacing w:after="0" w:line="240" w:lineRule="auto"/>
        <w:jc w:val="both"/>
        <w:rPr>
          <w:rFonts w:ascii="Arial Narrow" w:hAnsi="Arial Narrow" w:cs="Arial Narrow"/>
          <w:bCs/>
        </w:rPr>
      </w:pPr>
      <w:r w:rsidRPr="00520E29">
        <w:rPr>
          <w:rFonts w:ascii="Arial Narrow" w:hAnsi="Arial Narrow" w:cs="Arial Narrow"/>
          <w:b/>
          <w:bCs/>
        </w:rPr>
        <w:t xml:space="preserve">Pomalý nábeh čerpania tretieho programového obdobia predstavuje riziko nízkeho čerpania do roku 2020. </w:t>
      </w:r>
      <w:r w:rsidRPr="000D43EF">
        <w:rPr>
          <w:rFonts w:ascii="Arial Narrow" w:hAnsi="Arial Narrow" w:cs="Arial Narrow"/>
          <w:bCs/>
        </w:rPr>
        <w:t xml:space="preserve">Podobne ako </w:t>
      </w:r>
      <w:r w:rsidR="00D07237">
        <w:rPr>
          <w:rFonts w:ascii="Arial Narrow" w:hAnsi="Arial Narrow" w:cs="Arial Narrow"/>
          <w:bCs/>
        </w:rPr>
        <w:t>v</w:t>
      </w:r>
      <w:r w:rsidRPr="000D43EF">
        <w:rPr>
          <w:rFonts w:ascii="Arial Narrow" w:hAnsi="Arial Narrow" w:cs="Arial Narrow"/>
          <w:bCs/>
        </w:rPr>
        <w:t xml:space="preserve"> predchádzajúcom programovom období Slovensko začína s čerpaním prostriedkov s dvojročným meškaním.</w:t>
      </w:r>
      <w:r>
        <w:rPr>
          <w:rFonts w:ascii="Arial Narrow" w:hAnsi="Arial Narrow" w:cs="Arial Narrow"/>
          <w:bCs/>
        </w:rPr>
        <w:t xml:space="preserve"> </w:t>
      </w:r>
      <w:r w:rsidRPr="00DE3E2D">
        <w:rPr>
          <w:rFonts w:ascii="Arial Narrow" w:hAnsi="Arial Narrow"/>
          <w:color w:val="000000"/>
        </w:rPr>
        <w:t>Meškanie je spôsobené sústreďovaním administratívnych kapacít na uzatváranie programového obdobia 2007 – 2013, ako aj oneskorením prípravy a komplikovanosťou legislatívy EK na programové obdobie 2014 - 2020.</w:t>
      </w:r>
      <w:r w:rsidRPr="000D43EF">
        <w:rPr>
          <w:rFonts w:ascii="Arial Narrow" w:hAnsi="Arial Narrow" w:cs="Arial Narrow"/>
          <w:bCs/>
        </w:rPr>
        <w:t xml:space="preserve"> </w:t>
      </w:r>
      <w:r w:rsidR="00D07237">
        <w:rPr>
          <w:rFonts w:ascii="Arial Narrow" w:hAnsi="Arial Narrow"/>
          <w:color w:val="000000"/>
        </w:rPr>
        <w:t xml:space="preserve">Partnerskú dohodu SR a OP </w:t>
      </w:r>
      <w:r w:rsidR="00C3722C" w:rsidRPr="00C3722C">
        <w:rPr>
          <w:rFonts w:ascii="Arial Narrow" w:hAnsi="Arial Narrow"/>
          <w:color w:val="000000"/>
        </w:rPr>
        <w:t>financované z EŠIF v programovom období 2014 – 2020 schvaľovala EK postupne v rokoch 2014 až 2015.</w:t>
      </w:r>
      <w:r w:rsidR="00D07237">
        <w:rPr>
          <w:rFonts w:ascii="Arial Narrow" w:hAnsi="Arial Narrow"/>
          <w:color w:val="000000"/>
        </w:rPr>
        <w:t xml:space="preserve"> Podmienkou čerpania EÚ zdrojov je aj splnenie 43 ex-</w:t>
      </w:r>
      <w:proofErr w:type="spellStart"/>
      <w:r w:rsidR="00D07237">
        <w:rPr>
          <w:rFonts w:ascii="Arial Narrow" w:hAnsi="Arial Narrow"/>
          <w:color w:val="000000"/>
        </w:rPr>
        <w:t>ante</w:t>
      </w:r>
      <w:proofErr w:type="spellEnd"/>
      <w:r w:rsidR="00D07237">
        <w:rPr>
          <w:rFonts w:ascii="Arial Narrow" w:hAnsi="Arial Narrow"/>
          <w:color w:val="000000"/>
        </w:rPr>
        <w:t xml:space="preserve"> </w:t>
      </w:r>
      <w:proofErr w:type="spellStart"/>
      <w:r w:rsidR="00D07237">
        <w:rPr>
          <w:rFonts w:ascii="Arial Narrow" w:hAnsi="Arial Narrow"/>
          <w:color w:val="000000"/>
        </w:rPr>
        <w:t>kondicionalít</w:t>
      </w:r>
      <w:proofErr w:type="spellEnd"/>
      <w:r w:rsidR="00D07237">
        <w:rPr>
          <w:rFonts w:ascii="Arial Narrow" w:hAnsi="Arial Narrow"/>
          <w:color w:val="000000"/>
        </w:rPr>
        <w:t xml:space="preserve">, ktoré boli stanovené na úrovni EÚ pre všetky tematické ciele EŠIF a iné súvisiace oblasti. V júli 2017 bol proces verifikácie </w:t>
      </w:r>
      <w:proofErr w:type="spellStart"/>
      <w:r w:rsidR="00D07237">
        <w:rPr>
          <w:rFonts w:ascii="Arial Narrow" w:hAnsi="Arial Narrow"/>
          <w:color w:val="000000"/>
        </w:rPr>
        <w:t>kondicionalít</w:t>
      </w:r>
      <w:proofErr w:type="spellEnd"/>
      <w:r w:rsidR="00D07237">
        <w:rPr>
          <w:rFonts w:ascii="Arial Narrow" w:hAnsi="Arial Narrow"/>
          <w:color w:val="000000"/>
        </w:rPr>
        <w:t xml:space="preserve"> Komisiou ukončený. </w:t>
      </w:r>
    </w:p>
    <w:p w14:paraId="14EBF926" w14:textId="77777777" w:rsidR="00D07237" w:rsidRDefault="00D07237" w:rsidP="00D07237">
      <w:pPr>
        <w:spacing w:after="0" w:line="240" w:lineRule="auto"/>
        <w:jc w:val="both"/>
        <w:rPr>
          <w:rFonts w:ascii="Arial Narrow" w:hAnsi="Arial Narrow"/>
          <w:color w:val="000000"/>
        </w:rPr>
      </w:pPr>
    </w:p>
    <w:p w14:paraId="3BC1D6AF" w14:textId="7632EDD1" w:rsidR="00D07237" w:rsidRDefault="00D07237" w:rsidP="00D07237">
      <w:pPr>
        <w:spacing w:after="0" w:line="240" w:lineRule="auto"/>
        <w:jc w:val="both"/>
        <w:rPr>
          <w:rFonts w:ascii="Arial Narrow" w:hAnsi="Arial Narrow"/>
          <w:color w:val="000000"/>
        </w:rPr>
      </w:pPr>
      <w:r>
        <w:rPr>
          <w:rFonts w:ascii="Arial Narrow" w:hAnsi="Arial Narrow"/>
          <w:color w:val="000000"/>
        </w:rPr>
        <w:t xml:space="preserve">Vzhľadom na dosiahnutý vyšší HDP v sledovanom období voči pôvodným predpokladom došlo v zmysle legislatívy EÚ k technickému prepočtu finančnej </w:t>
      </w:r>
      <w:r w:rsidR="001F0913">
        <w:rPr>
          <w:rFonts w:ascii="Arial Narrow" w:hAnsi="Arial Narrow"/>
          <w:color w:val="000000"/>
        </w:rPr>
        <w:t>obálky (zníženie o 68,8 mil. eur</w:t>
      </w:r>
      <w:r>
        <w:rPr>
          <w:rFonts w:ascii="Arial Narrow" w:hAnsi="Arial Narrow"/>
          <w:color w:val="000000"/>
        </w:rPr>
        <w:t xml:space="preserve">). Na základe toho bola revidovaná Partnerská dohoda SR na roky 2014 – 2020 a tri programy: OP Výskum a inovácie, Integrovaný regionálny OP, OP Integrovaná infraštruktúra. Naopak, v súlade s rozhodnutím o alokovaní dodatočných finančných prostriedkov pre Slovenskú republiku z osobitných zdrojov Iniciatívy na podporu zamestnanosti mladých ľudí sa zvýšila alokácia OP Ľudské zdroje o 12,4 mil. eur. </w:t>
      </w:r>
    </w:p>
    <w:p w14:paraId="351C1DF4" w14:textId="3D7FE908" w:rsidR="00D07237" w:rsidRDefault="00C3722C" w:rsidP="00C3722C">
      <w:pPr>
        <w:spacing w:after="0" w:line="240" w:lineRule="auto"/>
        <w:jc w:val="both"/>
        <w:rPr>
          <w:rFonts w:ascii="Arial Narrow" w:hAnsi="Arial Narrow"/>
          <w:color w:val="000000"/>
        </w:rPr>
      </w:pPr>
      <w:r w:rsidRPr="00C3722C">
        <w:rPr>
          <w:rFonts w:ascii="Arial Narrow" w:hAnsi="Arial Narrow"/>
          <w:color w:val="000000"/>
        </w:rPr>
        <w:t xml:space="preserve"> </w:t>
      </w:r>
    </w:p>
    <w:p w14:paraId="54169BBD" w14:textId="6520EAEE" w:rsidR="00D07237" w:rsidRDefault="00D07237" w:rsidP="00D07237">
      <w:pPr>
        <w:spacing w:after="0" w:line="240" w:lineRule="auto"/>
        <w:jc w:val="both"/>
        <w:rPr>
          <w:rFonts w:ascii="Arial Narrow" w:hAnsi="Arial Narrow"/>
          <w:color w:val="000000"/>
          <w:shd w:val="clear" w:color="auto" w:fill="FFFF00"/>
        </w:rPr>
      </w:pPr>
      <w:r w:rsidRPr="00C3722C">
        <w:rPr>
          <w:rFonts w:ascii="Arial Narrow" w:hAnsi="Arial Narrow"/>
          <w:color w:val="000000"/>
        </w:rPr>
        <w:lastRenderedPageBreak/>
        <w:t>Z celkovej alokácie 1</w:t>
      </w:r>
      <w:r>
        <w:rPr>
          <w:rFonts w:ascii="Arial Narrow" w:hAnsi="Arial Narrow"/>
          <w:color w:val="000000"/>
        </w:rPr>
        <w:t xml:space="preserve">2 </w:t>
      </w:r>
      <w:r w:rsidRPr="00C3722C">
        <w:rPr>
          <w:rFonts w:ascii="Arial Narrow" w:hAnsi="Arial Narrow"/>
          <w:color w:val="000000"/>
        </w:rPr>
        <w:t>OP</w:t>
      </w:r>
      <w:r>
        <w:rPr>
          <w:rFonts w:ascii="Arial Narrow" w:hAnsi="Arial Narrow"/>
          <w:color w:val="000000"/>
        </w:rPr>
        <w:t xml:space="preserve"> v objeme </w:t>
      </w:r>
      <w:r w:rsidR="00FF6D6B">
        <w:rPr>
          <w:rFonts w:ascii="Arial Narrow" w:hAnsi="Arial Narrow"/>
          <w:color w:val="000000"/>
        </w:rPr>
        <w:t>15,5</w:t>
      </w:r>
      <w:r w:rsidRPr="00C3722C">
        <w:rPr>
          <w:rFonts w:ascii="Arial Narrow" w:hAnsi="Arial Narrow"/>
          <w:color w:val="000000"/>
        </w:rPr>
        <w:t xml:space="preserve"> mld. eur bolo ku kon</w:t>
      </w:r>
      <w:r>
        <w:rPr>
          <w:rFonts w:ascii="Arial Narrow" w:hAnsi="Arial Narrow"/>
          <w:color w:val="000000"/>
        </w:rPr>
        <w:t>cu roka 2017 vyčerpaných 1 747,9</w:t>
      </w:r>
      <w:r w:rsidRPr="00C3722C">
        <w:rPr>
          <w:rFonts w:ascii="Arial Narrow" w:hAnsi="Arial Narrow"/>
          <w:color w:val="000000"/>
        </w:rPr>
        <w:t xml:space="preserve"> mil. eur, čo predstavuje čerpanie na úrovni </w:t>
      </w:r>
      <w:r>
        <w:rPr>
          <w:rFonts w:ascii="Arial Narrow" w:hAnsi="Arial Narrow"/>
          <w:color w:val="000000"/>
        </w:rPr>
        <w:t xml:space="preserve">11,3 </w:t>
      </w:r>
      <w:r w:rsidRPr="00C3722C">
        <w:rPr>
          <w:rFonts w:ascii="Arial Narrow" w:hAnsi="Arial Narrow"/>
          <w:color w:val="000000"/>
        </w:rPr>
        <w:t xml:space="preserve">%. </w:t>
      </w:r>
      <w:r>
        <w:rPr>
          <w:rFonts w:ascii="Arial Narrow" w:hAnsi="Arial Narrow"/>
          <w:color w:val="000000"/>
        </w:rPr>
        <w:t xml:space="preserve">Celkový objem </w:t>
      </w:r>
      <w:proofErr w:type="spellStart"/>
      <w:r>
        <w:rPr>
          <w:rFonts w:ascii="Arial Narrow" w:hAnsi="Arial Narrow"/>
          <w:color w:val="000000"/>
        </w:rPr>
        <w:t>zazmluvnených</w:t>
      </w:r>
      <w:proofErr w:type="spellEnd"/>
      <w:r>
        <w:rPr>
          <w:rFonts w:ascii="Arial Narrow" w:hAnsi="Arial Narrow"/>
          <w:color w:val="000000"/>
        </w:rPr>
        <w:t xml:space="preserve"> projektov dosiahol 5 327,4 mld. eur, čo je 34,4 %. </w:t>
      </w:r>
      <w:r w:rsidRPr="00C3722C">
        <w:rPr>
          <w:rFonts w:ascii="Arial Narrow" w:hAnsi="Arial Narrow"/>
          <w:color w:val="000000"/>
        </w:rPr>
        <w:t>K 31. decembru 2017 sa prvýkrát sledovalo plnenie pravidla n+3 pri 7</w:t>
      </w:r>
      <w:r>
        <w:rPr>
          <w:rFonts w:ascii="Arial Narrow" w:hAnsi="Arial Narrow"/>
          <w:color w:val="000000"/>
        </w:rPr>
        <w:t xml:space="preserve"> OP</w:t>
      </w:r>
      <w:r w:rsidRPr="00C3722C">
        <w:rPr>
          <w:rFonts w:ascii="Arial Narrow" w:hAnsi="Arial Narrow"/>
          <w:color w:val="000000"/>
        </w:rPr>
        <w:t xml:space="preserve">, schválených EK v roku 2014. K 31. decembru 2018 sa pravidlo n+3 bude sledovať už pri všetkých </w:t>
      </w:r>
      <w:r>
        <w:rPr>
          <w:rFonts w:ascii="Arial Narrow" w:hAnsi="Arial Narrow"/>
          <w:color w:val="000000"/>
        </w:rPr>
        <w:t>OP</w:t>
      </w:r>
      <w:r w:rsidRPr="00C3722C">
        <w:rPr>
          <w:rFonts w:ascii="Arial Narrow" w:hAnsi="Arial Narrow"/>
          <w:color w:val="000000"/>
        </w:rPr>
        <w:t>.</w:t>
      </w:r>
      <w:r>
        <w:rPr>
          <w:rFonts w:ascii="Arial Narrow" w:hAnsi="Arial Narrow"/>
          <w:color w:val="000000"/>
        </w:rPr>
        <w:t xml:space="preserve"> To znamená, že Slovensko bude môcť čerpať finančné prostriedky z tretieho programového obdobia až do roku 2023.</w:t>
      </w:r>
      <w:r w:rsidRPr="00C3722C">
        <w:rPr>
          <w:rFonts w:ascii="Arial Narrow" w:hAnsi="Arial Narrow"/>
          <w:color w:val="000000"/>
        </w:rPr>
        <w:t xml:space="preserve"> </w:t>
      </w:r>
      <w:r>
        <w:rPr>
          <w:rFonts w:ascii="Arial Narrow" w:hAnsi="Arial Narrow"/>
          <w:color w:val="000000"/>
        </w:rPr>
        <w:t>D</w:t>
      </w:r>
      <w:r w:rsidRPr="00C3722C">
        <w:rPr>
          <w:rFonts w:ascii="Arial Narrow" w:hAnsi="Arial Narrow"/>
          <w:color w:val="000000"/>
        </w:rPr>
        <w:t xml:space="preserve">o konca roka 2018 </w:t>
      </w:r>
      <w:r>
        <w:rPr>
          <w:rFonts w:ascii="Arial Narrow" w:hAnsi="Arial Narrow"/>
          <w:color w:val="000000"/>
        </w:rPr>
        <w:t xml:space="preserve">bude tiež potrebné </w:t>
      </w:r>
      <w:r w:rsidRPr="00C3722C">
        <w:rPr>
          <w:rFonts w:ascii="Arial Narrow" w:hAnsi="Arial Narrow"/>
          <w:color w:val="000000"/>
        </w:rPr>
        <w:t xml:space="preserve">deklarovať EK sumy stanovené vo finančnom ukazovateli výkonnostného rámca jednotlivých programov, na základe ich plnenia EK priradí, resp. nepriradí </w:t>
      </w:r>
      <w:r>
        <w:rPr>
          <w:rFonts w:ascii="Arial Narrow" w:hAnsi="Arial Narrow"/>
          <w:color w:val="000000"/>
        </w:rPr>
        <w:t xml:space="preserve">OP </w:t>
      </w:r>
      <w:r w:rsidRPr="00C3722C">
        <w:rPr>
          <w:rFonts w:ascii="Arial Narrow" w:hAnsi="Arial Narrow"/>
          <w:color w:val="000000"/>
        </w:rPr>
        <w:t>výšku výkonnostnej rezervy.</w:t>
      </w:r>
    </w:p>
    <w:p w14:paraId="39746334" w14:textId="77777777" w:rsidR="00725D82" w:rsidRDefault="00725D82" w:rsidP="00725D82">
      <w:pPr>
        <w:spacing w:after="0" w:line="240" w:lineRule="auto"/>
        <w:jc w:val="both"/>
        <w:rPr>
          <w:rFonts w:ascii="Arial Narrow" w:hAnsi="Arial Narrow" w:cs="Arial Narrow"/>
        </w:rPr>
      </w:pPr>
    </w:p>
    <w:p w14:paraId="410E8301" w14:textId="2CFB9C1E" w:rsidR="00725D82" w:rsidRPr="00B86841" w:rsidRDefault="00725D82" w:rsidP="00725D82">
      <w:pPr>
        <w:spacing w:after="0" w:line="240" w:lineRule="auto"/>
        <w:jc w:val="both"/>
        <w:rPr>
          <w:rFonts w:ascii="Arial Narrow" w:hAnsi="Arial Narrow"/>
          <w:color w:val="000000"/>
          <w:shd w:val="clear" w:color="auto" w:fill="FFFF00"/>
        </w:rPr>
      </w:pPr>
      <w:r w:rsidRPr="00C3722C">
        <w:rPr>
          <w:rFonts w:ascii="Arial Narrow" w:hAnsi="Arial Narrow" w:cs="Arial Narrow"/>
          <w:bCs/>
        </w:rPr>
        <w:t>Podľa analytického scenára</w:t>
      </w:r>
      <w:r w:rsidRPr="00C3722C">
        <w:rPr>
          <w:rStyle w:val="Odkaznapoznmkupodiarou"/>
          <w:rFonts w:ascii="Arial Narrow" w:hAnsi="Arial Narrow" w:cs="Arial Narrow"/>
          <w:bCs/>
        </w:rPr>
        <w:footnoteReference w:id="67"/>
      </w:r>
      <w:r w:rsidRPr="00C3722C">
        <w:rPr>
          <w:rFonts w:ascii="Arial Narrow" w:hAnsi="Arial Narrow" w:cs="Arial Narrow"/>
          <w:bCs/>
        </w:rPr>
        <w:t xml:space="preserve"> by pri pomalom nábehu čerpania pozorovaného v prvých troch roko</w:t>
      </w:r>
      <w:r w:rsidR="001F0913">
        <w:rPr>
          <w:rFonts w:ascii="Arial Narrow" w:hAnsi="Arial Narrow" w:cs="Arial Narrow"/>
          <w:bCs/>
        </w:rPr>
        <w:t>ch mohlo Slovensko do konca roka</w:t>
      </w:r>
      <w:r w:rsidRPr="00C3722C">
        <w:rPr>
          <w:rFonts w:ascii="Arial Narrow" w:hAnsi="Arial Narrow" w:cs="Arial Narrow"/>
          <w:bCs/>
        </w:rPr>
        <w:t xml:space="preserve"> 2020 vyčerpať približne polovicu alokovaných prostriedkov z EŠIF. Skúsenosti z doterajšej implementácie </w:t>
      </w:r>
      <w:r w:rsidR="001F0913">
        <w:rPr>
          <w:rFonts w:ascii="Arial Narrow" w:hAnsi="Arial Narrow" w:cs="Arial Narrow"/>
          <w:bCs/>
        </w:rPr>
        <w:t xml:space="preserve">EÚ fondov </w:t>
      </w:r>
      <w:r w:rsidRPr="00C3722C">
        <w:rPr>
          <w:rFonts w:ascii="Arial Narrow" w:hAnsi="Arial Narrow" w:cs="Arial Narrow"/>
          <w:bCs/>
        </w:rPr>
        <w:t>však naznačujú, že najvyššie čerpanie je spravidla v posledných rokoch programového obdobia a taktiež dochádza k predĺženiu možnosti čerpania o 3 roky v zmysle pravidla n</w:t>
      </w:r>
      <w:r w:rsidR="00C3722C">
        <w:rPr>
          <w:rFonts w:ascii="Arial Narrow" w:hAnsi="Arial Narrow" w:cs="Arial Narrow"/>
          <w:bCs/>
        </w:rPr>
        <w:t>+3</w:t>
      </w:r>
      <w:r w:rsidRPr="00713203">
        <w:rPr>
          <w:rFonts w:ascii="Arial Narrow" w:hAnsi="Arial Narrow" w:cs="Arial Narrow"/>
          <w:bCs/>
        </w:rPr>
        <w:t>.</w:t>
      </w:r>
      <w:r w:rsidRPr="000D43EF">
        <w:rPr>
          <w:rFonts w:ascii="Arial Narrow" w:hAnsi="Arial Narrow" w:cs="Arial Narrow"/>
          <w:bCs/>
        </w:rPr>
        <w:t xml:space="preserve"> </w:t>
      </w:r>
    </w:p>
    <w:p w14:paraId="64C49CBF" w14:textId="77777777" w:rsidR="007D2366" w:rsidRDefault="007D2366" w:rsidP="007D2366">
      <w:pPr>
        <w:spacing w:after="0" w:line="240" w:lineRule="auto"/>
        <w:jc w:val="both"/>
        <w:rPr>
          <w:rFonts w:ascii="Arial Narrow" w:hAnsi="Arial Narrow" w:cs="Arial Narrow"/>
          <w:color w:val="000000" w:themeColor="text1"/>
        </w:rPr>
      </w:pPr>
    </w:p>
    <w:tbl>
      <w:tblPr>
        <w:tblW w:w="8683" w:type="dxa"/>
        <w:jc w:val="center"/>
        <w:tblLook w:val="04A0" w:firstRow="1" w:lastRow="0" w:firstColumn="1" w:lastColumn="0" w:noHBand="0" w:noVBand="1"/>
      </w:tblPr>
      <w:tblGrid>
        <w:gridCol w:w="2268"/>
        <w:gridCol w:w="1134"/>
        <w:gridCol w:w="1843"/>
        <w:gridCol w:w="1701"/>
        <w:gridCol w:w="1737"/>
      </w:tblGrid>
      <w:tr w:rsidR="007D2366" w:rsidRPr="00DB4FA5" w14:paraId="680FFE9E" w14:textId="77777777" w:rsidTr="00342E82">
        <w:trPr>
          <w:trHeight w:val="129"/>
          <w:jc w:val="center"/>
        </w:trPr>
        <w:tc>
          <w:tcPr>
            <w:tcW w:w="6946" w:type="dxa"/>
            <w:gridSpan w:val="4"/>
            <w:tcBorders>
              <w:top w:val="nil"/>
              <w:left w:val="nil"/>
              <w:bottom w:val="nil"/>
              <w:right w:val="nil"/>
            </w:tcBorders>
            <w:shd w:val="clear" w:color="auto" w:fill="auto"/>
            <w:noWrap/>
            <w:vAlign w:val="bottom"/>
            <w:hideMark/>
          </w:tcPr>
          <w:p w14:paraId="65BE2DFE" w14:textId="4A74441A" w:rsidR="007D2366" w:rsidRPr="00DB4FA5" w:rsidRDefault="007D2366" w:rsidP="00342E82">
            <w:pPr>
              <w:spacing w:after="0" w:line="240" w:lineRule="auto"/>
              <w:rPr>
                <w:rFonts w:ascii="Arial Narrow" w:hAnsi="Arial Narrow"/>
                <w:b/>
                <w:bCs/>
                <w:color w:val="2C9ADC"/>
                <w:sz w:val="20"/>
                <w:szCs w:val="20"/>
                <w:lang w:val="en-US"/>
              </w:rPr>
            </w:pPr>
            <w:proofErr w:type="spellStart"/>
            <w:r w:rsidRPr="00DB4FA5">
              <w:rPr>
                <w:rFonts w:ascii="Arial Narrow" w:hAnsi="Arial Narrow"/>
                <w:b/>
                <w:bCs/>
                <w:color w:val="2C9ADC"/>
                <w:sz w:val="20"/>
                <w:szCs w:val="20"/>
                <w:lang w:val="en-US"/>
              </w:rPr>
              <w:t>Alokácia</w:t>
            </w:r>
            <w:proofErr w:type="spellEnd"/>
            <w:r w:rsidRPr="00DB4FA5">
              <w:rPr>
                <w:rFonts w:ascii="Arial Narrow" w:hAnsi="Arial Narrow"/>
                <w:b/>
                <w:bCs/>
                <w:color w:val="2C9ADC"/>
                <w:sz w:val="20"/>
                <w:szCs w:val="20"/>
                <w:lang w:val="en-US"/>
              </w:rPr>
              <w:t xml:space="preserve"> a </w:t>
            </w:r>
            <w:proofErr w:type="spellStart"/>
            <w:r w:rsidRPr="00DB4FA5">
              <w:rPr>
                <w:rFonts w:ascii="Arial Narrow" w:hAnsi="Arial Narrow"/>
                <w:b/>
                <w:bCs/>
                <w:color w:val="2C9ADC"/>
                <w:sz w:val="20"/>
                <w:szCs w:val="20"/>
                <w:lang w:val="en-US"/>
              </w:rPr>
              <w:t>čerpanie</w:t>
            </w:r>
            <w:proofErr w:type="spellEnd"/>
            <w:r w:rsidRPr="00DB4FA5">
              <w:rPr>
                <w:rFonts w:ascii="Arial Narrow" w:hAnsi="Arial Narrow"/>
                <w:b/>
                <w:bCs/>
                <w:color w:val="2C9ADC"/>
                <w:sz w:val="20"/>
                <w:szCs w:val="20"/>
                <w:lang w:val="en-US"/>
              </w:rPr>
              <w:t xml:space="preserve"> EÚ </w:t>
            </w:r>
            <w:proofErr w:type="spellStart"/>
            <w:r w:rsidRPr="00DB4FA5">
              <w:rPr>
                <w:rFonts w:ascii="Arial Narrow" w:hAnsi="Arial Narrow"/>
                <w:b/>
                <w:bCs/>
                <w:color w:val="2C9ADC"/>
                <w:sz w:val="20"/>
                <w:szCs w:val="20"/>
                <w:lang w:val="en-US"/>
              </w:rPr>
              <w:t>zdrojov</w:t>
            </w:r>
            <w:proofErr w:type="spellEnd"/>
            <w:r w:rsidR="00D07237">
              <w:rPr>
                <w:rFonts w:ascii="Arial Narrow" w:hAnsi="Arial Narrow"/>
                <w:b/>
                <w:bCs/>
                <w:color w:val="2C9ADC"/>
                <w:sz w:val="20"/>
                <w:szCs w:val="20"/>
                <w:lang w:val="en-US"/>
              </w:rPr>
              <w:t xml:space="preserve"> k 31. 12. 2017</w:t>
            </w:r>
            <w:r>
              <w:rPr>
                <w:rFonts w:ascii="Arial Narrow" w:hAnsi="Arial Narrow"/>
                <w:b/>
                <w:bCs/>
                <w:color w:val="2C9ADC"/>
                <w:sz w:val="20"/>
                <w:szCs w:val="20"/>
                <w:lang w:val="en-US"/>
              </w:rPr>
              <w:t xml:space="preserve">, </w:t>
            </w:r>
            <w:proofErr w:type="spellStart"/>
            <w:r>
              <w:rPr>
                <w:rFonts w:ascii="Arial Narrow" w:hAnsi="Arial Narrow"/>
                <w:b/>
                <w:bCs/>
                <w:color w:val="2C9ADC"/>
                <w:sz w:val="20"/>
                <w:szCs w:val="20"/>
                <w:lang w:val="en-US"/>
              </w:rPr>
              <w:t>tretie</w:t>
            </w:r>
            <w:proofErr w:type="spellEnd"/>
            <w:r>
              <w:rPr>
                <w:rFonts w:ascii="Arial Narrow" w:hAnsi="Arial Narrow"/>
                <w:b/>
                <w:bCs/>
                <w:color w:val="2C9ADC"/>
                <w:sz w:val="20"/>
                <w:szCs w:val="20"/>
                <w:lang w:val="en-US"/>
              </w:rPr>
              <w:t xml:space="preserve"> PO 2014 – 2020</w:t>
            </w:r>
            <w:r w:rsidR="00801F44">
              <w:rPr>
                <w:rFonts w:ascii="Arial Narrow" w:hAnsi="Arial Narrow"/>
                <w:b/>
                <w:bCs/>
                <w:color w:val="2C9ADC"/>
                <w:sz w:val="20"/>
                <w:szCs w:val="20"/>
                <w:lang w:val="en-US"/>
              </w:rPr>
              <w:t xml:space="preserve"> </w:t>
            </w:r>
            <w:r w:rsidR="00801F44" w:rsidRPr="00801F44">
              <w:rPr>
                <w:rFonts w:ascii="Arial Narrow" w:hAnsi="Arial Narrow"/>
                <w:bCs/>
                <w:i/>
                <w:color w:val="000000" w:themeColor="text1"/>
                <w:sz w:val="20"/>
                <w:szCs w:val="20"/>
                <w:u w:val="single"/>
                <w:lang w:val="en-US"/>
              </w:rPr>
              <w:t xml:space="preserve">(update v </w:t>
            </w:r>
            <w:proofErr w:type="spellStart"/>
            <w:r w:rsidR="00801F44" w:rsidRPr="00801F44">
              <w:rPr>
                <w:rFonts w:ascii="Arial Narrow" w:hAnsi="Arial Narrow"/>
                <w:bCs/>
                <w:i/>
                <w:color w:val="000000" w:themeColor="text1"/>
                <w:sz w:val="20"/>
                <w:szCs w:val="20"/>
                <w:u w:val="single"/>
                <w:lang w:val="en-US"/>
              </w:rPr>
              <w:t>marci</w:t>
            </w:r>
            <w:proofErr w:type="spellEnd"/>
            <w:r w:rsidR="00801F44" w:rsidRPr="00801F44">
              <w:rPr>
                <w:rFonts w:ascii="Arial Narrow" w:hAnsi="Arial Narrow"/>
                <w:bCs/>
                <w:i/>
                <w:color w:val="000000" w:themeColor="text1"/>
                <w:sz w:val="20"/>
                <w:szCs w:val="20"/>
                <w:u w:val="single"/>
                <w:lang w:val="en-US"/>
              </w:rPr>
              <w:t>)</w:t>
            </w:r>
          </w:p>
        </w:tc>
        <w:tc>
          <w:tcPr>
            <w:tcW w:w="1737" w:type="dxa"/>
            <w:tcBorders>
              <w:top w:val="nil"/>
              <w:left w:val="nil"/>
              <w:bottom w:val="nil"/>
              <w:right w:val="nil"/>
            </w:tcBorders>
            <w:shd w:val="clear" w:color="auto" w:fill="auto"/>
            <w:noWrap/>
            <w:vAlign w:val="bottom"/>
            <w:hideMark/>
          </w:tcPr>
          <w:p w14:paraId="4BF7449C" w14:textId="77777777" w:rsidR="007D2366" w:rsidRPr="00DB4FA5" w:rsidRDefault="007D2366" w:rsidP="00342E82">
            <w:pPr>
              <w:spacing w:after="0" w:line="240" w:lineRule="auto"/>
              <w:rPr>
                <w:rFonts w:ascii="Arial Narrow" w:hAnsi="Arial Narrow"/>
                <w:b/>
                <w:bCs/>
                <w:color w:val="2C9ADC"/>
                <w:sz w:val="20"/>
                <w:szCs w:val="20"/>
                <w:lang w:val="en-US"/>
              </w:rPr>
            </w:pPr>
          </w:p>
        </w:tc>
      </w:tr>
      <w:tr w:rsidR="007D2366" w:rsidRPr="00DB4FA5" w14:paraId="61EE8E23" w14:textId="77777777" w:rsidTr="00342E82">
        <w:trPr>
          <w:trHeight w:val="440"/>
          <w:jc w:val="center"/>
        </w:trPr>
        <w:tc>
          <w:tcPr>
            <w:tcW w:w="2268" w:type="dxa"/>
            <w:tcBorders>
              <w:top w:val="single" w:sz="4" w:space="0" w:color="auto"/>
              <w:left w:val="nil"/>
              <w:bottom w:val="single" w:sz="4" w:space="0" w:color="auto"/>
              <w:right w:val="nil"/>
            </w:tcBorders>
            <w:shd w:val="clear" w:color="auto" w:fill="auto"/>
            <w:vAlign w:val="center"/>
            <w:hideMark/>
          </w:tcPr>
          <w:p w14:paraId="48A7ED75" w14:textId="77777777" w:rsidR="007D2366" w:rsidRPr="00DB4FA5" w:rsidRDefault="007D2366" w:rsidP="00342E82">
            <w:pPr>
              <w:spacing w:after="0" w:line="240" w:lineRule="auto"/>
              <w:jc w:val="both"/>
              <w:rPr>
                <w:rFonts w:ascii="Arial Narrow" w:hAnsi="Arial Narrow"/>
                <w:b/>
                <w:bCs/>
                <w:color w:val="000000"/>
                <w:sz w:val="20"/>
                <w:szCs w:val="20"/>
                <w:lang w:val="en-US"/>
              </w:rPr>
            </w:pPr>
            <w:r w:rsidRPr="00DB4FA5">
              <w:rPr>
                <w:rFonts w:ascii="Arial Narrow" w:hAnsi="Arial Narrow"/>
                <w:b/>
                <w:bCs/>
                <w:color w:val="000000" w:themeColor="text1"/>
                <w:sz w:val="20"/>
                <w:szCs w:val="20"/>
              </w:rPr>
              <w:t>Operačný program</w:t>
            </w:r>
          </w:p>
        </w:tc>
        <w:tc>
          <w:tcPr>
            <w:tcW w:w="1134" w:type="dxa"/>
            <w:tcBorders>
              <w:top w:val="single" w:sz="4" w:space="0" w:color="auto"/>
              <w:left w:val="nil"/>
              <w:bottom w:val="single" w:sz="4" w:space="0" w:color="auto"/>
              <w:right w:val="nil"/>
            </w:tcBorders>
            <w:shd w:val="clear" w:color="auto" w:fill="auto"/>
            <w:vAlign w:val="center"/>
            <w:hideMark/>
          </w:tcPr>
          <w:p w14:paraId="6D4D7738" w14:textId="77777777" w:rsidR="007D2366" w:rsidRPr="00DB4FA5" w:rsidRDefault="007D2366" w:rsidP="00342E82">
            <w:pPr>
              <w:spacing w:after="0" w:line="240" w:lineRule="auto"/>
              <w:jc w:val="center"/>
              <w:rPr>
                <w:rFonts w:ascii="Arial Narrow" w:hAnsi="Arial Narrow"/>
                <w:b/>
                <w:bCs/>
                <w:color w:val="000000"/>
                <w:sz w:val="20"/>
                <w:szCs w:val="20"/>
                <w:lang w:val="en-US"/>
              </w:rPr>
            </w:pPr>
            <w:r w:rsidRPr="00DB4FA5">
              <w:rPr>
                <w:rFonts w:ascii="Arial Narrow" w:hAnsi="Arial Narrow"/>
                <w:b/>
                <w:bCs/>
                <w:color w:val="000000" w:themeColor="text1"/>
                <w:sz w:val="20"/>
                <w:szCs w:val="20"/>
              </w:rPr>
              <w:t>Riadiaci orgán</w:t>
            </w:r>
          </w:p>
        </w:tc>
        <w:tc>
          <w:tcPr>
            <w:tcW w:w="1843" w:type="dxa"/>
            <w:tcBorders>
              <w:top w:val="single" w:sz="4" w:space="0" w:color="auto"/>
              <w:left w:val="nil"/>
              <w:bottom w:val="single" w:sz="4" w:space="0" w:color="auto"/>
              <w:right w:val="nil"/>
            </w:tcBorders>
            <w:shd w:val="clear" w:color="auto" w:fill="auto"/>
            <w:vAlign w:val="center"/>
            <w:hideMark/>
          </w:tcPr>
          <w:p w14:paraId="4FE397C1" w14:textId="77777777" w:rsidR="007D2366" w:rsidRPr="00DB4FA5" w:rsidRDefault="007D2366" w:rsidP="00342E82">
            <w:pPr>
              <w:spacing w:after="0" w:line="240" w:lineRule="auto"/>
              <w:jc w:val="center"/>
              <w:rPr>
                <w:rFonts w:ascii="Arial Narrow" w:hAnsi="Arial Narrow"/>
                <w:b/>
                <w:bCs/>
                <w:color w:val="000000"/>
                <w:sz w:val="20"/>
                <w:szCs w:val="20"/>
                <w:lang w:val="en-US"/>
              </w:rPr>
            </w:pPr>
            <w:r>
              <w:rPr>
                <w:rFonts w:ascii="Arial Narrow" w:hAnsi="Arial Narrow"/>
                <w:b/>
                <w:bCs/>
                <w:color w:val="000000" w:themeColor="text1"/>
                <w:sz w:val="20"/>
                <w:szCs w:val="20"/>
              </w:rPr>
              <w:t xml:space="preserve">Alokácia zo zdrojov EÚ </w:t>
            </w:r>
            <w:r w:rsidRPr="00DB4FA5">
              <w:rPr>
                <w:rFonts w:ascii="Arial Narrow" w:hAnsi="Arial Narrow"/>
                <w:b/>
                <w:bCs/>
                <w:color w:val="000000" w:themeColor="text1"/>
                <w:sz w:val="20"/>
                <w:szCs w:val="20"/>
              </w:rPr>
              <w:t>(mil. eur)</w:t>
            </w:r>
          </w:p>
        </w:tc>
        <w:tc>
          <w:tcPr>
            <w:tcW w:w="1701" w:type="dxa"/>
            <w:tcBorders>
              <w:top w:val="single" w:sz="4" w:space="0" w:color="auto"/>
              <w:left w:val="nil"/>
              <w:bottom w:val="single" w:sz="4" w:space="0" w:color="auto"/>
              <w:right w:val="nil"/>
            </w:tcBorders>
            <w:shd w:val="clear" w:color="auto" w:fill="auto"/>
            <w:vAlign w:val="center"/>
            <w:hideMark/>
          </w:tcPr>
          <w:p w14:paraId="69419D0E" w14:textId="44248A62" w:rsidR="007D2366" w:rsidRPr="00DB4FA5" w:rsidRDefault="007D2366" w:rsidP="00D07237">
            <w:pPr>
              <w:spacing w:after="0" w:line="240" w:lineRule="auto"/>
              <w:jc w:val="center"/>
              <w:rPr>
                <w:rFonts w:ascii="Arial Narrow" w:hAnsi="Arial Narrow"/>
                <w:b/>
                <w:bCs/>
                <w:color w:val="000000"/>
                <w:sz w:val="20"/>
                <w:szCs w:val="20"/>
                <w:lang w:val="en-US"/>
              </w:rPr>
            </w:pPr>
            <w:r w:rsidRPr="00DB4FA5">
              <w:rPr>
                <w:rFonts w:ascii="Arial Narrow" w:hAnsi="Arial Narrow"/>
                <w:b/>
                <w:bCs/>
                <w:color w:val="000000" w:themeColor="text1"/>
                <w:sz w:val="20"/>
                <w:szCs w:val="20"/>
              </w:rPr>
              <w:t>Čerpanie</w:t>
            </w:r>
            <w:r w:rsidR="00D07237">
              <w:rPr>
                <w:rFonts w:ascii="Arial Narrow" w:hAnsi="Arial Narrow"/>
                <w:b/>
                <w:bCs/>
                <w:color w:val="000000" w:themeColor="text1"/>
                <w:sz w:val="20"/>
                <w:szCs w:val="20"/>
              </w:rPr>
              <w:t xml:space="preserve"> </w:t>
            </w:r>
            <w:r w:rsidRPr="00DB4FA5">
              <w:rPr>
                <w:rFonts w:ascii="Arial Narrow" w:hAnsi="Arial Narrow"/>
                <w:b/>
                <w:bCs/>
                <w:color w:val="000000" w:themeColor="text1"/>
                <w:sz w:val="20"/>
                <w:szCs w:val="20"/>
              </w:rPr>
              <w:t>(mil. eur)</w:t>
            </w:r>
          </w:p>
        </w:tc>
        <w:tc>
          <w:tcPr>
            <w:tcW w:w="1737" w:type="dxa"/>
            <w:tcBorders>
              <w:top w:val="single" w:sz="4" w:space="0" w:color="auto"/>
              <w:left w:val="nil"/>
              <w:bottom w:val="single" w:sz="4" w:space="0" w:color="auto"/>
              <w:right w:val="nil"/>
            </w:tcBorders>
            <w:shd w:val="clear" w:color="auto" w:fill="auto"/>
            <w:vAlign w:val="center"/>
            <w:hideMark/>
          </w:tcPr>
          <w:p w14:paraId="1533090A" w14:textId="77777777" w:rsidR="007D2366" w:rsidRPr="00DB4FA5" w:rsidRDefault="007D2366" w:rsidP="00342E82">
            <w:pPr>
              <w:spacing w:after="0" w:line="240" w:lineRule="auto"/>
              <w:jc w:val="center"/>
              <w:rPr>
                <w:rFonts w:ascii="Arial Narrow" w:hAnsi="Arial Narrow"/>
                <w:b/>
                <w:bCs/>
                <w:color w:val="000000"/>
                <w:sz w:val="20"/>
                <w:szCs w:val="20"/>
                <w:lang w:val="en-US"/>
              </w:rPr>
            </w:pPr>
            <w:proofErr w:type="spellStart"/>
            <w:r w:rsidRPr="00801F44">
              <w:rPr>
                <w:rFonts w:ascii="Arial Narrow" w:hAnsi="Arial Narrow"/>
                <w:b/>
                <w:bCs/>
                <w:color w:val="000000" w:themeColor="text1"/>
                <w:sz w:val="20"/>
                <w:szCs w:val="20"/>
              </w:rPr>
              <w:t>Zazmluvnenosť</w:t>
            </w:r>
            <w:proofErr w:type="spellEnd"/>
            <w:r w:rsidRPr="00801F44">
              <w:rPr>
                <w:rFonts w:ascii="Arial Narrow" w:hAnsi="Arial Narrow"/>
                <w:b/>
                <w:bCs/>
                <w:color w:val="000000" w:themeColor="text1"/>
                <w:sz w:val="20"/>
                <w:szCs w:val="20"/>
              </w:rPr>
              <w:t xml:space="preserve"> projektov (mil. eur)</w:t>
            </w:r>
          </w:p>
        </w:tc>
      </w:tr>
      <w:tr w:rsidR="00D07237" w:rsidRPr="00976F99" w14:paraId="0E143065" w14:textId="77777777" w:rsidTr="00342E82">
        <w:trPr>
          <w:trHeight w:val="220"/>
          <w:jc w:val="center"/>
        </w:trPr>
        <w:tc>
          <w:tcPr>
            <w:tcW w:w="2268" w:type="dxa"/>
            <w:tcBorders>
              <w:top w:val="nil"/>
              <w:left w:val="nil"/>
              <w:bottom w:val="nil"/>
              <w:right w:val="nil"/>
            </w:tcBorders>
            <w:shd w:val="clear" w:color="auto" w:fill="auto"/>
            <w:vAlign w:val="center"/>
            <w:hideMark/>
          </w:tcPr>
          <w:p w14:paraId="17CFB5D3" w14:textId="77777777" w:rsidR="00D07237" w:rsidRPr="00976F99" w:rsidRDefault="00D07237" w:rsidP="00D07237">
            <w:pPr>
              <w:spacing w:after="0" w:line="240" w:lineRule="auto"/>
              <w:jc w:val="both"/>
              <w:rPr>
                <w:rFonts w:ascii="Arial Narrow" w:hAnsi="Arial Narrow"/>
                <w:color w:val="000000"/>
                <w:sz w:val="20"/>
                <w:szCs w:val="20"/>
                <w:lang w:val="en-US"/>
              </w:rPr>
            </w:pPr>
            <w:r w:rsidRPr="00976F99">
              <w:rPr>
                <w:rFonts w:ascii="Arial Narrow" w:hAnsi="Arial Narrow"/>
                <w:color w:val="000000"/>
                <w:sz w:val="20"/>
                <w:szCs w:val="20"/>
              </w:rPr>
              <w:t>Výskum a inovácie</w:t>
            </w:r>
          </w:p>
        </w:tc>
        <w:tc>
          <w:tcPr>
            <w:tcW w:w="1134" w:type="dxa"/>
            <w:tcBorders>
              <w:top w:val="nil"/>
              <w:left w:val="nil"/>
              <w:bottom w:val="nil"/>
              <w:right w:val="nil"/>
            </w:tcBorders>
            <w:shd w:val="clear" w:color="auto" w:fill="auto"/>
            <w:vAlign w:val="center"/>
            <w:hideMark/>
          </w:tcPr>
          <w:p w14:paraId="167F22B7" w14:textId="77777777" w:rsidR="00D07237" w:rsidRPr="00976F99" w:rsidRDefault="00D07237" w:rsidP="00D07237">
            <w:pPr>
              <w:spacing w:after="0" w:line="240" w:lineRule="auto"/>
              <w:jc w:val="center"/>
              <w:rPr>
                <w:rFonts w:ascii="Arial Narrow" w:hAnsi="Arial Narrow"/>
                <w:color w:val="000000"/>
                <w:sz w:val="20"/>
                <w:szCs w:val="20"/>
                <w:lang w:val="en-US"/>
              </w:rPr>
            </w:pPr>
            <w:r w:rsidRPr="00976F99">
              <w:rPr>
                <w:rFonts w:ascii="Arial Narrow" w:hAnsi="Arial Narrow"/>
                <w:color w:val="000000"/>
                <w:sz w:val="20"/>
                <w:szCs w:val="20"/>
              </w:rPr>
              <w:t>MŠVVŠ SR</w:t>
            </w:r>
          </w:p>
        </w:tc>
        <w:tc>
          <w:tcPr>
            <w:tcW w:w="1843" w:type="dxa"/>
            <w:tcBorders>
              <w:top w:val="nil"/>
              <w:left w:val="nil"/>
              <w:bottom w:val="nil"/>
              <w:right w:val="nil"/>
            </w:tcBorders>
            <w:shd w:val="clear" w:color="auto" w:fill="auto"/>
            <w:vAlign w:val="center"/>
            <w:hideMark/>
          </w:tcPr>
          <w:p w14:paraId="26638FC3" w14:textId="77777777" w:rsidR="00D07237" w:rsidRPr="00976F99" w:rsidRDefault="00D07237" w:rsidP="00D07237">
            <w:pPr>
              <w:spacing w:after="0" w:line="240" w:lineRule="auto"/>
              <w:jc w:val="center"/>
              <w:rPr>
                <w:rFonts w:ascii="Arial Narrow" w:hAnsi="Arial Narrow"/>
                <w:color w:val="000000"/>
                <w:sz w:val="20"/>
                <w:szCs w:val="20"/>
                <w:lang w:val="en-US"/>
              </w:rPr>
            </w:pPr>
            <w:r w:rsidRPr="00976F99">
              <w:rPr>
                <w:rFonts w:ascii="Arial Narrow" w:hAnsi="Arial Narrow"/>
                <w:color w:val="000000"/>
                <w:sz w:val="20"/>
                <w:szCs w:val="20"/>
              </w:rPr>
              <w:t>2 2</w:t>
            </w:r>
            <w:r>
              <w:rPr>
                <w:rFonts w:ascii="Arial Narrow" w:hAnsi="Arial Narrow"/>
                <w:color w:val="000000"/>
                <w:sz w:val="20"/>
                <w:szCs w:val="20"/>
              </w:rPr>
              <w:t>31</w:t>
            </w:r>
          </w:p>
        </w:tc>
        <w:tc>
          <w:tcPr>
            <w:tcW w:w="1701" w:type="dxa"/>
            <w:tcBorders>
              <w:top w:val="nil"/>
              <w:left w:val="nil"/>
              <w:bottom w:val="nil"/>
              <w:right w:val="nil"/>
            </w:tcBorders>
            <w:shd w:val="clear" w:color="auto" w:fill="auto"/>
            <w:vAlign w:val="center"/>
            <w:hideMark/>
          </w:tcPr>
          <w:p w14:paraId="548EF80A" w14:textId="77777777" w:rsidR="00D07237" w:rsidRPr="00976F99" w:rsidRDefault="00D07237" w:rsidP="00D07237">
            <w:pPr>
              <w:spacing w:after="0" w:line="240" w:lineRule="auto"/>
              <w:jc w:val="center"/>
              <w:rPr>
                <w:rFonts w:ascii="Arial Narrow" w:hAnsi="Arial Narrow"/>
                <w:color w:val="000000"/>
                <w:sz w:val="20"/>
                <w:szCs w:val="20"/>
                <w:lang w:val="en-US"/>
              </w:rPr>
            </w:pPr>
            <w:r>
              <w:rPr>
                <w:rFonts w:ascii="Arial Narrow" w:hAnsi="Arial Narrow"/>
                <w:color w:val="000000"/>
                <w:sz w:val="20"/>
                <w:szCs w:val="20"/>
              </w:rPr>
              <w:t>88</w:t>
            </w:r>
            <w:r w:rsidRPr="00976F99">
              <w:rPr>
                <w:rFonts w:ascii="Arial Narrow" w:hAnsi="Arial Narrow"/>
                <w:color w:val="000000"/>
                <w:sz w:val="20"/>
                <w:szCs w:val="20"/>
              </w:rPr>
              <w:t>,3</w:t>
            </w:r>
          </w:p>
        </w:tc>
        <w:tc>
          <w:tcPr>
            <w:tcW w:w="1737" w:type="dxa"/>
            <w:tcBorders>
              <w:top w:val="nil"/>
              <w:left w:val="nil"/>
              <w:bottom w:val="nil"/>
              <w:right w:val="nil"/>
            </w:tcBorders>
            <w:shd w:val="clear" w:color="auto" w:fill="auto"/>
            <w:vAlign w:val="center"/>
            <w:hideMark/>
          </w:tcPr>
          <w:p w14:paraId="0BCE8D6C" w14:textId="48DDABAA" w:rsidR="00D07237" w:rsidRPr="00976F99" w:rsidRDefault="00D07237" w:rsidP="00D07237">
            <w:pPr>
              <w:spacing w:after="0" w:line="240" w:lineRule="auto"/>
              <w:jc w:val="center"/>
              <w:rPr>
                <w:rFonts w:ascii="Arial Narrow" w:hAnsi="Arial Narrow"/>
                <w:color w:val="000000"/>
                <w:sz w:val="20"/>
                <w:szCs w:val="20"/>
                <w:lang w:val="en-US"/>
              </w:rPr>
            </w:pPr>
            <w:r>
              <w:rPr>
                <w:rFonts w:ascii="Arial Narrow" w:hAnsi="Arial Narrow"/>
                <w:sz w:val="20"/>
                <w:szCs w:val="20"/>
              </w:rPr>
              <w:t>798,1</w:t>
            </w:r>
          </w:p>
        </w:tc>
      </w:tr>
      <w:tr w:rsidR="00D07237" w:rsidRPr="00976F99" w14:paraId="023AC7A7" w14:textId="77777777" w:rsidTr="00342E82">
        <w:trPr>
          <w:trHeight w:val="80"/>
          <w:jc w:val="center"/>
        </w:trPr>
        <w:tc>
          <w:tcPr>
            <w:tcW w:w="2268" w:type="dxa"/>
            <w:tcBorders>
              <w:top w:val="nil"/>
              <w:left w:val="nil"/>
              <w:bottom w:val="nil"/>
              <w:right w:val="nil"/>
            </w:tcBorders>
            <w:shd w:val="clear" w:color="auto" w:fill="auto"/>
            <w:vAlign w:val="center"/>
            <w:hideMark/>
          </w:tcPr>
          <w:p w14:paraId="37914319" w14:textId="77777777" w:rsidR="00D07237" w:rsidRPr="00976F99" w:rsidRDefault="00D07237" w:rsidP="00D07237">
            <w:pPr>
              <w:spacing w:after="0" w:line="240" w:lineRule="auto"/>
              <w:jc w:val="both"/>
              <w:rPr>
                <w:rFonts w:ascii="Arial Narrow" w:hAnsi="Arial Narrow"/>
                <w:color w:val="000000"/>
                <w:sz w:val="20"/>
                <w:szCs w:val="20"/>
                <w:lang w:val="en-US"/>
              </w:rPr>
            </w:pPr>
            <w:r w:rsidRPr="00976F99">
              <w:rPr>
                <w:rFonts w:ascii="Arial Narrow" w:hAnsi="Arial Narrow"/>
                <w:color w:val="000000"/>
                <w:sz w:val="20"/>
                <w:szCs w:val="20"/>
              </w:rPr>
              <w:t>Integrovaná infraštruktúra</w:t>
            </w:r>
          </w:p>
        </w:tc>
        <w:tc>
          <w:tcPr>
            <w:tcW w:w="1134" w:type="dxa"/>
            <w:tcBorders>
              <w:top w:val="nil"/>
              <w:left w:val="nil"/>
              <w:bottom w:val="nil"/>
              <w:right w:val="nil"/>
            </w:tcBorders>
            <w:shd w:val="clear" w:color="auto" w:fill="auto"/>
            <w:vAlign w:val="center"/>
            <w:hideMark/>
          </w:tcPr>
          <w:p w14:paraId="5AC7D698" w14:textId="77777777" w:rsidR="00D07237" w:rsidRPr="00976F99" w:rsidRDefault="00D07237" w:rsidP="00D07237">
            <w:pPr>
              <w:spacing w:after="0" w:line="240" w:lineRule="auto"/>
              <w:jc w:val="center"/>
              <w:rPr>
                <w:rFonts w:ascii="Arial Narrow" w:hAnsi="Arial Narrow"/>
                <w:color w:val="000000"/>
                <w:sz w:val="20"/>
                <w:szCs w:val="20"/>
                <w:lang w:val="en-US"/>
              </w:rPr>
            </w:pPr>
            <w:r w:rsidRPr="00976F99">
              <w:rPr>
                <w:rFonts w:ascii="Arial Narrow" w:hAnsi="Arial Narrow"/>
                <w:color w:val="000000"/>
                <w:sz w:val="20"/>
                <w:szCs w:val="20"/>
              </w:rPr>
              <w:t>MDV SR</w:t>
            </w:r>
          </w:p>
        </w:tc>
        <w:tc>
          <w:tcPr>
            <w:tcW w:w="1843" w:type="dxa"/>
            <w:tcBorders>
              <w:top w:val="nil"/>
              <w:left w:val="nil"/>
              <w:bottom w:val="nil"/>
              <w:right w:val="nil"/>
            </w:tcBorders>
            <w:shd w:val="clear" w:color="auto" w:fill="auto"/>
            <w:vAlign w:val="center"/>
            <w:hideMark/>
          </w:tcPr>
          <w:p w14:paraId="3F806E1E" w14:textId="77777777" w:rsidR="00D07237" w:rsidRPr="00976F99" w:rsidRDefault="00D07237" w:rsidP="00D07237">
            <w:pPr>
              <w:spacing w:after="0" w:line="240" w:lineRule="auto"/>
              <w:jc w:val="center"/>
              <w:rPr>
                <w:rFonts w:ascii="Arial Narrow" w:hAnsi="Arial Narrow"/>
                <w:color w:val="000000"/>
                <w:sz w:val="20"/>
                <w:szCs w:val="20"/>
                <w:lang w:val="en-US"/>
              </w:rPr>
            </w:pPr>
            <w:r w:rsidRPr="00976F99">
              <w:rPr>
                <w:rFonts w:ascii="Arial Narrow" w:hAnsi="Arial Narrow"/>
                <w:color w:val="000000"/>
                <w:sz w:val="20"/>
                <w:szCs w:val="20"/>
              </w:rPr>
              <w:t>3 9</w:t>
            </w:r>
            <w:r>
              <w:rPr>
                <w:rFonts w:ascii="Arial Narrow" w:hAnsi="Arial Narrow"/>
                <w:color w:val="000000"/>
                <w:sz w:val="20"/>
                <w:szCs w:val="20"/>
              </w:rPr>
              <w:t>49</w:t>
            </w:r>
          </w:p>
        </w:tc>
        <w:tc>
          <w:tcPr>
            <w:tcW w:w="1701" w:type="dxa"/>
            <w:tcBorders>
              <w:top w:val="nil"/>
              <w:left w:val="nil"/>
              <w:bottom w:val="nil"/>
              <w:right w:val="nil"/>
            </w:tcBorders>
            <w:shd w:val="clear" w:color="auto" w:fill="auto"/>
            <w:vAlign w:val="center"/>
            <w:hideMark/>
          </w:tcPr>
          <w:p w14:paraId="3D0D5A21" w14:textId="77777777" w:rsidR="00D07237" w:rsidRPr="00976F99" w:rsidRDefault="00D07237" w:rsidP="00D07237">
            <w:pPr>
              <w:spacing w:after="0" w:line="240" w:lineRule="auto"/>
              <w:jc w:val="center"/>
              <w:rPr>
                <w:rFonts w:ascii="Arial Narrow" w:hAnsi="Arial Narrow"/>
                <w:color w:val="000000"/>
                <w:sz w:val="20"/>
                <w:szCs w:val="20"/>
                <w:lang w:val="en-US"/>
              </w:rPr>
            </w:pPr>
            <w:r>
              <w:rPr>
                <w:rFonts w:ascii="Arial Narrow" w:hAnsi="Arial Narrow"/>
                <w:color w:val="000000"/>
                <w:sz w:val="20"/>
                <w:szCs w:val="20"/>
              </w:rPr>
              <w:t>671,8</w:t>
            </w:r>
          </w:p>
        </w:tc>
        <w:tc>
          <w:tcPr>
            <w:tcW w:w="1737" w:type="dxa"/>
            <w:tcBorders>
              <w:top w:val="nil"/>
              <w:left w:val="nil"/>
              <w:bottom w:val="nil"/>
              <w:right w:val="nil"/>
            </w:tcBorders>
            <w:shd w:val="clear" w:color="auto" w:fill="auto"/>
            <w:vAlign w:val="center"/>
            <w:hideMark/>
          </w:tcPr>
          <w:p w14:paraId="444766AD" w14:textId="7B0F7F55" w:rsidR="00D07237" w:rsidRPr="00976F99" w:rsidRDefault="00D07237" w:rsidP="00D07237">
            <w:pPr>
              <w:spacing w:after="0" w:line="240" w:lineRule="auto"/>
              <w:jc w:val="center"/>
              <w:rPr>
                <w:rFonts w:ascii="Arial Narrow" w:hAnsi="Arial Narrow"/>
                <w:color w:val="000000"/>
                <w:sz w:val="20"/>
                <w:szCs w:val="20"/>
                <w:lang w:val="en-US"/>
              </w:rPr>
            </w:pPr>
            <w:r>
              <w:rPr>
                <w:rFonts w:ascii="Arial Narrow" w:hAnsi="Arial Narrow"/>
                <w:sz w:val="20"/>
                <w:szCs w:val="20"/>
              </w:rPr>
              <w:t>1 098,7</w:t>
            </w:r>
          </w:p>
        </w:tc>
      </w:tr>
      <w:tr w:rsidR="00D07237" w:rsidRPr="00976F99" w14:paraId="3C3A60CF" w14:textId="77777777" w:rsidTr="00342E82">
        <w:trPr>
          <w:trHeight w:val="220"/>
          <w:jc w:val="center"/>
        </w:trPr>
        <w:tc>
          <w:tcPr>
            <w:tcW w:w="2268" w:type="dxa"/>
            <w:tcBorders>
              <w:top w:val="nil"/>
              <w:left w:val="nil"/>
              <w:bottom w:val="nil"/>
              <w:right w:val="nil"/>
            </w:tcBorders>
            <w:shd w:val="clear" w:color="auto" w:fill="auto"/>
            <w:vAlign w:val="center"/>
            <w:hideMark/>
          </w:tcPr>
          <w:p w14:paraId="240A0C1D" w14:textId="77777777" w:rsidR="00D07237" w:rsidRPr="00976F99" w:rsidRDefault="00D07237" w:rsidP="00D07237">
            <w:pPr>
              <w:spacing w:after="0" w:line="240" w:lineRule="auto"/>
              <w:jc w:val="both"/>
              <w:rPr>
                <w:rFonts w:ascii="Arial Narrow" w:hAnsi="Arial Narrow"/>
                <w:color w:val="000000"/>
                <w:sz w:val="20"/>
                <w:szCs w:val="20"/>
                <w:lang w:val="en-US"/>
              </w:rPr>
            </w:pPr>
            <w:r w:rsidRPr="00976F99">
              <w:rPr>
                <w:rFonts w:ascii="Arial Narrow" w:hAnsi="Arial Narrow"/>
                <w:color w:val="000000"/>
                <w:sz w:val="20"/>
                <w:szCs w:val="20"/>
              </w:rPr>
              <w:t>Ľudské zdroje</w:t>
            </w:r>
          </w:p>
        </w:tc>
        <w:tc>
          <w:tcPr>
            <w:tcW w:w="1134" w:type="dxa"/>
            <w:tcBorders>
              <w:top w:val="nil"/>
              <w:left w:val="nil"/>
              <w:bottom w:val="nil"/>
              <w:right w:val="nil"/>
            </w:tcBorders>
            <w:shd w:val="clear" w:color="auto" w:fill="auto"/>
            <w:vAlign w:val="center"/>
            <w:hideMark/>
          </w:tcPr>
          <w:p w14:paraId="307F8217" w14:textId="77777777" w:rsidR="00D07237" w:rsidRPr="00976F99" w:rsidRDefault="00D07237" w:rsidP="00D07237">
            <w:pPr>
              <w:spacing w:after="0" w:line="240" w:lineRule="auto"/>
              <w:jc w:val="center"/>
              <w:rPr>
                <w:rFonts w:ascii="Arial Narrow" w:hAnsi="Arial Narrow"/>
                <w:color w:val="000000"/>
                <w:sz w:val="20"/>
                <w:szCs w:val="20"/>
                <w:lang w:val="en-US"/>
              </w:rPr>
            </w:pPr>
            <w:r w:rsidRPr="00976F99">
              <w:rPr>
                <w:rFonts w:ascii="Arial Narrow" w:hAnsi="Arial Narrow"/>
                <w:color w:val="000000"/>
                <w:sz w:val="20"/>
                <w:szCs w:val="20"/>
              </w:rPr>
              <w:t>MPSVR SR</w:t>
            </w:r>
          </w:p>
        </w:tc>
        <w:tc>
          <w:tcPr>
            <w:tcW w:w="1843" w:type="dxa"/>
            <w:tcBorders>
              <w:top w:val="nil"/>
              <w:left w:val="nil"/>
              <w:bottom w:val="nil"/>
              <w:right w:val="nil"/>
            </w:tcBorders>
            <w:shd w:val="clear" w:color="auto" w:fill="auto"/>
            <w:vAlign w:val="center"/>
            <w:hideMark/>
          </w:tcPr>
          <w:p w14:paraId="26AE76C3" w14:textId="77777777" w:rsidR="00D07237" w:rsidRPr="00976F99" w:rsidRDefault="00D07237" w:rsidP="00D07237">
            <w:pPr>
              <w:spacing w:after="0" w:line="240" w:lineRule="auto"/>
              <w:jc w:val="center"/>
              <w:rPr>
                <w:rFonts w:ascii="Arial Narrow" w:hAnsi="Arial Narrow"/>
                <w:color w:val="000000"/>
                <w:sz w:val="20"/>
                <w:szCs w:val="20"/>
                <w:lang w:val="en-US"/>
              </w:rPr>
            </w:pPr>
            <w:r w:rsidRPr="00976F99">
              <w:rPr>
                <w:rFonts w:ascii="Arial Narrow" w:hAnsi="Arial Narrow"/>
                <w:color w:val="000000"/>
                <w:sz w:val="20"/>
                <w:szCs w:val="20"/>
              </w:rPr>
              <w:t>2 2</w:t>
            </w:r>
            <w:r>
              <w:rPr>
                <w:rFonts w:ascii="Arial Narrow" w:hAnsi="Arial Narrow"/>
                <w:color w:val="000000"/>
                <w:sz w:val="20"/>
                <w:szCs w:val="20"/>
              </w:rPr>
              <w:t>17</w:t>
            </w:r>
          </w:p>
        </w:tc>
        <w:tc>
          <w:tcPr>
            <w:tcW w:w="1701" w:type="dxa"/>
            <w:tcBorders>
              <w:top w:val="nil"/>
              <w:left w:val="nil"/>
              <w:bottom w:val="nil"/>
              <w:right w:val="nil"/>
            </w:tcBorders>
            <w:shd w:val="clear" w:color="auto" w:fill="auto"/>
            <w:vAlign w:val="center"/>
            <w:hideMark/>
          </w:tcPr>
          <w:p w14:paraId="0E0ED87B" w14:textId="77777777" w:rsidR="00D07237" w:rsidRPr="00976F99" w:rsidRDefault="00D07237" w:rsidP="00D07237">
            <w:pPr>
              <w:spacing w:after="0" w:line="240" w:lineRule="auto"/>
              <w:jc w:val="center"/>
              <w:rPr>
                <w:rFonts w:ascii="Arial Narrow" w:hAnsi="Arial Narrow"/>
                <w:color w:val="000000"/>
                <w:sz w:val="20"/>
                <w:szCs w:val="20"/>
                <w:lang w:val="en-US"/>
              </w:rPr>
            </w:pPr>
            <w:r>
              <w:rPr>
                <w:rFonts w:ascii="Arial Narrow" w:hAnsi="Arial Narrow"/>
                <w:color w:val="000000"/>
                <w:sz w:val="20"/>
                <w:szCs w:val="20"/>
              </w:rPr>
              <w:t>288,4</w:t>
            </w:r>
          </w:p>
        </w:tc>
        <w:tc>
          <w:tcPr>
            <w:tcW w:w="1737" w:type="dxa"/>
            <w:tcBorders>
              <w:top w:val="nil"/>
              <w:left w:val="nil"/>
              <w:bottom w:val="nil"/>
              <w:right w:val="nil"/>
            </w:tcBorders>
            <w:shd w:val="clear" w:color="auto" w:fill="auto"/>
            <w:vAlign w:val="center"/>
            <w:hideMark/>
          </w:tcPr>
          <w:p w14:paraId="6A939EA7" w14:textId="1C94D345" w:rsidR="00D07237" w:rsidRPr="00976F99" w:rsidRDefault="00D07237" w:rsidP="00D07237">
            <w:pPr>
              <w:spacing w:after="0" w:line="240" w:lineRule="auto"/>
              <w:jc w:val="center"/>
              <w:rPr>
                <w:rFonts w:ascii="Arial Narrow" w:hAnsi="Arial Narrow"/>
                <w:color w:val="000000"/>
                <w:sz w:val="20"/>
                <w:szCs w:val="20"/>
                <w:lang w:val="en-US"/>
              </w:rPr>
            </w:pPr>
            <w:r>
              <w:rPr>
                <w:rFonts w:ascii="Arial Narrow" w:hAnsi="Arial Narrow"/>
                <w:sz w:val="20"/>
                <w:szCs w:val="20"/>
              </w:rPr>
              <w:t>1 088,7</w:t>
            </w:r>
          </w:p>
        </w:tc>
      </w:tr>
      <w:tr w:rsidR="00D07237" w:rsidRPr="00976F99" w14:paraId="50116B0C" w14:textId="77777777" w:rsidTr="00342E82">
        <w:trPr>
          <w:trHeight w:val="184"/>
          <w:jc w:val="center"/>
        </w:trPr>
        <w:tc>
          <w:tcPr>
            <w:tcW w:w="2268" w:type="dxa"/>
            <w:tcBorders>
              <w:top w:val="nil"/>
              <w:left w:val="nil"/>
              <w:bottom w:val="nil"/>
              <w:right w:val="nil"/>
            </w:tcBorders>
            <w:shd w:val="clear" w:color="auto" w:fill="auto"/>
            <w:vAlign w:val="center"/>
            <w:hideMark/>
          </w:tcPr>
          <w:p w14:paraId="26A0AD82" w14:textId="77777777" w:rsidR="00D07237" w:rsidRPr="00976F99" w:rsidRDefault="00D07237" w:rsidP="00D07237">
            <w:pPr>
              <w:spacing w:after="0" w:line="240" w:lineRule="auto"/>
              <w:jc w:val="both"/>
              <w:rPr>
                <w:rFonts w:ascii="Arial Narrow" w:hAnsi="Arial Narrow"/>
                <w:color w:val="000000"/>
                <w:sz w:val="20"/>
                <w:szCs w:val="20"/>
                <w:lang w:val="en-US"/>
              </w:rPr>
            </w:pPr>
            <w:r w:rsidRPr="00976F99">
              <w:rPr>
                <w:rFonts w:ascii="Arial Narrow" w:hAnsi="Arial Narrow"/>
                <w:color w:val="000000"/>
                <w:sz w:val="20"/>
                <w:szCs w:val="20"/>
              </w:rPr>
              <w:t>Kvalita životného prostredia</w:t>
            </w:r>
          </w:p>
        </w:tc>
        <w:tc>
          <w:tcPr>
            <w:tcW w:w="1134" w:type="dxa"/>
            <w:tcBorders>
              <w:top w:val="nil"/>
              <w:left w:val="nil"/>
              <w:bottom w:val="nil"/>
              <w:right w:val="nil"/>
            </w:tcBorders>
            <w:shd w:val="clear" w:color="auto" w:fill="auto"/>
            <w:vAlign w:val="center"/>
            <w:hideMark/>
          </w:tcPr>
          <w:p w14:paraId="7D2D1290" w14:textId="77777777" w:rsidR="00D07237" w:rsidRPr="00976F99" w:rsidRDefault="00D07237" w:rsidP="00D07237">
            <w:pPr>
              <w:spacing w:after="0" w:line="240" w:lineRule="auto"/>
              <w:jc w:val="center"/>
              <w:rPr>
                <w:rFonts w:ascii="Arial Narrow" w:hAnsi="Arial Narrow"/>
                <w:color w:val="000000"/>
                <w:sz w:val="20"/>
                <w:szCs w:val="20"/>
                <w:lang w:val="en-US"/>
              </w:rPr>
            </w:pPr>
            <w:r w:rsidRPr="00976F99">
              <w:rPr>
                <w:rFonts w:ascii="Arial Narrow" w:hAnsi="Arial Narrow"/>
                <w:color w:val="000000"/>
                <w:sz w:val="20"/>
                <w:szCs w:val="20"/>
              </w:rPr>
              <w:t>MŽP SR</w:t>
            </w:r>
          </w:p>
        </w:tc>
        <w:tc>
          <w:tcPr>
            <w:tcW w:w="1843" w:type="dxa"/>
            <w:tcBorders>
              <w:top w:val="nil"/>
              <w:left w:val="nil"/>
              <w:bottom w:val="nil"/>
              <w:right w:val="nil"/>
            </w:tcBorders>
            <w:shd w:val="clear" w:color="auto" w:fill="auto"/>
            <w:vAlign w:val="center"/>
            <w:hideMark/>
          </w:tcPr>
          <w:p w14:paraId="452E234F" w14:textId="77777777" w:rsidR="00D07237" w:rsidRPr="00976F99" w:rsidRDefault="00D07237" w:rsidP="00D07237">
            <w:pPr>
              <w:spacing w:after="0" w:line="240" w:lineRule="auto"/>
              <w:jc w:val="center"/>
              <w:rPr>
                <w:rFonts w:ascii="Arial Narrow" w:hAnsi="Arial Narrow"/>
                <w:color w:val="000000"/>
                <w:sz w:val="20"/>
                <w:szCs w:val="20"/>
                <w:lang w:val="en-US"/>
              </w:rPr>
            </w:pPr>
            <w:r w:rsidRPr="00976F99">
              <w:rPr>
                <w:rFonts w:ascii="Arial Narrow" w:hAnsi="Arial Narrow"/>
                <w:color w:val="000000"/>
                <w:sz w:val="20"/>
                <w:szCs w:val="20"/>
              </w:rPr>
              <w:t>3 138</w:t>
            </w:r>
          </w:p>
        </w:tc>
        <w:tc>
          <w:tcPr>
            <w:tcW w:w="1701" w:type="dxa"/>
            <w:tcBorders>
              <w:top w:val="nil"/>
              <w:left w:val="nil"/>
              <w:bottom w:val="nil"/>
              <w:right w:val="nil"/>
            </w:tcBorders>
            <w:shd w:val="clear" w:color="auto" w:fill="auto"/>
            <w:vAlign w:val="center"/>
            <w:hideMark/>
          </w:tcPr>
          <w:p w14:paraId="160D776D" w14:textId="77777777" w:rsidR="00D07237" w:rsidRPr="00976F99" w:rsidRDefault="00D07237" w:rsidP="00D07237">
            <w:pPr>
              <w:spacing w:after="0" w:line="240" w:lineRule="auto"/>
              <w:jc w:val="center"/>
              <w:rPr>
                <w:rFonts w:ascii="Arial Narrow" w:hAnsi="Arial Narrow"/>
                <w:color w:val="000000"/>
                <w:sz w:val="20"/>
                <w:szCs w:val="20"/>
                <w:lang w:val="en-US"/>
              </w:rPr>
            </w:pPr>
            <w:r>
              <w:rPr>
                <w:rFonts w:ascii="Arial Narrow" w:hAnsi="Arial Narrow"/>
                <w:color w:val="000000"/>
                <w:sz w:val="20"/>
                <w:szCs w:val="20"/>
              </w:rPr>
              <w:t>182,9</w:t>
            </w:r>
          </w:p>
        </w:tc>
        <w:tc>
          <w:tcPr>
            <w:tcW w:w="1737" w:type="dxa"/>
            <w:tcBorders>
              <w:top w:val="nil"/>
              <w:left w:val="nil"/>
              <w:bottom w:val="nil"/>
              <w:right w:val="nil"/>
            </w:tcBorders>
            <w:shd w:val="clear" w:color="auto" w:fill="auto"/>
            <w:vAlign w:val="center"/>
            <w:hideMark/>
          </w:tcPr>
          <w:p w14:paraId="1DAB4F64" w14:textId="1479CD6B" w:rsidR="00D07237" w:rsidRPr="00976F99" w:rsidRDefault="00D07237" w:rsidP="00D07237">
            <w:pPr>
              <w:spacing w:after="0" w:line="240" w:lineRule="auto"/>
              <w:jc w:val="center"/>
              <w:rPr>
                <w:rFonts w:ascii="Arial Narrow" w:hAnsi="Arial Narrow"/>
                <w:color w:val="000000"/>
                <w:sz w:val="20"/>
                <w:szCs w:val="20"/>
                <w:lang w:val="en-US"/>
              </w:rPr>
            </w:pPr>
            <w:r>
              <w:rPr>
                <w:rFonts w:ascii="Arial Narrow" w:hAnsi="Arial Narrow"/>
                <w:sz w:val="20"/>
                <w:szCs w:val="20"/>
              </w:rPr>
              <w:t>1 018,6</w:t>
            </w:r>
          </w:p>
        </w:tc>
      </w:tr>
      <w:tr w:rsidR="00D07237" w:rsidRPr="00976F99" w14:paraId="7DC07F38" w14:textId="77777777" w:rsidTr="00342E82">
        <w:trPr>
          <w:trHeight w:val="146"/>
          <w:jc w:val="center"/>
        </w:trPr>
        <w:tc>
          <w:tcPr>
            <w:tcW w:w="2268" w:type="dxa"/>
            <w:tcBorders>
              <w:top w:val="nil"/>
              <w:left w:val="nil"/>
              <w:bottom w:val="nil"/>
              <w:right w:val="nil"/>
            </w:tcBorders>
            <w:shd w:val="clear" w:color="auto" w:fill="auto"/>
            <w:vAlign w:val="center"/>
            <w:hideMark/>
          </w:tcPr>
          <w:p w14:paraId="47447C48" w14:textId="77777777" w:rsidR="00D07237" w:rsidRPr="00976F99" w:rsidRDefault="00D07237" w:rsidP="00D07237">
            <w:pPr>
              <w:spacing w:after="0" w:line="240" w:lineRule="auto"/>
              <w:jc w:val="both"/>
              <w:rPr>
                <w:rFonts w:ascii="Arial Narrow" w:hAnsi="Arial Narrow"/>
                <w:color w:val="000000"/>
                <w:sz w:val="20"/>
                <w:szCs w:val="20"/>
                <w:lang w:val="en-US"/>
              </w:rPr>
            </w:pPr>
            <w:r w:rsidRPr="00976F99">
              <w:rPr>
                <w:rFonts w:ascii="Arial Narrow" w:hAnsi="Arial Narrow"/>
                <w:color w:val="000000"/>
                <w:sz w:val="20"/>
                <w:szCs w:val="20"/>
              </w:rPr>
              <w:t>Integrovaný regionálny OP</w:t>
            </w:r>
          </w:p>
        </w:tc>
        <w:tc>
          <w:tcPr>
            <w:tcW w:w="1134" w:type="dxa"/>
            <w:tcBorders>
              <w:top w:val="nil"/>
              <w:left w:val="nil"/>
              <w:bottom w:val="nil"/>
              <w:right w:val="nil"/>
            </w:tcBorders>
            <w:shd w:val="clear" w:color="auto" w:fill="auto"/>
            <w:vAlign w:val="center"/>
            <w:hideMark/>
          </w:tcPr>
          <w:p w14:paraId="2960B697" w14:textId="77777777" w:rsidR="00D07237" w:rsidRPr="00976F99" w:rsidRDefault="00D07237" w:rsidP="00D07237">
            <w:pPr>
              <w:spacing w:after="0" w:line="240" w:lineRule="auto"/>
              <w:jc w:val="center"/>
              <w:rPr>
                <w:rFonts w:ascii="Arial Narrow" w:hAnsi="Arial Narrow"/>
                <w:color w:val="000000"/>
                <w:sz w:val="20"/>
                <w:szCs w:val="20"/>
                <w:lang w:val="en-US"/>
              </w:rPr>
            </w:pPr>
            <w:r w:rsidRPr="00976F99">
              <w:rPr>
                <w:rFonts w:ascii="Arial Narrow" w:hAnsi="Arial Narrow"/>
                <w:color w:val="000000"/>
                <w:sz w:val="20"/>
                <w:szCs w:val="20"/>
              </w:rPr>
              <w:t>MPRV SR</w:t>
            </w:r>
          </w:p>
        </w:tc>
        <w:tc>
          <w:tcPr>
            <w:tcW w:w="1843" w:type="dxa"/>
            <w:tcBorders>
              <w:top w:val="nil"/>
              <w:left w:val="nil"/>
              <w:bottom w:val="nil"/>
              <w:right w:val="nil"/>
            </w:tcBorders>
            <w:shd w:val="clear" w:color="auto" w:fill="auto"/>
            <w:vAlign w:val="center"/>
            <w:hideMark/>
          </w:tcPr>
          <w:p w14:paraId="7E498FED" w14:textId="77777777" w:rsidR="00D07237" w:rsidRPr="00976F99" w:rsidRDefault="00D07237" w:rsidP="00D07237">
            <w:pPr>
              <w:spacing w:after="0" w:line="240" w:lineRule="auto"/>
              <w:jc w:val="center"/>
              <w:rPr>
                <w:rFonts w:ascii="Arial Narrow" w:hAnsi="Arial Narrow"/>
                <w:color w:val="000000"/>
                <w:sz w:val="20"/>
                <w:szCs w:val="20"/>
                <w:lang w:val="en-US"/>
              </w:rPr>
            </w:pPr>
            <w:r w:rsidRPr="00976F99">
              <w:rPr>
                <w:rFonts w:ascii="Arial Narrow" w:hAnsi="Arial Narrow"/>
                <w:color w:val="000000"/>
                <w:sz w:val="20"/>
                <w:szCs w:val="20"/>
              </w:rPr>
              <w:t>1 7</w:t>
            </w:r>
            <w:r>
              <w:rPr>
                <w:rFonts w:ascii="Arial Narrow" w:hAnsi="Arial Narrow"/>
                <w:color w:val="000000"/>
                <w:sz w:val="20"/>
                <w:szCs w:val="20"/>
              </w:rPr>
              <w:t>39</w:t>
            </w:r>
          </w:p>
        </w:tc>
        <w:tc>
          <w:tcPr>
            <w:tcW w:w="1701" w:type="dxa"/>
            <w:tcBorders>
              <w:top w:val="nil"/>
              <w:left w:val="nil"/>
              <w:bottom w:val="nil"/>
              <w:right w:val="nil"/>
            </w:tcBorders>
            <w:shd w:val="clear" w:color="auto" w:fill="auto"/>
            <w:vAlign w:val="center"/>
            <w:hideMark/>
          </w:tcPr>
          <w:p w14:paraId="67236577" w14:textId="77777777" w:rsidR="00D07237" w:rsidRPr="00976F99" w:rsidRDefault="00D07237" w:rsidP="00D07237">
            <w:pPr>
              <w:spacing w:after="0" w:line="240" w:lineRule="auto"/>
              <w:jc w:val="center"/>
              <w:rPr>
                <w:rFonts w:ascii="Arial Narrow" w:hAnsi="Arial Narrow"/>
                <w:color w:val="000000"/>
                <w:sz w:val="20"/>
                <w:szCs w:val="20"/>
                <w:lang w:val="en-US"/>
              </w:rPr>
            </w:pPr>
            <w:r>
              <w:rPr>
                <w:rFonts w:ascii="Arial Narrow" w:hAnsi="Arial Narrow"/>
                <w:color w:val="000000"/>
                <w:sz w:val="20"/>
                <w:szCs w:val="20"/>
              </w:rPr>
              <w:t>79,9</w:t>
            </w:r>
          </w:p>
        </w:tc>
        <w:tc>
          <w:tcPr>
            <w:tcW w:w="1737" w:type="dxa"/>
            <w:tcBorders>
              <w:top w:val="nil"/>
              <w:left w:val="nil"/>
              <w:bottom w:val="nil"/>
              <w:right w:val="nil"/>
            </w:tcBorders>
            <w:shd w:val="clear" w:color="auto" w:fill="auto"/>
            <w:vAlign w:val="center"/>
            <w:hideMark/>
          </w:tcPr>
          <w:p w14:paraId="53F87580" w14:textId="1FCA4310" w:rsidR="00D07237" w:rsidRPr="00976F99" w:rsidRDefault="00D07237" w:rsidP="00D07237">
            <w:pPr>
              <w:spacing w:after="0" w:line="240" w:lineRule="auto"/>
              <w:jc w:val="center"/>
              <w:rPr>
                <w:rFonts w:ascii="Arial Narrow" w:hAnsi="Arial Narrow"/>
                <w:color w:val="000000"/>
                <w:sz w:val="20"/>
                <w:szCs w:val="20"/>
                <w:lang w:val="en-US"/>
              </w:rPr>
            </w:pPr>
            <w:r>
              <w:rPr>
                <w:rFonts w:ascii="Arial Narrow" w:hAnsi="Arial Narrow"/>
                <w:sz w:val="20"/>
                <w:szCs w:val="20"/>
              </w:rPr>
              <w:t>329,8</w:t>
            </w:r>
          </w:p>
        </w:tc>
      </w:tr>
      <w:tr w:rsidR="00D07237" w:rsidRPr="00976F99" w14:paraId="3019A443" w14:textId="77777777" w:rsidTr="00342E82">
        <w:trPr>
          <w:trHeight w:val="104"/>
          <w:jc w:val="center"/>
        </w:trPr>
        <w:tc>
          <w:tcPr>
            <w:tcW w:w="2268" w:type="dxa"/>
            <w:tcBorders>
              <w:top w:val="nil"/>
              <w:left w:val="nil"/>
              <w:bottom w:val="nil"/>
              <w:right w:val="nil"/>
            </w:tcBorders>
            <w:shd w:val="clear" w:color="auto" w:fill="auto"/>
            <w:vAlign w:val="center"/>
            <w:hideMark/>
          </w:tcPr>
          <w:p w14:paraId="5CDD91BC" w14:textId="77777777" w:rsidR="00D07237" w:rsidRPr="00976F99" w:rsidRDefault="00D07237" w:rsidP="00D07237">
            <w:pPr>
              <w:spacing w:after="0" w:line="240" w:lineRule="auto"/>
              <w:jc w:val="both"/>
              <w:rPr>
                <w:rFonts w:ascii="Arial Narrow" w:hAnsi="Arial Narrow"/>
                <w:color w:val="000000"/>
                <w:sz w:val="20"/>
                <w:szCs w:val="20"/>
                <w:lang w:val="en-US"/>
              </w:rPr>
            </w:pPr>
            <w:r w:rsidRPr="00976F99">
              <w:rPr>
                <w:rFonts w:ascii="Arial Narrow" w:hAnsi="Arial Narrow"/>
                <w:color w:val="000000"/>
                <w:sz w:val="20"/>
                <w:szCs w:val="20"/>
              </w:rPr>
              <w:t>Efektívna verejná správa</w:t>
            </w:r>
          </w:p>
        </w:tc>
        <w:tc>
          <w:tcPr>
            <w:tcW w:w="1134" w:type="dxa"/>
            <w:tcBorders>
              <w:top w:val="nil"/>
              <w:left w:val="nil"/>
              <w:bottom w:val="nil"/>
              <w:right w:val="nil"/>
            </w:tcBorders>
            <w:shd w:val="clear" w:color="auto" w:fill="auto"/>
            <w:vAlign w:val="center"/>
            <w:hideMark/>
          </w:tcPr>
          <w:p w14:paraId="3B2CC605" w14:textId="77777777" w:rsidR="00D07237" w:rsidRPr="00976F99" w:rsidRDefault="00D07237" w:rsidP="00D07237">
            <w:pPr>
              <w:spacing w:after="0" w:line="240" w:lineRule="auto"/>
              <w:jc w:val="center"/>
              <w:rPr>
                <w:rFonts w:ascii="Arial Narrow" w:hAnsi="Arial Narrow"/>
                <w:color w:val="000000"/>
                <w:sz w:val="20"/>
                <w:szCs w:val="20"/>
                <w:lang w:val="en-US"/>
              </w:rPr>
            </w:pPr>
            <w:r w:rsidRPr="00976F99">
              <w:rPr>
                <w:rFonts w:ascii="Arial Narrow" w:hAnsi="Arial Narrow"/>
                <w:color w:val="000000"/>
                <w:sz w:val="20"/>
                <w:szCs w:val="20"/>
              </w:rPr>
              <w:t>MV SR</w:t>
            </w:r>
          </w:p>
        </w:tc>
        <w:tc>
          <w:tcPr>
            <w:tcW w:w="1843" w:type="dxa"/>
            <w:tcBorders>
              <w:top w:val="nil"/>
              <w:left w:val="nil"/>
              <w:bottom w:val="nil"/>
              <w:right w:val="nil"/>
            </w:tcBorders>
            <w:shd w:val="clear" w:color="auto" w:fill="auto"/>
            <w:vAlign w:val="center"/>
            <w:hideMark/>
          </w:tcPr>
          <w:p w14:paraId="3FB576CC" w14:textId="77777777" w:rsidR="00D07237" w:rsidRPr="00976F99" w:rsidRDefault="00D07237" w:rsidP="00D07237">
            <w:pPr>
              <w:spacing w:after="0" w:line="240" w:lineRule="auto"/>
              <w:jc w:val="center"/>
              <w:rPr>
                <w:rFonts w:ascii="Arial Narrow" w:hAnsi="Arial Narrow"/>
                <w:color w:val="000000"/>
                <w:sz w:val="20"/>
                <w:szCs w:val="20"/>
                <w:lang w:val="en-US"/>
              </w:rPr>
            </w:pPr>
            <w:r w:rsidRPr="00976F99">
              <w:rPr>
                <w:rFonts w:ascii="Arial Narrow" w:hAnsi="Arial Narrow"/>
                <w:color w:val="000000"/>
                <w:sz w:val="20"/>
                <w:szCs w:val="20"/>
              </w:rPr>
              <w:t>278</w:t>
            </w:r>
          </w:p>
        </w:tc>
        <w:tc>
          <w:tcPr>
            <w:tcW w:w="1701" w:type="dxa"/>
            <w:tcBorders>
              <w:top w:val="nil"/>
              <w:left w:val="nil"/>
              <w:bottom w:val="nil"/>
              <w:right w:val="nil"/>
            </w:tcBorders>
            <w:shd w:val="clear" w:color="auto" w:fill="auto"/>
            <w:vAlign w:val="center"/>
            <w:hideMark/>
          </w:tcPr>
          <w:p w14:paraId="2F9B46CE" w14:textId="77777777" w:rsidR="00D07237" w:rsidRPr="00976F99" w:rsidRDefault="00D07237" w:rsidP="00D07237">
            <w:pPr>
              <w:spacing w:after="0" w:line="240" w:lineRule="auto"/>
              <w:jc w:val="center"/>
              <w:rPr>
                <w:rFonts w:ascii="Arial Narrow" w:hAnsi="Arial Narrow"/>
                <w:color w:val="000000"/>
                <w:sz w:val="20"/>
                <w:szCs w:val="20"/>
                <w:lang w:val="en-US"/>
              </w:rPr>
            </w:pPr>
            <w:r>
              <w:rPr>
                <w:rFonts w:ascii="Arial Narrow" w:hAnsi="Arial Narrow"/>
                <w:color w:val="000000"/>
                <w:sz w:val="20"/>
                <w:szCs w:val="20"/>
              </w:rPr>
              <w:t>12,8</w:t>
            </w:r>
          </w:p>
        </w:tc>
        <w:tc>
          <w:tcPr>
            <w:tcW w:w="1737" w:type="dxa"/>
            <w:tcBorders>
              <w:top w:val="nil"/>
              <w:left w:val="nil"/>
              <w:bottom w:val="nil"/>
              <w:right w:val="nil"/>
            </w:tcBorders>
            <w:shd w:val="clear" w:color="auto" w:fill="auto"/>
            <w:vAlign w:val="center"/>
            <w:hideMark/>
          </w:tcPr>
          <w:p w14:paraId="72F80661" w14:textId="2D7B7157" w:rsidR="00D07237" w:rsidRPr="00976F99" w:rsidRDefault="00D07237" w:rsidP="00D07237">
            <w:pPr>
              <w:spacing w:after="0" w:line="240" w:lineRule="auto"/>
              <w:jc w:val="center"/>
              <w:rPr>
                <w:rFonts w:ascii="Arial Narrow" w:hAnsi="Arial Narrow"/>
                <w:color w:val="000000"/>
                <w:sz w:val="20"/>
                <w:szCs w:val="20"/>
                <w:lang w:val="en-US"/>
              </w:rPr>
            </w:pPr>
            <w:r>
              <w:rPr>
                <w:rFonts w:ascii="Arial Narrow" w:hAnsi="Arial Narrow"/>
                <w:sz w:val="20"/>
                <w:szCs w:val="20"/>
              </w:rPr>
              <w:t>90,6</w:t>
            </w:r>
          </w:p>
        </w:tc>
      </w:tr>
      <w:tr w:rsidR="00D07237" w:rsidRPr="00976F99" w14:paraId="50BCDDA5" w14:textId="77777777" w:rsidTr="00342E82">
        <w:trPr>
          <w:trHeight w:val="220"/>
          <w:jc w:val="center"/>
        </w:trPr>
        <w:tc>
          <w:tcPr>
            <w:tcW w:w="2268" w:type="dxa"/>
            <w:tcBorders>
              <w:top w:val="nil"/>
              <w:left w:val="nil"/>
              <w:bottom w:val="nil"/>
              <w:right w:val="nil"/>
            </w:tcBorders>
            <w:shd w:val="clear" w:color="auto" w:fill="auto"/>
            <w:vAlign w:val="center"/>
            <w:hideMark/>
          </w:tcPr>
          <w:p w14:paraId="62BF5CE7" w14:textId="77777777" w:rsidR="00D07237" w:rsidRPr="00976F99" w:rsidRDefault="00D07237" w:rsidP="00D07237">
            <w:pPr>
              <w:spacing w:after="0" w:line="240" w:lineRule="auto"/>
              <w:jc w:val="both"/>
              <w:rPr>
                <w:rFonts w:ascii="Arial Narrow" w:hAnsi="Arial Narrow"/>
                <w:color w:val="000000"/>
                <w:sz w:val="20"/>
                <w:szCs w:val="20"/>
                <w:lang w:val="en-US"/>
              </w:rPr>
            </w:pPr>
            <w:r w:rsidRPr="00976F99">
              <w:rPr>
                <w:rFonts w:ascii="Arial Narrow" w:hAnsi="Arial Narrow"/>
                <w:color w:val="000000"/>
                <w:sz w:val="20"/>
                <w:szCs w:val="20"/>
              </w:rPr>
              <w:t>Technická pomoc</w:t>
            </w:r>
          </w:p>
        </w:tc>
        <w:tc>
          <w:tcPr>
            <w:tcW w:w="1134" w:type="dxa"/>
            <w:tcBorders>
              <w:top w:val="nil"/>
              <w:left w:val="nil"/>
              <w:bottom w:val="nil"/>
              <w:right w:val="nil"/>
            </w:tcBorders>
            <w:shd w:val="clear" w:color="auto" w:fill="auto"/>
            <w:vAlign w:val="center"/>
            <w:hideMark/>
          </w:tcPr>
          <w:p w14:paraId="625BFD75" w14:textId="77777777" w:rsidR="00D07237" w:rsidRPr="00976F99" w:rsidRDefault="00D07237" w:rsidP="00D07237">
            <w:pPr>
              <w:spacing w:after="0" w:line="240" w:lineRule="auto"/>
              <w:jc w:val="center"/>
              <w:rPr>
                <w:rFonts w:ascii="Arial Narrow" w:hAnsi="Arial Narrow"/>
                <w:color w:val="000000"/>
                <w:sz w:val="20"/>
                <w:szCs w:val="20"/>
                <w:lang w:val="en-US"/>
              </w:rPr>
            </w:pPr>
            <w:r w:rsidRPr="00976F99">
              <w:rPr>
                <w:rFonts w:ascii="Arial Narrow" w:hAnsi="Arial Narrow"/>
                <w:color w:val="000000"/>
                <w:sz w:val="20"/>
                <w:szCs w:val="20"/>
              </w:rPr>
              <w:t>ÚV SR</w:t>
            </w:r>
          </w:p>
        </w:tc>
        <w:tc>
          <w:tcPr>
            <w:tcW w:w="1843" w:type="dxa"/>
            <w:tcBorders>
              <w:top w:val="nil"/>
              <w:left w:val="nil"/>
              <w:bottom w:val="nil"/>
              <w:right w:val="nil"/>
            </w:tcBorders>
            <w:shd w:val="clear" w:color="auto" w:fill="auto"/>
            <w:vAlign w:val="center"/>
            <w:hideMark/>
          </w:tcPr>
          <w:p w14:paraId="7E174EC9" w14:textId="77777777" w:rsidR="00D07237" w:rsidRPr="00976F99" w:rsidRDefault="00D07237" w:rsidP="00D07237">
            <w:pPr>
              <w:spacing w:after="0" w:line="240" w:lineRule="auto"/>
              <w:jc w:val="center"/>
              <w:rPr>
                <w:rFonts w:ascii="Arial Narrow" w:hAnsi="Arial Narrow"/>
                <w:color w:val="000000"/>
                <w:sz w:val="20"/>
                <w:szCs w:val="20"/>
                <w:lang w:val="en-US"/>
              </w:rPr>
            </w:pPr>
            <w:r w:rsidRPr="00976F99">
              <w:rPr>
                <w:rFonts w:ascii="Arial Narrow" w:hAnsi="Arial Narrow"/>
                <w:color w:val="000000"/>
                <w:sz w:val="20"/>
                <w:szCs w:val="20"/>
              </w:rPr>
              <w:t>159</w:t>
            </w:r>
          </w:p>
        </w:tc>
        <w:tc>
          <w:tcPr>
            <w:tcW w:w="1701" w:type="dxa"/>
            <w:tcBorders>
              <w:top w:val="nil"/>
              <w:left w:val="nil"/>
              <w:bottom w:val="nil"/>
              <w:right w:val="nil"/>
            </w:tcBorders>
            <w:shd w:val="clear" w:color="auto" w:fill="auto"/>
            <w:vAlign w:val="center"/>
            <w:hideMark/>
          </w:tcPr>
          <w:p w14:paraId="5F367AB1" w14:textId="77777777" w:rsidR="00D07237" w:rsidRPr="00976F99" w:rsidRDefault="00D07237" w:rsidP="00D07237">
            <w:pPr>
              <w:spacing w:after="0" w:line="240" w:lineRule="auto"/>
              <w:jc w:val="center"/>
              <w:rPr>
                <w:rFonts w:ascii="Arial Narrow" w:hAnsi="Arial Narrow"/>
                <w:color w:val="000000"/>
                <w:sz w:val="20"/>
                <w:szCs w:val="20"/>
                <w:lang w:val="en-US"/>
              </w:rPr>
            </w:pPr>
            <w:r>
              <w:rPr>
                <w:rFonts w:ascii="Arial Narrow" w:hAnsi="Arial Narrow"/>
                <w:color w:val="000000"/>
                <w:sz w:val="20"/>
                <w:szCs w:val="20"/>
              </w:rPr>
              <w:t>28,9</w:t>
            </w:r>
          </w:p>
        </w:tc>
        <w:tc>
          <w:tcPr>
            <w:tcW w:w="1737" w:type="dxa"/>
            <w:tcBorders>
              <w:top w:val="nil"/>
              <w:left w:val="nil"/>
              <w:bottom w:val="nil"/>
              <w:right w:val="nil"/>
            </w:tcBorders>
            <w:shd w:val="clear" w:color="auto" w:fill="auto"/>
            <w:vAlign w:val="center"/>
            <w:hideMark/>
          </w:tcPr>
          <w:p w14:paraId="480DB3F0" w14:textId="73B7D6BE" w:rsidR="00D07237" w:rsidRPr="00976F99" w:rsidRDefault="00D07237" w:rsidP="00D07237">
            <w:pPr>
              <w:spacing w:after="0" w:line="240" w:lineRule="auto"/>
              <w:jc w:val="center"/>
              <w:rPr>
                <w:rFonts w:ascii="Arial Narrow" w:hAnsi="Arial Narrow"/>
                <w:color w:val="000000"/>
                <w:sz w:val="20"/>
                <w:szCs w:val="20"/>
                <w:lang w:val="en-US"/>
              </w:rPr>
            </w:pPr>
            <w:r>
              <w:rPr>
                <w:rFonts w:ascii="Arial Narrow" w:hAnsi="Arial Narrow"/>
                <w:sz w:val="20"/>
                <w:szCs w:val="20"/>
              </w:rPr>
              <w:t>76,9</w:t>
            </w:r>
          </w:p>
        </w:tc>
      </w:tr>
      <w:tr w:rsidR="00D07237" w:rsidRPr="00976F99" w14:paraId="5C811C83" w14:textId="77777777" w:rsidTr="00342E82">
        <w:trPr>
          <w:trHeight w:val="126"/>
          <w:jc w:val="center"/>
        </w:trPr>
        <w:tc>
          <w:tcPr>
            <w:tcW w:w="2268" w:type="dxa"/>
            <w:tcBorders>
              <w:top w:val="nil"/>
              <w:left w:val="nil"/>
              <w:bottom w:val="nil"/>
              <w:right w:val="nil"/>
            </w:tcBorders>
            <w:shd w:val="clear" w:color="auto" w:fill="auto"/>
            <w:vAlign w:val="center"/>
            <w:hideMark/>
          </w:tcPr>
          <w:p w14:paraId="788FEC83" w14:textId="77777777" w:rsidR="00D07237" w:rsidRPr="00976F99" w:rsidRDefault="00D07237" w:rsidP="00D07237">
            <w:pPr>
              <w:spacing w:after="0" w:line="240" w:lineRule="auto"/>
              <w:jc w:val="both"/>
              <w:rPr>
                <w:rFonts w:ascii="Arial Narrow" w:hAnsi="Arial Narrow"/>
                <w:color w:val="000000"/>
                <w:sz w:val="20"/>
                <w:szCs w:val="20"/>
                <w:lang w:val="en-US"/>
              </w:rPr>
            </w:pPr>
            <w:r w:rsidRPr="00976F99">
              <w:rPr>
                <w:rFonts w:ascii="Arial Narrow" w:hAnsi="Arial Narrow"/>
                <w:color w:val="000000"/>
                <w:sz w:val="20"/>
                <w:szCs w:val="20"/>
              </w:rPr>
              <w:t>Rybné hospodárstvo</w:t>
            </w:r>
          </w:p>
        </w:tc>
        <w:tc>
          <w:tcPr>
            <w:tcW w:w="1134" w:type="dxa"/>
            <w:tcBorders>
              <w:top w:val="nil"/>
              <w:left w:val="nil"/>
              <w:bottom w:val="nil"/>
              <w:right w:val="nil"/>
            </w:tcBorders>
            <w:shd w:val="clear" w:color="auto" w:fill="auto"/>
            <w:vAlign w:val="center"/>
            <w:hideMark/>
          </w:tcPr>
          <w:p w14:paraId="44715B2B" w14:textId="77777777" w:rsidR="00D07237" w:rsidRPr="00976F99" w:rsidRDefault="00D07237" w:rsidP="00D07237">
            <w:pPr>
              <w:spacing w:after="0" w:line="240" w:lineRule="auto"/>
              <w:jc w:val="center"/>
              <w:rPr>
                <w:rFonts w:ascii="Arial Narrow" w:hAnsi="Arial Narrow"/>
                <w:color w:val="000000"/>
                <w:sz w:val="20"/>
                <w:szCs w:val="20"/>
                <w:lang w:val="en-US"/>
              </w:rPr>
            </w:pPr>
            <w:r w:rsidRPr="00976F99">
              <w:rPr>
                <w:rFonts w:ascii="Arial Narrow" w:hAnsi="Arial Narrow"/>
                <w:color w:val="000000"/>
                <w:sz w:val="20"/>
                <w:szCs w:val="20"/>
              </w:rPr>
              <w:t>MPRV SR</w:t>
            </w:r>
          </w:p>
        </w:tc>
        <w:tc>
          <w:tcPr>
            <w:tcW w:w="1843" w:type="dxa"/>
            <w:tcBorders>
              <w:top w:val="nil"/>
              <w:left w:val="nil"/>
              <w:bottom w:val="nil"/>
              <w:right w:val="nil"/>
            </w:tcBorders>
            <w:shd w:val="clear" w:color="auto" w:fill="auto"/>
            <w:vAlign w:val="center"/>
            <w:hideMark/>
          </w:tcPr>
          <w:p w14:paraId="4BC36AF2" w14:textId="77777777" w:rsidR="00D07237" w:rsidRPr="00976F99" w:rsidRDefault="00D07237" w:rsidP="00D07237">
            <w:pPr>
              <w:spacing w:after="0" w:line="240" w:lineRule="auto"/>
              <w:jc w:val="center"/>
              <w:rPr>
                <w:rFonts w:ascii="Arial Narrow" w:hAnsi="Arial Narrow"/>
                <w:color w:val="000000"/>
                <w:sz w:val="20"/>
                <w:szCs w:val="20"/>
                <w:lang w:val="en-US"/>
              </w:rPr>
            </w:pPr>
            <w:r w:rsidRPr="00976F99">
              <w:rPr>
                <w:rFonts w:ascii="Arial Narrow" w:hAnsi="Arial Narrow"/>
                <w:color w:val="000000"/>
                <w:sz w:val="20"/>
                <w:szCs w:val="20"/>
              </w:rPr>
              <w:t>16</w:t>
            </w:r>
          </w:p>
        </w:tc>
        <w:tc>
          <w:tcPr>
            <w:tcW w:w="1701" w:type="dxa"/>
            <w:tcBorders>
              <w:top w:val="nil"/>
              <w:left w:val="nil"/>
              <w:bottom w:val="nil"/>
              <w:right w:val="nil"/>
            </w:tcBorders>
            <w:shd w:val="clear" w:color="auto" w:fill="auto"/>
            <w:vAlign w:val="center"/>
            <w:hideMark/>
          </w:tcPr>
          <w:p w14:paraId="22EA9617" w14:textId="77777777" w:rsidR="00D07237" w:rsidRPr="00976F99" w:rsidRDefault="00D07237" w:rsidP="00D07237">
            <w:pPr>
              <w:spacing w:after="0" w:line="240" w:lineRule="auto"/>
              <w:jc w:val="center"/>
              <w:rPr>
                <w:rFonts w:ascii="Arial Narrow" w:hAnsi="Arial Narrow"/>
                <w:color w:val="000000"/>
                <w:sz w:val="20"/>
                <w:szCs w:val="20"/>
                <w:lang w:val="en-US"/>
              </w:rPr>
            </w:pPr>
            <w:r w:rsidRPr="00976F99">
              <w:rPr>
                <w:rFonts w:ascii="Arial Narrow" w:hAnsi="Arial Narrow"/>
                <w:color w:val="000000"/>
                <w:sz w:val="20"/>
                <w:szCs w:val="20"/>
              </w:rPr>
              <w:t>0,0</w:t>
            </w:r>
          </w:p>
        </w:tc>
        <w:tc>
          <w:tcPr>
            <w:tcW w:w="1737" w:type="dxa"/>
            <w:tcBorders>
              <w:top w:val="nil"/>
              <w:left w:val="nil"/>
              <w:bottom w:val="nil"/>
              <w:right w:val="nil"/>
            </w:tcBorders>
            <w:shd w:val="clear" w:color="auto" w:fill="auto"/>
            <w:vAlign w:val="center"/>
            <w:hideMark/>
          </w:tcPr>
          <w:p w14:paraId="1C8CB178" w14:textId="6EB62371" w:rsidR="00D07237" w:rsidRPr="00976F99" w:rsidRDefault="00D07237" w:rsidP="00D07237">
            <w:pPr>
              <w:spacing w:after="0" w:line="240" w:lineRule="auto"/>
              <w:jc w:val="center"/>
              <w:rPr>
                <w:rFonts w:ascii="Arial Narrow" w:hAnsi="Arial Narrow"/>
                <w:color w:val="000000"/>
                <w:sz w:val="20"/>
                <w:szCs w:val="20"/>
                <w:lang w:val="en-US"/>
              </w:rPr>
            </w:pPr>
            <w:r w:rsidRPr="00976F99">
              <w:rPr>
                <w:rFonts w:ascii="Arial Narrow" w:hAnsi="Arial Narrow"/>
                <w:sz w:val="20"/>
                <w:szCs w:val="20"/>
              </w:rPr>
              <w:t>0,</w:t>
            </w:r>
            <w:r>
              <w:rPr>
                <w:rFonts w:ascii="Arial Narrow" w:hAnsi="Arial Narrow"/>
                <w:sz w:val="20"/>
                <w:szCs w:val="20"/>
              </w:rPr>
              <w:t>03</w:t>
            </w:r>
          </w:p>
        </w:tc>
      </w:tr>
      <w:tr w:rsidR="00DE3E2D" w:rsidRPr="00976F99" w14:paraId="7CAD48F4" w14:textId="77777777" w:rsidTr="00342E82">
        <w:trPr>
          <w:trHeight w:val="220"/>
          <w:jc w:val="center"/>
        </w:trPr>
        <w:tc>
          <w:tcPr>
            <w:tcW w:w="2268" w:type="dxa"/>
            <w:tcBorders>
              <w:top w:val="nil"/>
              <w:left w:val="nil"/>
              <w:bottom w:val="nil"/>
              <w:right w:val="nil"/>
            </w:tcBorders>
            <w:shd w:val="clear" w:color="auto" w:fill="auto"/>
            <w:vAlign w:val="center"/>
            <w:hideMark/>
          </w:tcPr>
          <w:p w14:paraId="602FB836" w14:textId="77777777" w:rsidR="00DE3E2D" w:rsidRPr="00976F99" w:rsidRDefault="00DE3E2D" w:rsidP="00DE3E2D">
            <w:pPr>
              <w:spacing w:after="0" w:line="240" w:lineRule="auto"/>
              <w:jc w:val="both"/>
              <w:rPr>
                <w:rFonts w:ascii="Arial Narrow" w:hAnsi="Arial Narrow"/>
                <w:color w:val="000000"/>
                <w:sz w:val="20"/>
                <w:szCs w:val="20"/>
                <w:lang w:val="en-US"/>
              </w:rPr>
            </w:pPr>
            <w:proofErr w:type="spellStart"/>
            <w:r w:rsidRPr="00976F99">
              <w:rPr>
                <w:rFonts w:ascii="Arial Narrow" w:hAnsi="Arial Narrow"/>
                <w:color w:val="000000"/>
                <w:sz w:val="20"/>
                <w:szCs w:val="20"/>
              </w:rPr>
              <w:t>Interreg</w:t>
            </w:r>
            <w:proofErr w:type="spellEnd"/>
            <w:r w:rsidRPr="00976F99">
              <w:rPr>
                <w:rFonts w:ascii="Arial Narrow" w:hAnsi="Arial Narrow"/>
                <w:color w:val="000000"/>
                <w:sz w:val="20"/>
                <w:szCs w:val="20"/>
              </w:rPr>
              <w:t xml:space="preserve"> V-A SK-CZ</w:t>
            </w:r>
          </w:p>
        </w:tc>
        <w:tc>
          <w:tcPr>
            <w:tcW w:w="1134" w:type="dxa"/>
            <w:tcBorders>
              <w:top w:val="nil"/>
              <w:left w:val="nil"/>
              <w:bottom w:val="nil"/>
              <w:right w:val="nil"/>
            </w:tcBorders>
            <w:shd w:val="clear" w:color="auto" w:fill="auto"/>
            <w:vAlign w:val="center"/>
            <w:hideMark/>
          </w:tcPr>
          <w:p w14:paraId="21BADBAA" w14:textId="77777777" w:rsidR="00DE3E2D" w:rsidRPr="00976F99" w:rsidRDefault="00DE3E2D" w:rsidP="00DE3E2D">
            <w:pPr>
              <w:spacing w:after="0" w:line="240" w:lineRule="auto"/>
              <w:jc w:val="center"/>
              <w:rPr>
                <w:rFonts w:ascii="Arial Narrow" w:hAnsi="Arial Narrow"/>
                <w:color w:val="000000"/>
                <w:sz w:val="20"/>
                <w:szCs w:val="20"/>
                <w:lang w:val="en-US"/>
              </w:rPr>
            </w:pPr>
            <w:r w:rsidRPr="00976F99">
              <w:rPr>
                <w:rFonts w:ascii="Arial Narrow" w:hAnsi="Arial Narrow"/>
                <w:color w:val="000000"/>
                <w:sz w:val="20"/>
                <w:szCs w:val="20"/>
              </w:rPr>
              <w:t>MPRV SR</w:t>
            </w:r>
          </w:p>
        </w:tc>
        <w:tc>
          <w:tcPr>
            <w:tcW w:w="1843" w:type="dxa"/>
            <w:tcBorders>
              <w:top w:val="nil"/>
              <w:left w:val="nil"/>
              <w:bottom w:val="nil"/>
              <w:right w:val="nil"/>
            </w:tcBorders>
            <w:shd w:val="clear" w:color="auto" w:fill="auto"/>
            <w:vAlign w:val="center"/>
            <w:hideMark/>
          </w:tcPr>
          <w:p w14:paraId="1889DFC1" w14:textId="77777777" w:rsidR="00DE3E2D" w:rsidRPr="00976F99" w:rsidRDefault="00DE3E2D" w:rsidP="00DE3E2D">
            <w:pPr>
              <w:spacing w:after="0" w:line="240" w:lineRule="auto"/>
              <w:jc w:val="center"/>
              <w:rPr>
                <w:rFonts w:ascii="Arial Narrow" w:hAnsi="Arial Narrow"/>
                <w:color w:val="000000"/>
                <w:sz w:val="20"/>
                <w:szCs w:val="20"/>
                <w:lang w:val="en-US"/>
              </w:rPr>
            </w:pPr>
            <w:r w:rsidRPr="00976F99">
              <w:rPr>
                <w:rFonts w:ascii="Arial Narrow" w:hAnsi="Arial Narrow"/>
                <w:color w:val="000000"/>
                <w:sz w:val="20"/>
                <w:szCs w:val="20"/>
              </w:rPr>
              <w:t>90</w:t>
            </w:r>
          </w:p>
        </w:tc>
        <w:tc>
          <w:tcPr>
            <w:tcW w:w="1701" w:type="dxa"/>
            <w:tcBorders>
              <w:top w:val="nil"/>
              <w:left w:val="nil"/>
              <w:bottom w:val="nil"/>
              <w:right w:val="nil"/>
            </w:tcBorders>
            <w:shd w:val="clear" w:color="auto" w:fill="auto"/>
            <w:vAlign w:val="center"/>
            <w:hideMark/>
          </w:tcPr>
          <w:p w14:paraId="7C599E2A" w14:textId="77777777" w:rsidR="00DE3E2D" w:rsidRPr="00976F99" w:rsidRDefault="00DE3E2D" w:rsidP="00DE3E2D">
            <w:pPr>
              <w:spacing w:after="0" w:line="240" w:lineRule="auto"/>
              <w:jc w:val="center"/>
              <w:rPr>
                <w:rFonts w:ascii="Arial Narrow" w:hAnsi="Arial Narrow"/>
                <w:color w:val="000000"/>
                <w:sz w:val="20"/>
                <w:szCs w:val="20"/>
                <w:lang w:val="en-US"/>
              </w:rPr>
            </w:pPr>
            <w:r w:rsidRPr="00976F99">
              <w:rPr>
                <w:rFonts w:ascii="Arial Narrow" w:hAnsi="Arial Narrow"/>
                <w:color w:val="000000"/>
                <w:sz w:val="20"/>
                <w:szCs w:val="20"/>
              </w:rPr>
              <w:t>0,0</w:t>
            </w:r>
          </w:p>
        </w:tc>
        <w:tc>
          <w:tcPr>
            <w:tcW w:w="1737" w:type="dxa"/>
            <w:tcBorders>
              <w:top w:val="nil"/>
              <w:left w:val="nil"/>
              <w:bottom w:val="nil"/>
              <w:right w:val="nil"/>
            </w:tcBorders>
            <w:shd w:val="clear" w:color="auto" w:fill="auto"/>
            <w:vAlign w:val="center"/>
            <w:hideMark/>
          </w:tcPr>
          <w:p w14:paraId="1515B429" w14:textId="77777777" w:rsidR="00DE3E2D" w:rsidRPr="00976F99" w:rsidRDefault="00DE3E2D" w:rsidP="00DE3E2D">
            <w:pPr>
              <w:spacing w:after="0" w:line="240" w:lineRule="auto"/>
              <w:jc w:val="center"/>
              <w:rPr>
                <w:rFonts w:ascii="Arial Narrow" w:hAnsi="Arial Narrow"/>
                <w:color w:val="000000"/>
                <w:sz w:val="20"/>
                <w:szCs w:val="20"/>
                <w:lang w:val="en-US"/>
              </w:rPr>
            </w:pPr>
            <w:r w:rsidRPr="00976F99">
              <w:rPr>
                <w:rFonts w:ascii="Arial Narrow" w:hAnsi="Arial Narrow"/>
                <w:sz w:val="20"/>
                <w:szCs w:val="20"/>
              </w:rPr>
              <w:t>0,0</w:t>
            </w:r>
          </w:p>
        </w:tc>
      </w:tr>
      <w:tr w:rsidR="00DE3E2D" w:rsidRPr="00976F99" w14:paraId="7E08C627" w14:textId="77777777" w:rsidTr="00342E82">
        <w:trPr>
          <w:trHeight w:val="220"/>
          <w:jc w:val="center"/>
        </w:trPr>
        <w:tc>
          <w:tcPr>
            <w:tcW w:w="2268" w:type="dxa"/>
            <w:tcBorders>
              <w:top w:val="nil"/>
              <w:left w:val="nil"/>
              <w:bottom w:val="nil"/>
              <w:right w:val="nil"/>
            </w:tcBorders>
            <w:shd w:val="clear" w:color="auto" w:fill="auto"/>
            <w:vAlign w:val="center"/>
            <w:hideMark/>
          </w:tcPr>
          <w:p w14:paraId="1ED4C476" w14:textId="77777777" w:rsidR="00DE3E2D" w:rsidRPr="00976F99" w:rsidRDefault="00DE3E2D" w:rsidP="00DE3E2D">
            <w:pPr>
              <w:spacing w:after="0" w:line="240" w:lineRule="auto"/>
              <w:jc w:val="both"/>
              <w:rPr>
                <w:rFonts w:ascii="Arial Narrow" w:hAnsi="Arial Narrow"/>
                <w:color w:val="000000"/>
                <w:sz w:val="20"/>
                <w:szCs w:val="20"/>
                <w:lang w:val="en-US"/>
              </w:rPr>
            </w:pPr>
            <w:proofErr w:type="spellStart"/>
            <w:r w:rsidRPr="00976F99">
              <w:rPr>
                <w:rFonts w:ascii="Arial Narrow" w:hAnsi="Arial Narrow"/>
                <w:color w:val="000000"/>
                <w:sz w:val="20"/>
                <w:szCs w:val="20"/>
              </w:rPr>
              <w:t>Interreg</w:t>
            </w:r>
            <w:proofErr w:type="spellEnd"/>
            <w:r w:rsidRPr="00976F99">
              <w:rPr>
                <w:rFonts w:ascii="Arial Narrow" w:hAnsi="Arial Narrow"/>
                <w:color w:val="000000"/>
                <w:sz w:val="20"/>
                <w:szCs w:val="20"/>
              </w:rPr>
              <w:t xml:space="preserve"> V-A SK-AT</w:t>
            </w:r>
          </w:p>
        </w:tc>
        <w:tc>
          <w:tcPr>
            <w:tcW w:w="1134" w:type="dxa"/>
            <w:tcBorders>
              <w:top w:val="nil"/>
              <w:left w:val="nil"/>
              <w:bottom w:val="nil"/>
              <w:right w:val="nil"/>
            </w:tcBorders>
            <w:shd w:val="clear" w:color="auto" w:fill="auto"/>
            <w:vAlign w:val="center"/>
            <w:hideMark/>
          </w:tcPr>
          <w:p w14:paraId="6381943E" w14:textId="77777777" w:rsidR="00DE3E2D" w:rsidRPr="00976F99" w:rsidRDefault="00DE3E2D" w:rsidP="00DE3E2D">
            <w:pPr>
              <w:spacing w:after="0" w:line="240" w:lineRule="auto"/>
              <w:jc w:val="center"/>
              <w:rPr>
                <w:rFonts w:ascii="Arial Narrow" w:hAnsi="Arial Narrow"/>
                <w:color w:val="000000"/>
                <w:sz w:val="20"/>
                <w:szCs w:val="20"/>
                <w:lang w:val="en-US"/>
              </w:rPr>
            </w:pPr>
            <w:r w:rsidRPr="00976F99">
              <w:rPr>
                <w:rFonts w:ascii="Arial Narrow" w:hAnsi="Arial Narrow"/>
                <w:color w:val="000000"/>
                <w:sz w:val="20"/>
                <w:szCs w:val="20"/>
              </w:rPr>
              <w:t>MPRV SR</w:t>
            </w:r>
          </w:p>
        </w:tc>
        <w:tc>
          <w:tcPr>
            <w:tcW w:w="1843" w:type="dxa"/>
            <w:tcBorders>
              <w:top w:val="nil"/>
              <w:left w:val="nil"/>
              <w:bottom w:val="nil"/>
              <w:right w:val="nil"/>
            </w:tcBorders>
            <w:shd w:val="clear" w:color="auto" w:fill="auto"/>
            <w:vAlign w:val="center"/>
            <w:hideMark/>
          </w:tcPr>
          <w:p w14:paraId="7D210342" w14:textId="77777777" w:rsidR="00DE3E2D" w:rsidRPr="00976F99" w:rsidRDefault="00DE3E2D" w:rsidP="00DE3E2D">
            <w:pPr>
              <w:spacing w:after="0" w:line="240" w:lineRule="auto"/>
              <w:jc w:val="center"/>
              <w:rPr>
                <w:rFonts w:ascii="Arial Narrow" w:hAnsi="Arial Narrow"/>
                <w:color w:val="000000"/>
                <w:sz w:val="20"/>
                <w:szCs w:val="20"/>
                <w:lang w:val="en-US"/>
              </w:rPr>
            </w:pPr>
            <w:r w:rsidRPr="00976F99">
              <w:rPr>
                <w:rFonts w:ascii="Arial Narrow" w:hAnsi="Arial Narrow"/>
                <w:color w:val="000000"/>
                <w:sz w:val="20"/>
                <w:szCs w:val="20"/>
              </w:rPr>
              <w:t>76</w:t>
            </w:r>
          </w:p>
        </w:tc>
        <w:tc>
          <w:tcPr>
            <w:tcW w:w="1701" w:type="dxa"/>
            <w:tcBorders>
              <w:top w:val="nil"/>
              <w:left w:val="nil"/>
              <w:bottom w:val="nil"/>
              <w:right w:val="nil"/>
            </w:tcBorders>
            <w:shd w:val="clear" w:color="auto" w:fill="auto"/>
            <w:vAlign w:val="center"/>
            <w:hideMark/>
          </w:tcPr>
          <w:p w14:paraId="7686FB07" w14:textId="77777777" w:rsidR="00DE3E2D" w:rsidRPr="00976F99" w:rsidRDefault="00DE3E2D" w:rsidP="00DE3E2D">
            <w:pPr>
              <w:spacing w:after="0" w:line="240" w:lineRule="auto"/>
              <w:jc w:val="center"/>
              <w:rPr>
                <w:rFonts w:ascii="Arial Narrow" w:hAnsi="Arial Narrow"/>
                <w:color w:val="000000"/>
                <w:sz w:val="20"/>
                <w:szCs w:val="20"/>
                <w:lang w:val="en-US"/>
              </w:rPr>
            </w:pPr>
            <w:r w:rsidRPr="00976F99">
              <w:rPr>
                <w:rFonts w:ascii="Arial Narrow" w:hAnsi="Arial Narrow"/>
                <w:color w:val="000000"/>
                <w:sz w:val="20"/>
                <w:szCs w:val="20"/>
              </w:rPr>
              <w:t>0,0</w:t>
            </w:r>
          </w:p>
        </w:tc>
        <w:tc>
          <w:tcPr>
            <w:tcW w:w="1737" w:type="dxa"/>
            <w:tcBorders>
              <w:top w:val="nil"/>
              <w:left w:val="nil"/>
              <w:bottom w:val="nil"/>
              <w:right w:val="nil"/>
            </w:tcBorders>
            <w:shd w:val="clear" w:color="auto" w:fill="auto"/>
            <w:vAlign w:val="center"/>
            <w:hideMark/>
          </w:tcPr>
          <w:p w14:paraId="335925B8" w14:textId="77777777" w:rsidR="00DE3E2D" w:rsidRPr="00976F99" w:rsidRDefault="00DE3E2D" w:rsidP="00DE3E2D">
            <w:pPr>
              <w:spacing w:after="0" w:line="240" w:lineRule="auto"/>
              <w:jc w:val="center"/>
              <w:rPr>
                <w:rFonts w:ascii="Arial Narrow" w:hAnsi="Arial Narrow"/>
                <w:color w:val="000000"/>
                <w:sz w:val="20"/>
                <w:szCs w:val="20"/>
                <w:lang w:val="en-US"/>
              </w:rPr>
            </w:pPr>
            <w:r w:rsidRPr="00976F99">
              <w:rPr>
                <w:rFonts w:ascii="Arial Narrow" w:hAnsi="Arial Narrow"/>
                <w:sz w:val="20"/>
                <w:szCs w:val="20"/>
              </w:rPr>
              <w:t>0,0</w:t>
            </w:r>
          </w:p>
        </w:tc>
      </w:tr>
      <w:tr w:rsidR="00DE3E2D" w:rsidRPr="00976F99" w14:paraId="57462DD6" w14:textId="77777777" w:rsidTr="00342E82">
        <w:trPr>
          <w:trHeight w:val="80"/>
          <w:jc w:val="center"/>
        </w:trPr>
        <w:tc>
          <w:tcPr>
            <w:tcW w:w="2268" w:type="dxa"/>
            <w:tcBorders>
              <w:top w:val="nil"/>
              <w:left w:val="nil"/>
              <w:bottom w:val="nil"/>
              <w:right w:val="nil"/>
            </w:tcBorders>
            <w:shd w:val="clear" w:color="auto" w:fill="auto"/>
            <w:vAlign w:val="center"/>
            <w:hideMark/>
          </w:tcPr>
          <w:p w14:paraId="31A6BCDB" w14:textId="77777777" w:rsidR="00DE3E2D" w:rsidRPr="00976F99" w:rsidRDefault="00DE3E2D" w:rsidP="00DE3E2D">
            <w:pPr>
              <w:spacing w:after="0" w:line="240" w:lineRule="auto"/>
              <w:jc w:val="both"/>
              <w:rPr>
                <w:rFonts w:ascii="Arial Narrow" w:hAnsi="Arial Narrow"/>
                <w:color w:val="000000"/>
                <w:sz w:val="20"/>
                <w:szCs w:val="20"/>
                <w:lang w:val="en-US"/>
              </w:rPr>
            </w:pPr>
            <w:r w:rsidRPr="00976F99">
              <w:rPr>
                <w:rFonts w:ascii="Arial Narrow" w:hAnsi="Arial Narrow"/>
                <w:color w:val="000000"/>
                <w:sz w:val="20"/>
                <w:szCs w:val="20"/>
              </w:rPr>
              <w:t>PS INTERACT III</w:t>
            </w:r>
          </w:p>
        </w:tc>
        <w:tc>
          <w:tcPr>
            <w:tcW w:w="1134" w:type="dxa"/>
            <w:tcBorders>
              <w:top w:val="nil"/>
              <w:left w:val="nil"/>
              <w:bottom w:val="nil"/>
              <w:right w:val="nil"/>
            </w:tcBorders>
            <w:shd w:val="clear" w:color="auto" w:fill="auto"/>
            <w:vAlign w:val="center"/>
            <w:hideMark/>
          </w:tcPr>
          <w:p w14:paraId="64A7EC9B" w14:textId="77777777" w:rsidR="00DE3E2D" w:rsidRPr="00976F99" w:rsidRDefault="00DE3E2D" w:rsidP="00DE3E2D">
            <w:pPr>
              <w:spacing w:after="0" w:line="240" w:lineRule="auto"/>
              <w:jc w:val="center"/>
              <w:rPr>
                <w:rFonts w:ascii="Arial Narrow" w:hAnsi="Arial Narrow"/>
                <w:color w:val="000000"/>
                <w:sz w:val="20"/>
                <w:szCs w:val="20"/>
                <w:lang w:val="en-US"/>
              </w:rPr>
            </w:pPr>
            <w:r>
              <w:rPr>
                <w:rFonts w:ascii="Arial Narrow" w:hAnsi="Arial Narrow"/>
                <w:color w:val="000000"/>
                <w:sz w:val="20"/>
                <w:szCs w:val="20"/>
              </w:rPr>
              <w:t>BSK</w:t>
            </w:r>
          </w:p>
        </w:tc>
        <w:tc>
          <w:tcPr>
            <w:tcW w:w="1843" w:type="dxa"/>
            <w:tcBorders>
              <w:top w:val="nil"/>
              <w:left w:val="nil"/>
              <w:bottom w:val="nil"/>
              <w:right w:val="nil"/>
            </w:tcBorders>
            <w:shd w:val="clear" w:color="auto" w:fill="auto"/>
            <w:vAlign w:val="center"/>
            <w:hideMark/>
          </w:tcPr>
          <w:p w14:paraId="192CE85A" w14:textId="77777777" w:rsidR="00DE3E2D" w:rsidRPr="00976F99" w:rsidRDefault="00DE3E2D" w:rsidP="00DE3E2D">
            <w:pPr>
              <w:spacing w:after="0" w:line="240" w:lineRule="auto"/>
              <w:jc w:val="center"/>
              <w:rPr>
                <w:rFonts w:ascii="Arial Narrow" w:hAnsi="Arial Narrow"/>
                <w:color w:val="000000"/>
                <w:sz w:val="20"/>
                <w:szCs w:val="20"/>
                <w:lang w:val="en-US"/>
              </w:rPr>
            </w:pPr>
            <w:r w:rsidRPr="00976F99">
              <w:rPr>
                <w:rFonts w:ascii="Arial Narrow" w:hAnsi="Arial Narrow"/>
                <w:color w:val="000000"/>
                <w:sz w:val="20"/>
                <w:szCs w:val="20"/>
              </w:rPr>
              <w:t>39</w:t>
            </w:r>
          </w:p>
        </w:tc>
        <w:tc>
          <w:tcPr>
            <w:tcW w:w="1701" w:type="dxa"/>
            <w:tcBorders>
              <w:top w:val="nil"/>
              <w:left w:val="nil"/>
              <w:bottom w:val="nil"/>
              <w:right w:val="nil"/>
            </w:tcBorders>
            <w:shd w:val="clear" w:color="auto" w:fill="auto"/>
            <w:vAlign w:val="center"/>
            <w:hideMark/>
          </w:tcPr>
          <w:p w14:paraId="6ADA89B4" w14:textId="77777777" w:rsidR="00DE3E2D" w:rsidRPr="00976F99" w:rsidRDefault="00DE3E2D" w:rsidP="00DE3E2D">
            <w:pPr>
              <w:spacing w:after="0" w:line="240" w:lineRule="auto"/>
              <w:jc w:val="center"/>
              <w:rPr>
                <w:rFonts w:ascii="Arial Narrow" w:hAnsi="Arial Narrow"/>
                <w:color w:val="000000"/>
                <w:sz w:val="20"/>
                <w:szCs w:val="20"/>
                <w:lang w:val="en-US"/>
              </w:rPr>
            </w:pPr>
            <w:r w:rsidRPr="00976F99">
              <w:rPr>
                <w:rFonts w:ascii="Arial Narrow" w:hAnsi="Arial Narrow"/>
                <w:color w:val="000000"/>
                <w:sz w:val="20"/>
                <w:szCs w:val="20"/>
              </w:rPr>
              <w:t>4</w:t>
            </w:r>
            <w:r>
              <w:rPr>
                <w:rFonts w:ascii="Arial Narrow" w:hAnsi="Arial Narrow"/>
                <w:color w:val="000000"/>
                <w:sz w:val="20"/>
                <w:szCs w:val="20"/>
              </w:rPr>
              <w:t>,0</w:t>
            </w:r>
          </w:p>
        </w:tc>
        <w:tc>
          <w:tcPr>
            <w:tcW w:w="1737" w:type="dxa"/>
            <w:tcBorders>
              <w:top w:val="nil"/>
              <w:left w:val="nil"/>
              <w:bottom w:val="nil"/>
              <w:right w:val="nil"/>
            </w:tcBorders>
            <w:shd w:val="clear" w:color="auto" w:fill="auto"/>
            <w:vAlign w:val="center"/>
            <w:hideMark/>
          </w:tcPr>
          <w:p w14:paraId="5CE1A364" w14:textId="77777777" w:rsidR="00DE3E2D" w:rsidRPr="00976F99" w:rsidRDefault="00DE3E2D" w:rsidP="00DE3E2D">
            <w:pPr>
              <w:spacing w:after="0" w:line="240" w:lineRule="auto"/>
              <w:jc w:val="center"/>
              <w:rPr>
                <w:rFonts w:ascii="Arial Narrow" w:hAnsi="Arial Narrow"/>
                <w:color w:val="000000"/>
                <w:sz w:val="20"/>
                <w:szCs w:val="20"/>
                <w:lang w:val="en-US"/>
              </w:rPr>
            </w:pPr>
            <w:r w:rsidRPr="00976F99">
              <w:rPr>
                <w:rFonts w:ascii="Arial Narrow" w:hAnsi="Arial Narrow"/>
                <w:sz w:val="20"/>
                <w:szCs w:val="20"/>
              </w:rPr>
              <w:t>39,4</w:t>
            </w:r>
          </w:p>
        </w:tc>
      </w:tr>
      <w:tr w:rsidR="00FF6D6B" w:rsidRPr="00DB4FA5" w14:paraId="570B84C9" w14:textId="77777777" w:rsidTr="00342E82">
        <w:trPr>
          <w:trHeight w:val="129"/>
          <w:jc w:val="center"/>
        </w:trPr>
        <w:tc>
          <w:tcPr>
            <w:tcW w:w="2268" w:type="dxa"/>
            <w:tcBorders>
              <w:top w:val="single" w:sz="4" w:space="0" w:color="auto"/>
              <w:left w:val="nil"/>
              <w:bottom w:val="single" w:sz="4" w:space="0" w:color="auto"/>
              <w:right w:val="nil"/>
            </w:tcBorders>
            <w:shd w:val="clear" w:color="auto" w:fill="auto"/>
            <w:vAlign w:val="center"/>
            <w:hideMark/>
          </w:tcPr>
          <w:p w14:paraId="3A5943E8" w14:textId="77777777" w:rsidR="00FF6D6B" w:rsidRPr="00DB4FA5" w:rsidRDefault="00FF6D6B" w:rsidP="00FF6D6B">
            <w:pPr>
              <w:spacing w:after="0" w:line="240" w:lineRule="auto"/>
              <w:jc w:val="both"/>
              <w:rPr>
                <w:rFonts w:ascii="Arial Narrow" w:hAnsi="Arial Narrow"/>
                <w:b/>
                <w:bCs/>
                <w:color w:val="000000"/>
                <w:sz w:val="20"/>
                <w:szCs w:val="20"/>
                <w:lang w:val="en-US"/>
              </w:rPr>
            </w:pPr>
            <w:r w:rsidRPr="00DB4FA5">
              <w:rPr>
                <w:rFonts w:ascii="Arial Narrow" w:hAnsi="Arial Narrow"/>
                <w:b/>
                <w:bCs/>
                <w:color w:val="000000"/>
                <w:sz w:val="20"/>
                <w:szCs w:val="20"/>
              </w:rPr>
              <w:t>Spolu</w:t>
            </w:r>
          </w:p>
        </w:tc>
        <w:tc>
          <w:tcPr>
            <w:tcW w:w="1134" w:type="dxa"/>
            <w:tcBorders>
              <w:top w:val="single" w:sz="4" w:space="0" w:color="auto"/>
              <w:left w:val="nil"/>
              <w:bottom w:val="single" w:sz="4" w:space="0" w:color="auto"/>
              <w:right w:val="nil"/>
            </w:tcBorders>
            <w:shd w:val="clear" w:color="auto" w:fill="auto"/>
            <w:vAlign w:val="center"/>
            <w:hideMark/>
          </w:tcPr>
          <w:p w14:paraId="0D8EFAF8" w14:textId="77777777" w:rsidR="00FF6D6B" w:rsidRPr="00DB4FA5" w:rsidRDefault="00FF6D6B" w:rsidP="00FF6D6B">
            <w:pPr>
              <w:spacing w:after="0" w:line="240" w:lineRule="auto"/>
              <w:jc w:val="center"/>
              <w:rPr>
                <w:rFonts w:ascii="Arial Narrow" w:hAnsi="Arial Narrow"/>
                <w:b/>
                <w:bCs/>
                <w:color w:val="2C9ADC"/>
                <w:sz w:val="20"/>
                <w:szCs w:val="20"/>
                <w:lang w:val="en-US"/>
              </w:rPr>
            </w:pPr>
          </w:p>
        </w:tc>
        <w:tc>
          <w:tcPr>
            <w:tcW w:w="1843" w:type="dxa"/>
            <w:tcBorders>
              <w:top w:val="single" w:sz="4" w:space="0" w:color="auto"/>
              <w:left w:val="nil"/>
              <w:bottom w:val="single" w:sz="4" w:space="0" w:color="auto"/>
              <w:right w:val="nil"/>
            </w:tcBorders>
            <w:shd w:val="clear" w:color="auto" w:fill="auto"/>
            <w:vAlign w:val="center"/>
            <w:hideMark/>
          </w:tcPr>
          <w:p w14:paraId="413EADD9" w14:textId="77777777" w:rsidR="00FF6D6B" w:rsidRPr="00DB4FA5" w:rsidRDefault="00FF6D6B" w:rsidP="00FF6D6B">
            <w:pPr>
              <w:spacing w:after="0" w:line="240" w:lineRule="auto"/>
              <w:jc w:val="center"/>
              <w:rPr>
                <w:rFonts w:ascii="Arial Narrow" w:hAnsi="Arial Narrow"/>
                <w:color w:val="000000"/>
                <w:sz w:val="20"/>
                <w:szCs w:val="20"/>
                <w:lang w:val="en-US"/>
              </w:rPr>
            </w:pPr>
            <w:r w:rsidRPr="00DB4FA5">
              <w:rPr>
                <w:rFonts w:ascii="Arial Narrow" w:hAnsi="Arial Narrow"/>
                <w:color w:val="000000"/>
                <w:sz w:val="20"/>
                <w:szCs w:val="20"/>
              </w:rPr>
              <w:t>13 9</w:t>
            </w:r>
            <w:r>
              <w:rPr>
                <w:rFonts w:ascii="Arial Narrow" w:hAnsi="Arial Narrow"/>
                <w:color w:val="000000"/>
                <w:sz w:val="20"/>
                <w:szCs w:val="20"/>
              </w:rPr>
              <w:t>33</w:t>
            </w:r>
          </w:p>
        </w:tc>
        <w:tc>
          <w:tcPr>
            <w:tcW w:w="1701" w:type="dxa"/>
            <w:tcBorders>
              <w:top w:val="single" w:sz="4" w:space="0" w:color="auto"/>
              <w:left w:val="nil"/>
              <w:bottom w:val="single" w:sz="4" w:space="0" w:color="auto"/>
              <w:right w:val="nil"/>
            </w:tcBorders>
            <w:shd w:val="clear" w:color="auto" w:fill="auto"/>
            <w:vAlign w:val="center"/>
            <w:hideMark/>
          </w:tcPr>
          <w:p w14:paraId="1CA028B0" w14:textId="77777777" w:rsidR="00FF6D6B" w:rsidRPr="00DB4FA5" w:rsidRDefault="00FF6D6B" w:rsidP="00FF6D6B">
            <w:pPr>
              <w:spacing w:after="0" w:line="240" w:lineRule="auto"/>
              <w:jc w:val="center"/>
              <w:rPr>
                <w:rFonts w:ascii="Arial Narrow" w:hAnsi="Arial Narrow"/>
                <w:color w:val="000000"/>
                <w:sz w:val="20"/>
                <w:szCs w:val="20"/>
                <w:lang w:val="en-US"/>
              </w:rPr>
            </w:pPr>
            <w:r>
              <w:rPr>
                <w:rFonts w:ascii="Arial Narrow" w:hAnsi="Arial Narrow"/>
                <w:color w:val="000000"/>
                <w:sz w:val="20"/>
                <w:szCs w:val="20"/>
              </w:rPr>
              <w:t>1 357,1</w:t>
            </w:r>
          </w:p>
        </w:tc>
        <w:tc>
          <w:tcPr>
            <w:tcW w:w="1737" w:type="dxa"/>
            <w:tcBorders>
              <w:top w:val="single" w:sz="4" w:space="0" w:color="auto"/>
              <w:left w:val="nil"/>
              <w:bottom w:val="single" w:sz="4" w:space="0" w:color="auto"/>
              <w:right w:val="nil"/>
            </w:tcBorders>
            <w:shd w:val="clear" w:color="auto" w:fill="auto"/>
            <w:vAlign w:val="center"/>
            <w:hideMark/>
          </w:tcPr>
          <w:p w14:paraId="4745AD05" w14:textId="5C7A9FF5" w:rsidR="00FF6D6B" w:rsidRPr="00DB4FA5" w:rsidRDefault="00FF6D6B" w:rsidP="00FF6D6B">
            <w:pPr>
              <w:spacing w:after="0" w:line="240" w:lineRule="auto"/>
              <w:jc w:val="center"/>
              <w:rPr>
                <w:rFonts w:ascii="Arial Narrow" w:hAnsi="Arial Narrow"/>
                <w:color w:val="000000"/>
                <w:sz w:val="20"/>
                <w:szCs w:val="20"/>
                <w:lang w:val="en-US"/>
              </w:rPr>
            </w:pPr>
            <w:r>
              <w:rPr>
                <w:rFonts w:ascii="Arial Narrow" w:hAnsi="Arial Narrow"/>
                <w:bCs/>
                <w:color w:val="000000"/>
                <w:sz w:val="20"/>
                <w:szCs w:val="20"/>
              </w:rPr>
              <w:t>4 540,7</w:t>
            </w:r>
          </w:p>
        </w:tc>
      </w:tr>
      <w:tr w:rsidR="00FF6D6B" w:rsidRPr="00DB4FA5" w14:paraId="4751700D" w14:textId="77777777" w:rsidTr="00342E82">
        <w:trPr>
          <w:trHeight w:val="284"/>
          <w:jc w:val="center"/>
        </w:trPr>
        <w:tc>
          <w:tcPr>
            <w:tcW w:w="2268" w:type="dxa"/>
            <w:tcBorders>
              <w:top w:val="nil"/>
              <w:left w:val="nil"/>
              <w:bottom w:val="nil"/>
              <w:right w:val="nil"/>
            </w:tcBorders>
            <w:shd w:val="clear" w:color="auto" w:fill="auto"/>
            <w:vAlign w:val="center"/>
            <w:hideMark/>
          </w:tcPr>
          <w:p w14:paraId="6FF20967" w14:textId="77777777" w:rsidR="00FF6D6B" w:rsidRPr="00DB4FA5" w:rsidRDefault="00FF6D6B" w:rsidP="00FF6D6B">
            <w:pPr>
              <w:spacing w:after="0" w:line="240" w:lineRule="auto"/>
              <w:jc w:val="both"/>
              <w:rPr>
                <w:rFonts w:ascii="Arial Narrow" w:hAnsi="Arial Narrow"/>
                <w:color w:val="000000"/>
                <w:sz w:val="20"/>
                <w:szCs w:val="20"/>
                <w:lang w:val="en-US"/>
              </w:rPr>
            </w:pPr>
            <w:r w:rsidRPr="00DB4FA5">
              <w:rPr>
                <w:rFonts w:ascii="Arial Narrow" w:hAnsi="Arial Narrow"/>
                <w:color w:val="000000"/>
                <w:sz w:val="20"/>
                <w:szCs w:val="20"/>
              </w:rPr>
              <w:t>Program rozvoja vidieka</w:t>
            </w:r>
          </w:p>
        </w:tc>
        <w:tc>
          <w:tcPr>
            <w:tcW w:w="1134" w:type="dxa"/>
            <w:tcBorders>
              <w:top w:val="nil"/>
              <w:left w:val="nil"/>
              <w:bottom w:val="nil"/>
              <w:right w:val="nil"/>
            </w:tcBorders>
            <w:shd w:val="clear" w:color="auto" w:fill="auto"/>
            <w:vAlign w:val="center"/>
            <w:hideMark/>
          </w:tcPr>
          <w:p w14:paraId="335FB452" w14:textId="77777777" w:rsidR="00FF6D6B" w:rsidRPr="00DB4FA5" w:rsidRDefault="00FF6D6B" w:rsidP="00FF6D6B">
            <w:pPr>
              <w:spacing w:after="0" w:line="240" w:lineRule="auto"/>
              <w:jc w:val="center"/>
              <w:rPr>
                <w:rFonts w:ascii="Arial Narrow" w:hAnsi="Arial Narrow"/>
                <w:color w:val="000000"/>
                <w:sz w:val="20"/>
                <w:szCs w:val="20"/>
                <w:lang w:val="en-US"/>
              </w:rPr>
            </w:pPr>
            <w:r w:rsidRPr="00DB4FA5">
              <w:rPr>
                <w:rFonts w:ascii="Arial Narrow" w:hAnsi="Arial Narrow"/>
                <w:color w:val="000000"/>
                <w:sz w:val="20"/>
                <w:szCs w:val="20"/>
              </w:rPr>
              <w:t>MPRV SR</w:t>
            </w:r>
          </w:p>
        </w:tc>
        <w:tc>
          <w:tcPr>
            <w:tcW w:w="1843" w:type="dxa"/>
            <w:tcBorders>
              <w:top w:val="nil"/>
              <w:left w:val="nil"/>
              <w:bottom w:val="nil"/>
              <w:right w:val="nil"/>
            </w:tcBorders>
            <w:shd w:val="clear" w:color="auto" w:fill="auto"/>
            <w:vAlign w:val="center"/>
            <w:hideMark/>
          </w:tcPr>
          <w:p w14:paraId="79958A06" w14:textId="148F53F7" w:rsidR="00FF6D6B" w:rsidRPr="00DB4FA5" w:rsidRDefault="00FF6D6B" w:rsidP="00FF6D6B">
            <w:pPr>
              <w:spacing w:after="0" w:line="240" w:lineRule="auto"/>
              <w:jc w:val="center"/>
              <w:rPr>
                <w:rFonts w:ascii="Arial Narrow" w:hAnsi="Arial Narrow"/>
                <w:color w:val="000000"/>
                <w:sz w:val="20"/>
                <w:szCs w:val="20"/>
                <w:lang w:val="en-US"/>
              </w:rPr>
            </w:pPr>
            <w:r w:rsidRPr="00DB4FA5">
              <w:rPr>
                <w:rFonts w:ascii="Arial Narrow" w:hAnsi="Arial Narrow"/>
                <w:color w:val="000000"/>
                <w:sz w:val="20"/>
                <w:szCs w:val="20"/>
              </w:rPr>
              <w:t>1 560</w:t>
            </w:r>
          </w:p>
        </w:tc>
        <w:tc>
          <w:tcPr>
            <w:tcW w:w="1701" w:type="dxa"/>
            <w:tcBorders>
              <w:top w:val="nil"/>
              <w:left w:val="nil"/>
              <w:bottom w:val="nil"/>
              <w:right w:val="nil"/>
            </w:tcBorders>
            <w:shd w:val="clear" w:color="auto" w:fill="auto"/>
            <w:vAlign w:val="center"/>
            <w:hideMark/>
          </w:tcPr>
          <w:p w14:paraId="78DCF905" w14:textId="67576839" w:rsidR="00FF6D6B" w:rsidRPr="00DB4FA5" w:rsidRDefault="00FF6D6B" w:rsidP="00FF6D6B">
            <w:pPr>
              <w:spacing w:after="0" w:line="240" w:lineRule="auto"/>
              <w:jc w:val="center"/>
              <w:rPr>
                <w:rFonts w:ascii="Arial Narrow" w:hAnsi="Arial Narrow"/>
                <w:color w:val="000000"/>
                <w:sz w:val="20"/>
                <w:szCs w:val="20"/>
                <w:lang w:val="en-US"/>
              </w:rPr>
            </w:pPr>
            <w:r>
              <w:rPr>
                <w:rFonts w:ascii="Arial Narrow" w:hAnsi="Arial Narrow"/>
                <w:color w:val="000000"/>
                <w:sz w:val="20"/>
                <w:szCs w:val="20"/>
              </w:rPr>
              <w:t>390,8</w:t>
            </w:r>
          </w:p>
        </w:tc>
        <w:tc>
          <w:tcPr>
            <w:tcW w:w="1737" w:type="dxa"/>
            <w:tcBorders>
              <w:top w:val="nil"/>
              <w:left w:val="nil"/>
              <w:bottom w:val="nil"/>
              <w:right w:val="nil"/>
            </w:tcBorders>
            <w:shd w:val="clear" w:color="auto" w:fill="auto"/>
            <w:vAlign w:val="center"/>
            <w:hideMark/>
          </w:tcPr>
          <w:p w14:paraId="504A23EF" w14:textId="1F4633F7" w:rsidR="00FF6D6B" w:rsidRPr="00DB4FA5" w:rsidRDefault="00FF6D6B" w:rsidP="00FF6D6B">
            <w:pPr>
              <w:spacing w:after="0" w:line="240" w:lineRule="auto"/>
              <w:jc w:val="center"/>
              <w:rPr>
                <w:rFonts w:ascii="Arial Narrow" w:hAnsi="Arial Narrow"/>
                <w:color w:val="000000"/>
                <w:sz w:val="20"/>
                <w:szCs w:val="20"/>
                <w:lang w:val="en-US"/>
              </w:rPr>
            </w:pPr>
            <w:r>
              <w:rPr>
                <w:rFonts w:ascii="Arial Narrow" w:hAnsi="Arial Narrow"/>
                <w:color w:val="000000"/>
                <w:sz w:val="20"/>
                <w:szCs w:val="20"/>
              </w:rPr>
              <w:t>786,7</w:t>
            </w:r>
          </w:p>
        </w:tc>
      </w:tr>
      <w:tr w:rsidR="00FF6D6B" w:rsidRPr="00DB4FA5" w14:paraId="4701CF81" w14:textId="77777777" w:rsidTr="00342E82">
        <w:trPr>
          <w:trHeight w:val="70"/>
          <w:jc w:val="center"/>
        </w:trPr>
        <w:tc>
          <w:tcPr>
            <w:tcW w:w="2268" w:type="dxa"/>
            <w:tcBorders>
              <w:top w:val="single" w:sz="4" w:space="0" w:color="auto"/>
              <w:left w:val="nil"/>
              <w:bottom w:val="single" w:sz="4" w:space="0" w:color="auto"/>
              <w:right w:val="nil"/>
            </w:tcBorders>
            <w:shd w:val="clear" w:color="auto" w:fill="auto"/>
            <w:vAlign w:val="center"/>
            <w:hideMark/>
          </w:tcPr>
          <w:p w14:paraId="1A446F9A" w14:textId="77777777" w:rsidR="00FF6D6B" w:rsidRPr="00DB4FA5" w:rsidRDefault="00FF6D6B" w:rsidP="00FF6D6B">
            <w:pPr>
              <w:spacing w:after="0" w:line="240" w:lineRule="auto"/>
              <w:jc w:val="both"/>
              <w:rPr>
                <w:rFonts w:ascii="Arial Narrow" w:hAnsi="Arial Narrow"/>
                <w:b/>
                <w:bCs/>
                <w:color w:val="000000"/>
                <w:sz w:val="20"/>
                <w:szCs w:val="20"/>
                <w:lang w:val="en-US"/>
              </w:rPr>
            </w:pPr>
            <w:r w:rsidRPr="00DB4FA5">
              <w:rPr>
                <w:rFonts w:ascii="Arial Narrow" w:hAnsi="Arial Narrow"/>
                <w:b/>
                <w:bCs/>
                <w:color w:val="000000"/>
                <w:sz w:val="20"/>
                <w:szCs w:val="20"/>
              </w:rPr>
              <w:t>Spolu</w:t>
            </w:r>
          </w:p>
        </w:tc>
        <w:tc>
          <w:tcPr>
            <w:tcW w:w="1134" w:type="dxa"/>
            <w:tcBorders>
              <w:top w:val="single" w:sz="4" w:space="0" w:color="auto"/>
              <w:left w:val="nil"/>
              <w:bottom w:val="single" w:sz="4" w:space="0" w:color="auto"/>
              <w:right w:val="nil"/>
            </w:tcBorders>
            <w:shd w:val="clear" w:color="auto" w:fill="auto"/>
            <w:vAlign w:val="center"/>
            <w:hideMark/>
          </w:tcPr>
          <w:p w14:paraId="4E7A285B" w14:textId="77777777" w:rsidR="00FF6D6B" w:rsidRPr="00DB4FA5" w:rsidRDefault="00FF6D6B" w:rsidP="00FF6D6B">
            <w:pPr>
              <w:spacing w:after="0" w:line="240" w:lineRule="auto"/>
              <w:jc w:val="center"/>
              <w:rPr>
                <w:rFonts w:ascii="Arial Narrow" w:hAnsi="Arial Narrow"/>
                <w:color w:val="000000"/>
                <w:sz w:val="20"/>
                <w:szCs w:val="20"/>
                <w:lang w:val="en-US"/>
              </w:rPr>
            </w:pPr>
          </w:p>
        </w:tc>
        <w:tc>
          <w:tcPr>
            <w:tcW w:w="1843" w:type="dxa"/>
            <w:tcBorders>
              <w:top w:val="single" w:sz="4" w:space="0" w:color="auto"/>
              <w:left w:val="nil"/>
              <w:bottom w:val="single" w:sz="4" w:space="0" w:color="auto"/>
              <w:right w:val="nil"/>
            </w:tcBorders>
            <w:shd w:val="clear" w:color="auto" w:fill="auto"/>
            <w:vAlign w:val="center"/>
            <w:hideMark/>
          </w:tcPr>
          <w:p w14:paraId="3F6B1ADA" w14:textId="77777777" w:rsidR="00FF6D6B" w:rsidRPr="00DB4FA5" w:rsidRDefault="00FF6D6B" w:rsidP="00FF6D6B">
            <w:pPr>
              <w:spacing w:after="0" w:line="240" w:lineRule="auto"/>
              <w:jc w:val="center"/>
              <w:rPr>
                <w:rFonts w:ascii="Arial Narrow" w:hAnsi="Arial Narrow"/>
                <w:b/>
                <w:bCs/>
                <w:color w:val="000000"/>
                <w:sz w:val="20"/>
                <w:szCs w:val="20"/>
                <w:lang w:val="en-US"/>
              </w:rPr>
            </w:pPr>
            <w:r w:rsidRPr="00DB4FA5">
              <w:rPr>
                <w:rFonts w:ascii="Arial Narrow" w:hAnsi="Arial Narrow"/>
                <w:b/>
                <w:bCs/>
                <w:color w:val="000000"/>
                <w:sz w:val="20"/>
                <w:szCs w:val="20"/>
              </w:rPr>
              <w:t>15 49</w:t>
            </w:r>
            <w:r>
              <w:rPr>
                <w:rFonts w:ascii="Arial Narrow" w:hAnsi="Arial Narrow"/>
                <w:b/>
                <w:bCs/>
                <w:color w:val="000000"/>
                <w:sz w:val="20"/>
                <w:szCs w:val="20"/>
              </w:rPr>
              <w:t>3</w:t>
            </w:r>
          </w:p>
        </w:tc>
        <w:tc>
          <w:tcPr>
            <w:tcW w:w="1701" w:type="dxa"/>
            <w:tcBorders>
              <w:top w:val="single" w:sz="4" w:space="0" w:color="auto"/>
              <w:left w:val="nil"/>
              <w:bottom w:val="single" w:sz="4" w:space="0" w:color="auto"/>
              <w:right w:val="nil"/>
            </w:tcBorders>
            <w:shd w:val="clear" w:color="auto" w:fill="auto"/>
            <w:vAlign w:val="center"/>
            <w:hideMark/>
          </w:tcPr>
          <w:p w14:paraId="0AF1F756" w14:textId="5E0D5061" w:rsidR="00FF6D6B" w:rsidRPr="00DB4FA5" w:rsidRDefault="00FF6D6B" w:rsidP="00FF6D6B">
            <w:pPr>
              <w:spacing w:after="0" w:line="240" w:lineRule="auto"/>
              <w:jc w:val="center"/>
              <w:rPr>
                <w:rFonts w:ascii="Arial Narrow" w:hAnsi="Arial Narrow"/>
                <w:b/>
                <w:bCs/>
                <w:color w:val="000000"/>
                <w:sz w:val="20"/>
                <w:szCs w:val="20"/>
                <w:lang w:val="en-US"/>
              </w:rPr>
            </w:pPr>
            <w:r w:rsidRPr="00FF6D6B">
              <w:rPr>
                <w:rFonts w:ascii="Arial Narrow" w:hAnsi="Arial Narrow"/>
                <w:b/>
                <w:bCs/>
                <w:color w:val="000000"/>
                <w:sz w:val="20"/>
                <w:szCs w:val="20"/>
                <w:lang w:val="en-US"/>
              </w:rPr>
              <w:t>1 747,9</w:t>
            </w:r>
          </w:p>
        </w:tc>
        <w:tc>
          <w:tcPr>
            <w:tcW w:w="1737" w:type="dxa"/>
            <w:tcBorders>
              <w:top w:val="single" w:sz="4" w:space="0" w:color="auto"/>
              <w:left w:val="nil"/>
              <w:bottom w:val="single" w:sz="4" w:space="0" w:color="auto"/>
              <w:right w:val="nil"/>
            </w:tcBorders>
            <w:shd w:val="clear" w:color="auto" w:fill="auto"/>
            <w:vAlign w:val="center"/>
            <w:hideMark/>
          </w:tcPr>
          <w:p w14:paraId="7FAA656C" w14:textId="63445BBA" w:rsidR="00FF6D6B" w:rsidRPr="00DB4FA5" w:rsidRDefault="00FF6D6B" w:rsidP="00FF6D6B">
            <w:pPr>
              <w:spacing w:after="0" w:line="240" w:lineRule="auto"/>
              <w:jc w:val="center"/>
              <w:rPr>
                <w:rFonts w:ascii="Arial Narrow" w:hAnsi="Arial Narrow"/>
                <w:b/>
                <w:bCs/>
                <w:color w:val="000000"/>
                <w:sz w:val="20"/>
                <w:szCs w:val="20"/>
                <w:lang w:val="en-US"/>
              </w:rPr>
            </w:pPr>
            <w:r>
              <w:rPr>
                <w:rFonts w:ascii="Arial Narrow" w:hAnsi="Arial Narrow"/>
                <w:b/>
                <w:bCs/>
                <w:color w:val="000000"/>
                <w:sz w:val="20"/>
                <w:szCs w:val="20"/>
              </w:rPr>
              <w:t>5 327,4</w:t>
            </w:r>
          </w:p>
        </w:tc>
      </w:tr>
    </w:tbl>
    <w:p w14:paraId="2B8257AA" w14:textId="24E2A557" w:rsidR="007D2366" w:rsidRPr="000D43EF" w:rsidRDefault="007D2366" w:rsidP="00D07237">
      <w:pPr>
        <w:spacing w:after="0" w:line="240" w:lineRule="auto"/>
        <w:jc w:val="right"/>
        <w:rPr>
          <w:rFonts w:ascii="Arial Narrow" w:hAnsi="Arial Narrow"/>
          <w:bCs/>
          <w:i/>
          <w:color w:val="000000"/>
          <w:sz w:val="16"/>
          <w:szCs w:val="20"/>
        </w:rPr>
      </w:pPr>
      <w:r w:rsidRPr="000D43EF">
        <w:rPr>
          <w:rFonts w:ascii="Arial Narrow" w:hAnsi="Arial Narrow"/>
          <w:bCs/>
          <w:i/>
          <w:color w:val="000000"/>
          <w:sz w:val="16"/>
          <w:szCs w:val="20"/>
        </w:rPr>
        <w:t>Zdroj: MF SR, ITMS</w:t>
      </w:r>
      <w:r w:rsidR="00D07237">
        <w:rPr>
          <w:rFonts w:ascii="Arial Narrow" w:hAnsi="Arial Narrow"/>
          <w:bCs/>
          <w:i/>
          <w:color w:val="000000"/>
          <w:sz w:val="16"/>
          <w:szCs w:val="20"/>
        </w:rPr>
        <w:t>, CKO</w:t>
      </w:r>
    </w:p>
    <w:p w14:paraId="4269D964" w14:textId="77777777" w:rsidR="007D2366" w:rsidRPr="0073268D" w:rsidRDefault="007D2366" w:rsidP="007D2366">
      <w:pPr>
        <w:spacing w:after="0" w:line="240" w:lineRule="auto"/>
        <w:jc w:val="both"/>
        <w:rPr>
          <w:rFonts w:ascii="Arial Narrow" w:hAnsi="Arial Narrow" w:cs="Arial"/>
        </w:rPr>
      </w:pPr>
    </w:p>
    <w:p w14:paraId="0A8B0630" w14:textId="64E8DA51" w:rsidR="00FF6D6B" w:rsidRDefault="004C7F8B" w:rsidP="007D2366">
      <w:pPr>
        <w:spacing w:after="0" w:line="240" w:lineRule="auto"/>
        <w:jc w:val="both"/>
        <w:rPr>
          <w:rFonts w:ascii="Arial Narrow" w:hAnsi="Arial Narrow" w:cs="Arial"/>
        </w:rPr>
      </w:pPr>
      <w:r>
        <w:rPr>
          <w:rFonts w:ascii="Arial Narrow" w:hAnsi="Arial Narrow" w:cs="Arial"/>
        </w:rPr>
        <w:t xml:space="preserve">V júni 2016 vznikol </w:t>
      </w:r>
      <w:r w:rsidR="00FF6D6B">
        <w:rPr>
          <w:rFonts w:ascii="Arial Narrow" w:hAnsi="Arial Narrow" w:cs="Arial"/>
        </w:rPr>
        <w:t>ÚPVII</w:t>
      </w:r>
      <w:r w:rsidR="007D2366" w:rsidRPr="0073268D">
        <w:rPr>
          <w:rFonts w:ascii="Arial Narrow" w:hAnsi="Arial Narrow" w:cs="Arial"/>
        </w:rPr>
        <w:t xml:space="preserve"> ako nový ústredný orgán štátnej správy pre riadenie, koordináciu a dohľad nad využívaním finančných prostriedkov z</w:t>
      </w:r>
      <w:r w:rsidR="001F0913">
        <w:rPr>
          <w:rFonts w:ascii="Arial Narrow" w:hAnsi="Arial Narrow" w:cs="Arial"/>
        </w:rPr>
        <w:t xml:space="preserve"> EÚ fondov</w:t>
      </w:r>
      <w:r w:rsidR="007D2366" w:rsidRPr="0073268D">
        <w:rPr>
          <w:rFonts w:ascii="Arial Narrow" w:hAnsi="Arial Narrow" w:cs="Arial"/>
        </w:rPr>
        <w:t xml:space="preserve">, pre oblasť informatizácie spoločnosti a pre oblasť investícií. Pribudli kompetencie v oblasti riadenia </w:t>
      </w:r>
      <w:r w:rsidR="001F0913">
        <w:rPr>
          <w:rFonts w:ascii="Arial Narrow" w:hAnsi="Arial Narrow" w:cs="Arial"/>
        </w:rPr>
        <w:t xml:space="preserve">EÚ </w:t>
      </w:r>
      <w:r w:rsidR="007D2366" w:rsidRPr="0073268D">
        <w:rPr>
          <w:rFonts w:ascii="Arial Narrow" w:hAnsi="Arial Narrow" w:cs="Arial"/>
        </w:rPr>
        <w:t>fondov, najmä právomoc posudzovať návrhy výziev a písomných vyzvaní ešte pred ich vyhlásením a právomoc v prípade neplnenia záväzných plánov OP zaviesť krízové riadenie príslušných riadiacich orgánov.</w:t>
      </w:r>
      <w:r w:rsidR="00FF6D6B">
        <w:rPr>
          <w:rFonts w:ascii="Arial Narrow" w:hAnsi="Arial Narrow" w:cs="Arial"/>
        </w:rPr>
        <w:t xml:space="preserve"> Posudzovanie návrhov výziev/vyzvaní a premietnutie pripomienok ÚPPVII (k 31. 12. 2017 celkovo viac ako 2 800) do fináln</w:t>
      </w:r>
      <w:r w:rsidR="001F0913">
        <w:rPr>
          <w:rFonts w:ascii="Arial Narrow" w:hAnsi="Arial Narrow" w:cs="Arial"/>
        </w:rPr>
        <w:t xml:space="preserve">ych návrhov </w:t>
      </w:r>
      <w:r w:rsidR="00FF6D6B">
        <w:rPr>
          <w:rFonts w:ascii="Arial Narrow" w:hAnsi="Arial Narrow" w:cs="Arial"/>
        </w:rPr>
        <w:t>výrazne prispelo k vyššej kvalite vyhlásených výziev/vyzvaní.</w:t>
      </w:r>
    </w:p>
    <w:p w14:paraId="4B167E53" w14:textId="77777777" w:rsidR="00FF6D6B" w:rsidRDefault="00FF6D6B" w:rsidP="007D2366">
      <w:pPr>
        <w:spacing w:after="0" w:line="240" w:lineRule="auto"/>
        <w:jc w:val="both"/>
        <w:rPr>
          <w:rFonts w:ascii="Arial Narrow" w:hAnsi="Arial Narrow" w:cs="Arial"/>
        </w:rPr>
      </w:pPr>
    </w:p>
    <w:p w14:paraId="20498DB1" w14:textId="276978CA" w:rsidR="00FF6D6B" w:rsidRDefault="00FF6D6B" w:rsidP="00FF6D6B">
      <w:pPr>
        <w:spacing w:after="0" w:line="240" w:lineRule="auto"/>
        <w:jc w:val="both"/>
        <w:rPr>
          <w:rFonts w:ascii="Arial Narrow" w:hAnsi="Arial Narrow" w:cs="Arial"/>
        </w:rPr>
      </w:pPr>
      <w:r>
        <w:rPr>
          <w:rFonts w:ascii="Arial Narrow" w:hAnsi="Arial Narrow" w:cs="Arial"/>
        </w:rPr>
        <w:t>ÚPVII v lete 2017 pripravil Akčný plán na posilnenie transparentnosti a zjednodušenia implementácie EŠIF, ktorý v septembri 2017</w:t>
      </w:r>
      <w:r w:rsidRPr="007161BD">
        <w:rPr>
          <w:rFonts w:ascii="Arial Narrow" w:hAnsi="Arial Narrow" w:cs="Arial"/>
        </w:rPr>
        <w:t xml:space="preserve"> </w:t>
      </w:r>
      <w:r>
        <w:rPr>
          <w:rFonts w:ascii="Arial Narrow" w:hAnsi="Arial Narrow" w:cs="Arial"/>
        </w:rPr>
        <w:t>schválila vláda SR. Plán zavádza napr. zjednodušenie vykazovania výdavkov, plne elektronickú komunikáciu pre vybrané procesy, radikálne mení kritizovaný systém výberu odborných hodnotiteľov (hodnotiť budú experti len z oblasti, ktorá je predmetom hodnoteného projektu), v rámci boja proti korupcii a predchádzania konfliktu záujmov zavádza povinné využitie EÚ nástroja ARACHNE</w:t>
      </w:r>
      <w:r w:rsidR="00533004">
        <w:rPr>
          <w:rStyle w:val="Odkaznapoznmkupodiarou"/>
          <w:rFonts w:ascii="Arial Narrow" w:hAnsi="Arial Narrow" w:cs="Arial"/>
        </w:rPr>
        <w:footnoteReference w:id="68"/>
      </w:r>
      <w:r>
        <w:rPr>
          <w:rFonts w:ascii="Arial Narrow" w:hAnsi="Arial Narrow" w:cs="Arial"/>
        </w:rPr>
        <w:t xml:space="preserve">, atď. </w:t>
      </w:r>
    </w:p>
    <w:p w14:paraId="40CD929F" w14:textId="77777777" w:rsidR="00FF6D6B" w:rsidRDefault="00FF6D6B" w:rsidP="00FF6D6B">
      <w:pPr>
        <w:spacing w:after="0" w:line="240" w:lineRule="auto"/>
        <w:jc w:val="both"/>
        <w:rPr>
          <w:rFonts w:ascii="Arial Narrow" w:hAnsi="Arial Narrow" w:cs="Arial"/>
        </w:rPr>
      </w:pPr>
    </w:p>
    <w:p w14:paraId="297EB701" w14:textId="74086553" w:rsidR="00FF6D6B" w:rsidRDefault="00FF6D6B" w:rsidP="00FF6D6B">
      <w:pPr>
        <w:spacing w:after="0" w:line="240" w:lineRule="auto"/>
        <w:jc w:val="both"/>
        <w:rPr>
          <w:rFonts w:ascii="Arial Narrow" w:hAnsi="Arial Narrow" w:cs="Arial Narrow"/>
        </w:rPr>
      </w:pPr>
      <w:r>
        <w:rPr>
          <w:rFonts w:ascii="Arial Narrow" w:hAnsi="Arial Narrow" w:cs="Arial"/>
        </w:rPr>
        <w:t>Aj za intenzívnej účasti SR kontinuálne pokračujú diskusie o budúcej podobe politiky súdržnosti po roku 2020. ÚPVII po rozsiahlom dotazníkovom prieskume v SR pripravilo Návrh východiskovej pozície SR k politike súdržnosti po roku 2020, ktorý v januári 2018 schválila vláda SR.</w:t>
      </w:r>
    </w:p>
    <w:p w14:paraId="7D3F61A6" w14:textId="77777777" w:rsidR="00FF6D6B" w:rsidRDefault="00FF6D6B" w:rsidP="00FF6D6B">
      <w:pPr>
        <w:spacing w:after="0" w:line="240" w:lineRule="auto"/>
        <w:jc w:val="both"/>
        <w:rPr>
          <w:rFonts w:ascii="Arial Narrow" w:hAnsi="Arial Narrow" w:cs="Arial"/>
        </w:rPr>
      </w:pPr>
    </w:p>
    <w:p w14:paraId="1364C35C" w14:textId="77777777" w:rsidR="007D2366" w:rsidRPr="00256D89" w:rsidRDefault="007D2366" w:rsidP="007D2366">
      <w:pPr>
        <w:pStyle w:val="Nadpis1"/>
        <w:numPr>
          <w:ilvl w:val="0"/>
          <w:numId w:val="1"/>
        </w:numPr>
        <w:spacing w:line="240" w:lineRule="auto"/>
        <w:ind w:left="851" w:hanging="709"/>
        <w:rPr>
          <w:rFonts w:ascii="Arial Narrow" w:hAnsi="Arial Narrow" w:cs="Arial Narrow"/>
          <w:bCs w:val="0"/>
        </w:rPr>
      </w:pPr>
      <w:bookmarkStart w:id="105" w:name="_Toc480749819"/>
      <w:bookmarkStart w:id="106" w:name="_Toc508039592"/>
      <w:r w:rsidRPr="00256D89">
        <w:rPr>
          <w:rFonts w:ascii="Arial Narrow" w:hAnsi="Arial Narrow"/>
          <w:color w:val="auto"/>
          <w:sz w:val="32"/>
          <w:szCs w:val="32"/>
        </w:rPr>
        <w:lastRenderedPageBreak/>
        <w:t>Inštitucionálny rámec stratégie Európa 2020 a NPR</w:t>
      </w:r>
      <w:bookmarkEnd w:id="105"/>
      <w:bookmarkEnd w:id="106"/>
    </w:p>
    <w:p w14:paraId="1BA752ED" w14:textId="77777777" w:rsidR="007D2366" w:rsidRDefault="007D2366" w:rsidP="007D2366">
      <w:pPr>
        <w:spacing w:after="0" w:line="240" w:lineRule="auto"/>
        <w:rPr>
          <w:rFonts w:ascii="Arial Narrow" w:hAnsi="Arial Narrow" w:cs="Arial Narrow"/>
          <w:bCs/>
        </w:rPr>
      </w:pPr>
    </w:p>
    <w:p w14:paraId="7D2511E8" w14:textId="77777777" w:rsidR="007D2366" w:rsidRPr="00256D89" w:rsidRDefault="007D2366" w:rsidP="007D2366">
      <w:pPr>
        <w:spacing w:after="0" w:line="240" w:lineRule="auto"/>
        <w:jc w:val="both"/>
        <w:rPr>
          <w:rFonts w:ascii="Arial Narrow" w:hAnsi="Arial Narrow"/>
        </w:rPr>
      </w:pPr>
      <w:r w:rsidRPr="00256D89">
        <w:rPr>
          <w:rFonts w:ascii="Arial Narrow" w:hAnsi="Arial Narrow"/>
        </w:rPr>
        <w:t>NPR vychádza z</w:t>
      </w:r>
      <w:r>
        <w:rPr>
          <w:rFonts w:ascii="Arial Narrow" w:hAnsi="Arial Narrow"/>
        </w:rPr>
        <w:t xml:space="preserve"> nového</w:t>
      </w:r>
      <w:r w:rsidRPr="00256D89">
        <w:rPr>
          <w:rFonts w:ascii="Arial Narrow" w:hAnsi="Arial Narrow"/>
        </w:rPr>
        <w:t xml:space="preserve"> Programového vyhlásenia vlády SR</w:t>
      </w:r>
      <w:r>
        <w:rPr>
          <w:rFonts w:ascii="Arial Narrow" w:hAnsi="Arial Narrow"/>
        </w:rPr>
        <w:t xml:space="preserve">, ktoré si stanovilo za priority posilniť spoločenskú a politickú stabilitu, pružne reagovať na príležitosti a negatíva vonkajšieho prostredia, plynule pokračovať v podpore hospodárskeho, sociálneho a environmentálneho rozvoja, prehĺbiť hospodársku, sociálnu a územnú súdržnosť Slovenska, posilniť úlohu štátu a ochranu verejného záujmu. </w:t>
      </w:r>
      <w:r w:rsidRPr="00256D89">
        <w:rPr>
          <w:rFonts w:ascii="Arial Narrow" w:hAnsi="Arial Narrow"/>
        </w:rPr>
        <w:t>Základné smerovanie opatrení zahrnutých v NPR tiež určujú sektorové stratégie.</w:t>
      </w:r>
      <w:r>
        <w:rPr>
          <w:rFonts w:ascii="Arial Narrow" w:hAnsi="Arial Narrow"/>
        </w:rPr>
        <w:t xml:space="preserve"> </w:t>
      </w:r>
      <w:r w:rsidRPr="008C2D75">
        <w:rPr>
          <w:rFonts w:ascii="Arial Narrow" w:hAnsi="Arial Narrow"/>
        </w:rPr>
        <w:t>Koordinátorom NPR je minister financi</w:t>
      </w:r>
      <w:r>
        <w:rPr>
          <w:rFonts w:ascii="Arial Narrow" w:hAnsi="Arial Narrow"/>
        </w:rPr>
        <w:t>í SR</w:t>
      </w:r>
      <w:r w:rsidRPr="008C2D75">
        <w:rPr>
          <w:rFonts w:ascii="Arial Narrow" w:hAnsi="Arial Narrow"/>
        </w:rPr>
        <w:t xml:space="preserve">. </w:t>
      </w:r>
      <w:r w:rsidRPr="00E24676">
        <w:rPr>
          <w:rFonts w:ascii="Arial Narrow" w:hAnsi="Arial Narrow"/>
        </w:rPr>
        <w:t>Spolupracuje tiež s Úradom predsedu vlády SR.</w:t>
      </w:r>
      <w:r w:rsidRPr="00B12A26">
        <w:rPr>
          <w:rFonts w:ascii="Arial Narrow" w:hAnsi="Arial Narrow"/>
        </w:rPr>
        <w:t xml:space="preserve"> Ú</w:t>
      </w:r>
      <w:r>
        <w:rPr>
          <w:rFonts w:ascii="Arial Narrow" w:hAnsi="Arial Narrow"/>
        </w:rPr>
        <w:t xml:space="preserve">rad podpredsedu vlády SR pre investície a informatizáciu </w:t>
      </w:r>
      <w:r w:rsidRPr="008C2D75">
        <w:rPr>
          <w:rFonts w:ascii="Arial Narrow" w:hAnsi="Arial Narrow"/>
        </w:rPr>
        <w:t>priebežne dohliada na prem</w:t>
      </w:r>
      <w:r>
        <w:rPr>
          <w:rFonts w:ascii="Arial Narrow" w:hAnsi="Arial Narrow"/>
        </w:rPr>
        <w:t>i</w:t>
      </w:r>
      <w:r w:rsidRPr="008C2D75">
        <w:rPr>
          <w:rFonts w:ascii="Arial Narrow" w:hAnsi="Arial Narrow"/>
        </w:rPr>
        <w:t>et</w:t>
      </w:r>
      <w:r>
        <w:rPr>
          <w:rFonts w:ascii="Arial Narrow" w:hAnsi="Arial Narrow"/>
        </w:rPr>
        <w:t>nutie</w:t>
      </w:r>
      <w:r w:rsidRPr="008C2D75">
        <w:rPr>
          <w:rFonts w:ascii="Arial Narrow" w:hAnsi="Arial Narrow"/>
        </w:rPr>
        <w:t xml:space="preserve"> stratégie do ŠF</w:t>
      </w:r>
      <w:r>
        <w:rPr>
          <w:rFonts w:ascii="Arial Narrow" w:hAnsi="Arial Narrow"/>
        </w:rPr>
        <w:t>,</w:t>
      </w:r>
      <w:r w:rsidRPr="008C2D75">
        <w:rPr>
          <w:rFonts w:ascii="Arial Narrow" w:hAnsi="Arial Narrow"/>
        </w:rPr>
        <w:t xml:space="preserve"> KF </w:t>
      </w:r>
      <w:r>
        <w:rPr>
          <w:rFonts w:ascii="Arial Narrow" w:hAnsi="Arial Narrow"/>
        </w:rPr>
        <w:t>a</w:t>
      </w:r>
      <w:r w:rsidRPr="008C2D75">
        <w:rPr>
          <w:rFonts w:ascii="Arial Narrow" w:hAnsi="Arial Narrow"/>
        </w:rPr>
        <w:t xml:space="preserve"> EŠIF.</w:t>
      </w:r>
    </w:p>
    <w:p w14:paraId="122CD9E2" w14:textId="77777777" w:rsidR="007D2366" w:rsidRPr="00256D89" w:rsidRDefault="007D2366" w:rsidP="007D2366">
      <w:pPr>
        <w:spacing w:after="0" w:line="240" w:lineRule="auto"/>
        <w:jc w:val="both"/>
        <w:rPr>
          <w:rFonts w:ascii="Arial Narrow" w:hAnsi="Arial Narrow"/>
        </w:rPr>
      </w:pPr>
    </w:p>
    <w:p w14:paraId="5DAF7C74" w14:textId="77777777" w:rsidR="007D2366" w:rsidRPr="00256D89" w:rsidRDefault="007D2366" w:rsidP="007D2366">
      <w:pPr>
        <w:spacing w:after="0" w:line="240" w:lineRule="auto"/>
        <w:jc w:val="both"/>
        <w:rPr>
          <w:rFonts w:ascii="Arial Narrow" w:hAnsi="Arial Narrow"/>
        </w:rPr>
      </w:pPr>
      <w:r w:rsidRPr="00256D89">
        <w:rPr>
          <w:rFonts w:ascii="Arial Narrow" w:hAnsi="Arial Narrow"/>
        </w:rPr>
        <w:t>Do prípravy a realizácie NPR sú primárne zapojení ministri zodpovední za ekonomickú a sociálnu agendu</w:t>
      </w:r>
      <w:r>
        <w:rPr>
          <w:rFonts w:ascii="Arial Narrow" w:hAnsi="Arial Narrow"/>
        </w:rPr>
        <w:t>.</w:t>
      </w:r>
      <w:r w:rsidRPr="00256D89">
        <w:rPr>
          <w:rFonts w:ascii="Arial Narrow" w:hAnsi="Arial Narrow"/>
        </w:rPr>
        <w:t xml:space="preserve"> Ostatní ministri, splnomocnenci vlády a zástupcovia ostatných orgánov štátnej správy sa podieľajú na plnení stratégie v rámci spolupráce vo vybraných oblastiach. Konzultácie s partnermi, vrátane tretieho sektora, prebiehajú priebežne počas roka. Počas prípravy NPR prebehl</w:t>
      </w:r>
      <w:r>
        <w:rPr>
          <w:rFonts w:ascii="Arial Narrow" w:hAnsi="Arial Narrow"/>
        </w:rPr>
        <w:t>o</w:t>
      </w:r>
      <w:r w:rsidRPr="00256D89">
        <w:rPr>
          <w:rFonts w:ascii="Arial Narrow" w:hAnsi="Arial Narrow"/>
        </w:rPr>
        <w:t xml:space="preserve"> stretnuti</w:t>
      </w:r>
      <w:r>
        <w:rPr>
          <w:rFonts w:ascii="Arial Narrow" w:hAnsi="Arial Narrow"/>
        </w:rPr>
        <w:t>e</w:t>
      </w:r>
      <w:r w:rsidRPr="00256D89">
        <w:rPr>
          <w:rFonts w:ascii="Arial Narrow" w:hAnsi="Arial Narrow"/>
        </w:rPr>
        <w:t xml:space="preserve"> štátnych tajomníkov všetkých zapojených rezortov.</w:t>
      </w:r>
      <w:r>
        <w:rPr>
          <w:rFonts w:ascii="Arial Narrow" w:hAnsi="Arial Narrow"/>
        </w:rPr>
        <w:t xml:space="preserve"> </w:t>
      </w:r>
      <w:r w:rsidRPr="00471BD5">
        <w:rPr>
          <w:rFonts w:ascii="Arial Narrow" w:hAnsi="Arial Narrow"/>
        </w:rPr>
        <w:t>Financovanie opatrení NPR bude zabezpečené v rámci stanovených limitov výdavkov</w:t>
      </w:r>
      <w:r>
        <w:rPr>
          <w:rFonts w:ascii="Arial Narrow" w:hAnsi="Arial Narrow"/>
        </w:rPr>
        <w:t xml:space="preserve"> a počtu zamestnancov kapitol štátneho rozpočtu.</w:t>
      </w:r>
    </w:p>
    <w:p w14:paraId="304667AD" w14:textId="77777777" w:rsidR="007D2366" w:rsidRPr="00256D89" w:rsidRDefault="007D2366" w:rsidP="007D2366">
      <w:pPr>
        <w:spacing w:after="0" w:line="240" w:lineRule="auto"/>
        <w:jc w:val="both"/>
        <w:rPr>
          <w:rFonts w:ascii="Arial Narrow" w:hAnsi="Arial Narrow"/>
        </w:rPr>
      </w:pPr>
    </w:p>
    <w:p w14:paraId="18042327" w14:textId="77777777" w:rsidR="007D2366" w:rsidRPr="00BB5ACE" w:rsidRDefault="007D2366" w:rsidP="007D2366">
      <w:pPr>
        <w:spacing w:after="0" w:line="240" w:lineRule="auto"/>
        <w:jc w:val="both"/>
        <w:rPr>
          <w:rFonts w:ascii="Arial Narrow" w:hAnsi="Arial Narrow"/>
        </w:rPr>
      </w:pPr>
      <w:r w:rsidRPr="00256D89">
        <w:rPr>
          <w:rFonts w:ascii="Arial Narrow" w:hAnsi="Arial Narrow"/>
        </w:rPr>
        <w:t xml:space="preserve">Na medzinárodnej úrovni predstavuje </w:t>
      </w:r>
      <w:r w:rsidRPr="00BB5ACE">
        <w:rPr>
          <w:rFonts w:ascii="Arial Narrow" w:hAnsi="Arial Narrow"/>
        </w:rPr>
        <w:t>tento materiál opatrenia na naplnenie cieľov obsiahnutých v stratégii Európa 2020 definovaný</w:t>
      </w:r>
      <w:r w:rsidR="008A1BFF">
        <w:rPr>
          <w:rFonts w:ascii="Arial Narrow" w:hAnsi="Arial Narrow"/>
        </w:rPr>
        <w:t>ch v Ročnom prieskume rastu 2018</w:t>
      </w:r>
      <w:r w:rsidRPr="00BB5ACE">
        <w:rPr>
          <w:rFonts w:ascii="Arial Narrow" w:hAnsi="Arial Narrow"/>
        </w:rPr>
        <w:t xml:space="preserve"> a Integrovaných usmerneniach pre stratégiu Európa 2020, ako aj na splnenie špecifických odporúčaní Rady pre SR. NPR tiež reaguje na hodnotenie plnenia špecifických odporúčaní z roku 201</w:t>
      </w:r>
      <w:r>
        <w:rPr>
          <w:rFonts w:ascii="Arial Narrow" w:hAnsi="Arial Narrow"/>
        </w:rPr>
        <w:t>7</w:t>
      </w:r>
      <w:r w:rsidRPr="00BB5ACE">
        <w:rPr>
          <w:rFonts w:ascii="Arial Narrow" w:hAnsi="Arial Narrow"/>
        </w:rPr>
        <w:t xml:space="preserve"> Európskou kom</w:t>
      </w:r>
      <w:r w:rsidR="008A1BFF">
        <w:rPr>
          <w:rFonts w:ascii="Arial Narrow" w:hAnsi="Arial Narrow"/>
        </w:rPr>
        <w:t xml:space="preserve">isiou zverejnené </w:t>
      </w:r>
      <w:r w:rsidR="008A1BFF" w:rsidRPr="008D1AC9">
        <w:rPr>
          <w:rFonts w:ascii="Arial Narrow" w:hAnsi="Arial Narrow"/>
        </w:rPr>
        <w:t>v marci 2018</w:t>
      </w:r>
      <w:r w:rsidRPr="008D1AC9">
        <w:rPr>
          <w:rStyle w:val="Odkaznapoznmkupodiarou"/>
          <w:rFonts w:ascii="Arial Narrow" w:hAnsi="Arial Narrow"/>
        </w:rPr>
        <w:footnoteReference w:id="69"/>
      </w:r>
      <w:r w:rsidRPr="008D1AC9">
        <w:rPr>
          <w:rFonts w:ascii="Arial Narrow" w:hAnsi="Arial Narrow"/>
        </w:rPr>
        <w:t>.</w:t>
      </w:r>
      <w:r w:rsidRPr="00BB5ACE">
        <w:rPr>
          <w:rFonts w:ascii="Arial Narrow" w:hAnsi="Arial Narrow"/>
        </w:rPr>
        <w:t xml:space="preserve"> Dôležitým nástrojom na plnenie cieľov stratégie je politika súdržnosti. V roku 2014 sa začalo jej nové sedemročné programové obdobie. </w:t>
      </w:r>
    </w:p>
    <w:p w14:paraId="71C557B2" w14:textId="77777777" w:rsidR="007D2366" w:rsidRPr="00BB5ACE" w:rsidRDefault="007D2366" w:rsidP="007D2366">
      <w:pPr>
        <w:spacing w:after="0" w:line="240" w:lineRule="auto"/>
        <w:jc w:val="both"/>
        <w:rPr>
          <w:rFonts w:ascii="Arial Narrow" w:hAnsi="Arial Narrow"/>
        </w:rPr>
      </w:pPr>
    </w:p>
    <w:p w14:paraId="3AC24146" w14:textId="77777777" w:rsidR="007D2366" w:rsidRDefault="007D2366" w:rsidP="007D2366">
      <w:pPr>
        <w:spacing w:after="0" w:line="240" w:lineRule="auto"/>
        <w:jc w:val="both"/>
        <w:rPr>
          <w:rFonts w:ascii="Arial Narrow" w:hAnsi="Arial Narrow"/>
        </w:rPr>
      </w:pPr>
      <w:r w:rsidRPr="00E76F3D">
        <w:rPr>
          <w:rFonts w:ascii="Arial Narrow" w:hAnsi="Arial Narrow"/>
        </w:rPr>
        <w:t>Prílohou NPR je samostatný akčný plán, ktorý obsahuje najdôležitejšie opatrenia s výrazným fiškálnym dopadom spolu s termínom ich plnenia a vecnou zodpovednosťou.</w:t>
      </w:r>
      <w:r>
        <w:rPr>
          <w:rFonts w:ascii="Arial Narrow" w:hAnsi="Arial Narrow"/>
        </w:rPr>
        <w:t xml:space="preserve"> </w:t>
      </w:r>
    </w:p>
    <w:p w14:paraId="494EECC7" w14:textId="77777777" w:rsidR="007D2366" w:rsidRPr="00256D89" w:rsidRDefault="007D2366" w:rsidP="007D2366">
      <w:pPr>
        <w:spacing w:after="0" w:line="240" w:lineRule="auto"/>
        <w:rPr>
          <w:rFonts w:ascii="Arial Narrow" w:hAnsi="Arial Narrow" w:cs="Arial Narrow"/>
          <w:bCs/>
        </w:rPr>
      </w:pPr>
    </w:p>
    <w:p w14:paraId="73DE59AB" w14:textId="77777777" w:rsidR="007D2366" w:rsidRDefault="007D2366" w:rsidP="007D2366">
      <w:pPr>
        <w:spacing w:after="0" w:line="240" w:lineRule="auto"/>
        <w:rPr>
          <w:rFonts w:ascii="Arial Narrow" w:eastAsiaTheme="majorEastAsia" w:hAnsi="Arial Narrow" w:cstheme="majorBidi"/>
          <w:b/>
          <w:bCs/>
          <w:sz w:val="32"/>
          <w:szCs w:val="32"/>
        </w:rPr>
      </w:pPr>
      <w:r>
        <w:rPr>
          <w:rFonts w:ascii="Arial Narrow" w:hAnsi="Arial Narrow"/>
          <w:sz w:val="32"/>
          <w:szCs w:val="32"/>
        </w:rPr>
        <w:br w:type="page"/>
      </w:r>
    </w:p>
    <w:p w14:paraId="3422EAFC" w14:textId="77777777" w:rsidR="007D2366" w:rsidRDefault="007D2366" w:rsidP="007D2366">
      <w:pPr>
        <w:pStyle w:val="Nadpis1"/>
        <w:spacing w:line="240" w:lineRule="auto"/>
        <w:ind w:hanging="709"/>
        <w:rPr>
          <w:rFonts w:ascii="Arial Narrow" w:hAnsi="Arial Narrow"/>
          <w:color w:val="auto"/>
          <w:sz w:val="32"/>
          <w:szCs w:val="32"/>
        </w:rPr>
      </w:pPr>
      <w:bookmarkStart w:id="107" w:name="_Toc480749820"/>
      <w:bookmarkStart w:id="108" w:name="_Toc508039593"/>
      <w:r>
        <w:rPr>
          <w:rFonts w:ascii="Arial Narrow" w:hAnsi="Arial Narrow"/>
          <w:color w:val="auto"/>
          <w:sz w:val="32"/>
          <w:szCs w:val="32"/>
        </w:rPr>
        <w:lastRenderedPageBreak/>
        <w:t xml:space="preserve">Príloha č. 1: </w:t>
      </w:r>
      <w:r w:rsidRPr="0028136A">
        <w:rPr>
          <w:rFonts w:ascii="Arial Narrow" w:hAnsi="Arial Narrow"/>
          <w:color w:val="auto"/>
          <w:sz w:val="32"/>
          <w:szCs w:val="32"/>
        </w:rPr>
        <w:t>Národné ciele stratégie Európa 2020 a iné indikátory</w:t>
      </w:r>
      <w:bookmarkEnd w:id="107"/>
      <w:bookmarkEnd w:id="108"/>
    </w:p>
    <w:p w14:paraId="3A9D94BF" w14:textId="77777777" w:rsidR="007D2366" w:rsidRDefault="007D2366" w:rsidP="007D2366">
      <w:pPr>
        <w:spacing w:after="0" w:line="240" w:lineRule="auto"/>
        <w:rPr>
          <w:sz w:val="20"/>
          <w:szCs w:val="20"/>
        </w:rPr>
      </w:pPr>
    </w:p>
    <w:tbl>
      <w:tblPr>
        <w:tblW w:w="10831" w:type="dxa"/>
        <w:jc w:val="center"/>
        <w:tblLayout w:type="fixed"/>
        <w:tblLook w:val="04A0" w:firstRow="1" w:lastRow="0" w:firstColumn="1" w:lastColumn="0" w:noHBand="0" w:noVBand="1"/>
      </w:tblPr>
      <w:tblGrid>
        <w:gridCol w:w="426"/>
        <w:gridCol w:w="199"/>
        <w:gridCol w:w="226"/>
        <w:gridCol w:w="2221"/>
        <w:gridCol w:w="756"/>
        <w:gridCol w:w="743"/>
        <w:gridCol w:w="625"/>
        <w:gridCol w:w="625"/>
        <w:gridCol w:w="625"/>
        <w:gridCol w:w="625"/>
        <w:gridCol w:w="625"/>
        <w:gridCol w:w="625"/>
        <w:gridCol w:w="625"/>
        <w:gridCol w:w="625"/>
        <w:gridCol w:w="625"/>
        <w:gridCol w:w="625"/>
        <w:gridCol w:w="10"/>
      </w:tblGrid>
      <w:tr w:rsidR="00994161" w:rsidRPr="00677CC7" w14:paraId="69110C21" w14:textId="77777777" w:rsidTr="00994161">
        <w:trPr>
          <w:trHeight w:val="264"/>
          <w:jc w:val="center"/>
        </w:trPr>
        <w:tc>
          <w:tcPr>
            <w:tcW w:w="625" w:type="dxa"/>
            <w:gridSpan w:val="2"/>
            <w:tcBorders>
              <w:top w:val="nil"/>
              <w:left w:val="nil"/>
              <w:bottom w:val="single" w:sz="4" w:space="0" w:color="auto"/>
              <w:right w:val="nil"/>
            </w:tcBorders>
          </w:tcPr>
          <w:p w14:paraId="16EE3270" w14:textId="77777777" w:rsidR="00994161" w:rsidRPr="00CE5328" w:rsidRDefault="00994161" w:rsidP="00342E82">
            <w:pPr>
              <w:spacing w:after="0" w:line="240" w:lineRule="auto"/>
              <w:rPr>
                <w:rFonts w:ascii="Arial Narrow" w:hAnsi="Arial Narrow"/>
                <w:b/>
                <w:bCs/>
                <w:color w:val="2C9ADC"/>
                <w:sz w:val="20"/>
                <w:lang w:eastAsia="en-US"/>
              </w:rPr>
            </w:pPr>
          </w:p>
        </w:tc>
        <w:tc>
          <w:tcPr>
            <w:tcW w:w="10206" w:type="dxa"/>
            <w:gridSpan w:val="15"/>
            <w:tcBorders>
              <w:top w:val="nil"/>
              <w:left w:val="nil"/>
              <w:bottom w:val="single" w:sz="4" w:space="0" w:color="auto"/>
              <w:right w:val="nil"/>
            </w:tcBorders>
            <w:shd w:val="clear" w:color="auto" w:fill="auto"/>
            <w:vAlign w:val="center"/>
            <w:hideMark/>
          </w:tcPr>
          <w:p w14:paraId="4A603D00" w14:textId="19095AD4" w:rsidR="00994161" w:rsidRPr="00DD3936" w:rsidRDefault="00994161" w:rsidP="00342E82">
            <w:pPr>
              <w:spacing w:after="0" w:line="240" w:lineRule="auto"/>
              <w:rPr>
                <w:rFonts w:ascii="Arial Narrow" w:hAnsi="Arial Narrow"/>
                <w:b/>
                <w:bCs/>
                <w:color w:val="2C9ADC"/>
                <w:lang w:eastAsia="en-US"/>
              </w:rPr>
            </w:pPr>
            <w:r w:rsidRPr="00CE5328">
              <w:rPr>
                <w:rFonts w:ascii="Arial Narrow" w:hAnsi="Arial Narrow"/>
                <w:b/>
                <w:bCs/>
                <w:color w:val="2C9ADC"/>
                <w:sz w:val="20"/>
                <w:lang w:eastAsia="en-US"/>
              </w:rPr>
              <w:t xml:space="preserve">Výsledkové ukazovatele stratégie Európa 2020 a iných oblastí </w:t>
            </w:r>
          </w:p>
        </w:tc>
      </w:tr>
      <w:tr w:rsidR="00994161" w:rsidRPr="00677CC7" w14:paraId="4E725DA9" w14:textId="77777777" w:rsidTr="00994161">
        <w:trPr>
          <w:gridAfter w:val="1"/>
          <w:wAfter w:w="10" w:type="dxa"/>
          <w:trHeight w:val="213"/>
          <w:jc w:val="center"/>
        </w:trPr>
        <w:tc>
          <w:tcPr>
            <w:tcW w:w="426" w:type="dxa"/>
            <w:tcBorders>
              <w:top w:val="nil"/>
              <w:left w:val="nil"/>
              <w:bottom w:val="single" w:sz="4" w:space="0" w:color="auto"/>
              <w:right w:val="nil"/>
            </w:tcBorders>
            <w:shd w:val="clear" w:color="auto" w:fill="auto"/>
            <w:noWrap/>
            <w:vAlign w:val="center"/>
            <w:hideMark/>
          </w:tcPr>
          <w:p w14:paraId="4E0B33BE" w14:textId="77777777" w:rsidR="00994161" w:rsidRPr="00DD3936" w:rsidRDefault="00994161" w:rsidP="00342E82">
            <w:pPr>
              <w:spacing w:after="0" w:line="240" w:lineRule="auto"/>
              <w:jc w:val="center"/>
              <w:rPr>
                <w:rFonts w:ascii="Arial Narrow" w:hAnsi="Arial Narrow"/>
                <w:b/>
                <w:bCs/>
                <w:sz w:val="18"/>
                <w:szCs w:val="18"/>
                <w:lang w:eastAsia="en-US"/>
              </w:rPr>
            </w:pPr>
            <w:r w:rsidRPr="00DD3936">
              <w:rPr>
                <w:rFonts w:ascii="Arial Narrow" w:hAnsi="Arial Narrow"/>
                <w:b/>
                <w:bCs/>
                <w:sz w:val="18"/>
                <w:szCs w:val="18"/>
                <w:lang w:eastAsia="en-US"/>
              </w:rPr>
              <w:t> </w:t>
            </w:r>
          </w:p>
        </w:tc>
        <w:tc>
          <w:tcPr>
            <w:tcW w:w="425" w:type="dxa"/>
            <w:gridSpan w:val="2"/>
            <w:tcBorders>
              <w:top w:val="nil"/>
              <w:left w:val="nil"/>
              <w:bottom w:val="nil"/>
              <w:right w:val="nil"/>
            </w:tcBorders>
            <w:shd w:val="clear" w:color="auto" w:fill="auto"/>
            <w:noWrap/>
            <w:vAlign w:val="center"/>
            <w:hideMark/>
          </w:tcPr>
          <w:p w14:paraId="1ECCCD21" w14:textId="77777777" w:rsidR="00994161" w:rsidRPr="00DD3936" w:rsidRDefault="00994161" w:rsidP="00342E82">
            <w:pPr>
              <w:spacing w:after="0" w:line="240" w:lineRule="auto"/>
              <w:jc w:val="center"/>
              <w:rPr>
                <w:rFonts w:ascii="Arial Narrow" w:hAnsi="Arial Narrow"/>
                <w:b/>
                <w:bCs/>
                <w:sz w:val="18"/>
                <w:szCs w:val="18"/>
                <w:lang w:eastAsia="en-US"/>
              </w:rPr>
            </w:pPr>
            <w:r w:rsidRPr="00DD3936">
              <w:rPr>
                <w:rFonts w:ascii="Arial Narrow" w:hAnsi="Arial Narrow"/>
                <w:b/>
                <w:bCs/>
                <w:sz w:val="18"/>
                <w:szCs w:val="18"/>
                <w:lang w:eastAsia="en-US"/>
              </w:rPr>
              <w:t> </w:t>
            </w:r>
          </w:p>
        </w:tc>
        <w:tc>
          <w:tcPr>
            <w:tcW w:w="2221" w:type="dxa"/>
            <w:tcBorders>
              <w:top w:val="nil"/>
              <w:left w:val="nil"/>
              <w:bottom w:val="nil"/>
              <w:right w:val="nil"/>
            </w:tcBorders>
            <w:shd w:val="clear" w:color="auto" w:fill="auto"/>
            <w:noWrap/>
            <w:vAlign w:val="center"/>
            <w:hideMark/>
          </w:tcPr>
          <w:p w14:paraId="31E61AF2" w14:textId="77777777" w:rsidR="00994161" w:rsidRPr="00DD3936" w:rsidRDefault="00994161" w:rsidP="00342E82">
            <w:pPr>
              <w:spacing w:after="0" w:line="240" w:lineRule="auto"/>
              <w:jc w:val="center"/>
              <w:rPr>
                <w:rFonts w:ascii="Arial Narrow" w:hAnsi="Arial Narrow"/>
                <w:b/>
                <w:bCs/>
                <w:sz w:val="18"/>
                <w:szCs w:val="18"/>
                <w:lang w:eastAsia="en-US"/>
              </w:rPr>
            </w:pPr>
            <w:r w:rsidRPr="00DD3936">
              <w:rPr>
                <w:rFonts w:ascii="Arial Narrow" w:hAnsi="Arial Narrow"/>
                <w:b/>
                <w:bCs/>
                <w:sz w:val="18"/>
                <w:szCs w:val="18"/>
                <w:lang w:eastAsia="en-US"/>
              </w:rPr>
              <w:t> </w:t>
            </w:r>
          </w:p>
        </w:tc>
        <w:tc>
          <w:tcPr>
            <w:tcW w:w="756" w:type="dxa"/>
            <w:tcBorders>
              <w:top w:val="nil"/>
              <w:left w:val="nil"/>
              <w:bottom w:val="nil"/>
              <w:right w:val="nil"/>
            </w:tcBorders>
            <w:shd w:val="clear" w:color="auto" w:fill="auto"/>
            <w:noWrap/>
            <w:vAlign w:val="center"/>
            <w:hideMark/>
          </w:tcPr>
          <w:p w14:paraId="63A472FB" w14:textId="77777777" w:rsidR="00994161" w:rsidRPr="00DD3936" w:rsidRDefault="00994161" w:rsidP="00342E82">
            <w:pPr>
              <w:spacing w:after="0" w:line="240" w:lineRule="auto"/>
              <w:jc w:val="center"/>
              <w:rPr>
                <w:rFonts w:ascii="Arial Narrow" w:hAnsi="Arial Narrow"/>
                <w:b/>
                <w:bCs/>
                <w:sz w:val="18"/>
                <w:szCs w:val="18"/>
                <w:lang w:eastAsia="en-US"/>
              </w:rPr>
            </w:pPr>
            <w:r w:rsidRPr="00DD3936">
              <w:rPr>
                <w:rFonts w:ascii="Arial Narrow" w:hAnsi="Arial Narrow"/>
                <w:b/>
                <w:bCs/>
                <w:sz w:val="18"/>
                <w:szCs w:val="18"/>
                <w:lang w:eastAsia="en-US"/>
              </w:rPr>
              <w:t> </w:t>
            </w:r>
          </w:p>
        </w:tc>
        <w:tc>
          <w:tcPr>
            <w:tcW w:w="743" w:type="dxa"/>
            <w:tcBorders>
              <w:top w:val="nil"/>
              <w:left w:val="nil"/>
              <w:bottom w:val="nil"/>
              <w:right w:val="nil"/>
            </w:tcBorders>
            <w:shd w:val="clear" w:color="auto" w:fill="auto"/>
            <w:vAlign w:val="center"/>
            <w:hideMark/>
          </w:tcPr>
          <w:p w14:paraId="36DBE272" w14:textId="77777777" w:rsidR="00994161" w:rsidRPr="00677CC7" w:rsidRDefault="00994161" w:rsidP="00342E82">
            <w:pPr>
              <w:spacing w:after="0" w:line="240" w:lineRule="auto"/>
              <w:jc w:val="center"/>
              <w:rPr>
                <w:rFonts w:ascii="Arial Narrow" w:hAnsi="Arial Narrow"/>
                <w:b/>
                <w:bCs/>
                <w:sz w:val="18"/>
                <w:szCs w:val="18"/>
                <w:lang w:val="en-US" w:eastAsia="en-US"/>
              </w:rPr>
            </w:pPr>
            <w:r w:rsidRPr="00677CC7">
              <w:rPr>
                <w:rFonts w:ascii="Arial Narrow" w:hAnsi="Arial Narrow"/>
                <w:b/>
                <w:bCs/>
                <w:sz w:val="18"/>
                <w:szCs w:val="18"/>
                <w:lang w:val="en-US" w:eastAsia="en-US"/>
              </w:rPr>
              <w:t>2008</w:t>
            </w:r>
          </w:p>
        </w:tc>
        <w:tc>
          <w:tcPr>
            <w:tcW w:w="625" w:type="dxa"/>
            <w:tcBorders>
              <w:top w:val="nil"/>
              <w:left w:val="nil"/>
              <w:bottom w:val="nil"/>
              <w:right w:val="nil"/>
            </w:tcBorders>
            <w:shd w:val="clear" w:color="auto" w:fill="auto"/>
            <w:vAlign w:val="center"/>
            <w:hideMark/>
          </w:tcPr>
          <w:p w14:paraId="2C8B1265" w14:textId="77777777" w:rsidR="00994161" w:rsidRPr="00677CC7" w:rsidRDefault="00994161" w:rsidP="00342E82">
            <w:pPr>
              <w:spacing w:after="0" w:line="240" w:lineRule="auto"/>
              <w:jc w:val="center"/>
              <w:rPr>
                <w:rFonts w:ascii="Arial Narrow" w:hAnsi="Arial Narrow"/>
                <w:b/>
                <w:bCs/>
                <w:sz w:val="18"/>
                <w:szCs w:val="18"/>
                <w:lang w:val="en-US" w:eastAsia="en-US"/>
              </w:rPr>
            </w:pPr>
            <w:r w:rsidRPr="00677CC7">
              <w:rPr>
                <w:rFonts w:ascii="Arial Narrow" w:hAnsi="Arial Narrow"/>
                <w:b/>
                <w:bCs/>
                <w:sz w:val="18"/>
                <w:szCs w:val="18"/>
                <w:lang w:val="en-US" w:eastAsia="en-US"/>
              </w:rPr>
              <w:t>2009</w:t>
            </w:r>
          </w:p>
        </w:tc>
        <w:tc>
          <w:tcPr>
            <w:tcW w:w="625" w:type="dxa"/>
            <w:tcBorders>
              <w:top w:val="nil"/>
              <w:left w:val="nil"/>
              <w:bottom w:val="nil"/>
              <w:right w:val="nil"/>
            </w:tcBorders>
            <w:shd w:val="clear" w:color="auto" w:fill="auto"/>
            <w:vAlign w:val="center"/>
            <w:hideMark/>
          </w:tcPr>
          <w:p w14:paraId="6E4D8481" w14:textId="77777777" w:rsidR="00994161" w:rsidRPr="00677CC7" w:rsidRDefault="00994161" w:rsidP="00342E82">
            <w:pPr>
              <w:spacing w:after="0" w:line="240" w:lineRule="auto"/>
              <w:jc w:val="center"/>
              <w:rPr>
                <w:rFonts w:ascii="Arial Narrow" w:hAnsi="Arial Narrow"/>
                <w:b/>
                <w:bCs/>
                <w:sz w:val="18"/>
                <w:szCs w:val="18"/>
                <w:lang w:val="en-US" w:eastAsia="en-US"/>
              </w:rPr>
            </w:pPr>
            <w:r w:rsidRPr="00677CC7">
              <w:rPr>
                <w:rFonts w:ascii="Arial Narrow" w:hAnsi="Arial Narrow"/>
                <w:b/>
                <w:bCs/>
                <w:sz w:val="18"/>
                <w:szCs w:val="18"/>
                <w:lang w:val="en-US" w:eastAsia="en-US"/>
              </w:rPr>
              <w:t>2010</w:t>
            </w:r>
          </w:p>
        </w:tc>
        <w:tc>
          <w:tcPr>
            <w:tcW w:w="625" w:type="dxa"/>
            <w:tcBorders>
              <w:top w:val="nil"/>
              <w:left w:val="nil"/>
              <w:bottom w:val="nil"/>
              <w:right w:val="nil"/>
            </w:tcBorders>
            <w:shd w:val="clear" w:color="auto" w:fill="auto"/>
            <w:vAlign w:val="center"/>
            <w:hideMark/>
          </w:tcPr>
          <w:p w14:paraId="2EE14492" w14:textId="77777777" w:rsidR="00994161" w:rsidRPr="00677CC7" w:rsidRDefault="00994161" w:rsidP="00342E82">
            <w:pPr>
              <w:spacing w:after="0" w:line="240" w:lineRule="auto"/>
              <w:jc w:val="center"/>
              <w:rPr>
                <w:rFonts w:ascii="Arial Narrow" w:hAnsi="Arial Narrow"/>
                <w:b/>
                <w:bCs/>
                <w:sz w:val="18"/>
                <w:szCs w:val="18"/>
                <w:lang w:val="en-US" w:eastAsia="en-US"/>
              </w:rPr>
            </w:pPr>
            <w:r w:rsidRPr="00677CC7">
              <w:rPr>
                <w:rFonts w:ascii="Arial Narrow" w:hAnsi="Arial Narrow"/>
                <w:b/>
                <w:bCs/>
                <w:sz w:val="18"/>
                <w:szCs w:val="18"/>
                <w:lang w:val="en-US" w:eastAsia="en-US"/>
              </w:rPr>
              <w:t>2011</w:t>
            </w:r>
          </w:p>
        </w:tc>
        <w:tc>
          <w:tcPr>
            <w:tcW w:w="625" w:type="dxa"/>
            <w:tcBorders>
              <w:top w:val="nil"/>
              <w:left w:val="nil"/>
              <w:bottom w:val="nil"/>
              <w:right w:val="nil"/>
            </w:tcBorders>
            <w:shd w:val="clear" w:color="auto" w:fill="auto"/>
            <w:vAlign w:val="center"/>
            <w:hideMark/>
          </w:tcPr>
          <w:p w14:paraId="13106AAF" w14:textId="77777777" w:rsidR="00994161" w:rsidRPr="00677CC7" w:rsidRDefault="00994161" w:rsidP="00342E82">
            <w:pPr>
              <w:spacing w:after="0" w:line="240" w:lineRule="auto"/>
              <w:jc w:val="center"/>
              <w:rPr>
                <w:rFonts w:ascii="Arial Narrow" w:hAnsi="Arial Narrow"/>
                <w:b/>
                <w:bCs/>
                <w:sz w:val="18"/>
                <w:szCs w:val="18"/>
                <w:lang w:val="en-US" w:eastAsia="en-US"/>
              </w:rPr>
            </w:pPr>
            <w:r w:rsidRPr="00677CC7">
              <w:rPr>
                <w:rFonts w:ascii="Arial Narrow" w:hAnsi="Arial Narrow"/>
                <w:b/>
                <w:bCs/>
                <w:sz w:val="18"/>
                <w:szCs w:val="18"/>
                <w:lang w:val="en-US" w:eastAsia="en-US"/>
              </w:rPr>
              <w:t>2012</w:t>
            </w:r>
          </w:p>
        </w:tc>
        <w:tc>
          <w:tcPr>
            <w:tcW w:w="625" w:type="dxa"/>
            <w:tcBorders>
              <w:top w:val="nil"/>
              <w:left w:val="nil"/>
              <w:bottom w:val="nil"/>
              <w:right w:val="nil"/>
            </w:tcBorders>
            <w:shd w:val="clear" w:color="auto" w:fill="auto"/>
            <w:vAlign w:val="center"/>
            <w:hideMark/>
          </w:tcPr>
          <w:p w14:paraId="77D986A6" w14:textId="77777777" w:rsidR="00994161" w:rsidRPr="00677CC7" w:rsidRDefault="00994161" w:rsidP="00342E82">
            <w:pPr>
              <w:spacing w:after="0" w:line="240" w:lineRule="auto"/>
              <w:jc w:val="center"/>
              <w:rPr>
                <w:rFonts w:ascii="Arial Narrow" w:hAnsi="Arial Narrow"/>
                <w:b/>
                <w:bCs/>
                <w:sz w:val="18"/>
                <w:szCs w:val="18"/>
                <w:lang w:val="en-US" w:eastAsia="en-US"/>
              </w:rPr>
            </w:pPr>
            <w:r w:rsidRPr="00677CC7">
              <w:rPr>
                <w:rFonts w:ascii="Arial Narrow" w:hAnsi="Arial Narrow"/>
                <w:b/>
                <w:bCs/>
                <w:sz w:val="18"/>
                <w:szCs w:val="18"/>
                <w:lang w:val="en-US" w:eastAsia="en-US"/>
              </w:rPr>
              <w:t>2013</w:t>
            </w:r>
          </w:p>
        </w:tc>
        <w:tc>
          <w:tcPr>
            <w:tcW w:w="625" w:type="dxa"/>
            <w:tcBorders>
              <w:top w:val="nil"/>
              <w:left w:val="nil"/>
              <w:bottom w:val="single" w:sz="4" w:space="0" w:color="auto"/>
              <w:right w:val="nil"/>
            </w:tcBorders>
            <w:shd w:val="clear" w:color="auto" w:fill="auto"/>
            <w:vAlign w:val="center"/>
            <w:hideMark/>
          </w:tcPr>
          <w:p w14:paraId="6F0F8EA8" w14:textId="77777777" w:rsidR="00994161" w:rsidRPr="00677CC7" w:rsidRDefault="00994161" w:rsidP="00342E82">
            <w:pPr>
              <w:spacing w:after="0" w:line="240" w:lineRule="auto"/>
              <w:jc w:val="center"/>
              <w:rPr>
                <w:rFonts w:ascii="Arial Narrow" w:hAnsi="Arial Narrow"/>
                <w:b/>
                <w:bCs/>
                <w:sz w:val="18"/>
                <w:szCs w:val="18"/>
                <w:lang w:val="en-US" w:eastAsia="en-US"/>
              </w:rPr>
            </w:pPr>
            <w:r w:rsidRPr="00677CC7">
              <w:rPr>
                <w:rFonts w:ascii="Arial Narrow" w:hAnsi="Arial Narrow"/>
                <w:b/>
                <w:bCs/>
                <w:sz w:val="18"/>
                <w:szCs w:val="18"/>
                <w:lang w:val="en-US" w:eastAsia="en-US"/>
              </w:rPr>
              <w:t>2014</w:t>
            </w:r>
          </w:p>
        </w:tc>
        <w:tc>
          <w:tcPr>
            <w:tcW w:w="625" w:type="dxa"/>
            <w:tcBorders>
              <w:top w:val="nil"/>
              <w:left w:val="nil"/>
              <w:bottom w:val="nil"/>
              <w:right w:val="nil"/>
            </w:tcBorders>
            <w:shd w:val="clear" w:color="auto" w:fill="auto"/>
            <w:vAlign w:val="center"/>
            <w:hideMark/>
          </w:tcPr>
          <w:p w14:paraId="42E0A2B7" w14:textId="77777777" w:rsidR="00994161" w:rsidRPr="00677CC7" w:rsidRDefault="00994161" w:rsidP="00342E82">
            <w:pPr>
              <w:spacing w:after="0" w:line="240" w:lineRule="auto"/>
              <w:jc w:val="center"/>
              <w:rPr>
                <w:rFonts w:ascii="Arial Narrow" w:hAnsi="Arial Narrow"/>
                <w:b/>
                <w:bCs/>
                <w:sz w:val="18"/>
                <w:szCs w:val="18"/>
                <w:lang w:val="en-US" w:eastAsia="en-US"/>
              </w:rPr>
            </w:pPr>
            <w:r w:rsidRPr="00677CC7">
              <w:rPr>
                <w:rFonts w:ascii="Arial Narrow" w:hAnsi="Arial Narrow"/>
                <w:b/>
                <w:bCs/>
                <w:sz w:val="18"/>
                <w:szCs w:val="18"/>
                <w:lang w:val="en-US" w:eastAsia="en-US"/>
              </w:rPr>
              <w:t>2015</w:t>
            </w:r>
          </w:p>
        </w:tc>
        <w:tc>
          <w:tcPr>
            <w:tcW w:w="625" w:type="dxa"/>
            <w:tcBorders>
              <w:top w:val="nil"/>
              <w:left w:val="nil"/>
              <w:bottom w:val="nil"/>
              <w:right w:val="nil"/>
            </w:tcBorders>
            <w:shd w:val="clear" w:color="auto" w:fill="auto"/>
            <w:vAlign w:val="center"/>
            <w:hideMark/>
          </w:tcPr>
          <w:p w14:paraId="3ECF1EAC" w14:textId="77777777" w:rsidR="00994161" w:rsidRPr="00677CC7" w:rsidRDefault="00994161" w:rsidP="00342E82">
            <w:pPr>
              <w:spacing w:after="0" w:line="240" w:lineRule="auto"/>
              <w:jc w:val="center"/>
              <w:rPr>
                <w:rFonts w:ascii="Arial Narrow" w:hAnsi="Arial Narrow"/>
                <w:b/>
                <w:bCs/>
                <w:sz w:val="18"/>
                <w:szCs w:val="18"/>
                <w:lang w:val="en-US" w:eastAsia="en-US"/>
              </w:rPr>
            </w:pPr>
            <w:r w:rsidRPr="00677CC7">
              <w:rPr>
                <w:rFonts w:ascii="Arial Narrow" w:hAnsi="Arial Narrow"/>
                <w:b/>
                <w:bCs/>
                <w:sz w:val="18"/>
                <w:szCs w:val="18"/>
                <w:lang w:val="en-US" w:eastAsia="en-US"/>
              </w:rPr>
              <w:t>2016</w:t>
            </w:r>
          </w:p>
        </w:tc>
        <w:tc>
          <w:tcPr>
            <w:tcW w:w="625" w:type="dxa"/>
            <w:tcBorders>
              <w:top w:val="nil"/>
              <w:left w:val="nil"/>
              <w:bottom w:val="nil"/>
              <w:right w:val="nil"/>
            </w:tcBorders>
            <w:vAlign w:val="center"/>
          </w:tcPr>
          <w:p w14:paraId="7F5CC836" w14:textId="54DF872D" w:rsidR="00994161" w:rsidRPr="00677CC7" w:rsidRDefault="00994161" w:rsidP="00342E82">
            <w:pPr>
              <w:spacing w:after="0" w:line="240" w:lineRule="auto"/>
              <w:jc w:val="center"/>
              <w:rPr>
                <w:rFonts w:ascii="Arial Narrow" w:hAnsi="Arial Narrow"/>
                <w:b/>
                <w:bCs/>
                <w:sz w:val="18"/>
                <w:szCs w:val="18"/>
                <w:lang w:val="en-US" w:eastAsia="en-US"/>
              </w:rPr>
            </w:pPr>
            <w:r>
              <w:rPr>
                <w:rFonts w:ascii="Arial Narrow" w:hAnsi="Arial Narrow"/>
                <w:b/>
                <w:bCs/>
                <w:sz w:val="18"/>
                <w:szCs w:val="18"/>
                <w:lang w:val="en-US" w:eastAsia="en-US"/>
              </w:rPr>
              <w:t>2017</w:t>
            </w:r>
          </w:p>
        </w:tc>
        <w:tc>
          <w:tcPr>
            <w:tcW w:w="625" w:type="dxa"/>
            <w:tcBorders>
              <w:top w:val="nil"/>
              <w:left w:val="nil"/>
              <w:bottom w:val="nil"/>
              <w:right w:val="nil"/>
            </w:tcBorders>
            <w:shd w:val="clear" w:color="auto" w:fill="auto"/>
            <w:vAlign w:val="center"/>
            <w:hideMark/>
          </w:tcPr>
          <w:p w14:paraId="2AD87E4F" w14:textId="4B11A7BD" w:rsidR="00994161" w:rsidRPr="00677CC7" w:rsidRDefault="00994161" w:rsidP="00342E82">
            <w:pPr>
              <w:spacing w:after="0" w:line="240" w:lineRule="auto"/>
              <w:jc w:val="center"/>
              <w:rPr>
                <w:rFonts w:ascii="Arial Narrow" w:hAnsi="Arial Narrow"/>
                <w:b/>
                <w:bCs/>
                <w:sz w:val="18"/>
                <w:szCs w:val="18"/>
                <w:lang w:val="en-US" w:eastAsia="en-US"/>
              </w:rPr>
            </w:pPr>
            <w:proofErr w:type="spellStart"/>
            <w:r w:rsidRPr="00677CC7">
              <w:rPr>
                <w:rFonts w:ascii="Arial Narrow" w:hAnsi="Arial Narrow"/>
                <w:b/>
                <w:bCs/>
                <w:sz w:val="18"/>
                <w:szCs w:val="18"/>
                <w:lang w:val="en-US" w:eastAsia="en-US"/>
              </w:rPr>
              <w:t>Cieľ</w:t>
            </w:r>
            <w:proofErr w:type="spellEnd"/>
            <w:r w:rsidRPr="00677CC7">
              <w:rPr>
                <w:rFonts w:ascii="Arial Narrow" w:hAnsi="Arial Narrow"/>
                <w:b/>
                <w:bCs/>
                <w:sz w:val="18"/>
                <w:szCs w:val="18"/>
                <w:lang w:val="en-US" w:eastAsia="en-US"/>
              </w:rPr>
              <w:t xml:space="preserve"> 2020</w:t>
            </w:r>
          </w:p>
        </w:tc>
      </w:tr>
      <w:tr w:rsidR="00994161" w:rsidRPr="00677CC7" w14:paraId="0EDC2D87" w14:textId="77777777" w:rsidTr="00994161">
        <w:trPr>
          <w:trHeight w:val="188"/>
          <w:jc w:val="center"/>
        </w:trPr>
        <w:tc>
          <w:tcPr>
            <w:tcW w:w="625" w:type="dxa"/>
            <w:gridSpan w:val="2"/>
            <w:tcBorders>
              <w:top w:val="single" w:sz="4" w:space="0" w:color="auto"/>
              <w:left w:val="nil"/>
              <w:bottom w:val="single" w:sz="4" w:space="0" w:color="auto"/>
              <w:right w:val="nil"/>
            </w:tcBorders>
            <w:shd w:val="clear" w:color="000000" w:fill="A9D2F1"/>
          </w:tcPr>
          <w:p w14:paraId="4936DED4" w14:textId="77777777" w:rsidR="00994161" w:rsidRPr="00677CC7" w:rsidRDefault="00994161" w:rsidP="00342E82">
            <w:pPr>
              <w:spacing w:after="0" w:line="240" w:lineRule="auto"/>
              <w:rPr>
                <w:rFonts w:ascii="Arial Narrow" w:hAnsi="Arial Narrow"/>
                <w:b/>
                <w:bCs/>
                <w:sz w:val="20"/>
                <w:szCs w:val="20"/>
                <w:lang w:val="en-US" w:eastAsia="en-US"/>
              </w:rPr>
            </w:pPr>
          </w:p>
        </w:tc>
        <w:tc>
          <w:tcPr>
            <w:tcW w:w="10206" w:type="dxa"/>
            <w:gridSpan w:val="15"/>
            <w:tcBorders>
              <w:top w:val="single" w:sz="4" w:space="0" w:color="auto"/>
              <w:left w:val="nil"/>
              <w:bottom w:val="single" w:sz="4" w:space="0" w:color="auto"/>
              <w:right w:val="nil"/>
            </w:tcBorders>
            <w:shd w:val="clear" w:color="000000" w:fill="A9D2F1"/>
            <w:noWrap/>
            <w:vAlign w:val="center"/>
            <w:hideMark/>
          </w:tcPr>
          <w:p w14:paraId="148008BE" w14:textId="2579B58E" w:rsidR="00994161" w:rsidRPr="00677CC7" w:rsidRDefault="00994161" w:rsidP="00342E82">
            <w:pPr>
              <w:spacing w:after="0" w:line="240" w:lineRule="auto"/>
              <w:rPr>
                <w:rFonts w:ascii="Arial Narrow" w:hAnsi="Arial Narrow"/>
                <w:b/>
                <w:bCs/>
                <w:sz w:val="20"/>
                <w:szCs w:val="20"/>
                <w:lang w:val="en-US" w:eastAsia="en-US"/>
              </w:rPr>
            </w:pPr>
            <w:proofErr w:type="spellStart"/>
            <w:r w:rsidRPr="00677CC7">
              <w:rPr>
                <w:rFonts w:ascii="Arial Narrow" w:hAnsi="Arial Narrow"/>
                <w:b/>
                <w:bCs/>
                <w:sz w:val="20"/>
                <w:szCs w:val="20"/>
                <w:lang w:val="en-US" w:eastAsia="en-US"/>
              </w:rPr>
              <w:t>Fiškálna</w:t>
            </w:r>
            <w:proofErr w:type="spellEnd"/>
            <w:r w:rsidRPr="00677CC7">
              <w:rPr>
                <w:rFonts w:ascii="Arial Narrow" w:hAnsi="Arial Narrow"/>
                <w:b/>
                <w:bCs/>
                <w:sz w:val="20"/>
                <w:szCs w:val="20"/>
                <w:lang w:val="en-US" w:eastAsia="en-US"/>
              </w:rPr>
              <w:t xml:space="preserve"> </w:t>
            </w:r>
            <w:proofErr w:type="spellStart"/>
            <w:r w:rsidRPr="00677CC7">
              <w:rPr>
                <w:rFonts w:ascii="Arial Narrow" w:hAnsi="Arial Narrow"/>
                <w:b/>
                <w:bCs/>
                <w:sz w:val="20"/>
                <w:szCs w:val="20"/>
                <w:lang w:val="en-US" w:eastAsia="en-US"/>
              </w:rPr>
              <w:t>politika</w:t>
            </w:r>
            <w:proofErr w:type="spellEnd"/>
            <w:r w:rsidRPr="00677CC7">
              <w:rPr>
                <w:rFonts w:ascii="Arial Narrow" w:hAnsi="Arial Narrow"/>
                <w:b/>
                <w:bCs/>
                <w:sz w:val="20"/>
                <w:szCs w:val="20"/>
                <w:lang w:val="en-US" w:eastAsia="en-US"/>
              </w:rPr>
              <w:t xml:space="preserve"> a </w:t>
            </w:r>
            <w:proofErr w:type="spellStart"/>
            <w:r w:rsidRPr="00677CC7">
              <w:rPr>
                <w:rFonts w:ascii="Arial Narrow" w:hAnsi="Arial Narrow"/>
                <w:b/>
                <w:bCs/>
                <w:sz w:val="20"/>
                <w:szCs w:val="20"/>
                <w:lang w:val="en-US" w:eastAsia="en-US"/>
              </w:rPr>
              <w:t>verejné</w:t>
            </w:r>
            <w:proofErr w:type="spellEnd"/>
            <w:r w:rsidRPr="00677CC7">
              <w:rPr>
                <w:rFonts w:ascii="Arial Narrow" w:hAnsi="Arial Narrow"/>
                <w:b/>
                <w:bCs/>
                <w:sz w:val="20"/>
                <w:szCs w:val="20"/>
                <w:lang w:val="en-US" w:eastAsia="en-US"/>
              </w:rPr>
              <w:t xml:space="preserve"> </w:t>
            </w:r>
            <w:proofErr w:type="spellStart"/>
            <w:r w:rsidRPr="00677CC7">
              <w:rPr>
                <w:rFonts w:ascii="Arial Narrow" w:hAnsi="Arial Narrow"/>
                <w:b/>
                <w:bCs/>
                <w:sz w:val="20"/>
                <w:szCs w:val="20"/>
                <w:lang w:val="en-US" w:eastAsia="en-US"/>
              </w:rPr>
              <w:t>financie</w:t>
            </w:r>
            <w:proofErr w:type="spellEnd"/>
          </w:p>
        </w:tc>
      </w:tr>
      <w:tr w:rsidR="00C62636" w:rsidRPr="00677CC7" w14:paraId="5D463A1E" w14:textId="77777777" w:rsidTr="00E336C7">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2FCB58FA" w14:textId="77777777" w:rsidR="00C62636" w:rsidRPr="00677CC7" w:rsidRDefault="00C62636" w:rsidP="00C62636">
            <w:pPr>
              <w:spacing w:after="0" w:line="240" w:lineRule="auto"/>
              <w:rPr>
                <w:rFonts w:ascii="Arial Narrow" w:hAnsi="Arial Narrow"/>
                <w:b/>
                <w:bCs/>
                <w:sz w:val="20"/>
                <w:szCs w:val="20"/>
                <w:lang w:val="en-US" w:eastAsia="en-US"/>
              </w:rPr>
            </w:pPr>
          </w:p>
        </w:tc>
        <w:tc>
          <w:tcPr>
            <w:tcW w:w="425" w:type="dxa"/>
            <w:gridSpan w:val="2"/>
            <w:vMerge w:val="restart"/>
            <w:tcBorders>
              <w:top w:val="nil"/>
              <w:left w:val="nil"/>
              <w:bottom w:val="single" w:sz="4" w:space="0" w:color="000000"/>
              <w:right w:val="nil"/>
            </w:tcBorders>
            <w:shd w:val="clear" w:color="auto" w:fill="auto"/>
            <w:vAlign w:val="center"/>
            <w:hideMark/>
          </w:tcPr>
          <w:p w14:paraId="27214CDB"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1</w:t>
            </w:r>
          </w:p>
        </w:tc>
        <w:tc>
          <w:tcPr>
            <w:tcW w:w="2221" w:type="dxa"/>
            <w:tcBorders>
              <w:top w:val="nil"/>
              <w:left w:val="nil"/>
              <w:bottom w:val="nil"/>
              <w:right w:val="nil"/>
            </w:tcBorders>
            <w:shd w:val="clear" w:color="auto" w:fill="auto"/>
            <w:noWrap/>
            <w:vAlign w:val="center"/>
            <w:hideMark/>
          </w:tcPr>
          <w:p w14:paraId="438E45D3" w14:textId="77777777" w:rsidR="00C62636" w:rsidRPr="00677CC7" w:rsidRDefault="00C62636" w:rsidP="00C62636">
            <w:pPr>
              <w:spacing w:after="0" w:line="240" w:lineRule="auto"/>
              <w:rPr>
                <w:rFonts w:ascii="Arial Narrow" w:hAnsi="Arial Narrow"/>
                <w:b/>
                <w:bCs/>
                <w:color w:val="000000"/>
                <w:sz w:val="20"/>
                <w:szCs w:val="20"/>
                <w:lang w:val="en-US" w:eastAsia="en-US"/>
              </w:rPr>
            </w:pPr>
            <w:proofErr w:type="spellStart"/>
            <w:r w:rsidRPr="00677CC7">
              <w:rPr>
                <w:rFonts w:ascii="Arial Narrow" w:hAnsi="Arial Narrow"/>
                <w:b/>
                <w:bCs/>
                <w:color w:val="000000"/>
                <w:sz w:val="20"/>
                <w:szCs w:val="20"/>
                <w:lang w:val="en-US" w:eastAsia="en-US"/>
              </w:rPr>
              <w:t>Ukazovateľ</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dlhodobej</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udržateľnosti</w:t>
            </w:r>
            <w:proofErr w:type="spellEnd"/>
            <w:r w:rsidRPr="00677CC7">
              <w:rPr>
                <w:rFonts w:ascii="Arial Narrow" w:hAnsi="Arial Narrow"/>
                <w:b/>
                <w:bCs/>
                <w:color w:val="000000"/>
                <w:sz w:val="20"/>
                <w:szCs w:val="20"/>
                <w:lang w:val="en-US" w:eastAsia="en-US"/>
              </w:rPr>
              <w:t xml:space="preserve"> (GAP)</w:t>
            </w:r>
          </w:p>
        </w:tc>
        <w:tc>
          <w:tcPr>
            <w:tcW w:w="756" w:type="dxa"/>
            <w:tcBorders>
              <w:top w:val="nil"/>
              <w:left w:val="nil"/>
              <w:bottom w:val="nil"/>
              <w:right w:val="nil"/>
            </w:tcBorders>
            <w:shd w:val="clear" w:color="auto" w:fill="auto"/>
            <w:vAlign w:val="center"/>
            <w:hideMark/>
          </w:tcPr>
          <w:p w14:paraId="44198871"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vAlign w:val="center"/>
            <w:hideMark/>
          </w:tcPr>
          <w:p w14:paraId="22943A42" w14:textId="70A5E37E" w:rsidR="00C62636" w:rsidRPr="00677CC7" w:rsidRDefault="00C62636" w:rsidP="00C62636">
            <w:pPr>
              <w:spacing w:after="0" w:line="240" w:lineRule="auto"/>
              <w:jc w:val="center"/>
              <w:rPr>
                <w:rFonts w:ascii="Arial Narrow" w:hAnsi="Arial Narrow"/>
                <w:color w:val="000000"/>
                <w:sz w:val="20"/>
                <w:szCs w:val="20"/>
                <w:lang w:val="en-US" w:eastAsia="en-US"/>
              </w:rPr>
            </w:pPr>
            <w:r w:rsidRPr="006D3CB1">
              <w:rPr>
                <w:rFonts w:ascii="Arial Narrow" w:hAnsi="Arial Narrow"/>
                <w:color w:val="000000"/>
                <w:sz w:val="20"/>
                <w:szCs w:val="20"/>
              </w:rPr>
              <w:t>-</w:t>
            </w:r>
          </w:p>
        </w:tc>
        <w:tc>
          <w:tcPr>
            <w:tcW w:w="625" w:type="dxa"/>
            <w:tcBorders>
              <w:top w:val="nil"/>
              <w:left w:val="nil"/>
              <w:bottom w:val="nil"/>
              <w:right w:val="nil"/>
            </w:tcBorders>
            <w:shd w:val="clear" w:color="auto" w:fill="auto"/>
            <w:vAlign w:val="center"/>
            <w:hideMark/>
          </w:tcPr>
          <w:p w14:paraId="2B8BBC56" w14:textId="7787D1A3" w:rsidR="00C62636" w:rsidRPr="00677CC7" w:rsidRDefault="00C62636" w:rsidP="00C62636">
            <w:pPr>
              <w:spacing w:after="0" w:line="240" w:lineRule="auto"/>
              <w:jc w:val="center"/>
              <w:rPr>
                <w:rFonts w:ascii="Arial Narrow" w:hAnsi="Arial Narrow"/>
                <w:color w:val="000000"/>
                <w:sz w:val="20"/>
                <w:szCs w:val="20"/>
                <w:lang w:val="en-US" w:eastAsia="en-US"/>
              </w:rPr>
            </w:pPr>
            <w:r w:rsidRPr="006D3CB1">
              <w:rPr>
                <w:rFonts w:ascii="Arial Narrow" w:hAnsi="Arial Narrow"/>
                <w:color w:val="000000"/>
                <w:sz w:val="20"/>
                <w:szCs w:val="20"/>
              </w:rPr>
              <w:t>9,5</w:t>
            </w:r>
          </w:p>
        </w:tc>
        <w:tc>
          <w:tcPr>
            <w:tcW w:w="625" w:type="dxa"/>
            <w:tcBorders>
              <w:top w:val="nil"/>
              <w:left w:val="nil"/>
              <w:bottom w:val="nil"/>
              <w:right w:val="nil"/>
            </w:tcBorders>
            <w:shd w:val="clear" w:color="auto" w:fill="auto"/>
            <w:vAlign w:val="center"/>
            <w:hideMark/>
          </w:tcPr>
          <w:p w14:paraId="2AC4F839" w14:textId="101657C3" w:rsidR="00C62636" w:rsidRPr="00677CC7" w:rsidRDefault="00C62636" w:rsidP="00C62636">
            <w:pPr>
              <w:spacing w:after="0" w:line="240" w:lineRule="auto"/>
              <w:jc w:val="center"/>
              <w:rPr>
                <w:rFonts w:ascii="Arial Narrow" w:hAnsi="Arial Narrow"/>
                <w:color w:val="000000"/>
                <w:sz w:val="20"/>
                <w:szCs w:val="20"/>
                <w:lang w:val="en-US" w:eastAsia="en-US"/>
              </w:rPr>
            </w:pPr>
            <w:r w:rsidRPr="006D3CB1">
              <w:rPr>
                <w:rFonts w:ascii="Arial Narrow" w:hAnsi="Arial Narrow"/>
                <w:color w:val="000000"/>
                <w:sz w:val="20"/>
                <w:szCs w:val="20"/>
              </w:rPr>
              <w:t>9,2</w:t>
            </w:r>
          </w:p>
        </w:tc>
        <w:tc>
          <w:tcPr>
            <w:tcW w:w="625" w:type="dxa"/>
            <w:tcBorders>
              <w:top w:val="nil"/>
              <w:left w:val="nil"/>
              <w:bottom w:val="nil"/>
              <w:right w:val="nil"/>
            </w:tcBorders>
            <w:shd w:val="clear" w:color="auto" w:fill="auto"/>
            <w:vAlign w:val="center"/>
            <w:hideMark/>
          </w:tcPr>
          <w:p w14:paraId="61737966" w14:textId="3BD617F3" w:rsidR="00C62636" w:rsidRPr="00677CC7" w:rsidRDefault="00C62636" w:rsidP="00C62636">
            <w:pPr>
              <w:spacing w:after="0" w:line="240" w:lineRule="auto"/>
              <w:jc w:val="center"/>
              <w:rPr>
                <w:rFonts w:ascii="Arial Narrow" w:hAnsi="Arial Narrow"/>
                <w:color w:val="000000"/>
                <w:sz w:val="20"/>
                <w:szCs w:val="20"/>
                <w:lang w:val="en-US" w:eastAsia="en-US"/>
              </w:rPr>
            </w:pPr>
            <w:r w:rsidRPr="006D3CB1">
              <w:rPr>
                <w:rFonts w:ascii="Arial Narrow" w:hAnsi="Arial Narrow"/>
                <w:color w:val="000000"/>
                <w:sz w:val="20"/>
                <w:szCs w:val="20"/>
              </w:rPr>
              <w:t>7</w:t>
            </w:r>
          </w:p>
        </w:tc>
        <w:tc>
          <w:tcPr>
            <w:tcW w:w="625" w:type="dxa"/>
            <w:tcBorders>
              <w:top w:val="nil"/>
              <w:left w:val="nil"/>
              <w:bottom w:val="nil"/>
              <w:right w:val="nil"/>
            </w:tcBorders>
            <w:shd w:val="clear" w:color="auto" w:fill="auto"/>
            <w:vAlign w:val="center"/>
            <w:hideMark/>
          </w:tcPr>
          <w:p w14:paraId="26051DF7" w14:textId="0066E4F6" w:rsidR="00C62636" w:rsidRPr="00677CC7" w:rsidRDefault="00C62636" w:rsidP="00C62636">
            <w:pPr>
              <w:spacing w:after="0" w:line="240" w:lineRule="auto"/>
              <w:jc w:val="center"/>
              <w:rPr>
                <w:rFonts w:ascii="Arial Narrow" w:hAnsi="Arial Narrow"/>
                <w:color w:val="000000"/>
                <w:sz w:val="20"/>
                <w:szCs w:val="20"/>
                <w:lang w:val="en-US" w:eastAsia="en-US"/>
              </w:rPr>
            </w:pPr>
            <w:r w:rsidRPr="006D3CB1">
              <w:rPr>
                <w:rFonts w:ascii="Arial Narrow" w:hAnsi="Arial Narrow"/>
                <w:color w:val="000000"/>
                <w:sz w:val="20"/>
                <w:szCs w:val="20"/>
              </w:rPr>
              <w:t>4</w:t>
            </w:r>
          </w:p>
        </w:tc>
        <w:tc>
          <w:tcPr>
            <w:tcW w:w="625" w:type="dxa"/>
            <w:tcBorders>
              <w:top w:val="nil"/>
              <w:left w:val="nil"/>
              <w:bottom w:val="nil"/>
              <w:right w:val="nil"/>
            </w:tcBorders>
            <w:shd w:val="clear" w:color="auto" w:fill="auto"/>
            <w:noWrap/>
            <w:vAlign w:val="center"/>
            <w:hideMark/>
          </w:tcPr>
          <w:p w14:paraId="2D5B5364" w14:textId="39CE2E1A" w:rsidR="00C62636" w:rsidRPr="00677CC7" w:rsidRDefault="00C62636" w:rsidP="00C62636">
            <w:pPr>
              <w:spacing w:after="0" w:line="240" w:lineRule="auto"/>
              <w:jc w:val="center"/>
              <w:rPr>
                <w:rFonts w:ascii="Arial Narrow" w:hAnsi="Arial Narrow"/>
                <w:color w:val="000000"/>
                <w:sz w:val="20"/>
                <w:szCs w:val="20"/>
                <w:lang w:val="en-US" w:eastAsia="en-US"/>
              </w:rPr>
            </w:pPr>
            <w:r w:rsidRPr="006D3CB1">
              <w:rPr>
                <w:rFonts w:ascii="Arial Narrow" w:hAnsi="Arial Narrow"/>
                <w:color w:val="000000"/>
                <w:sz w:val="20"/>
                <w:szCs w:val="20"/>
              </w:rPr>
              <w:t>1,9</w:t>
            </w:r>
          </w:p>
        </w:tc>
        <w:tc>
          <w:tcPr>
            <w:tcW w:w="625" w:type="dxa"/>
            <w:tcBorders>
              <w:top w:val="nil"/>
              <w:left w:val="nil"/>
              <w:bottom w:val="nil"/>
              <w:right w:val="nil"/>
            </w:tcBorders>
            <w:shd w:val="clear" w:color="auto" w:fill="auto"/>
            <w:noWrap/>
            <w:vAlign w:val="center"/>
            <w:hideMark/>
          </w:tcPr>
          <w:p w14:paraId="239AE1D2" w14:textId="5745316E" w:rsidR="00C62636" w:rsidRPr="00677CC7" w:rsidRDefault="00C62636" w:rsidP="00C62636">
            <w:pPr>
              <w:spacing w:after="0" w:line="240" w:lineRule="auto"/>
              <w:jc w:val="center"/>
              <w:rPr>
                <w:rFonts w:ascii="Arial Narrow" w:hAnsi="Arial Narrow"/>
                <w:color w:val="000000"/>
                <w:sz w:val="20"/>
                <w:szCs w:val="20"/>
                <w:lang w:val="en-US" w:eastAsia="en-US"/>
              </w:rPr>
            </w:pPr>
            <w:r w:rsidRPr="006D3CB1">
              <w:rPr>
                <w:rFonts w:ascii="Arial Narrow" w:hAnsi="Arial Narrow"/>
                <w:color w:val="000000"/>
                <w:sz w:val="20"/>
                <w:szCs w:val="20"/>
              </w:rPr>
              <w:t xml:space="preserve"> 1,4 </w:t>
            </w:r>
          </w:p>
        </w:tc>
        <w:tc>
          <w:tcPr>
            <w:tcW w:w="625" w:type="dxa"/>
            <w:tcBorders>
              <w:top w:val="nil"/>
              <w:left w:val="nil"/>
              <w:bottom w:val="nil"/>
              <w:right w:val="nil"/>
            </w:tcBorders>
            <w:shd w:val="clear" w:color="auto" w:fill="auto"/>
            <w:vAlign w:val="center"/>
            <w:hideMark/>
          </w:tcPr>
          <w:p w14:paraId="07D5FB80" w14:textId="7CD47765" w:rsidR="00C62636" w:rsidRPr="00677CC7" w:rsidRDefault="00C62636" w:rsidP="00C62636">
            <w:pPr>
              <w:spacing w:after="0" w:line="240" w:lineRule="auto"/>
              <w:jc w:val="center"/>
              <w:rPr>
                <w:rFonts w:ascii="Arial Narrow" w:hAnsi="Arial Narrow"/>
                <w:color w:val="000000"/>
                <w:sz w:val="20"/>
                <w:szCs w:val="20"/>
                <w:lang w:val="en-US" w:eastAsia="en-US"/>
              </w:rPr>
            </w:pPr>
            <w:r w:rsidRPr="006D3CB1">
              <w:rPr>
                <w:rFonts w:ascii="Arial Narrow" w:hAnsi="Arial Narrow"/>
                <w:color w:val="000000"/>
                <w:sz w:val="20"/>
                <w:szCs w:val="20"/>
              </w:rPr>
              <w:t>0,4</w:t>
            </w:r>
          </w:p>
        </w:tc>
        <w:tc>
          <w:tcPr>
            <w:tcW w:w="625" w:type="dxa"/>
            <w:tcBorders>
              <w:top w:val="nil"/>
              <w:left w:val="nil"/>
              <w:bottom w:val="nil"/>
              <w:right w:val="nil"/>
            </w:tcBorders>
            <w:shd w:val="clear" w:color="auto" w:fill="auto"/>
            <w:noWrap/>
            <w:vAlign w:val="center"/>
          </w:tcPr>
          <w:p w14:paraId="371E188B" w14:textId="7DF556FF" w:rsidR="00C62636" w:rsidRPr="00677CC7" w:rsidRDefault="00C62636" w:rsidP="00C62636">
            <w:pPr>
              <w:spacing w:after="0" w:line="240" w:lineRule="auto"/>
              <w:jc w:val="center"/>
              <w:rPr>
                <w:rFonts w:ascii="Arial Narrow" w:hAnsi="Arial Narrow"/>
                <w:color w:val="000000"/>
                <w:sz w:val="20"/>
                <w:szCs w:val="20"/>
                <w:lang w:val="en-US" w:eastAsia="en-US"/>
              </w:rPr>
            </w:pPr>
            <w:r w:rsidRPr="006D3CB1">
              <w:rPr>
                <w:rFonts w:ascii="Arial Narrow" w:hAnsi="Arial Narrow"/>
                <w:color w:val="000000"/>
                <w:sz w:val="20"/>
                <w:szCs w:val="20"/>
              </w:rPr>
              <w:t>-0,1</w:t>
            </w:r>
          </w:p>
        </w:tc>
        <w:tc>
          <w:tcPr>
            <w:tcW w:w="625" w:type="dxa"/>
            <w:tcBorders>
              <w:top w:val="nil"/>
              <w:left w:val="nil"/>
              <w:bottom w:val="nil"/>
              <w:right w:val="nil"/>
            </w:tcBorders>
            <w:shd w:val="clear" w:color="auto" w:fill="auto"/>
            <w:vAlign w:val="center"/>
          </w:tcPr>
          <w:p w14:paraId="3A35F2B4" w14:textId="481777D6" w:rsidR="00C62636" w:rsidRPr="00677CC7" w:rsidRDefault="00C62636" w:rsidP="00C62636">
            <w:pPr>
              <w:spacing w:after="0" w:line="240" w:lineRule="auto"/>
              <w:jc w:val="center"/>
              <w:rPr>
                <w:rFonts w:ascii="Arial Narrow" w:hAnsi="Arial Narrow"/>
                <w:color w:val="000000"/>
                <w:sz w:val="20"/>
                <w:szCs w:val="20"/>
                <w:lang w:val="en-US" w:eastAsia="en-US"/>
              </w:rPr>
            </w:pPr>
            <w:r w:rsidRPr="006D3CB1">
              <w:rPr>
                <w:rFonts w:ascii="Arial Narrow" w:hAnsi="Arial Narrow"/>
                <w:color w:val="000000"/>
                <w:sz w:val="20"/>
                <w:szCs w:val="20"/>
              </w:rPr>
              <w:t>0</w:t>
            </w:r>
          </w:p>
        </w:tc>
        <w:tc>
          <w:tcPr>
            <w:tcW w:w="625" w:type="dxa"/>
            <w:tcBorders>
              <w:top w:val="nil"/>
              <w:left w:val="nil"/>
              <w:bottom w:val="nil"/>
              <w:right w:val="nil"/>
            </w:tcBorders>
            <w:shd w:val="clear" w:color="auto" w:fill="auto"/>
            <w:vAlign w:val="center"/>
            <w:hideMark/>
          </w:tcPr>
          <w:p w14:paraId="18A06B6F" w14:textId="590F477A"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0</w:t>
            </w:r>
          </w:p>
        </w:tc>
      </w:tr>
      <w:tr w:rsidR="00C62636" w:rsidRPr="00677CC7" w14:paraId="227B2FED" w14:textId="77777777" w:rsidTr="00E336C7">
        <w:trPr>
          <w:gridAfter w:val="1"/>
          <w:wAfter w:w="10" w:type="dxa"/>
          <w:trHeight w:val="188"/>
          <w:jc w:val="center"/>
        </w:trPr>
        <w:tc>
          <w:tcPr>
            <w:tcW w:w="426" w:type="dxa"/>
            <w:tcBorders>
              <w:top w:val="nil"/>
              <w:left w:val="nil"/>
              <w:bottom w:val="single" w:sz="4" w:space="0" w:color="auto"/>
              <w:right w:val="nil"/>
            </w:tcBorders>
            <w:shd w:val="clear" w:color="auto" w:fill="auto"/>
            <w:textDirection w:val="btLr"/>
            <w:vAlign w:val="center"/>
            <w:hideMark/>
          </w:tcPr>
          <w:p w14:paraId="6A3084F6"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 </w:t>
            </w:r>
          </w:p>
        </w:tc>
        <w:tc>
          <w:tcPr>
            <w:tcW w:w="425" w:type="dxa"/>
            <w:gridSpan w:val="2"/>
            <w:vMerge/>
            <w:tcBorders>
              <w:top w:val="nil"/>
              <w:left w:val="nil"/>
              <w:bottom w:val="single" w:sz="4" w:space="0" w:color="000000"/>
              <w:right w:val="nil"/>
            </w:tcBorders>
            <w:vAlign w:val="center"/>
            <w:hideMark/>
          </w:tcPr>
          <w:p w14:paraId="6269B911"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0CEDAA01" w14:textId="77777777" w:rsidR="00C62636" w:rsidRPr="00677CC7" w:rsidRDefault="00C62636" w:rsidP="00C62636">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HDP)</w:t>
            </w:r>
          </w:p>
        </w:tc>
        <w:tc>
          <w:tcPr>
            <w:tcW w:w="756" w:type="dxa"/>
            <w:tcBorders>
              <w:top w:val="nil"/>
              <w:left w:val="nil"/>
              <w:bottom w:val="single" w:sz="4" w:space="0" w:color="auto"/>
              <w:right w:val="nil"/>
            </w:tcBorders>
            <w:shd w:val="clear" w:color="auto" w:fill="auto"/>
            <w:vAlign w:val="center"/>
            <w:hideMark/>
          </w:tcPr>
          <w:p w14:paraId="149FA043"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shd w:val="clear" w:color="auto" w:fill="auto"/>
            <w:vAlign w:val="center"/>
            <w:hideMark/>
          </w:tcPr>
          <w:p w14:paraId="4AD3F126" w14:textId="5BEE702E" w:rsidR="00C62636" w:rsidRPr="00677CC7" w:rsidRDefault="00C62636" w:rsidP="00C62636">
            <w:pPr>
              <w:spacing w:after="0" w:line="240" w:lineRule="auto"/>
              <w:jc w:val="center"/>
              <w:rPr>
                <w:rFonts w:ascii="Arial Narrow" w:hAnsi="Arial Narrow"/>
                <w:color w:val="000000"/>
                <w:sz w:val="20"/>
                <w:szCs w:val="20"/>
                <w:lang w:val="en-US" w:eastAsia="en-US"/>
              </w:rPr>
            </w:pPr>
            <w:r w:rsidRPr="006D3CB1">
              <w:rPr>
                <w:rFonts w:ascii="Arial Narrow" w:hAnsi="Arial Narrow"/>
                <w:color w:val="000000"/>
                <w:sz w:val="20"/>
                <w:szCs w:val="20"/>
              </w:rPr>
              <w:t>-</w:t>
            </w:r>
          </w:p>
        </w:tc>
        <w:tc>
          <w:tcPr>
            <w:tcW w:w="625" w:type="dxa"/>
            <w:tcBorders>
              <w:top w:val="nil"/>
              <w:left w:val="nil"/>
              <w:bottom w:val="single" w:sz="4" w:space="0" w:color="auto"/>
              <w:right w:val="nil"/>
            </w:tcBorders>
            <w:shd w:val="clear" w:color="auto" w:fill="auto"/>
            <w:vAlign w:val="center"/>
            <w:hideMark/>
          </w:tcPr>
          <w:p w14:paraId="3FD70B3B" w14:textId="264B2A31" w:rsidR="00C62636" w:rsidRPr="00677CC7" w:rsidRDefault="00C62636" w:rsidP="00C62636">
            <w:pPr>
              <w:spacing w:after="0" w:line="240" w:lineRule="auto"/>
              <w:jc w:val="center"/>
              <w:rPr>
                <w:rFonts w:ascii="Arial Narrow" w:hAnsi="Arial Narrow"/>
                <w:color w:val="000000"/>
                <w:sz w:val="20"/>
                <w:szCs w:val="20"/>
                <w:lang w:val="en-US" w:eastAsia="en-US"/>
              </w:rPr>
            </w:pPr>
            <w:r w:rsidRPr="006D3CB1">
              <w:rPr>
                <w:rFonts w:ascii="Arial Narrow" w:hAnsi="Arial Narrow"/>
                <w:color w:val="000000"/>
                <w:sz w:val="20"/>
                <w:szCs w:val="20"/>
              </w:rPr>
              <w:t>-</w:t>
            </w:r>
          </w:p>
        </w:tc>
        <w:tc>
          <w:tcPr>
            <w:tcW w:w="625" w:type="dxa"/>
            <w:tcBorders>
              <w:top w:val="nil"/>
              <w:left w:val="nil"/>
              <w:bottom w:val="single" w:sz="4" w:space="0" w:color="auto"/>
              <w:right w:val="nil"/>
            </w:tcBorders>
            <w:shd w:val="clear" w:color="auto" w:fill="auto"/>
            <w:vAlign w:val="center"/>
            <w:hideMark/>
          </w:tcPr>
          <w:p w14:paraId="37D6BAC3" w14:textId="50636A53" w:rsidR="00C62636" w:rsidRPr="00677CC7" w:rsidRDefault="00C62636" w:rsidP="00C62636">
            <w:pPr>
              <w:spacing w:after="0" w:line="240" w:lineRule="auto"/>
              <w:jc w:val="center"/>
              <w:rPr>
                <w:rFonts w:ascii="Arial Narrow" w:hAnsi="Arial Narrow"/>
                <w:color w:val="000000"/>
                <w:sz w:val="20"/>
                <w:szCs w:val="20"/>
                <w:lang w:val="en-US" w:eastAsia="en-US"/>
              </w:rPr>
            </w:pPr>
            <w:r w:rsidRPr="006D3CB1">
              <w:rPr>
                <w:rFonts w:ascii="Arial Narrow" w:hAnsi="Arial Narrow"/>
                <w:color w:val="000000"/>
                <w:sz w:val="20"/>
                <w:szCs w:val="20"/>
              </w:rPr>
              <w:t>-</w:t>
            </w:r>
          </w:p>
        </w:tc>
        <w:tc>
          <w:tcPr>
            <w:tcW w:w="625" w:type="dxa"/>
            <w:tcBorders>
              <w:top w:val="nil"/>
              <w:left w:val="nil"/>
              <w:bottom w:val="single" w:sz="4" w:space="0" w:color="auto"/>
              <w:right w:val="nil"/>
            </w:tcBorders>
            <w:shd w:val="clear" w:color="auto" w:fill="auto"/>
            <w:vAlign w:val="center"/>
            <w:hideMark/>
          </w:tcPr>
          <w:p w14:paraId="43C7ACFF" w14:textId="50B33C7A" w:rsidR="00C62636" w:rsidRPr="00677CC7" w:rsidRDefault="00C62636" w:rsidP="00C62636">
            <w:pPr>
              <w:spacing w:after="0" w:line="240" w:lineRule="auto"/>
              <w:jc w:val="center"/>
              <w:rPr>
                <w:rFonts w:ascii="Arial Narrow" w:hAnsi="Arial Narrow"/>
                <w:color w:val="000000"/>
                <w:sz w:val="20"/>
                <w:szCs w:val="20"/>
                <w:lang w:val="en-US" w:eastAsia="en-US"/>
              </w:rPr>
            </w:pPr>
            <w:r w:rsidRPr="006D3CB1">
              <w:rPr>
                <w:rFonts w:ascii="Arial Narrow" w:hAnsi="Arial Narrow"/>
                <w:color w:val="000000"/>
                <w:sz w:val="20"/>
                <w:szCs w:val="20"/>
              </w:rPr>
              <w:t xml:space="preserve"> - </w:t>
            </w:r>
          </w:p>
        </w:tc>
        <w:tc>
          <w:tcPr>
            <w:tcW w:w="625" w:type="dxa"/>
            <w:tcBorders>
              <w:top w:val="nil"/>
              <w:left w:val="nil"/>
              <w:bottom w:val="single" w:sz="4" w:space="0" w:color="auto"/>
              <w:right w:val="nil"/>
            </w:tcBorders>
            <w:shd w:val="clear" w:color="auto" w:fill="auto"/>
            <w:vAlign w:val="center"/>
            <w:hideMark/>
          </w:tcPr>
          <w:p w14:paraId="5E448A87" w14:textId="06B400BF" w:rsidR="00C62636" w:rsidRPr="00677CC7" w:rsidRDefault="00C62636" w:rsidP="00C62636">
            <w:pPr>
              <w:spacing w:after="0" w:line="240" w:lineRule="auto"/>
              <w:jc w:val="center"/>
              <w:rPr>
                <w:rFonts w:ascii="Arial Narrow" w:hAnsi="Arial Narrow"/>
                <w:color w:val="000000"/>
                <w:sz w:val="20"/>
                <w:szCs w:val="20"/>
                <w:lang w:val="en-US" w:eastAsia="en-US"/>
              </w:rPr>
            </w:pPr>
            <w:r w:rsidRPr="006D3CB1">
              <w:rPr>
                <w:rFonts w:ascii="Arial Narrow" w:hAnsi="Arial Narrow"/>
                <w:color w:val="000000"/>
                <w:sz w:val="20"/>
                <w:szCs w:val="20"/>
              </w:rPr>
              <w:t xml:space="preserve"> - </w:t>
            </w:r>
          </w:p>
        </w:tc>
        <w:tc>
          <w:tcPr>
            <w:tcW w:w="625" w:type="dxa"/>
            <w:tcBorders>
              <w:top w:val="nil"/>
              <w:left w:val="nil"/>
              <w:bottom w:val="single" w:sz="4" w:space="0" w:color="auto"/>
              <w:right w:val="nil"/>
            </w:tcBorders>
            <w:shd w:val="clear" w:color="auto" w:fill="auto"/>
            <w:vAlign w:val="center"/>
            <w:hideMark/>
          </w:tcPr>
          <w:p w14:paraId="0683395C" w14:textId="413B0AC5" w:rsidR="00C62636" w:rsidRPr="00677CC7" w:rsidRDefault="00C62636" w:rsidP="00C62636">
            <w:pPr>
              <w:spacing w:after="0" w:line="240" w:lineRule="auto"/>
              <w:jc w:val="center"/>
              <w:rPr>
                <w:rFonts w:ascii="Arial Narrow" w:hAnsi="Arial Narrow"/>
                <w:color w:val="000000"/>
                <w:sz w:val="20"/>
                <w:szCs w:val="20"/>
                <w:lang w:val="en-US" w:eastAsia="en-US"/>
              </w:rPr>
            </w:pPr>
            <w:r w:rsidRPr="006D3CB1">
              <w:rPr>
                <w:rFonts w:ascii="Arial Narrow" w:hAnsi="Arial Narrow"/>
                <w:color w:val="000000"/>
                <w:sz w:val="20"/>
                <w:szCs w:val="20"/>
              </w:rPr>
              <w:t xml:space="preserve"> - </w:t>
            </w:r>
          </w:p>
        </w:tc>
        <w:tc>
          <w:tcPr>
            <w:tcW w:w="625" w:type="dxa"/>
            <w:tcBorders>
              <w:top w:val="nil"/>
              <w:left w:val="nil"/>
              <w:bottom w:val="single" w:sz="4" w:space="0" w:color="auto"/>
              <w:right w:val="nil"/>
            </w:tcBorders>
            <w:shd w:val="clear" w:color="auto" w:fill="auto"/>
            <w:vAlign w:val="center"/>
            <w:hideMark/>
          </w:tcPr>
          <w:p w14:paraId="733C2981" w14:textId="0712C790" w:rsidR="00C62636" w:rsidRPr="00677CC7" w:rsidRDefault="00C62636" w:rsidP="00C62636">
            <w:pPr>
              <w:spacing w:after="0" w:line="240" w:lineRule="auto"/>
              <w:jc w:val="center"/>
              <w:rPr>
                <w:rFonts w:ascii="Arial Narrow" w:hAnsi="Arial Narrow"/>
                <w:color w:val="000000"/>
                <w:sz w:val="20"/>
                <w:szCs w:val="20"/>
                <w:lang w:val="en-US" w:eastAsia="en-US"/>
              </w:rPr>
            </w:pPr>
            <w:r w:rsidRPr="006D3CB1">
              <w:rPr>
                <w:rFonts w:ascii="Arial Narrow" w:hAnsi="Arial Narrow"/>
                <w:color w:val="000000"/>
                <w:sz w:val="20"/>
                <w:szCs w:val="20"/>
              </w:rPr>
              <w:t xml:space="preserve"> - </w:t>
            </w:r>
          </w:p>
        </w:tc>
        <w:tc>
          <w:tcPr>
            <w:tcW w:w="625" w:type="dxa"/>
            <w:tcBorders>
              <w:top w:val="nil"/>
              <w:left w:val="nil"/>
              <w:bottom w:val="single" w:sz="4" w:space="0" w:color="auto"/>
              <w:right w:val="nil"/>
            </w:tcBorders>
            <w:shd w:val="clear" w:color="auto" w:fill="auto"/>
            <w:vAlign w:val="center"/>
            <w:hideMark/>
          </w:tcPr>
          <w:p w14:paraId="661124B6" w14:textId="767E8227" w:rsidR="00C62636" w:rsidRPr="00677CC7" w:rsidRDefault="00C62636" w:rsidP="00C62636">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tcPr>
          <w:p w14:paraId="3ABA34DB" w14:textId="6E53FDC3" w:rsidR="00C62636" w:rsidRPr="00677CC7" w:rsidRDefault="00C62636" w:rsidP="00C62636">
            <w:pPr>
              <w:spacing w:after="0" w:line="240" w:lineRule="auto"/>
              <w:jc w:val="center"/>
              <w:rPr>
                <w:rFonts w:ascii="Arial Narrow" w:hAnsi="Arial Narrow"/>
                <w:color w:val="000000"/>
                <w:sz w:val="20"/>
                <w:szCs w:val="20"/>
                <w:lang w:val="en-US" w:eastAsia="en-US"/>
              </w:rPr>
            </w:pPr>
            <w:r w:rsidRPr="006D3CB1">
              <w:rPr>
                <w:rFonts w:ascii="Arial Narrow" w:hAnsi="Arial Narrow"/>
                <w:color w:val="000000"/>
                <w:sz w:val="20"/>
                <w:szCs w:val="20"/>
              </w:rPr>
              <w:t>-</w:t>
            </w:r>
          </w:p>
        </w:tc>
        <w:tc>
          <w:tcPr>
            <w:tcW w:w="625" w:type="dxa"/>
            <w:tcBorders>
              <w:top w:val="nil"/>
              <w:left w:val="nil"/>
              <w:bottom w:val="single" w:sz="4" w:space="0" w:color="auto"/>
              <w:right w:val="nil"/>
            </w:tcBorders>
            <w:shd w:val="clear" w:color="auto" w:fill="auto"/>
            <w:vAlign w:val="center"/>
          </w:tcPr>
          <w:p w14:paraId="7934A2F9" w14:textId="273B1BC0" w:rsidR="00C62636" w:rsidRPr="00677CC7" w:rsidRDefault="00C62636" w:rsidP="00C62636">
            <w:pPr>
              <w:spacing w:after="0" w:line="240" w:lineRule="auto"/>
              <w:jc w:val="center"/>
              <w:rPr>
                <w:rFonts w:ascii="Arial Narrow" w:hAnsi="Arial Narrow"/>
                <w:color w:val="000000"/>
                <w:sz w:val="20"/>
                <w:szCs w:val="20"/>
                <w:lang w:val="en-US" w:eastAsia="en-US"/>
              </w:rPr>
            </w:pPr>
            <w:r w:rsidRPr="006D3CB1">
              <w:rPr>
                <w:rFonts w:ascii="Arial Narrow" w:hAnsi="Arial Narrow"/>
                <w:color w:val="000000"/>
                <w:sz w:val="20"/>
                <w:szCs w:val="20"/>
              </w:rPr>
              <w:t>-</w:t>
            </w:r>
          </w:p>
        </w:tc>
        <w:tc>
          <w:tcPr>
            <w:tcW w:w="625" w:type="dxa"/>
            <w:tcBorders>
              <w:top w:val="nil"/>
              <w:left w:val="nil"/>
              <w:bottom w:val="single" w:sz="4" w:space="0" w:color="auto"/>
              <w:right w:val="nil"/>
            </w:tcBorders>
            <w:shd w:val="clear" w:color="auto" w:fill="auto"/>
            <w:vAlign w:val="center"/>
            <w:hideMark/>
          </w:tcPr>
          <w:p w14:paraId="148A8E20" w14:textId="42ACC5FF"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r w:rsidR="00C62636" w:rsidRPr="00677CC7" w14:paraId="2EC2E7AD" w14:textId="77777777" w:rsidTr="00E336C7">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6AEA69D1"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p>
        </w:tc>
        <w:tc>
          <w:tcPr>
            <w:tcW w:w="425" w:type="dxa"/>
            <w:gridSpan w:val="2"/>
            <w:vMerge w:val="restart"/>
            <w:tcBorders>
              <w:top w:val="nil"/>
              <w:left w:val="nil"/>
              <w:bottom w:val="single" w:sz="4" w:space="0" w:color="000000"/>
              <w:right w:val="nil"/>
            </w:tcBorders>
            <w:shd w:val="clear" w:color="auto" w:fill="auto"/>
            <w:vAlign w:val="center"/>
            <w:hideMark/>
          </w:tcPr>
          <w:p w14:paraId="3DEA6525"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2</w:t>
            </w:r>
          </w:p>
        </w:tc>
        <w:tc>
          <w:tcPr>
            <w:tcW w:w="2221" w:type="dxa"/>
            <w:tcBorders>
              <w:top w:val="nil"/>
              <w:left w:val="nil"/>
              <w:bottom w:val="nil"/>
              <w:right w:val="nil"/>
            </w:tcBorders>
            <w:shd w:val="clear" w:color="auto" w:fill="auto"/>
            <w:noWrap/>
            <w:vAlign w:val="center"/>
            <w:hideMark/>
          </w:tcPr>
          <w:p w14:paraId="64371DC5" w14:textId="77777777" w:rsidR="00C62636" w:rsidRPr="00677CC7" w:rsidRDefault="00C62636" w:rsidP="00C62636">
            <w:pPr>
              <w:spacing w:after="0" w:line="240" w:lineRule="auto"/>
              <w:rPr>
                <w:rFonts w:ascii="Arial Narrow" w:hAnsi="Arial Narrow"/>
                <w:b/>
                <w:bCs/>
                <w:color w:val="000000"/>
                <w:sz w:val="20"/>
                <w:szCs w:val="20"/>
                <w:lang w:val="en-US" w:eastAsia="en-US"/>
              </w:rPr>
            </w:pPr>
            <w:proofErr w:type="spellStart"/>
            <w:r w:rsidRPr="00677CC7">
              <w:rPr>
                <w:rFonts w:ascii="Arial Narrow" w:hAnsi="Arial Narrow"/>
                <w:b/>
                <w:bCs/>
                <w:color w:val="000000"/>
                <w:sz w:val="20"/>
                <w:szCs w:val="20"/>
                <w:lang w:val="en-US" w:eastAsia="en-US"/>
              </w:rPr>
              <w:t>Efektívnosť</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výberu</w:t>
            </w:r>
            <w:proofErr w:type="spellEnd"/>
            <w:r w:rsidRPr="00677CC7">
              <w:rPr>
                <w:rFonts w:ascii="Arial Narrow" w:hAnsi="Arial Narrow"/>
                <w:b/>
                <w:bCs/>
                <w:color w:val="000000"/>
                <w:sz w:val="20"/>
                <w:szCs w:val="20"/>
                <w:lang w:val="en-US" w:eastAsia="en-US"/>
              </w:rPr>
              <w:t xml:space="preserve"> DPH</w:t>
            </w:r>
          </w:p>
        </w:tc>
        <w:tc>
          <w:tcPr>
            <w:tcW w:w="756" w:type="dxa"/>
            <w:tcBorders>
              <w:top w:val="nil"/>
              <w:left w:val="nil"/>
              <w:bottom w:val="nil"/>
              <w:right w:val="nil"/>
            </w:tcBorders>
            <w:shd w:val="clear" w:color="auto" w:fill="auto"/>
            <w:vAlign w:val="center"/>
            <w:hideMark/>
          </w:tcPr>
          <w:p w14:paraId="317E0CE6"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right w:val="nil"/>
            </w:tcBorders>
            <w:vAlign w:val="center"/>
            <w:hideMark/>
          </w:tcPr>
          <w:p w14:paraId="4BC19079" w14:textId="39818791"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62,3</w:t>
            </w:r>
          </w:p>
        </w:tc>
        <w:tc>
          <w:tcPr>
            <w:tcW w:w="625" w:type="dxa"/>
            <w:tcBorders>
              <w:top w:val="nil"/>
              <w:left w:val="nil"/>
              <w:right w:val="nil"/>
            </w:tcBorders>
            <w:shd w:val="clear" w:color="auto" w:fill="auto"/>
            <w:vAlign w:val="center"/>
            <w:hideMark/>
          </w:tcPr>
          <w:p w14:paraId="5BD03F48" w14:textId="17B32BE3"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55,5</w:t>
            </w:r>
          </w:p>
        </w:tc>
        <w:tc>
          <w:tcPr>
            <w:tcW w:w="625" w:type="dxa"/>
            <w:tcBorders>
              <w:top w:val="nil"/>
              <w:left w:val="nil"/>
              <w:right w:val="nil"/>
            </w:tcBorders>
            <w:shd w:val="clear" w:color="auto" w:fill="auto"/>
            <w:vAlign w:val="center"/>
            <w:hideMark/>
          </w:tcPr>
          <w:p w14:paraId="5F189861" w14:textId="65908140"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54,3</w:t>
            </w:r>
          </w:p>
        </w:tc>
        <w:tc>
          <w:tcPr>
            <w:tcW w:w="625" w:type="dxa"/>
            <w:tcBorders>
              <w:top w:val="nil"/>
              <w:left w:val="nil"/>
              <w:right w:val="nil"/>
            </w:tcBorders>
            <w:shd w:val="clear" w:color="auto" w:fill="auto"/>
            <w:vAlign w:val="center"/>
            <w:hideMark/>
          </w:tcPr>
          <w:p w14:paraId="4D9A984E" w14:textId="765BBB3F"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54,3</w:t>
            </w:r>
          </w:p>
        </w:tc>
        <w:tc>
          <w:tcPr>
            <w:tcW w:w="625" w:type="dxa"/>
            <w:tcBorders>
              <w:top w:val="nil"/>
              <w:left w:val="nil"/>
              <w:right w:val="nil"/>
            </w:tcBorders>
            <w:shd w:val="clear" w:color="auto" w:fill="auto"/>
            <w:vAlign w:val="center"/>
            <w:hideMark/>
          </w:tcPr>
          <w:p w14:paraId="3ED1C4B9" w14:textId="6FBF4A61"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49,8</w:t>
            </w:r>
          </w:p>
        </w:tc>
        <w:tc>
          <w:tcPr>
            <w:tcW w:w="625" w:type="dxa"/>
            <w:tcBorders>
              <w:top w:val="nil"/>
              <w:left w:val="nil"/>
              <w:right w:val="nil"/>
            </w:tcBorders>
            <w:shd w:val="clear" w:color="auto" w:fill="auto"/>
            <w:vAlign w:val="center"/>
            <w:hideMark/>
          </w:tcPr>
          <w:p w14:paraId="1074C5A0" w14:textId="3716C212"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54,7</w:t>
            </w:r>
          </w:p>
        </w:tc>
        <w:tc>
          <w:tcPr>
            <w:tcW w:w="625" w:type="dxa"/>
            <w:tcBorders>
              <w:top w:val="nil"/>
              <w:left w:val="nil"/>
              <w:right w:val="nil"/>
            </w:tcBorders>
            <w:shd w:val="clear" w:color="auto" w:fill="auto"/>
            <w:vAlign w:val="center"/>
            <w:hideMark/>
          </w:tcPr>
          <w:p w14:paraId="6ACE4B7C" w14:textId="0BA71D25"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57,2</w:t>
            </w:r>
          </w:p>
        </w:tc>
        <w:tc>
          <w:tcPr>
            <w:tcW w:w="625" w:type="dxa"/>
            <w:tcBorders>
              <w:top w:val="nil"/>
              <w:left w:val="nil"/>
              <w:right w:val="nil"/>
            </w:tcBorders>
            <w:shd w:val="clear" w:color="auto" w:fill="auto"/>
            <w:vAlign w:val="center"/>
            <w:hideMark/>
          </w:tcPr>
          <w:p w14:paraId="0732D560" w14:textId="50DF85D1"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58,1</w:t>
            </w:r>
          </w:p>
        </w:tc>
        <w:tc>
          <w:tcPr>
            <w:tcW w:w="625" w:type="dxa"/>
            <w:tcBorders>
              <w:top w:val="nil"/>
              <w:left w:val="nil"/>
              <w:right w:val="nil"/>
            </w:tcBorders>
            <w:noWrap/>
            <w:vAlign w:val="center"/>
          </w:tcPr>
          <w:p w14:paraId="44308B22" w14:textId="2A1D835C"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60,1</w:t>
            </w:r>
          </w:p>
        </w:tc>
        <w:tc>
          <w:tcPr>
            <w:tcW w:w="625" w:type="dxa"/>
            <w:tcBorders>
              <w:top w:val="nil"/>
              <w:left w:val="nil"/>
              <w:right w:val="nil"/>
            </w:tcBorders>
            <w:shd w:val="clear" w:color="auto" w:fill="auto"/>
            <w:vAlign w:val="center"/>
          </w:tcPr>
          <w:p w14:paraId="54E4ADA0" w14:textId="4945317E"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color w:val="000000"/>
                <w:sz w:val="20"/>
                <w:szCs w:val="20"/>
              </w:rPr>
              <w:t>-</w:t>
            </w:r>
          </w:p>
        </w:tc>
        <w:tc>
          <w:tcPr>
            <w:tcW w:w="625" w:type="dxa"/>
            <w:tcBorders>
              <w:top w:val="nil"/>
              <w:left w:val="nil"/>
              <w:bottom w:val="nil"/>
              <w:right w:val="nil"/>
            </w:tcBorders>
            <w:shd w:val="clear" w:color="auto" w:fill="auto"/>
            <w:vAlign w:val="center"/>
            <w:hideMark/>
          </w:tcPr>
          <w:p w14:paraId="1556673A" w14:textId="735D1467"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r w:rsidR="00C62636" w:rsidRPr="00677CC7" w14:paraId="1BB34100" w14:textId="77777777" w:rsidTr="00E336C7">
        <w:trPr>
          <w:gridAfter w:val="1"/>
          <w:wAfter w:w="10" w:type="dxa"/>
          <w:trHeight w:val="188"/>
          <w:jc w:val="center"/>
        </w:trPr>
        <w:tc>
          <w:tcPr>
            <w:tcW w:w="426" w:type="dxa"/>
            <w:tcBorders>
              <w:top w:val="nil"/>
              <w:left w:val="nil"/>
              <w:bottom w:val="single" w:sz="4" w:space="0" w:color="auto"/>
              <w:right w:val="nil"/>
            </w:tcBorders>
            <w:shd w:val="clear" w:color="auto" w:fill="auto"/>
            <w:textDirection w:val="btLr"/>
            <w:vAlign w:val="center"/>
            <w:hideMark/>
          </w:tcPr>
          <w:p w14:paraId="063E95E4"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 </w:t>
            </w:r>
          </w:p>
        </w:tc>
        <w:tc>
          <w:tcPr>
            <w:tcW w:w="425" w:type="dxa"/>
            <w:gridSpan w:val="2"/>
            <w:vMerge/>
            <w:tcBorders>
              <w:top w:val="nil"/>
              <w:left w:val="nil"/>
              <w:bottom w:val="single" w:sz="4" w:space="0" w:color="000000"/>
              <w:right w:val="nil"/>
            </w:tcBorders>
            <w:vAlign w:val="center"/>
            <w:hideMark/>
          </w:tcPr>
          <w:p w14:paraId="2A090E97"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38818AA0" w14:textId="77777777" w:rsidR="00C62636" w:rsidRPr="00677CC7" w:rsidRDefault="00C62636" w:rsidP="00C62636">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756" w:type="dxa"/>
            <w:tcBorders>
              <w:top w:val="nil"/>
              <w:left w:val="nil"/>
              <w:bottom w:val="single" w:sz="4" w:space="0" w:color="auto"/>
              <w:right w:val="nil"/>
            </w:tcBorders>
            <w:shd w:val="clear" w:color="auto" w:fill="auto"/>
            <w:vAlign w:val="center"/>
            <w:hideMark/>
          </w:tcPr>
          <w:p w14:paraId="5CAFF8CF" w14:textId="14801D79" w:rsidR="00C62636" w:rsidRPr="00677CC7" w:rsidRDefault="00C62636" w:rsidP="00C62636">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vAlign w:val="center"/>
            <w:hideMark/>
          </w:tcPr>
          <w:p w14:paraId="65E9117C" w14:textId="5A015D45"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69,6</w:t>
            </w:r>
          </w:p>
        </w:tc>
        <w:tc>
          <w:tcPr>
            <w:tcW w:w="625" w:type="dxa"/>
            <w:tcBorders>
              <w:top w:val="nil"/>
              <w:left w:val="nil"/>
              <w:bottom w:val="single" w:sz="4" w:space="0" w:color="auto"/>
              <w:right w:val="nil"/>
            </w:tcBorders>
            <w:shd w:val="clear" w:color="auto" w:fill="auto"/>
            <w:vAlign w:val="center"/>
            <w:hideMark/>
          </w:tcPr>
          <w:p w14:paraId="3950BEA7" w14:textId="76A76639"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64,1</w:t>
            </w:r>
          </w:p>
        </w:tc>
        <w:tc>
          <w:tcPr>
            <w:tcW w:w="625" w:type="dxa"/>
            <w:tcBorders>
              <w:top w:val="nil"/>
              <w:left w:val="nil"/>
              <w:bottom w:val="single" w:sz="4" w:space="0" w:color="auto"/>
              <w:right w:val="nil"/>
            </w:tcBorders>
            <w:shd w:val="clear" w:color="auto" w:fill="auto"/>
            <w:vAlign w:val="center"/>
            <w:hideMark/>
          </w:tcPr>
          <w:p w14:paraId="69AEE921" w14:textId="7B3F6254"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65,4</w:t>
            </w:r>
          </w:p>
        </w:tc>
        <w:tc>
          <w:tcPr>
            <w:tcW w:w="625" w:type="dxa"/>
            <w:tcBorders>
              <w:top w:val="nil"/>
              <w:left w:val="nil"/>
              <w:bottom w:val="single" w:sz="4" w:space="0" w:color="auto"/>
              <w:right w:val="nil"/>
            </w:tcBorders>
            <w:shd w:val="clear" w:color="auto" w:fill="auto"/>
            <w:vAlign w:val="center"/>
            <w:hideMark/>
          </w:tcPr>
          <w:p w14:paraId="7632765E" w14:textId="6C35076A"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66,0</w:t>
            </w:r>
          </w:p>
        </w:tc>
        <w:tc>
          <w:tcPr>
            <w:tcW w:w="625" w:type="dxa"/>
            <w:tcBorders>
              <w:top w:val="nil"/>
              <w:left w:val="nil"/>
              <w:bottom w:val="single" w:sz="4" w:space="0" w:color="auto"/>
              <w:right w:val="nil"/>
            </w:tcBorders>
            <w:shd w:val="clear" w:color="auto" w:fill="auto"/>
            <w:vAlign w:val="center"/>
            <w:hideMark/>
          </w:tcPr>
          <w:p w14:paraId="08F3FD1F" w14:textId="129555BA"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66,0</w:t>
            </w:r>
          </w:p>
        </w:tc>
        <w:tc>
          <w:tcPr>
            <w:tcW w:w="625" w:type="dxa"/>
            <w:tcBorders>
              <w:top w:val="nil"/>
              <w:left w:val="nil"/>
              <w:bottom w:val="single" w:sz="4" w:space="0" w:color="auto"/>
              <w:right w:val="nil"/>
            </w:tcBorders>
            <w:shd w:val="clear" w:color="auto" w:fill="auto"/>
            <w:vAlign w:val="center"/>
            <w:hideMark/>
          </w:tcPr>
          <w:p w14:paraId="1342433D" w14:textId="427ECC6F"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66,4</w:t>
            </w:r>
          </w:p>
        </w:tc>
        <w:tc>
          <w:tcPr>
            <w:tcW w:w="625" w:type="dxa"/>
            <w:tcBorders>
              <w:top w:val="nil"/>
              <w:left w:val="nil"/>
              <w:bottom w:val="single" w:sz="4" w:space="0" w:color="auto"/>
              <w:right w:val="nil"/>
            </w:tcBorders>
            <w:shd w:val="clear" w:color="auto" w:fill="auto"/>
            <w:vAlign w:val="center"/>
            <w:hideMark/>
          </w:tcPr>
          <w:p w14:paraId="701A3EBE" w14:textId="5BA331B2"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67,8</w:t>
            </w:r>
          </w:p>
        </w:tc>
        <w:tc>
          <w:tcPr>
            <w:tcW w:w="625" w:type="dxa"/>
            <w:tcBorders>
              <w:top w:val="nil"/>
              <w:left w:val="nil"/>
              <w:bottom w:val="single" w:sz="4" w:space="0" w:color="auto"/>
              <w:right w:val="nil"/>
            </w:tcBorders>
            <w:shd w:val="clear" w:color="auto" w:fill="auto"/>
            <w:vAlign w:val="center"/>
            <w:hideMark/>
          </w:tcPr>
          <w:p w14:paraId="39E5F915" w14:textId="556BD97D"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67,2</w:t>
            </w:r>
          </w:p>
        </w:tc>
        <w:tc>
          <w:tcPr>
            <w:tcW w:w="625" w:type="dxa"/>
            <w:tcBorders>
              <w:top w:val="nil"/>
              <w:left w:val="nil"/>
              <w:bottom w:val="single" w:sz="4" w:space="0" w:color="auto"/>
              <w:right w:val="nil"/>
            </w:tcBorders>
            <w:vAlign w:val="center"/>
          </w:tcPr>
          <w:p w14:paraId="4691706C" w14:textId="25837737"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69,1</w:t>
            </w:r>
          </w:p>
        </w:tc>
        <w:tc>
          <w:tcPr>
            <w:tcW w:w="625" w:type="dxa"/>
            <w:tcBorders>
              <w:top w:val="nil"/>
              <w:left w:val="nil"/>
              <w:bottom w:val="single" w:sz="4" w:space="0" w:color="auto"/>
              <w:right w:val="nil"/>
            </w:tcBorders>
            <w:shd w:val="clear" w:color="auto" w:fill="auto"/>
            <w:vAlign w:val="center"/>
          </w:tcPr>
          <w:p w14:paraId="7EA4C054" w14:textId="3F81348C"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color w:val="000000"/>
                <w:sz w:val="20"/>
                <w:szCs w:val="20"/>
              </w:rPr>
              <w:t>-</w:t>
            </w:r>
          </w:p>
        </w:tc>
        <w:tc>
          <w:tcPr>
            <w:tcW w:w="625" w:type="dxa"/>
            <w:tcBorders>
              <w:top w:val="nil"/>
              <w:left w:val="nil"/>
              <w:bottom w:val="single" w:sz="4" w:space="0" w:color="auto"/>
              <w:right w:val="nil"/>
            </w:tcBorders>
            <w:shd w:val="clear" w:color="auto" w:fill="auto"/>
            <w:vAlign w:val="center"/>
            <w:hideMark/>
          </w:tcPr>
          <w:p w14:paraId="5492B840" w14:textId="63E5B6DA"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r w:rsidR="00C62636" w:rsidRPr="00677CC7" w14:paraId="3069B62B" w14:textId="77777777" w:rsidTr="00E336C7">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46D156FF"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p>
        </w:tc>
        <w:tc>
          <w:tcPr>
            <w:tcW w:w="425" w:type="dxa"/>
            <w:gridSpan w:val="2"/>
            <w:vMerge w:val="restart"/>
            <w:tcBorders>
              <w:top w:val="nil"/>
              <w:left w:val="nil"/>
              <w:bottom w:val="single" w:sz="4" w:space="0" w:color="000000"/>
              <w:right w:val="nil"/>
            </w:tcBorders>
            <w:shd w:val="clear" w:color="auto" w:fill="auto"/>
            <w:vAlign w:val="center"/>
            <w:hideMark/>
          </w:tcPr>
          <w:p w14:paraId="68033EBD"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3</w:t>
            </w:r>
          </w:p>
        </w:tc>
        <w:tc>
          <w:tcPr>
            <w:tcW w:w="2221" w:type="dxa"/>
            <w:tcBorders>
              <w:top w:val="nil"/>
              <w:left w:val="nil"/>
              <w:bottom w:val="nil"/>
              <w:right w:val="nil"/>
            </w:tcBorders>
            <w:shd w:val="clear" w:color="auto" w:fill="auto"/>
            <w:noWrap/>
            <w:vAlign w:val="center"/>
            <w:hideMark/>
          </w:tcPr>
          <w:p w14:paraId="5F8ACB26" w14:textId="77777777" w:rsidR="00C62636" w:rsidRPr="00677CC7" w:rsidRDefault="00C62636" w:rsidP="00C62636">
            <w:pPr>
              <w:spacing w:after="0" w:line="240" w:lineRule="auto"/>
              <w:jc w:val="both"/>
              <w:rPr>
                <w:rFonts w:ascii="Arial Narrow" w:hAnsi="Arial Narrow"/>
                <w:b/>
                <w:bCs/>
                <w:color w:val="000000"/>
                <w:sz w:val="20"/>
                <w:szCs w:val="20"/>
                <w:lang w:val="en-US" w:eastAsia="en-US"/>
              </w:rPr>
            </w:pPr>
            <w:proofErr w:type="spellStart"/>
            <w:r w:rsidRPr="00677CC7">
              <w:rPr>
                <w:rFonts w:ascii="Arial Narrow" w:hAnsi="Arial Narrow"/>
                <w:b/>
                <w:bCs/>
                <w:color w:val="000000"/>
                <w:sz w:val="20"/>
                <w:szCs w:val="20"/>
                <w:lang w:val="en-US" w:eastAsia="en-US"/>
              </w:rPr>
              <w:t>Medzera</w:t>
            </w:r>
            <w:proofErr w:type="spellEnd"/>
            <w:r w:rsidRPr="00677CC7">
              <w:rPr>
                <w:rFonts w:ascii="Arial Narrow" w:hAnsi="Arial Narrow"/>
                <w:b/>
                <w:bCs/>
                <w:color w:val="000000"/>
                <w:sz w:val="20"/>
                <w:szCs w:val="20"/>
                <w:lang w:val="en-US" w:eastAsia="en-US"/>
              </w:rPr>
              <w:t xml:space="preserve"> DPH</w:t>
            </w:r>
          </w:p>
        </w:tc>
        <w:tc>
          <w:tcPr>
            <w:tcW w:w="756" w:type="dxa"/>
            <w:tcBorders>
              <w:top w:val="nil"/>
              <w:left w:val="nil"/>
              <w:bottom w:val="nil"/>
              <w:right w:val="nil"/>
            </w:tcBorders>
            <w:shd w:val="clear" w:color="auto" w:fill="auto"/>
            <w:vAlign w:val="center"/>
            <w:hideMark/>
          </w:tcPr>
          <w:p w14:paraId="6AA05F9F"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single" w:sz="4" w:space="0" w:color="auto"/>
              <w:left w:val="nil"/>
              <w:bottom w:val="nil"/>
              <w:right w:val="nil"/>
            </w:tcBorders>
            <w:vAlign w:val="center"/>
            <w:hideMark/>
          </w:tcPr>
          <w:p w14:paraId="25814967" w14:textId="0A1281EF"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31,3</w:t>
            </w:r>
          </w:p>
        </w:tc>
        <w:tc>
          <w:tcPr>
            <w:tcW w:w="625" w:type="dxa"/>
            <w:tcBorders>
              <w:top w:val="single" w:sz="4" w:space="0" w:color="auto"/>
              <w:left w:val="nil"/>
              <w:bottom w:val="nil"/>
              <w:right w:val="nil"/>
            </w:tcBorders>
            <w:shd w:val="clear" w:color="auto" w:fill="auto"/>
            <w:vAlign w:val="center"/>
            <w:hideMark/>
          </w:tcPr>
          <w:p w14:paraId="6BE9CACF" w14:textId="7EA78911"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34,9</w:t>
            </w:r>
          </w:p>
        </w:tc>
        <w:tc>
          <w:tcPr>
            <w:tcW w:w="625" w:type="dxa"/>
            <w:tcBorders>
              <w:top w:val="single" w:sz="4" w:space="0" w:color="auto"/>
              <w:left w:val="nil"/>
              <w:bottom w:val="nil"/>
              <w:right w:val="nil"/>
            </w:tcBorders>
            <w:shd w:val="clear" w:color="auto" w:fill="auto"/>
            <w:vAlign w:val="center"/>
            <w:hideMark/>
          </w:tcPr>
          <w:p w14:paraId="0316519A" w14:textId="1519976F"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35,6</w:t>
            </w:r>
          </w:p>
        </w:tc>
        <w:tc>
          <w:tcPr>
            <w:tcW w:w="625" w:type="dxa"/>
            <w:tcBorders>
              <w:top w:val="single" w:sz="4" w:space="0" w:color="auto"/>
              <w:left w:val="nil"/>
              <w:bottom w:val="nil"/>
              <w:right w:val="nil"/>
            </w:tcBorders>
            <w:shd w:val="clear" w:color="auto" w:fill="auto"/>
            <w:vAlign w:val="center"/>
            <w:hideMark/>
          </w:tcPr>
          <w:p w14:paraId="0A4531BA" w14:textId="6F62AA5D"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38,2</w:t>
            </w:r>
          </w:p>
        </w:tc>
        <w:tc>
          <w:tcPr>
            <w:tcW w:w="625" w:type="dxa"/>
            <w:tcBorders>
              <w:top w:val="single" w:sz="4" w:space="0" w:color="auto"/>
              <w:left w:val="nil"/>
              <w:bottom w:val="nil"/>
              <w:right w:val="nil"/>
            </w:tcBorders>
            <w:shd w:val="clear" w:color="auto" w:fill="auto"/>
            <w:vAlign w:val="center"/>
            <w:hideMark/>
          </w:tcPr>
          <w:p w14:paraId="1B916991" w14:textId="14C2906B"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41,0</w:t>
            </w:r>
          </w:p>
        </w:tc>
        <w:tc>
          <w:tcPr>
            <w:tcW w:w="625" w:type="dxa"/>
            <w:tcBorders>
              <w:top w:val="single" w:sz="4" w:space="0" w:color="auto"/>
              <w:left w:val="nil"/>
              <w:bottom w:val="nil"/>
              <w:right w:val="nil"/>
            </w:tcBorders>
            <w:shd w:val="clear" w:color="auto" w:fill="auto"/>
            <w:vAlign w:val="center"/>
            <w:hideMark/>
          </w:tcPr>
          <w:p w14:paraId="348BA49A" w14:textId="1D0EFB45"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37,2</w:t>
            </w:r>
          </w:p>
        </w:tc>
        <w:tc>
          <w:tcPr>
            <w:tcW w:w="625" w:type="dxa"/>
            <w:tcBorders>
              <w:top w:val="single" w:sz="4" w:space="0" w:color="auto"/>
              <w:left w:val="nil"/>
              <w:bottom w:val="nil"/>
              <w:right w:val="nil"/>
            </w:tcBorders>
            <w:shd w:val="clear" w:color="auto" w:fill="auto"/>
            <w:vAlign w:val="center"/>
            <w:hideMark/>
          </w:tcPr>
          <w:p w14:paraId="6C3676BB" w14:textId="03EBB137"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32,3</w:t>
            </w:r>
          </w:p>
        </w:tc>
        <w:tc>
          <w:tcPr>
            <w:tcW w:w="625" w:type="dxa"/>
            <w:tcBorders>
              <w:top w:val="single" w:sz="4" w:space="0" w:color="auto"/>
              <w:left w:val="nil"/>
              <w:bottom w:val="nil"/>
              <w:right w:val="nil"/>
            </w:tcBorders>
            <w:shd w:val="clear" w:color="auto" w:fill="auto"/>
            <w:vAlign w:val="center"/>
            <w:hideMark/>
          </w:tcPr>
          <w:p w14:paraId="0075D0C5" w14:textId="309A12EE"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31,6</w:t>
            </w:r>
          </w:p>
        </w:tc>
        <w:tc>
          <w:tcPr>
            <w:tcW w:w="625" w:type="dxa"/>
            <w:tcBorders>
              <w:top w:val="single" w:sz="4" w:space="0" w:color="auto"/>
              <w:left w:val="nil"/>
              <w:bottom w:val="nil"/>
              <w:right w:val="nil"/>
            </w:tcBorders>
            <w:vAlign w:val="center"/>
          </w:tcPr>
          <w:p w14:paraId="42D6D5EE" w14:textId="03116E7D"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28,3</w:t>
            </w:r>
          </w:p>
        </w:tc>
        <w:tc>
          <w:tcPr>
            <w:tcW w:w="625" w:type="dxa"/>
            <w:tcBorders>
              <w:top w:val="single" w:sz="4" w:space="0" w:color="auto"/>
              <w:left w:val="nil"/>
              <w:bottom w:val="nil"/>
              <w:right w:val="nil"/>
            </w:tcBorders>
            <w:shd w:val="clear" w:color="auto" w:fill="auto"/>
            <w:vAlign w:val="center"/>
          </w:tcPr>
          <w:p w14:paraId="0FB8EF45" w14:textId="4EC862B6"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color w:val="000000"/>
                <w:sz w:val="20"/>
                <w:szCs w:val="20"/>
              </w:rPr>
              <w:t>-</w:t>
            </w:r>
          </w:p>
        </w:tc>
        <w:tc>
          <w:tcPr>
            <w:tcW w:w="625" w:type="dxa"/>
            <w:tcBorders>
              <w:top w:val="nil"/>
              <w:left w:val="nil"/>
              <w:bottom w:val="nil"/>
              <w:right w:val="nil"/>
            </w:tcBorders>
            <w:shd w:val="clear" w:color="auto" w:fill="auto"/>
            <w:vAlign w:val="center"/>
            <w:hideMark/>
          </w:tcPr>
          <w:p w14:paraId="46D9E66D" w14:textId="11734F61"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r w:rsidR="00C62636" w:rsidRPr="00677CC7" w14:paraId="6261D2EA" w14:textId="77777777" w:rsidTr="00E336C7">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627E6FE7"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p>
        </w:tc>
        <w:tc>
          <w:tcPr>
            <w:tcW w:w="425" w:type="dxa"/>
            <w:gridSpan w:val="2"/>
            <w:vMerge/>
            <w:tcBorders>
              <w:top w:val="nil"/>
              <w:left w:val="nil"/>
              <w:bottom w:val="single" w:sz="4" w:space="0" w:color="000000"/>
              <w:right w:val="nil"/>
            </w:tcBorders>
            <w:vAlign w:val="center"/>
            <w:hideMark/>
          </w:tcPr>
          <w:p w14:paraId="2797DA6B"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nil"/>
              <w:right w:val="nil"/>
            </w:tcBorders>
            <w:shd w:val="clear" w:color="auto" w:fill="auto"/>
            <w:noWrap/>
            <w:vAlign w:val="center"/>
            <w:hideMark/>
          </w:tcPr>
          <w:p w14:paraId="07A30B20" w14:textId="77777777" w:rsidR="00C62636" w:rsidRPr="00677CC7" w:rsidRDefault="00C62636" w:rsidP="00C62636">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756" w:type="dxa"/>
            <w:tcBorders>
              <w:top w:val="nil"/>
              <w:left w:val="nil"/>
              <w:bottom w:val="nil"/>
              <w:right w:val="nil"/>
            </w:tcBorders>
            <w:shd w:val="clear" w:color="auto" w:fill="auto"/>
            <w:vAlign w:val="center"/>
            <w:hideMark/>
          </w:tcPr>
          <w:p w14:paraId="14EE6C58"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vAlign w:val="center"/>
            <w:hideMark/>
          </w:tcPr>
          <w:p w14:paraId="19BF3BC5" w14:textId="5A0A7247"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w:t>
            </w:r>
          </w:p>
        </w:tc>
        <w:tc>
          <w:tcPr>
            <w:tcW w:w="625" w:type="dxa"/>
            <w:tcBorders>
              <w:top w:val="nil"/>
              <w:left w:val="nil"/>
              <w:bottom w:val="single" w:sz="4" w:space="0" w:color="auto"/>
              <w:right w:val="nil"/>
            </w:tcBorders>
            <w:shd w:val="clear" w:color="auto" w:fill="auto"/>
            <w:vAlign w:val="center"/>
            <w:hideMark/>
          </w:tcPr>
          <w:p w14:paraId="5864B933" w14:textId="66A177A0"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w:t>
            </w:r>
          </w:p>
        </w:tc>
        <w:tc>
          <w:tcPr>
            <w:tcW w:w="625" w:type="dxa"/>
            <w:tcBorders>
              <w:top w:val="nil"/>
              <w:left w:val="nil"/>
              <w:bottom w:val="single" w:sz="4" w:space="0" w:color="auto"/>
              <w:right w:val="nil"/>
            </w:tcBorders>
            <w:shd w:val="clear" w:color="auto" w:fill="auto"/>
            <w:vAlign w:val="center"/>
            <w:hideMark/>
          </w:tcPr>
          <w:p w14:paraId="2B21C20E" w14:textId="0221246C"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13,5</w:t>
            </w:r>
          </w:p>
        </w:tc>
        <w:tc>
          <w:tcPr>
            <w:tcW w:w="625" w:type="dxa"/>
            <w:tcBorders>
              <w:top w:val="nil"/>
              <w:left w:val="nil"/>
              <w:bottom w:val="single" w:sz="4" w:space="0" w:color="auto"/>
              <w:right w:val="nil"/>
            </w:tcBorders>
            <w:shd w:val="clear" w:color="auto" w:fill="auto"/>
            <w:vAlign w:val="center"/>
            <w:hideMark/>
          </w:tcPr>
          <w:p w14:paraId="491E5579" w14:textId="3EDF6960"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14,4</w:t>
            </w:r>
          </w:p>
        </w:tc>
        <w:tc>
          <w:tcPr>
            <w:tcW w:w="625" w:type="dxa"/>
            <w:tcBorders>
              <w:top w:val="nil"/>
              <w:left w:val="nil"/>
              <w:bottom w:val="single" w:sz="4" w:space="0" w:color="auto"/>
              <w:right w:val="nil"/>
            </w:tcBorders>
            <w:shd w:val="clear" w:color="auto" w:fill="auto"/>
            <w:vAlign w:val="center"/>
            <w:hideMark/>
          </w:tcPr>
          <w:p w14:paraId="2BC1DA40" w14:textId="2578C8EB"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15,0</w:t>
            </w:r>
          </w:p>
        </w:tc>
        <w:tc>
          <w:tcPr>
            <w:tcW w:w="625" w:type="dxa"/>
            <w:tcBorders>
              <w:top w:val="nil"/>
              <w:left w:val="nil"/>
              <w:bottom w:val="single" w:sz="4" w:space="0" w:color="auto"/>
              <w:right w:val="nil"/>
            </w:tcBorders>
            <w:shd w:val="clear" w:color="auto" w:fill="auto"/>
            <w:vAlign w:val="center"/>
            <w:hideMark/>
          </w:tcPr>
          <w:p w14:paraId="46DE942E" w14:textId="6CA548C3"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14,8</w:t>
            </w:r>
          </w:p>
        </w:tc>
        <w:tc>
          <w:tcPr>
            <w:tcW w:w="625" w:type="dxa"/>
            <w:tcBorders>
              <w:top w:val="nil"/>
              <w:left w:val="nil"/>
              <w:bottom w:val="single" w:sz="4" w:space="0" w:color="auto"/>
              <w:right w:val="nil"/>
            </w:tcBorders>
            <w:shd w:val="clear" w:color="auto" w:fill="auto"/>
            <w:vAlign w:val="center"/>
            <w:hideMark/>
          </w:tcPr>
          <w:p w14:paraId="63E774C3" w14:textId="47FFA93B"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14,0</w:t>
            </w:r>
          </w:p>
        </w:tc>
        <w:tc>
          <w:tcPr>
            <w:tcW w:w="625" w:type="dxa"/>
            <w:tcBorders>
              <w:top w:val="nil"/>
              <w:left w:val="nil"/>
              <w:bottom w:val="single" w:sz="4" w:space="0" w:color="auto"/>
              <w:right w:val="nil"/>
            </w:tcBorders>
            <w:shd w:val="clear" w:color="auto" w:fill="auto"/>
            <w:vAlign w:val="center"/>
            <w:hideMark/>
          </w:tcPr>
          <w:p w14:paraId="417744B1" w14:textId="0923E894"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12,8</w:t>
            </w:r>
          </w:p>
        </w:tc>
        <w:tc>
          <w:tcPr>
            <w:tcW w:w="625" w:type="dxa"/>
            <w:tcBorders>
              <w:top w:val="nil"/>
              <w:left w:val="nil"/>
              <w:bottom w:val="single" w:sz="4" w:space="0" w:color="auto"/>
              <w:right w:val="nil"/>
            </w:tcBorders>
            <w:vAlign w:val="center"/>
          </w:tcPr>
          <w:p w14:paraId="17930AB4" w14:textId="419E3202"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sz w:val="20"/>
                <w:szCs w:val="20"/>
              </w:rPr>
              <w:t>-</w:t>
            </w:r>
          </w:p>
        </w:tc>
        <w:tc>
          <w:tcPr>
            <w:tcW w:w="625" w:type="dxa"/>
            <w:tcBorders>
              <w:top w:val="nil"/>
              <w:left w:val="nil"/>
              <w:bottom w:val="single" w:sz="4" w:space="0" w:color="auto"/>
              <w:right w:val="nil"/>
            </w:tcBorders>
            <w:shd w:val="clear" w:color="auto" w:fill="auto"/>
            <w:vAlign w:val="center"/>
          </w:tcPr>
          <w:p w14:paraId="0DE56338" w14:textId="6CF15210" w:rsidR="00C62636" w:rsidRPr="00677CC7" w:rsidRDefault="00C62636" w:rsidP="00C62636">
            <w:pPr>
              <w:spacing w:after="0" w:line="240" w:lineRule="auto"/>
              <w:jc w:val="center"/>
              <w:rPr>
                <w:rFonts w:ascii="Arial Narrow" w:hAnsi="Arial Narrow"/>
                <w:color w:val="000000"/>
                <w:sz w:val="20"/>
                <w:szCs w:val="20"/>
                <w:lang w:val="en-US" w:eastAsia="en-US"/>
              </w:rPr>
            </w:pPr>
            <w:r w:rsidRPr="006C785E">
              <w:rPr>
                <w:rFonts w:ascii="Arial Narrow" w:hAnsi="Arial Narrow"/>
                <w:color w:val="000000"/>
                <w:sz w:val="20"/>
                <w:szCs w:val="20"/>
              </w:rPr>
              <w:t>-</w:t>
            </w:r>
          </w:p>
        </w:tc>
        <w:tc>
          <w:tcPr>
            <w:tcW w:w="625" w:type="dxa"/>
            <w:tcBorders>
              <w:top w:val="nil"/>
              <w:left w:val="nil"/>
              <w:bottom w:val="nil"/>
              <w:right w:val="nil"/>
            </w:tcBorders>
            <w:shd w:val="clear" w:color="auto" w:fill="auto"/>
            <w:vAlign w:val="center"/>
            <w:hideMark/>
          </w:tcPr>
          <w:p w14:paraId="7F0E4B0B" w14:textId="44BFD1EE"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r w:rsidR="00994161" w:rsidRPr="00677CC7" w14:paraId="3FDB1B77" w14:textId="77777777" w:rsidTr="00994161">
        <w:trPr>
          <w:trHeight w:val="188"/>
          <w:jc w:val="center"/>
        </w:trPr>
        <w:tc>
          <w:tcPr>
            <w:tcW w:w="625" w:type="dxa"/>
            <w:gridSpan w:val="2"/>
            <w:tcBorders>
              <w:top w:val="single" w:sz="4" w:space="0" w:color="auto"/>
              <w:left w:val="nil"/>
              <w:bottom w:val="single" w:sz="4" w:space="0" w:color="auto"/>
              <w:right w:val="nil"/>
            </w:tcBorders>
            <w:shd w:val="clear" w:color="000000" w:fill="A9D2F1"/>
          </w:tcPr>
          <w:p w14:paraId="315D97E3" w14:textId="77777777" w:rsidR="00994161" w:rsidRPr="00E35039" w:rsidRDefault="00994161" w:rsidP="00342E82">
            <w:pPr>
              <w:spacing w:after="0" w:line="240" w:lineRule="auto"/>
              <w:rPr>
                <w:rFonts w:ascii="Arial Narrow" w:hAnsi="Arial Narrow"/>
                <w:b/>
                <w:bCs/>
                <w:sz w:val="20"/>
                <w:szCs w:val="20"/>
                <w:lang w:val="en-US" w:eastAsia="en-US"/>
              </w:rPr>
            </w:pPr>
          </w:p>
        </w:tc>
        <w:tc>
          <w:tcPr>
            <w:tcW w:w="10206" w:type="dxa"/>
            <w:gridSpan w:val="15"/>
            <w:tcBorders>
              <w:top w:val="single" w:sz="4" w:space="0" w:color="auto"/>
              <w:left w:val="nil"/>
              <w:bottom w:val="single" w:sz="4" w:space="0" w:color="auto"/>
              <w:right w:val="nil"/>
            </w:tcBorders>
            <w:shd w:val="clear" w:color="000000" w:fill="A9D2F1"/>
            <w:noWrap/>
            <w:vAlign w:val="center"/>
          </w:tcPr>
          <w:p w14:paraId="5DE546D4" w14:textId="341C00F5" w:rsidR="00994161" w:rsidRPr="00677CC7" w:rsidRDefault="00994161" w:rsidP="00342E82">
            <w:pPr>
              <w:spacing w:after="0" w:line="240" w:lineRule="auto"/>
              <w:rPr>
                <w:rFonts w:ascii="Arial Narrow" w:hAnsi="Arial Narrow"/>
                <w:b/>
                <w:bCs/>
                <w:sz w:val="20"/>
                <w:szCs w:val="20"/>
                <w:lang w:val="en-US" w:eastAsia="en-US"/>
              </w:rPr>
            </w:pPr>
            <w:proofErr w:type="spellStart"/>
            <w:r w:rsidRPr="00E35039">
              <w:rPr>
                <w:rFonts w:ascii="Arial Narrow" w:hAnsi="Arial Narrow"/>
                <w:b/>
                <w:bCs/>
                <w:sz w:val="20"/>
                <w:szCs w:val="20"/>
                <w:lang w:val="en-US" w:eastAsia="en-US"/>
              </w:rPr>
              <w:t>Vzdelávanie</w:t>
            </w:r>
            <w:proofErr w:type="spellEnd"/>
            <w:r w:rsidRPr="00E35039">
              <w:rPr>
                <w:rFonts w:ascii="Arial Narrow" w:hAnsi="Arial Narrow"/>
                <w:b/>
                <w:bCs/>
                <w:sz w:val="20"/>
                <w:szCs w:val="20"/>
                <w:lang w:val="en-US" w:eastAsia="en-US"/>
              </w:rPr>
              <w:t xml:space="preserve">, </w:t>
            </w:r>
            <w:proofErr w:type="spellStart"/>
            <w:r w:rsidRPr="00E35039">
              <w:rPr>
                <w:rFonts w:ascii="Arial Narrow" w:hAnsi="Arial Narrow"/>
                <w:b/>
                <w:bCs/>
                <w:sz w:val="20"/>
                <w:szCs w:val="20"/>
                <w:lang w:val="en-US" w:eastAsia="en-US"/>
              </w:rPr>
              <w:t>veda</w:t>
            </w:r>
            <w:proofErr w:type="spellEnd"/>
            <w:r w:rsidRPr="00E35039">
              <w:rPr>
                <w:rFonts w:ascii="Arial Narrow" w:hAnsi="Arial Narrow"/>
                <w:b/>
                <w:bCs/>
                <w:sz w:val="20"/>
                <w:szCs w:val="20"/>
                <w:lang w:val="en-US" w:eastAsia="en-US"/>
              </w:rPr>
              <w:t xml:space="preserve"> a </w:t>
            </w:r>
            <w:proofErr w:type="spellStart"/>
            <w:r w:rsidRPr="00E35039">
              <w:rPr>
                <w:rFonts w:ascii="Arial Narrow" w:hAnsi="Arial Narrow"/>
                <w:b/>
                <w:bCs/>
                <w:sz w:val="20"/>
                <w:szCs w:val="20"/>
                <w:lang w:val="en-US" w:eastAsia="en-US"/>
              </w:rPr>
              <w:t>inovácie</w:t>
            </w:r>
            <w:proofErr w:type="spellEnd"/>
          </w:p>
        </w:tc>
      </w:tr>
      <w:tr w:rsidR="00C62636" w:rsidRPr="00677CC7" w14:paraId="30B02BB2" w14:textId="77777777" w:rsidTr="0028136A">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53B98603" w14:textId="77777777" w:rsidR="00C62636" w:rsidRPr="00677CC7" w:rsidRDefault="00C62636" w:rsidP="00C62636">
            <w:pPr>
              <w:spacing w:after="0" w:line="240" w:lineRule="auto"/>
              <w:rPr>
                <w:rFonts w:ascii="Arial Narrow" w:hAnsi="Arial Narrow"/>
                <w:b/>
                <w:bCs/>
                <w:sz w:val="20"/>
                <w:szCs w:val="20"/>
                <w:lang w:val="en-US" w:eastAsia="en-US"/>
              </w:rPr>
            </w:pPr>
          </w:p>
        </w:tc>
        <w:tc>
          <w:tcPr>
            <w:tcW w:w="425" w:type="dxa"/>
            <w:gridSpan w:val="2"/>
            <w:vMerge w:val="restart"/>
            <w:tcBorders>
              <w:top w:val="nil"/>
              <w:left w:val="nil"/>
              <w:bottom w:val="single" w:sz="4" w:space="0" w:color="000000"/>
              <w:right w:val="nil"/>
            </w:tcBorders>
            <w:shd w:val="clear" w:color="auto" w:fill="auto"/>
            <w:noWrap/>
            <w:vAlign w:val="center"/>
            <w:hideMark/>
          </w:tcPr>
          <w:p w14:paraId="0F56FC81"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4</w:t>
            </w:r>
          </w:p>
        </w:tc>
        <w:tc>
          <w:tcPr>
            <w:tcW w:w="2221" w:type="dxa"/>
            <w:tcBorders>
              <w:top w:val="nil"/>
              <w:left w:val="nil"/>
              <w:bottom w:val="nil"/>
              <w:right w:val="nil"/>
            </w:tcBorders>
            <w:shd w:val="clear" w:color="auto" w:fill="auto"/>
            <w:noWrap/>
            <w:vAlign w:val="center"/>
            <w:hideMark/>
          </w:tcPr>
          <w:p w14:paraId="1721AB6B" w14:textId="77777777" w:rsidR="00C62636" w:rsidRPr="00677CC7" w:rsidRDefault="00C62636" w:rsidP="00C62636">
            <w:pPr>
              <w:spacing w:after="0" w:line="240" w:lineRule="auto"/>
              <w:jc w:val="both"/>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PISA</w:t>
            </w:r>
          </w:p>
        </w:tc>
        <w:tc>
          <w:tcPr>
            <w:tcW w:w="756" w:type="dxa"/>
            <w:tcBorders>
              <w:top w:val="nil"/>
              <w:left w:val="nil"/>
              <w:bottom w:val="nil"/>
              <w:right w:val="nil"/>
            </w:tcBorders>
            <w:shd w:val="clear" w:color="auto" w:fill="auto"/>
            <w:vAlign w:val="center"/>
            <w:hideMark/>
          </w:tcPr>
          <w:p w14:paraId="01B9F773"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vAlign w:val="center"/>
            <w:hideMark/>
          </w:tcPr>
          <w:p w14:paraId="5656A681"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nil"/>
              <w:left w:val="nil"/>
              <w:bottom w:val="nil"/>
              <w:right w:val="nil"/>
            </w:tcBorders>
            <w:shd w:val="clear" w:color="auto" w:fill="auto"/>
            <w:vAlign w:val="center"/>
            <w:hideMark/>
          </w:tcPr>
          <w:p w14:paraId="553E97C1" w14:textId="5FEA54FF"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488</w:t>
            </w:r>
          </w:p>
        </w:tc>
        <w:tc>
          <w:tcPr>
            <w:tcW w:w="625" w:type="dxa"/>
            <w:tcBorders>
              <w:top w:val="nil"/>
              <w:left w:val="nil"/>
              <w:bottom w:val="nil"/>
              <w:right w:val="nil"/>
            </w:tcBorders>
            <w:shd w:val="clear" w:color="auto" w:fill="auto"/>
            <w:vAlign w:val="center"/>
            <w:hideMark/>
          </w:tcPr>
          <w:p w14:paraId="5D509F61" w14:textId="1072AB4D"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w:t>
            </w:r>
          </w:p>
        </w:tc>
        <w:tc>
          <w:tcPr>
            <w:tcW w:w="625" w:type="dxa"/>
            <w:tcBorders>
              <w:top w:val="nil"/>
              <w:left w:val="nil"/>
              <w:bottom w:val="nil"/>
              <w:right w:val="nil"/>
            </w:tcBorders>
            <w:shd w:val="clear" w:color="auto" w:fill="auto"/>
            <w:vAlign w:val="center"/>
            <w:hideMark/>
          </w:tcPr>
          <w:p w14:paraId="78FF2506" w14:textId="328F4178"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w:t>
            </w:r>
          </w:p>
        </w:tc>
        <w:tc>
          <w:tcPr>
            <w:tcW w:w="625" w:type="dxa"/>
            <w:tcBorders>
              <w:top w:val="nil"/>
              <w:left w:val="nil"/>
              <w:bottom w:val="nil"/>
              <w:right w:val="nil"/>
            </w:tcBorders>
            <w:shd w:val="clear" w:color="auto" w:fill="auto"/>
            <w:vAlign w:val="center"/>
            <w:hideMark/>
          </w:tcPr>
          <w:p w14:paraId="6F3C60BF" w14:textId="7B607545"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472</w:t>
            </w:r>
          </w:p>
        </w:tc>
        <w:tc>
          <w:tcPr>
            <w:tcW w:w="625" w:type="dxa"/>
            <w:tcBorders>
              <w:top w:val="nil"/>
              <w:left w:val="nil"/>
              <w:bottom w:val="nil"/>
              <w:right w:val="nil"/>
            </w:tcBorders>
            <w:shd w:val="clear" w:color="auto" w:fill="auto"/>
            <w:vAlign w:val="center"/>
            <w:hideMark/>
          </w:tcPr>
          <w:p w14:paraId="7A586C1B" w14:textId="4B75CB58"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 xml:space="preserve"> - </w:t>
            </w:r>
          </w:p>
        </w:tc>
        <w:tc>
          <w:tcPr>
            <w:tcW w:w="625" w:type="dxa"/>
            <w:tcBorders>
              <w:top w:val="nil"/>
              <w:left w:val="nil"/>
              <w:bottom w:val="nil"/>
              <w:right w:val="nil"/>
            </w:tcBorders>
            <w:shd w:val="clear" w:color="auto" w:fill="auto"/>
            <w:vAlign w:val="center"/>
            <w:hideMark/>
          </w:tcPr>
          <w:p w14:paraId="2D38373A" w14:textId="7E43C87F"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 xml:space="preserve"> - </w:t>
            </w:r>
          </w:p>
        </w:tc>
        <w:tc>
          <w:tcPr>
            <w:tcW w:w="625" w:type="dxa"/>
            <w:tcBorders>
              <w:top w:val="nil"/>
              <w:left w:val="nil"/>
              <w:bottom w:val="nil"/>
              <w:right w:val="nil"/>
            </w:tcBorders>
            <w:shd w:val="clear" w:color="auto" w:fill="auto"/>
            <w:vAlign w:val="center"/>
            <w:hideMark/>
          </w:tcPr>
          <w:p w14:paraId="60AB89CE" w14:textId="19601E43"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463</w:t>
            </w:r>
          </w:p>
        </w:tc>
        <w:tc>
          <w:tcPr>
            <w:tcW w:w="625" w:type="dxa"/>
            <w:tcBorders>
              <w:top w:val="nil"/>
              <w:left w:val="nil"/>
              <w:bottom w:val="nil"/>
              <w:right w:val="nil"/>
            </w:tcBorders>
            <w:shd w:val="clear" w:color="auto" w:fill="auto"/>
            <w:noWrap/>
            <w:vAlign w:val="center"/>
          </w:tcPr>
          <w:p w14:paraId="2FD28698" w14:textId="1775BF9E" w:rsidR="00C62636" w:rsidRPr="00677CC7" w:rsidRDefault="00C62636" w:rsidP="00C62636">
            <w:pPr>
              <w:spacing w:after="0" w:line="240" w:lineRule="auto"/>
              <w:jc w:val="center"/>
              <w:rPr>
                <w:rFonts w:ascii="Arial Narrow" w:hAnsi="Arial Narrow"/>
                <w:color w:val="000000"/>
                <w:sz w:val="20"/>
                <w:szCs w:val="20"/>
                <w:lang w:val="en-US" w:eastAsia="en-US"/>
              </w:rPr>
            </w:pPr>
            <w:r w:rsidRPr="00412AB0">
              <w:rPr>
                <w:rFonts w:ascii="Arial Narrow" w:hAnsi="Arial Narrow"/>
                <w:color w:val="000000"/>
                <w:sz w:val="20"/>
                <w:szCs w:val="20"/>
                <w:lang w:val="en-US" w:eastAsia="en-US"/>
              </w:rPr>
              <w:t xml:space="preserve"> - </w:t>
            </w:r>
          </w:p>
        </w:tc>
        <w:tc>
          <w:tcPr>
            <w:tcW w:w="625" w:type="dxa"/>
            <w:tcBorders>
              <w:top w:val="nil"/>
              <w:left w:val="nil"/>
              <w:bottom w:val="nil"/>
              <w:right w:val="nil"/>
            </w:tcBorders>
            <w:vAlign w:val="center"/>
          </w:tcPr>
          <w:p w14:paraId="733DA030" w14:textId="57C19676" w:rsidR="00C62636" w:rsidRPr="00677CC7" w:rsidRDefault="0028136A" w:rsidP="00C62636">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c>
          <w:tcPr>
            <w:tcW w:w="625" w:type="dxa"/>
            <w:tcBorders>
              <w:top w:val="nil"/>
              <w:left w:val="nil"/>
              <w:bottom w:val="nil"/>
              <w:right w:val="nil"/>
            </w:tcBorders>
            <w:shd w:val="clear" w:color="auto" w:fill="auto"/>
            <w:vAlign w:val="center"/>
            <w:hideMark/>
          </w:tcPr>
          <w:p w14:paraId="3A823821" w14:textId="6E98B3FB"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505</w:t>
            </w:r>
          </w:p>
        </w:tc>
      </w:tr>
      <w:tr w:rsidR="00C62636" w:rsidRPr="00677CC7" w14:paraId="7A6E1638" w14:textId="77777777" w:rsidTr="0028136A">
        <w:trPr>
          <w:gridAfter w:val="1"/>
          <w:wAfter w:w="10" w:type="dxa"/>
          <w:trHeight w:val="188"/>
          <w:jc w:val="center"/>
        </w:trPr>
        <w:tc>
          <w:tcPr>
            <w:tcW w:w="426" w:type="dxa"/>
            <w:tcBorders>
              <w:top w:val="nil"/>
              <w:left w:val="nil"/>
              <w:bottom w:val="single" w:sz="4" w:space="0" w:color="auto"/>
              <w:right w:val="nil"/>
            </w:tcBorders>
            <w:shd w:val="clear" w:color="auto" w:fill="auto"/>
            <w:textDirection w:val="btLr"/>
            <w:vAlign w:val="center"/>
            <w:hideMark/>
          </w:tcPr>
          <w:p w14:paraId="7189201B"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 </w:t>
            </w:r>
          </w:p>
        </w:tc>
        <w:tc>
          <w:tcPr>
            <w:tcW w:w="425" w:type="dxa"/>
            <w:gridSpan w:val="2"/>
            <w:vMerge/>
            <w:tcBorders>
              <w:top w:val="nil"/>
              <w:left w:val="nil"/>
              <w:bottom w:val="single" w:sz="4" w:space="0" w:color="000000"/>
              <w:right w:val="nil"/>
            </w:tcBorders>
            <w:vAlign w:val="center"/>
            <w:hideMark/>
          </w:tcPr>
          <w:p w14:paraId="34A1A0D9"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37A4742F" w14:textId="77777777" w:rsidR="00C62636" w:rsidRPr="00677CC7" w:rsidRDefault="00C62636" w:rsidP="00C62636">
            <w:pPr>
              <w:spacing w:after="0" w:line="240" w:lineRule="auto"/>
              <w:rPr>
                <w:rFonts w:ascii="Arial Narrow" w:hAnsi="Arial Narrow"/>
                <w:color w:val="000000"/>
                <w:sz w:val="20"/>
                <w:szCs w:val="20"/>
                <w:lang w:val="en-US" w:eastAsia="en-US"/>
              </w:rPr>
            </w:pPr>
            <w:r>
              <w:rPr>
                <w:rFonts w:ascii="Arial Narrow" w:hAnsi="Arial Narrow"/>
                <w:color w:val="000000"/>
                <w:sz w:val="20"/>
                <w:szCs w:val="20"/>
                <w:lang w:val="en-US" w:eastAsia="en-US"/>
              </w:rPr>
              <w:t>(</w:t>
            </w:r>
            <w:proofErr w:type="spellStart"/>
            <w:r>
              <w:rPr>
                <w:rFonts w:ascii="Arial Narrow" w:hAnsi="Arial Narrow"/>
                <w:color w:val="000000"/>
                <w:sz w:val="20"/>
                <w:szCs w:val="20"/>
                <w:lang w:val="en-US" w:eastAsia="en-US"/>
              </w:rPr>
              <w:t>priemer</w:t>
            </w:r>
            <w:proofErr w:type="spellEnd"/>
            <w:r>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dosiahnutých</w:t>
            </w:r>
            <w:proofErr w:type="spellEnd"/>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bodov</w:t>
            </w:r>
            <w:proofErr w:type="spellEnd"/>
            <w:r w:rsidRPr="00677CC7">
              <w:rPr>
                <w:rFonts w:ascii="Arial Narrow" w:hAnsi="Arial Narrow"/>
                <w:color w:val="000000"/>
                <w:sz w:val="20"/>
                <w:szCs w:val="20"/>
                <w:lang w:val="en-US" w:eastAsia="en-US"/>
              </w:rPr>
              <w:t>)</w:t>
            </w:r>
          </w:p>
        </w:tc>
        <w:tc>
          <w:tcPr>
            <w:tcW w:w="756" w:type="dxa"/>
            <w:tcBorders>
              <w:top w:val="nil"/>
              <w:left w:val="nil"/>
              <w:bottom w:val="single" w:sz="4" w:space="0" w:color="auto"/>
              <w:right w:val="nil"/>
            </w:tcBorders>
            <w:shd w:val="clear" w:color="auto" w:fill="auto"/>
            <w:vAlign w:val="center"/>
            <w:hideMark/>
          </w:tcPr>
          <w:p w14:paraId="3B09F043"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OECD</w:t>
            </w:r>
          </w:p>
        </w:tc>
        <w:tc>
          <w:tcPr>
            <w:tcW w:w="743" w:type="dxa"/>
            <w:tcBorders>
              <w:top w:val="nil"/>
              <w:left w:val="nil"/>
              <w:bottom w:val="single" w:sz="4" w:space="0" w:color="auto"/>
              <w:right w:val="nil"/>
            </w:tcBorders>
            <w:shd w:val="clear" w:color="auto" w:fill="auto"/>
            <w:vAlign w:val="center"/>
            <w:hideMark/>
          </w:tcPr>
          <w:p w14:paraId="0753153B"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nil"/>
              <w:left w:val="nil"/>
              <w:bottom w:val="nil"/>
              <w:right w:val="nil"/>
            </w:tcBorders>
            <w:shd w:val="clear" w:color="auto" w:fill="auto"/>
            <w:vAlign w:val="center"/>
            <w:hideMark/>
          </w:tcPr>
          <w:p w14:paraId="19623893" w14:textId="391DEE69"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497</w:t>
            </w:r>
          </w:p>
        </w:tc>
        <w:tc>
          <w:tcPr>
            <w:tcW w:w="625" w:type="dxa"/>
            <w:tcBorders>
              <w:top w:val="nil"/>
              <w:left w:val="nil"/>
              <w:bottom w:val="nil"/>
              <w:right w:val="nil"/>
            </w:tcBorders>
            <w:shd w:val="clear" w:color="auto" w:fill="auto"/>
            <w:vAlign w:val="center"/>
            <w:hideMark/>
          </w:tcPr>
          <w:p w14:paraId="68212575" w14:textId="3200413A"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w:t>
            </w:r>
          </w:p>
        </w:tc>
        <w:tc>
          <w:tcPr>
            <w:tcW w:w="625" w:type="dxa"/>
            <w:tcBorders>
              <w:top w:val="nil"/>
              <w:left w:val="nil"/>
              <w:bottom w:val="nil"/>
              <w:right w:val="nil"/>
            </w:tcBorders>
            <w:shd w:val="clear" w:color="auto" w:fill="auto"/>
            <w:vAlign w:val="center"/>
            <w:hideMark/>
          </w:tcPr>
          <w:p w14:paraId="5AA6F356" w14:textId="121150F6"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w:t>
            </w:r>
          </w:p>
        </w:tc>
        <w:tc>
          <w:tcPr>
            <w:tcW w:w="625" w:type="dxa"/>
            <w:tcBorders>
              <w:top w:val="nil"/>
              <w:left w:val="nil"/>
              <w:bottom w:val="nil"/>
              <w:right w:val="nil"/>
            </w:tcBorders>
            <w:shd w:val="clear" w:color="auto" w:fill="auto"/>
            <w:vAlign w:val="center"/>
            <w:hideMark/>
          </w:tcPr>
          <w:p w14:paraId="51D2116B" w14:textId="028929DD"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497</w:t>
            </w:r>
          </w:p>
        </w:tc>
        <w:tc>
          <w:tcPr>
            <w:tcW w:w="625" w:type="dxa"/>
            <w:tcBorders>
              <w:top w:val="nil"/>
              <w:left w:val="nil"/>
              <w:bottom w:val="nil"/>
              <w:right w:val="nil"/>
            </w:tcBorders>
            <w:shd w:val="clear" w:color="auto" w:fill="auto"/>
            <w:vAlign w:val="center"/>
            <w:hideMark/>
          </w:tcPr>
          <w:p w14:paraId="02F31449" w14:textId="20E4DBD8"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 xml:space="preserve"> - </w:t>
            </w:r>
          </w:p>
        </w:tc>
        <w:tc>
          <w:tcPr>
            <w:tcW w:w="625" w:type="dxa"/>
            <w:tcBorders>
              <w:top w:val="nil"/>
              <w:left w:val="nil"/>
              <w:bottom w:val="single" w:sz="4" w:space="0" w:color="auto"/>
              <w:right w:val="nil"/>
            </w:tcBorders>
            <w:shd w:val="clear" w:color="auto" w:fill="auto"/>
            <w:vAlign w:val="center"/>
            <w:hideMark/>
          </w:tcPr>
          <w:p w14:paraId="425DE2E6" w14:textId="59CE5193"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 xml:space="preserve"> - </w:t>
            </w:r>
          </w:p>
        </w:tc>
        <w:tc>
          <w:tcPr>
            <w:tcW w:w="625" w:type="dxa"/>
            <w:tcBorders>
              <w:top w:val="nil"/>
              <w:left w:val="nil"/>
              <w:bottom w:val="single" w:sz="4" w:space="0" w:color="auto"/>
              <w:right w:val="nil"/>
            </w:tcBorders>
            <w:shd w:val="clear" w:color="auto" w:fill="auto"/>
            <w:vAlign w:val="center"/>
            <w:hideMark/>
          </w:tcPr>
          <w:p w14:paraId="26D67C1B" w14:textId="6BBB269C"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492</w:t>
            </w:r>
          </w:p>
        </w:tc>
        <w:tc>
          <w:tcPr>
            <w:tcW w:w="625" w:type="dxa"/>
            <w:tcBorders>
              <w:top w:val="nil"/>
              <w:left w:val="nil"/>
              <w:bottom w:val="single" w:sz="4" w:space="0" w:color="auto"/>
              <w:right w:val="nil"/>
            </w:tcBorders>
            <w:shd w:val="clear" w:color="auto" w:fill="auto"/>
            <w:vAlign w:val="center"/>
          </w:tcPr>
          <w:p w14:paraId="0D63ED88" w14:textId="05C526B6" w:rsidR="00C62636" w:rsidRPr="00677CC7" w:rsidRDefault="00C62636" w:rsidP="00C62636">
            <w:pPr>
              <w:spacing w:after="0" w:line="240" w:lineRule="auto"/>
              <w:jc w:val="center"/>
              <w:rPr>
                <w:rFonts w:ascii="Arial Narrow" w:hAnsi="Arial Narrow"/>
                <w:color w:val="000000"/>
                <w:sz w:val="20"/>
                <w:szCs w:val="20"/>
                <w:lang w:val="en-US" w:eastAsia="en-US"/>
              </w:rPr>
            </w:pPr>
            <w:r w:rsidRPr="00412AB0">
              <w:rPr>
                <w:rFonts w:ascii="Arial Narrow" w:hAnsi="Arial Narrow"/>
                <w:color w:val="000000"/>
                <w:sz w:val="20"/>
                <w:szCs w:val="20"/>
                <w:lang w:val="en-US" w:eastAsia="en-US"/>
              </w:rPr>
              <w:t xml:space="preserve"> - </w:t>
            </w:r>
          </w:p>
        </w:tc>
        <w:tc>
          <w:tcPr>
            <w:tcW w:w="625" w:type="dxa"/>
            <w:tcBorders>
              <w:top w:val="nil"/>
              <w:left w:val="nil"/>
              <w:bottom w:val="single" w:sz="4" w:space="0" w:color="auto"/>
              <w:right w:val="nil"/>
            </w:tcBorders>
            <w:vAlign w:val="center"/>
          </w:tcPr>
          <w:p w14:paraId="49106BAC" w14:textId="38B6158B" w:rsidR="00C62636" w:rsidRPr="00677CC7" w:rsidRDefault="0028136A" w:rsidP="00C62636">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c>
          <w:tcPr>
            <w:tcW w:w="625" w:type="dxa"/>
            <w:tcBorders>
              <w:top w:val="nil"/>
              <w:left w:val="nil"/>
              <w:bottom w:val="single" w:sz="4" w:space="0" w:color="auto"/>
              <w:right w:val="nil"/>
            </w:tcBorders>
            <w:shd w:val="clear" w:color="auto" w:fill="auto"/>
            <w:vAlign w:val="center"/>
            <w:hideMark/>
          </w:tcPr>
          <w:p w14:paraId="4D9C2617" w14:textId="1E3742F5"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r w:rsidR="00C62636" w:rsidRPr="00677CC7" w14:paraId="6604E3A8" w14:textId="77777777" w:rsidTr="00E336C7">
        <w:trPr>
          <w:gridAfter w:val="1"/>
          <w:wAfter w:w="10" w:type="dxa"/>
          <w:trHeight w:val="188"/>
          <w:jc w:val="center"/>
        </w:trPr>
        <w:tc>
          <w:tcPr>
            <w:tcW w:w="426" w:type="dxa"/>
            <w:vMerge w:val="restart"/>
            <w:tcBorders>
              <w:top w:val="nil"/>
              <w:left w:val="nil"/>
              <w:bottom w:val="single" w:sz="4" w:space="0" w:color="000000"/>
              <w:right w:val="nil"/>
            </w:tcBorders>
            <w:shd w:val="clear" w:color="auto" w:fill="auto"/>
            <w:textDirection w:val="btLr"/>
            <w:vAlign w:val="center"/>
            <w:hideMark/>
          </w:tcPr>
          <w:p w14:paraId="6C5768B0"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425" w:type="dxa"/>
            <w:gridSpan w:val="2"/>
            <w:vMerge w:val="restart"/>
            <w:tcBorders>
              <w:top w:val="nil"/>
              <w:left w:val="nil"/>
              <w:bottom w:val="single" w:sz="4" w:space="0" w:color="000000"/>
              <w:right w:val="nil"/>
            </w:tcBorders>
            <w:shd w:val="clear" w:color="auto" w:fill="auto"/>
            <w:noWrap/>
            <w:vAlign w:val="center"/>
            <w:hideMark/>
          </w:tcPr>
          <w:p w14:paraId="70581C00"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5</w:t>
            </w:r>
          </w:p>
        </w:tc>
        <w:tc>
          <w:tcPr>
            <w:tcW w:w="2221" w:type="dxa"/>
            <w:tcBorders>
              <w:top w:val="nil"/>
              <w:left w:val="nil"/>
              <w:bottom w:val="nil"/>
              <w:right w:val="nil"/>
            </w:tcBorders>
            <w:shd w:val="clear" w:color="auto" w:fill="auto"/>
            <w:noWrap/>
            <w:vAlign w:val="center"/>
            <w:hideMark/>
          </w:tcPr>
          <w:p w14:paraId="7F3713C6" w14:textId="77777777" w:rsidR="00C62636" w:rsidRPr="00677CC7" w:rsidRDefault="00C62636" w:rsidP="00C62636">
            <w:pPr>
              <w:spacing w:after="0" w:line="240" w:lineRule="auto"/>
              <w:rPr>
                <w:rFonts w:ascii="Arial Narrow" w:hAnsi="Arial Narrow"/>
                <w:b/>
                <w:bCs/>
                <w:color w:val="000000"/>
                <w:sz w:val="20"/>
                <w:szCs w:val="20"/>
                <w:lang w:val="en-US" w:eastAsia="en-US"/>
              </w:rPr>
            </w:pPr>
            <w:proofErr w:type="spellStart"/>
            <w:r w:rsidRPr="00677CC7">
              <w:rPr>
                <w:rFonts w:ascii="Arial Narrow" w:hAnsi="Arial Narrow"/>
                <w:b/>
                <w:bCs/>
                <w:color w:val="000000"/>
                <w:sz w:val="20"/>
                <w:szCs w:val="20"/>
                <w:lang w:val="en-US" w:eastAsia="en-US"/>
              </w:rPr>
              <w:t>Predčasné</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ukončenie</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školskej</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dochádzky</w:t>
            </w:r>
            <w:proofErr w:type="spellEnd"/>
          </w:p>
        </w:tc>
        <w:tc>
          <w:tcPr>
            <w:tcW w:w="756" w:type="dxa"/>
            <w:tcBorders>
              <w:top w:val="nil"/>
              <w:left w:val="nil"/>
              <w:bottom w:val="nil"/>
              <w:right w:val="nil"/>
            </w:tcBorders>
            <w:shd w:val="clear" w:color="auto" w:fill="auto"/>
            <w:vAlign w:val="center"/>
            <w:hideMark/>
          </w:tcPr>
          <w:p w14:paraId="7EFE82CB"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vAlign w:val="center"/>
            <w:hideMark/>
          </w:tcPr>
          <w:p w14:paraId="04ECAD4C"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6</w:t>
            </w:r>
          </w:p>
        </w:tc>
        <w:tc>
          <w:tcPr>
            <w:tcW w:w="625" w:type="dxa"/>
            <w:tcBorders>
              <w:top w:val="single" w:sz="4" w:space="0" w:color="auto"/>
              <w:left w:val="nil"/>
              <w:bottom w:val="nil"/>
              <w:right w:val="nil"/>
            </w:tcBorders>
            <w:shd w:val="clear" w:color="auto" w:fill="auto"/>
            <w:vAlign w:val="center"/>
            <w:hideMark/>
          </w:tcPr>
          <w:p w14:paraId="06C0E05B" w14:textId="566C6468"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4,9</w:t>
            </w:r>
          </w:p>
        </w:tc>
        <w:tc>
          <w:tcPr>
            <w:tcW w:w="625" w:type="dxa"/>
            <w:tcBorders>
              <w:top w:val="single" w:sz="4" w:space="0" w:color="auto"/>
              <w:left w:val="nil"/>
              <w:bottom w:val="nil"/>
              <w:right w:val="nil"/>
            </w:tcBorders>
            <w:shd w:val="clear" w:color="auto" w:fill="auto"/>
            <w:vAlign w:val="center"/>
            <w:hideMark/>
          </w:tcPr>
          <w:p w14:paraId="306BA8D3" w14:textId="2C4E6080"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4,7</w:t>
            </w:r>
          </w:p>
        </w:tc>
        <w:tc>
          <w:tcPr>
            <w:tcW w:w="625" w:type="dxa"/>
            <w:tcBorders>
              <w:top w:val="single" w:sz="4" w:space="0" w:color="auto"/>
              <w:left w:val="nil"/>
              <w:bottom w:val="nil"/>
              <w:right w:val="nil"/>
            </w:tcBorders>
            <w:shd w:val="clear" w:color="auto" w:fill="auto"/>
            <w:vAlign w:val="center"/>
            <w:hideMark/>
          </w:tcPr>
          <w:p w14:paraId="2D386F1C" w14:textId="7C19F180"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5,1</w:t>
            </w:r>
          </w:p>
        </w:tc>
        <w:tc>
          <w:tcPr>
            <w:tcW w:w="625" w:type="dxa"/>
            <w:tcBorders>
              <w:top w:val="single" w:sz="4" w:space="0" w:color="auto"/>
              <w:left w:val="nil"/>
              <w:bottom w:val="nil"/>
              <w:right w:val="nil"/>
            </w:tcBorders>
            <w:shd w:val="clear" w:color="auto" w:fill="auto"/>
            <w:vAlign w:val="center"/>
            <w:hideMark/>
          </w:tcPr>
          <w:p w14:paraId="690B5172" w14:textId="21D84712"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5,3</w:t>
            </w:r>
          </w:p>
        </w:tc>
        <w:tc>
          <w:tcPr>
            <w:tcW w:w="625" w:type="dxa"/>
            <w:tcBorders>
              <w:top w:val="single" w:sz="4" w:space="0" w:color="auto"/>
              <w:left w:val="nil"/>
              <w:bottom w:val="nil"/>
              <w:right w:val="nil"/>
            </w:tcBorders>
            <w:shd w:val="clear" w:color="auto" w:fill="auto"/>
            <w:vAlign w:val="center"/>
            <w:hideMark/>
          </w:tcPr>
          <w:p w14:paraId="72407F2B" w14:textId="76429BBA"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6,4</w:t>
            </w:r>
          </w:p>
        </w:tc>
        <w:tc>
          <w:tcPr>
            <w:tcW w:w="625" w:type="dxa"/>
            <w:tcBorders>
              <w:top w:val="nil"/>
              <w:left w:val="nil"/>
              <w:bottom w:val="nil"/>
              <w:right w:val="nil"/>
            </w:tcBorders>
            <w:shd w:val="clear" w:color="auto" w:fill="auto"/>
            <w:vAlign w:val="center"/>
            <w:hideMark/>
          </w:tcPr>
          <w:p w14:paraId="2F5B7F05" w14:textId="34D2AAE9"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6,7</w:t>
            </w:r>
          </w:p>
        </w:tc>
        <w:tc>
          <w:tcPr>
            <w:tcW w:w="625" w:type="dxa"/>
            <w:tcBorders>
              <w:top w:val="nil"/>
              <w:left w:val="nil"/>
              <w:bottom w:val="nil"/>
              <w:right w:val="nil"/>
            </w:tcBorders>
            <w:shd w:val="clear" w:color="auto" w:fill="auto"/>
            <w:vAlign w:val="center"/>
            <w:hideMark/>
          </w:tcPr>
          <w:p w14:paraId="6424B9F5" w14:textId="67F9E60C"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6,9</w:t>
            </w:r>
          </w:p>
        </w:tc>
        <w:tc>
          <w:tcPr>
            <w:tcW w:w="625" w:type="dxa"/>
            <w:tcBorders>
              <w:top w:val="nil"/>
              <w:left w:val="nil"/>
              <w:bottom w:val="nil"/>
              <w:right w:val="nil"/>
            </w:tcBorders>
            <w:shd w:val="clear" w:color="auto" w:fill="auto"/>
            <w:vAlign w:val="center"/>
          </w:tcPr>
          <w:p w14:paraId="6FFECF5B" w14:textId="78FB42E2" w:rsidR="00C62636" w:rsidRPr="00677CC7" w:rsidRDefault="00C62636" w:rsidP="00C62636">
            <w:pPr>
              <w:spacing w:after="0" w:line="240" w:lineRule="auto"/>
              <w:jc w:val="center"/>
              <w:rPr>
                <w:rFonts w:ascii="Arial Narrow" w:hAnsi="Arial Narrow"/>
                <w:color w:val="000000"/>
                <w:sz w:val="20"/>
                <w:szCs w:val="20"/>
                <w:lang w:val="en-US" w:eastAsia="en-US"/>
              </w:rPr>
            </w:pPr>
            <w:r w:rsidRPr="00412AB0">
              <w:rPr>
                <w:rFonts w:ascii="Arial Narrow" w:hAnsi="Arial Narrow"/>
                <w:color w:val="000000"/>
                <w:sz w:val="20"/>
                <w:szCs w:val="20"/>
                <w:lang w:val="en-US" w:eastAsia="en-US"/>
              </w:rPr>
              <w:t>7,4</w:t>
            </w:r>
          </w:p>
        </w:tc>
        <w:tc>
          <w:tcPr>
            <w:tcW w:w="625" w:type="dxa"/>
            <w:tcBorders>
              <w:top w:val="nil"/>
              <w:left w:val="nil"/>
              <w:bottom w:val="nil"/>
              <w:right w:val="nil"/>
            </w:tcBorders>
          </w:tcPr>
          <w:p w14:paraId="070EF5F5"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1D65D0B8" w14:textId="15FF87F1"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6</w:t>
            </w:r>
          </w:p>
        </w:tc>
      </w:tr>
      <w:tr w:rsidR="00C62636" w:rsidRPr="00677CC7" w14:paraId="51679F59" w14:textId="77777777" w:rsidTr="00E336C7">
        <w:trPr>
          <w:gridAfter w:val="1"/>
          <w:wAfter w:w="10" w:type="dxa"/>
          <w:trHeight w:val="188"/>
          <w:jc w:val="center"/>
        </w:trPr>
        <w:tc>
          <w:tcPr>
            <w:tcW w:w="426" w:type="dxa"/>
            <w:vMerge/>
            <w:tcBorders>
              <w:top w:val="nil"/>
              <w:left w:val="nil"/>
              <w:bottom w:val="single" w:sz="4" w:space="0" w:color="000000"/>
              <w:right w:val="nil"/>
            </w:tcBorders>
            <w:vAlign w:val="center"/>
            <w:hideMark/>
          </w:tcPr>
          <w:p w14:paraId="649E8270" w14:textId="77777777" w:rsidR="00C62636" w:rsidRPr="00677CC7" w:rsidRDefault="00C62636" w:rsidP="00C62636">
            <w:pPr>
              <w:spacing w:after="0" w:line="240" w:lineRule="auto"/>
              <w:rPr>
                <w:rFonts w:ascii="Arial Narrow" w:hAnsi="Arial Narrow"/>
                <w:b/>
                <w:bCs/>
                <w:color w:val="000000"/>
                <w:sz w:val="20"/>
                <w:szCs w:val="20"/>
                <w:lang w:val="en-US" w:eastAsia="en-US"/>
              </w:rPr>
            </w:pPr>
          </w:p>
        </w:tc>
        <w:tc>
          <w:tcPr>
            <w:tcW w:w="425" w:type="dxa"/>
            <w:gridSpan w:val="2"/>
            <w:vMerge/>
            <w:tcBorders>
              <w:top w:val="nil"/>
              <w:left w:val="nil"/>
              <w:bottom w:val="single" w:sz="4" w:space="0" w:color="000000"/>
              <w:right w:val="nil"/>
            </w:tcBorders>
            <w:vAlign w:val="center"/>
            <w:hideMark/>
          </w:tcPr>
          <w:p w14:paraId="2FFEFDCC"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645B3F4B" w14:textId="77777777" w:rsidR="00C62636" w:rsidRPr="00677CC7" w:rsidRDefault="00C62636" w:rsidP="00C62636">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vo</w:t>
            </w:r>
            <w:proofErr w:type="spellEnd"/>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vekovej</w:t>
            </w:r>
            <w:proofErr w:type="spellEnd"/>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skupine</w:t>
            </w:r>
            <w:proofErr w:type="spellEnd"/>
            <w:r w:rsidRPr="00677CC7">
              <w:rPr>
                <w:rFonts w:ascii="Arial Narrow" w:hAnsi="Arial Narrow"/>
                <w:color w:val="000000"/>
                <w:sz w:val="20"/>
                <w:szCs w:val="20"/>
                <w:lang w:val="en-US" w:eastAsia="en-US"/>
              </w:rPr>
              <w:t xml:space="preserve"> 18 - 24 </w:t>
            </w:r>
            <w:proofErr w:type="spellStart"/>
            <w:r w:rsidRPr="00677CC7">
              <w:rPr>
                <w:rFonts w:ascii="Arial Narrow" w:hAnsi="Arial Narrow"/>
                <w:color w:val="000000"/>
                <w:sz w:val="20"/>
                <w:szCs w:val="20"/>
                <w:lang w:val="en-US" w:eastAsia="en-US"/>
              </w:rPr>
              <w:t>rokov</w:t>
            </w:r>
            <w:proofErr w:type="spellEnd"/>
            <w:r w:rsidRPr="00677CC7">
              <w:rPr>
                <w:rFonts w:ascii="Arial Narrow" w:hAnsi="Arial Narrow"/>
                <w:color w:val="000000"/>
                <w:sz w:val="20"/>
                <w:szCs w:val="20"/>
                <w:lang w:val="en-US" w:eastAsia="en-US"/>
              </w:rPr>
              <w:t>)</w:t>
            </w:r>
          </w:p>
        </w:tc>
        <w:tc>
          <w:tcPr>
            <w:tcW w:w="756" w:type="dxa"/>
            <w:tcBorders>
              <w:top w:val="nil"/>
              <w:left w:val="nil"/>
              <w:bottom w:val="single" w:sz="4" w:space="0" w:color="auto"/>
              <w:right w:val="nil"/>
            </w:tcBorders>
            <w:shd w:val="clear" w:color="auto" w:fill="auto"/>
            <w:vAlign w:val="center"/>
            <w:hideMark/>
          </w:tcPr>
          <w:p w14:paraId="1B980554"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shd w:val="clear" w:color="auto" w:fill="auto"/>
            <w:vAlign w:val="center"/>
            <w:hideMark/>
          </w:tcPr>
          <w:p w14:paraId="32111C44"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14,7</w:t>
            </w:r>
          </w:p>
        </w:tc>
        <w:tc>
          <w:tcPr>
            <w:tcW w:w="625" w:type="dxa"/>
            <w:tcBorders>
              <w:top w:val="nil"/>
              <w:left w:val="nil"/>
              <w:bottom w:val="nil"/>
              <w:right w:val="nil"/>
            </w:tcBorders>
            <w:shd w:val="clear" w:color="auto" w:fill="auto"/>
            <w:vAlign w:val="center"/>
            <w:hideMark/>
          </w:tcPr>
          <w:p w14:paraId="557631BF" w14:textId="279042A3"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14,2</w:t>
            </w:r>
          </w:p>
        </w:tc>
        <w:tc>
          <w:tcPr>
            <w:tcW w:w="625" w:type="dxa"/>
            <w:tcBorders>
              <w:top w:val="nil"/>
              <w:left w:val="nil"/>
              <w:bottom w:val="nil"/>
              <w:right w:val="nil"/>
            </w:tcBorders>
            <w:shd w:val="clear" w:color="auto" w:fill="auto"/>
            <w:vAlign w:val="center"/>
            <w:hideMark/>
          </w:tcPr>
          <w:p w14:paraId="325F4C72" w14:textId="4EFC2970"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13,9</w:t>
            </w:r>
          </w:p>
        </w:tc>
        <w:tc>
          <w:tcPr>
            <w:tcW w:w="625" w:type="dxa"/>
            <w:tcBorders>
              <w:top w:val="nil"/>
              <w:left w:val="nil"/>
              <w:bottom w:val="nil"/>
              <w:right w:val="nil"/>
            </w:tcBorders>
            <w:shd w:val="clear" w:color="auto" w:fill="auto"/>
            <w:vAlign w:val="center"/>
            <w:hideMark/>
          </w:tcPr>
          <w:p w14:paraId="0D048603" w14:textId="22685E3D"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13,4</w:t>
            </w:r>
          </w:p>
        </w:tc>
        <w:tc>
          <w:tcPr>
            <w:tcW w:w="625" w:type="dxa"/>
            <w:tcBorders>
              <w:top w:val="nil"/>
              <w:left w:val="nil"/>
              <w:bottom w:val="nil"/>
              <w:right w:val="nil"/>
            </w:tcBorders>
            <w:shd w:val="clear" w:color="auto" w:fill="auto"/>
            <w:vAlign w:val="center"/>
            <w:hideMark/>
          </w:tcPr>
          <w:p w14:paraId="0195D758" w14:textId="6816112E"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12,7</w:t>
            </w:r>
          </w:p>
        </w:tc>
        <w:tc>
          <w:tcPr>
            <w:tcW w:w="625" w:type="dxa"/>
            <w:tcBorders>
              <w:top w:val="nil"/>
              <w:left w:val="nil"/>
              <w:bottom w:val="nil"/>
              <w:right w:val="nil"/>
            </w:tcBorders>
            <w:shd w:val="clear" w:color="auto" w:fill="auto"/>
            <w:vAlign w:val="center"/>
            <w:hideMark/>
          </w:tcPr>
          <w:p w14:paraId="6C72EB8F" w14:textId="158A0D8F"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11,9</w:t>
            </w:r>
          </w:p>
        </w:tc>
        <w:tc>
          <w:tcPr>
            <w:tcW w:w="625" w:type="dxa"/>
            <w:tcBorders>
              <w:top w:val="nil"/>
              <w:left w:val="nil"/>
              <w:bottom w:val="single" w:sz="4" w:space="0" w:color="auto"/>
              <w:right w:val="nil"/>
            </w:tcBorders>
            <w:shd w:val="clear" w:color="auto" w:fill="auto"/>
            <w:vAlign w:val="center"/>
            <w:hideMark/>
          </w:tcPr>
          <w:p w14:paraId="0FC3CDAE" w14:textId="0E440656"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11,2</w:t>
            </w:r>
          </w:p>
        </w:tc>
        <w:tc>
          <w:tcPr>
            <w:tcW w:w="625" w:type="dxa"/>
            <w:tcBorders>
              <w:top w:val="nil"/>
              <w:left w:val="nil"/>
              <w:bottom w:val="single" w:sz="4" w:space="0" w:color="auto"/>
              <w:right w:val="nil"/>
            </w:tcBorders>
            <w:shd w:val="clear" w:color="auto" w:fill="auto"/>
            <w:vAlign w:val="center"/>
            <w:hideMark/>
          </w:tcPr>
          <w:p w14:paraId="65B64D79" w14:textId="24A2E31F"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11</w:t>
            </w:r>
          </w:p>
        </w:tc>
        <w:tc>
          <w:tcPr>
            <w:tcW w:w="625" w:type="dxa"/>
            <w:tcBorders>
              <w:top w:val="nil"/>
              <w:left w:val="nil"/>
              <w:bottom w:val="single" w:sz="4" w:space="0" w:color="auto"/>
              <w:right w:val="nil"/>
            </w:tcBorders>
            <w:shd w:val="clear" w:color="auto" w:fill="auto"/>
            <w:vAlign w:val="center"/>
          </w:tcPr>
          <w:p w14:paraId="1DC6FCD1" w14:textId="17EFEE50" w:rsidR="00C62636" w:rsidRPr="00677CC7" w:rsidRDefault="00C62636" w:rsidP="00C62636">
            <w:pPr>
              <w:spacing w:after="0" w:line="240" w:lineRule="auto"/>
              <w:jc w:val="center"/>
              <w:rPr>
                <w:rFonts w:ascii="Arial Narrow" w:hAnsi="Arial Narrow"/>
                <w:color w:val="000000"/>
                <w:sz w:val="20"/>
                <w:szCs w:val="20"/>
                <w:lang w:val="en-US" w:eastAsia="en-US"/>
              </w:rPr>
            </w:pPr>
            <w:r w:rsidRPr="00412AB0">
              <w:rPr>
                <w:rFonts w:ascii="Arial Narrow" w:hAnsi="Arial Narrow"/>
                <w:color w:val="000000"/>
                <w:sz w:val="20"/>
                <w:szCs w:val="20"/>
                <w:lang w:val="en-US" w:eastAsia="en-US"/>
              </w:rPr>
              <w:t>10,7</w:t>
            </w:r>
          </w:p>
        </w:tc>
        <w:tc>
          <w:tcPr>
            <w:tcW w:w="625" w:type="dxa"/>
            <w:tcBorders>
              <w:top w:val="nil"/>
              <w:left w:val="nil"/>
              <w:bottom w:val="single" w:sz="4" w:space="0" w:color="auto"/>
              <w:right w:val="nil"/>
            </w:tcBorders>
          </w:tcPr>
          <w:p w14:paraId="3054978A"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hideMark/>
          </w:tcPr>
          <w:p w14:paraId="75DD99F1" w14:textId="63FE5D77"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10</w:t>
            </w:r>
          </w:p>
        </w:tc>
      </w:tr>
      <w:tr w:rsidR="00C62636" w:rsidRPr="00677CC7" w14:paraId="6268BF75" w14:textId="77777777" w:rsidTr="00E336C7">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0F58E949"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p>
        </w:tc>
        <w:tc>
          <w:tcPr>
            <w:tcW w:w="425" w:type="dxa"/>
            <w:gridSpan w:val="2"/>
            <w:vMerge w:val="restart"/>
            <w:tcBorders>
              <w:top w:val="nil"/>
              <w:left w:val="nil"/>
              <w:bottom w:val="single" w:sz="4" w:space="0" w:color="000000"/>
              <w:right w:val="nil"/>
            </w:tcBorders>
            <w:shd w:val="clear" w:color="auto" w:fill="auto"/>
            <w:noWrap/>
            <w:vAlign w:val="center"/>
            <w:hideMark/>
          </w:tcPr>
          <w:p w14:paraId="60FA41BA"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6</w:t>
            </w:r>
          </w:p>
        </w:tc>
        <w:tc>
          <w:tcPr>
            <w:tcW w:w="2221" w:type="dxa"/>
            <w:tcBorders>
              <w:top w:val="nil"/>
              <w:left w:val="nil"/>
              <w:bottom w:val="nil"/>
              <w:right w:val="nil"/>
            </w:tcBorders>
            <w:shd w:val="clear" w:color="auto" w:fill="auto"/>
            <w:noWrap/>
            <w:vAlign w:val="center"/>
            <w:hideMark/>
          </w:tcPr>
          <w:p w14:paraId="7BB85CDA" w14:textId="77777777" w:rsidR="00C62636" w:rsidRPr="00677CC7" w:rsidRDefault="00C62636" w:rsidP="00C62636">
            <w:pPr>
              <w:spacing w:after="0" w:line="240" w:lineRule="auto"/>
              <w:rPr>
                <w:rFonts w:ascii="Arial Narrow" w:hAnsi="Arial Narrow"/>
                <w:b/>
                <w:bCs/>
                <w:color w:val="000000"/>
                <w:sz w:val="20"/>
                <w:szCs w:val="20"/>
                <w:lang w:val="en-US" w:eastAsia="en-US"/>
              </w:rPr>
            </w:pPr>
            <w:proofErr w:type="spellStart"/>
            <w:r w:rsidRPr="00677CC7">
              <w:rPr>
                <w:rFonts w:ascii="Arial Narrow" w:hAnsi="Arial Narrow"/>
                <w:b/>
                <w:bCs/>
                <w:color w:val="000000"/>
                <w:sz w:val="20"/>
                <w:szCs w:val="20"/>
                <w:lang w:val="en-US" w:eastAsia="en-US"/>
              </w:rPr>
              <w:t>Citácie</w:t>
            </w:r>
            <w:proofErr w:type="spellEnd"/>
          </w:p>
        </w:tc>
        <w:tc>
          <w:tcPr>
            <w:tcW w:w="756" w:type="dxa"/>
            <w:tcBorders>
              <w:top w:val="nil"/>
              <w:left w:val="nil"/>
              <w:bottom w:val="nil"/>
              <w:right w:val="nil"/>
            </w:tcBorders>
            <w:shd w:val="clear" w:color="auto" w:fill="auto"/>
            <w:vAlign w:val="center"/>
            <w:hideMark/>
          </w:tcPr>
          <w:p w14:paraId="6ACF00B1"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noWrap/>
            <w:vAlign w:val="center"/>
            <w:hideMark/>
          </w:tcPr>
          <w:p w14:paraId="225A7CEA"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40</w:t>
            </w:r>
          </w:p>
        </w:tc>
        <w:tc>
          <w:tcPr>
            <w:tcW w:w="625" w:type="dxa"/>
            <w:tcBorders>
              <w:top w:val="single" w:sz="4" w:space="0" w:color="auto"/>
              <w:left w:val="nil"/>
              <w:bottom w:val="nil"/>
              <w:right w:val="nil"/>
            </w:tcBorders>
            <w:shd w:val="clear" w:color="auto" w:fill="auto"/>
            <w:noWrap/>
            <w:vAlign w:val="center"/>
            <w:hideMark/>
          </w:tcPr>
          <w:p w14:paraId="0476E52B" w14:textId="1CB8F4A9"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35</w:t>
            </w:r>
          </w:p>
        </w:tc>
        <w:tc>
          <w:tcPr>
            <w:tcW w:w="625" w:type="dxa"/>
            <w:tcBorders>
              <w:top w:val="single" w:sz="4" w:space="0" w:color="auto"/>
              <w:left w:val="nil"/>
              <w:bottom w:val="nil"/>
              <w:right w:val="nil"/>
            </w:tcBorders>
            <w:shd w:val="clear" w:color="auto" w:fill="auto"/>
            <w:noWrap/>
            <w:vAlign w:val="center"/>
            <w:hideMark/>
          </w:tcPr>
          <w:p w14:paraId="60425306" w14:textId="4629318C"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34</w:t>
            </w:r>
          </w:p>
        </w:tc>
        <w:tc>
          <w:tcPr>
            <w:tcW w:w="625" w:type="dxa"/>
            <w:tcBorders>
              <w:top w:val="single" w:sz="4" w:space="0" w:color="auto"/>
              <w:left w:val="nil"/>
              <w:bottom w:val="nil"/>
              <w:right w:val="nil"/>
            </w:tcBorders>
            <w:shd w:val="clear" w:color="auto" w:fill="auto"/>
            <w:noWrap/>
            <w:vAlign w:val="center"/>
            <w:hideMark/>
          </w:tcPr>
          <w:p w14:paraId="6B77F40E" w14:textId="0D4E0098"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35</w:t>
            </w:r>
          </w:p>
        </w:tc>
        <w:tc>
          <w:tcPr>
            <w:tcW w:w="625" w:type="dxa"/>
            <w:tcBorders>
              <w:top w:val="single" w:sz="4" w:space="0" w:color="auto"/>
              <w:left w:val="nil"/>
              <w:bottom w:val="nil"/>
              <w:right w:val="nil"/>
            </w:tcBorders>
            <w:shd w:val="clear" w:color="auto" w:fill="auto"/>
            <w:noWrap/>
            <w:vAlign w:val="center"/>
            <w:hideMark/>
          </w:tcPr>
          <w:p w14:paraId="73DAA5FC" w14:textId="46337001"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45</w:t>
            </w:r>
          </w:p>
        </w:tc>
        <w:tc>
          <w:tcPr>
            <w:tcW w:w="625" w:type="dxa"/>
            <w:tcBorders>
              <w:top w:val="single" w:sz="4" w:space="0" w:color="auto"/>
              <w:left w:val="nil"/>
              <w:bottom w:val="nil"/>
              <w:right w:val="nil"/>
            </w:tcBorders>
            <w:shd w:val="clear" w:color="auto" w:fill="auto"/>
            <w:noWrap/>
            <w:vAlign w:val="center"/>
            <w:hideMark/>
          </w:tcPr>
          <w:p w14:paraId="261E99C7" w14:textId="05A403C6"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47</w:t>
            </w:r>
          </w:p>
        </w:tc>
        <w:tc>
          <w:tcPr>
            <w:tcW w:w="625" w:type="dxa"/>
            <w:tcBorders>
              <w:top w:val="nil"/>
              <w:left w:val="nil"/>
              <w:bottom w:val="nil"/>
              <w:right w:val="nil"/>
            </w:tcBorders>
            <w:shd w:val="clear" w:color="auto" w:fill="auto"/>
            <w:noWrap/>
            <w:vAlign w:val="center"/>
            <w:hideMark/>
          </w:tcPr>
          <w:p w14:paraId="7EFE2A0D" w14:textId="02C69A68"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44</w:t>
            </w:r>
          </w:p>
        </w:tc>
        <w:tc>
          <w:tcPr>
            <w:tcW w:w="625" w:type="dxa"/>
            <w:tcBorders>
              <w:top w:val="nil"/>
              <w:left w:val="nil"/>
              <w:bottom w:val="nil"/>
              <w:right w:val="nil"/>
            </w:tcBorders>
            <w:shd w:val="clear" w:color="auto" w:fill="auto"/>
            <w:noWrap/>
            <w:vAlign w:val="center"/>
            <w:hideMark/>
          </w:tcPr>
          <w:p w14:paraId="77A02EDA" w14:textId="5D131928"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50</w:t>
            </w:r>
          </w:p>
        </w:tc>
        <w:tc>
          <w:tcPr>
            <w:tcW w:w="625" w:type="dxa"/>
            <w:tcBorders>
              <w:top w:val="nil"/>
              <w:left w:val="nil"/>
              <w:bottom w:val="nil"/>
              <w:right w:val="nil"/>
            </w:tcBorders>
            <w:shd w:val="clear" w:color="auto" w:fill="auto"/>
            <w:noWrap/>
            <w:vAlign w:val="center"/>
          </w:tcPr>
          <w:p w14:paraId="57326465" w14:textId="40B8FC05" w:rsidR="00C62636" w:rsidRPr="00677CC7" w:rsidRDefault="00C62636" w:rsidP="00C62636">
            <w:pPr>
              <w:spacing w:after="0" w:line="240" w:lineRule="auto"/>
              <w:jc w:val="center"/>
              <w:rPr>
                <w:rFonts w:ascii="Arial Narrow" w:hAnsi="Arial Narrow"/>
                <w:color w:val="000000"/>
                <w:sz w:val="20"/>
                <w:szCs w:val="20"/>
                <w:lang w:val="en-US" w:eastAsia="en-US"/>
              </w:rPr>
            </w:pPr>
            <w:r w:rsidRPr="00412AB0">
              <w:rPr>
                <w:rFonts w:ascii="Arial Narrow" w:hAnsi="Arial Narrow"/>
                <w:color w:val="000000"/>
                <w:sz w:val="20"/>
                <w:szCs w:val="20"/>
                <w:lang w:val="en-US" w:eastAsia="en-US"/>
              </w:rPr>
              <w:t>55</w:t>
            </w:r>
          </w:p>
        </w:tc>
        <w:tc>
          <w:tcPr>
            <w:tcW w:w="625" w:type="dxa"/>
            <w:tcBorders>
              <w:top w:val="nil"/>
              <w:left w:val="nil"/>
              <w:bottom w:val="nil"/>
              <w:right w:val="nil"/>
            </w:tcBorders>
          </w:tcPr>
          <w:p w14:paraId="7FBFD715"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434252A1" w14:textId="384665E5"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70</w:t>
            </w:r>
          </w:p>
        </w:tc>
      </w:tr>
      <w:tr w:rsidR="00C62636" w:rsidRPr="00677CC7" w14:paraId="30E7F45B" w14:textId="77777777" w:rsidTr="00E336C7">
        <w:trPr>
          <w:gridAfter w:val="1"/>
          <w:wAfter w:w="10" w:type="dxa"/>
          <w:trHeight w:val="326"/>
          <w:jc w:val="center"/>
        </w:trPr>
        <w:tc>
          <w:tcPr>
            <w:tcW w:w="426" w:type="dxa"/>
            <w:tcBorders>
              <w:top w:val="nil"/>
              <w:left w:val="nil"/>
              <w:bottom w:val="single" w:sz="4" w:space="0" w:color="auto"/>
              <w:right w:val="nil"/>
            </w:tcBorders>
            <w:shd w:val="clear" w:color="auto" w:fill="auto"/>
            <w:textDirection w:val="btLr"/>
            <w:vAlign w:val="center"/>
            <w:hideMark/>
          </w:tcPr>
          <w:p w14:paraId="6785C497"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 </w:t>
            </w:r>
          </w:p>
        </w:tc>
        <w:tc>
          <w:tcPr>
            <w:tcW w:w="425" w:type="dxa"/>
            <w:gridSpan w:val="2"/>
            <w:vMerge/>
            <w:tcBorders>
              <w:top w:val="nil"/>
              <w:left w:val="nil"/>
              <w:bottom w:val="single" w:sz="4" w:space="0" w:color="000000"/>
              <w:right w:val="nil"/>
            </w:tcBorders>
            <w:vAlign w:val="center"/>
            <w:hideMark/>
          </w:tcPr>
          <w:p w14:paraId="11D3D3F0"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06765411" w14:textId="77777777" w:rsidR="00C62636" w:rsidRPr="00677CC7" w:rsidRDefault="00C62636" w:rsidP="00C62636">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100 = </w:t>
            </w:r>
            <w:proofErr w:type="spellStart"/>
            <w:r w:rsidRPr="00677CC7">
              <w:rPr>
                <w:rFonts w:ascii="Arial Narrow" w:hAnsi="Arial Narrow"/>
                <w:color w:val="000000"/>
                <w:sz w:val="20"/>
                <w:szCs w:val="20"/>
                <w:lang w:val="en-US" w:eastAsia="en-US"/>
              </w:rPr>
              <w:t>priemer</w:t>
            </w:r>
            <w:proofErr w:type="spellEnd"/>
            <w:r w:rsidRPr="00677CC7">
              <w:rPr>
                <w:rFonts w:ascii="Arial Narrow" w:hAnsi="Arial Narrow"/>
                <w:color w:val="000000"/>
                <w:sz w:val="20"/>
                <w:szCs w:val="20"/>
                <w:lang w:val="en-US" w:eastAsia="en-US"/>
              </w:rPr>
              <w:t xml:space="preserve"> EÚ)</w:t>
            </w:r>
          </w:p>
        </w:tc>
        <w:tc>
          <w:tcPr>
            <w:tcW w:w="756" w:type="dxa"/>
            <w:tcBorders>
              <w:top w:val="nil"/>
              <w:left w:val="nil"/>
              <w:bottom w:val="single" w:sz="4" w:space="0" w:color="auto"/>
              <w:right w:val="nil"/>
            </w:tcBorders>
            <w:shd w:val="clear" w:color="auto" w:fill="auto"/>
            <w:vAlign w:val="center"/>
            <w:hideMark/>
          </w:tcPr>
          <w:p w14:paraId="0483B44C"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shd w:val="clear" w:color="auto" w:fill="auto"/>
            <w:vAlign w:val="center"/>
            <w:hideMark/>
          </w:tcPr>
          <w:p w14:paraId="4BA869DA"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w:t>
            </w:r>
          </w:p>
        </w:tc>
        <w:tc>
          <w:tcPr>
            <w:tcW w:w="625" w:type="dxa"/>
            <w:tcBorders>
              <w:top w:val="nil"/>
              <w:left w:val="nil"/>
              <w:bottom w:val="nil"/>
              <w:right w:val="nil"/>
            </w:tcBorders>
            <w:shd w:val="clear" w:color="auto" w:fill="auto"/>
            <w:vAlign w:val="center"/>
            <w:hideMark/>
          </w:tcPr>
          <w:p w14:paraId="16F1AA69" w14:textId="59EE5D06"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w:t>
            </w:r>
          </w:p>
        </w:tc>
        <w:tc>
          <w:tcPr>
            <w:tcW w:w="625" w:type="dxa"/>
            <w:tcBorders>
              <w:top w:val="nil"/>
              <w:left w:val="nil"/>
              <w:bottom w:val="nil"/>
              <w:right w:val="nil"/>
            </w:tcBorders>
            <w:shd w:val="clear" w:color="auto" w:fill="auto"/>
            <w:vAlign w:val="center"/>
            <w:hideMark/>
          </w:tcPr>
          <w:p w14:paraId="50234C4B" w14:textId="73A9F2FE"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w:t>
            </w:r>
          </w:p>
        </w:tc>
        <w:tc>
          <w:tcPr>
            <w:tcW w:w="625" w:type="dxa"/>
            <w:tcBorders>
              <w:top w:val="nil"/>
              <w:left w:val="nil"/>
              <w:bottom w:val="nil"/>
              <w:right w:val="nil"/>
            </w:tcBorders>
            <w:shd w:val="clear" w:color="auto" w:fill="auto"/>
            <w:vAlign w:val="center"/>
            <w:hideMark/>
          </w:tcPr>
          <w:p w14:paraId="7532C464" w14:textId="67A6462C"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w:t>
            </w:r>
          </w:p>
        </w:tc>
        <w:tc>
          <w:tcPr>
            <w:tcW w:w="625" w:type="dxa"/>
            <w:tcBorders>
              <w:top w:val="nil"/>
              <w:left w:val="nil"/>
              <w:bottom w:val="nil"/>
              <w:right w:val="nil"/>
            </w:tcBorders>
            <w:shd w:val="clear" w:color="auto" w:fill="auto"/>
            <w:vAlign w:val="center"/>
            <w:hideMark/>
          </w:tcPr>
          <w:p w14:paraId="37A526CA" w14:textId="3220891C"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 xml:space="preserve"> - </w:t>
            </w:r>
          </w:p>
        </w:tc>
        <w:tc>
          <w:tcPr>
            <w:tcW w:w="625" w:type="dxa"/>
            <w:tcBorders>
              <w:top w:val="nil"/>
              <w:left w:val="nil"/>
              <w:bottom w:val="nil"/>
              <w:right w:val="nil"/>
            </w:tcBorders>
            <w:shd w:val="clear" w:color="auto" w:fill="auto"/>
            <w:vAlign w:val="center"/>
            <w:hideMark/>
          </w:tcPr>
          <w:p w14:paraId="55CDF3F7" w14:textId="0CDD129D"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 xml:space="preserve"> - </w:t>
            </w:r>
          </w:p>
        </w:tc>
        <w:tc>
          <w:tcPr>
            <w:tcW w:w="625" w:type="dxa"/>
            <w:tcBorders>
              <w:top w:val="nil"/>
              <w:left w:val="nil"/>
              <w:bottom w:val="single" w:sz="4" w:space="0" w:color="auto"/>
              <w:right w:val="nil"/>
            </w:tcBorders>
            <w:shd w:val="clear" w:color="auto" w:fill="auto"/>
            <w:vAlign w:val="center"/>
            <w:hideMark/>
          </w:tcPr>
          <w:p w14:paraId="591529BD" w14:textId="17551529"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 xml:space="preserve"> - </w:t>
            </w:r>
          </w:p>
        </w:tc>
        <w:tc>
          <w:tcPr>
            <w:tcW w:w="625" w:type="dxa"/>
            <w:tcBorders>
              <w:top w:val="nil"/>
              <w:left w:val="nil"/>
              <w:bottom w:val="single" w:sz="4" w:space="0" w:color="auto"/>
              <w:right w:val="nil"/>
            </w:tcBorders>
            <w:shd w:val="clear" w:color="auto" w:fill="auto"/>
            <w:vAlign w:val="center"/>
            <w:hideMark/>
          </w:tcPr>
          <w:p w14:paraId="1BEF1DCA" w14:textId="0A07468D"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 xml:space="preserve"> - </w:t>
            </w:r>
          </w:p>
        </w:tc>
        <w:tc>
          <w:tcPr>
            <w:tcW w:w="625" w:type="dxa"/>
            <w:tcBorders>
              <w:top w:val="nil"/>
              <w:left w:val="nil"/>
              <w:bottom w:val="single" w:sz="4" w:space="0" w:color="auto"/>
              <w:right w:val="nil"/>
            </w:tcBorders>
            <w:shd w:val="clear" w:color="auto" w:fill="auto"/>
            <w:noWrap/>
            <w:vAlign w:val="center"/>
          </w:tcPr>
          <w:p w14:paraId="3F5697F6" w14:textId="542A3A4E" w:rsidR="00C62636" w:rsidRPr="00677CC7" w:rsidRDefault="00C62636" w:rsidP="00C62636">
            <w:pPr>
              <w:spacing w:after="0" w:line="240" w:lineRule="auto"/>
              <w:jc w:val="center"/>
              <w:rPr>
                <w:rFonts w:ascii="Arial Narrow" w:hAnsi="Arial Narrow"/>
                <w:color w:val="000000"/>
                <w:sz w:val="20"/>
                <w:szCs w:val="20"/>
                <w:lang w:val="en-US" w:eastAsia="en-US"/>
              </w:rPr>
            </w:pPr>
            <w:r w:rsidRPr="00412AB0">
              <w:rPr>
                <w:rFonts w:ascii="Arial Narrow" w:hAnsi="Arial Narrow"/>
                <w:color w:val="000000"/>
                <w:sz w:val="20"/>
                <w:szCs w:val="20"/>
                <w:lang w:val="en-US" w:eastAsia="en-US"/>
              </w:rPr>
              <w:t xml:space="preserve"> - </w:t>
            </w:r>
          </w:p>
        </w:tc>
        <w:tc>
          <w:tcPr>
            <w:tcW w:w="625" w:type="dxa"/>
            <w:tcBorders>
              <w:top w:val="nil"/>
              <w:left w:val="nil"/>
              <w:bottom w:val="single" w:sz="4" w:space="0" w:color="auto"/>
              <w:right w:val="nil"/>
            </w:tcBorders>
          </w:tcPr>
          <w:p w14:paraId="2CBAEA5F"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hideMark/>
          </w:tcPr>
          <w:p w14:paraId="7810A071" w14:textId="7DAB391C"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r w:rsidR="00C62636" w:rsidRPr="00677CC7" w14:paraId="1898E938" w14:textId="77777777" w:rsidTr="00E336C7">
        <w:trPr>
          <w:gridAfter w:val="1"/>
          <w:wAfter w:w="10" w:type="dxa"/>
          <w:trHeight w:val="188"/>
          <w:jc w:val="center"/>
        </w:trPr>
        <w:tc>
          <w:tcPr>
            <w:tcW w:w="426" w:type="dxa"/>
            <w:vMerge w:val="restart"/>
            <w:tcBorders>
              <w:top w:val="nil"/>
              <w:left w:val="nil"/>
              <w:bottom w:val="single" w:sz="4" w:space="0" w:color="000000"/>
              <w:right w:val="nil"/>
            </w:tcBorders>
            <w:shd w:val="clear" w:color="auto" w:fill="auto"/>
            <w:textDirection w:val="btLr"/>
            <w:vAlign w:val="center"/>
            <w:hideMark/>
          </w:tcPr>
          <w:p w14:paraId="4D9610B6"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425" w:type="dxa"/>
            <w:gridSpan w:val="2"/>
            <w:vMerge w:val="restart"/>
            <w:tcBorders>
              <w:top w:val="nil"/>
              <w:left w:val="nil"/>
              <w:bottom w:val="single" w:sz="4" w:space="0" w:color="000000"/>
              <w:right w:val="nil"/>
            </w:tcBorders>
            <w:shd w:val="clear" w:color="auto" w:fill="auto"/>
            <w:noWrap/>
            <w:vAlign w:val="center"/>
            <w:hideMark/>
          </w:tcPr>
          <w:p w14:paraId="110C052A"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7</w:t>
            </w:r>
          </w:p>
        </w:tc>
        <w:tc>
          <w:tcPr>
            <w:tcW w:w="2221" w:type="dxa"/>
            <w:tcBorders>
              <w:top w:val="nil"/>
              <w:left w:val="nil"/>
              <w:bottom w:val="nil"/>
              <w:right w:val="nil"/>
            </w:tcBorders>
            <w:shd w:val="clear" w:color="auto" w:fill="auto"/>
            <w:noWrap/>
            <w:vAlign w:val="center"/>
            <w:hideMark/>
          </w:tcPr>
          <w:p w14:paraId="152ED714" w14:textId="77777777" w:rsidR="00C62636" w:rsidRPr="00677CC7" w:rsidRDefault="00C62636" w:rsidP="00C62636">
            <w:pPr>
              <w:spacing w:after="0" w:line="240" w:lineRule="auto"/>
              <w:rPr>
                <w:rFonts w:ascii="Arial Narrow" w:hAnsi="Arial Narrow"/>
                <w:b/>
                <w:bCs/>
                <w:color w:val="000000"/>
                <w:sz w:val="20"/>
                <w:szCs w:val="20"/>
                <w:lang w:val="en-US" w:eastAsia="en-US"/>
              </w:rPr>
            </w:pPr>
            <w:proofErr w:type="spellStart"/>
            <w:r w:rsidRPr="00677CC7">
              <w:rPr>
                <w:rFonts w:ascii="Arial Narrow" w:hAnsi="Arial Narrow"/>
                <w:b/>
                <w:bCs/>
                <w:color w:val="000000"/>
                <w:sz w:val="20"/>
                <w:szCs w:val="20"/>
                <w:lang w:val="en-US" w:eastAsia="en-US"/>
              </w:rPr>
              <w:t>Miera</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vysokoškolsky</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vzdelanej</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populácie</w:t>
            </w:r>
            <w:proofErr w:type="spellEnd"/>
          </w:p>
        </w:tc>
        <w:tc>
          <w:tcPr>
            <w:tcW w:w="756" w:type="dxa"/>
            <w:tcBorders>
              <w:top w:val="nil"/>
              <w:left w:val="nil"/>
              <w:bottom w:val="nil"/>
              <w:right w:val="nil"/>
            </w:tcBorders>
            <w:shd w:val="clear" w:color="auto" w:fill="auto"/>
            <w:vAlign w:val="center"/>
            <w:hideMark/>
          </w:tcPr>
          <w:p w14:paraId="40FDE44C"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vAlign w:val="center"/>
            <w:hideMark/>
          </w:tcPr>
          <w:p w14:paraId="672BFCC4"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15,8</w:t>
            </w:r>
          </w:p>
        </w:tc>
        <w:tc>
          <w:tcPr>
            <w:tcW w:w="625" w:type="dxa"/>
            <w:tcBorders>
              <w:top w:val="single" w:sz="4" w:space="0" w:color="auto"/>
              <w:left w:val="nil"/>
              <w:bottom w:val="nil"/>
              <w:right w:val="nil"/>
            </w:tcBorders>
            <w:shd w:val="clear" w:color="auto" w:fill="auto"/>
            <w:vAlign w:val="center"/>
            <w:hideMark/>
          </w:tcPr>
          <w:p w14:paraId="1D8CDE25" w14:textId="21FFBEAA"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17,6</w:t>
            </w:r>
          </w:p>
        </w:tc>
        <w:tc>
          <w:tcPr>
            <w:tcW w:w="625" w:type="dxa"/>
            <w:tcBorders>
              <w:top w:val="single" w:sz="4" w:space="0" w:color="auto"/>
              <w:left w:val="nil"/>
              <w:bottom w:val="nil"/>
              <w:right w:val="nil"/>
            </w:tcBorders>
            <w:shd w:val="clear" w:color="auto" w:fill="auto"/>
            <w:vAlign w:val="center"/>
            <w:hideMark/>
          </w:tcPr>
          <w:p w14:paraId="4032FD58" w14:textId="692F6E60"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22,1</w:t>
            </w:r>
          </w:p>
        </w:tc>
        <w:tc>
          <w:tcPr>
            <w:tcW w:w="625" w:type="dxa"/>
            <w:tcBorders>
              <w:top w:val="single" w:sz="4" w:space="0" w:color="auto"/>
              <w:left w:val="nil"/>
              <w:bottom w:val="nil"/>
              <w:right w:val="nil"/>
            </w:tcBorders>
            <w:shd w:val="clear" w:color="auto" w:fill="auto"/>
            <w:vAlign w:val="center"/>
            <w:hideMark/>
          </w:tcPr>
          <w:p w14:paraId="7F2DF2E1" w14:textId="2F5C3AA2"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23,2</w:t>
            </w:r>
          </w:p>
        </w:tc>
        <w:tc>
          <w:tcPr>
            <w:tcW w:w="625" w:type="dxa"/>
            <w:tcBorders>
              <w:top w:val="single" w:sz="4" w:space="0" w:color="auto"/>
              <w:left w:val="nil"/>
              <w:bottom w:val="nil"/>
              <w:right w:val="nil"/>
            </w:tcBorders>
            <w:shd w:val="clear" w:color="auto" w:fill="auto"/>
            <w:vAlign w:val="center"/>
            <w:hideMark/>
          </w:tcPr>
          <w:p w14:paraId="20CBA0BE" w14:textId="01E2788D"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23,7</w:t>
            </w:r>
          </w:p>
        </w:tc>
        <w:tc>
          <w:tcPr>
            <w:tcW w:w="625" w:type="dxa"/>
            <w:tcBorders>
              <w:top w:val="single" w:sz="4" w:space="0" w:color="auto"/>
              <w:left w:val="nil"/>
              <w:bottom w:val="nil"/>
              <w:right w:val="nil"/>
            </w:tcBorders>
            <w:shd w:val="clear" w:color="auto" w:fill="auto"/>
            <w:vAlign w:val="center"/>
            <w:hideMark/>
          </w:tcPr>
          <w:p w14:paraId="3EE26E5E" w14:textId="332959DE"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26,9</w:t>
            </w:r>
          </w:p>
        </w:tc>
        <w:tc>
          <w:tcPr>
            <w:tcW w:w="625" w:type="dxa"/>
            <w:tcBorders>
              <w:top w:val="nil"/>
              <w:left w:val="nil"/>
              <w:bottom w:val="nil"/>
              <w:right w:val="nil"/>
            </w:tcBorders>
            <w:shd w:val="clear" w:color="auto" w:fill="auto"/>
            <w:vAlign w:val="center"/>
            <w:hideMark/>
          </w:tcPr>
          <w:p w14:paraId="0FB0E1B8" w14:textId="682DA5DF"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26,9</w:t>
            </w:r>
          </w:p>
        </w:tc>
        <w:tc>
          <w:tcPr>
            <w:tcW w:w="625" w:type="dxa"/>
            <w:tcBorders>
              <w:top w:val="nil"/>
              <w:left w:val="nil"/>
              <w:bottom w:val="nil"/>
              <w:right w:val="nil"/>
            </w:tcBorders>
            <w:shd w:val="clear" w:color="auto" w:fill="auto"/>
            <w:vAlign w:val="center"/>
            <w:hideMark/>
          </w:tcPr>
          <w:p w14:paraId="0FD013F5" w14:textId="74B886F9"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28,2</w:t>
            </w:r>
          </w:p>
        </w:tc>
        <w:tc>
          <w:tcPr>
            <w:tcW w:w="625" w:type="dxa"/>
            <w:tcBorders>
              <w:top w:val="nil"/>
              <w:left w:val="nil"/>
              <w:bottom w:val="nil"/>
              <w:right w:val="nil"/>
            </w:tcBorders>
            <w:shd w:val="clear" w:color="auto" w:fill="auto"/>
            <w:noWrap/>
            <w:vAlign w:val="center"/>
          </w:tcPr>
          <w:p w14:paraId="3C9A55C0" w14:textId="661EFDAF" w:rsidR="00C62636" w:rsidRPr="00677CC7" w:rsidRDefault="00C62636" w:rsidP="00C62636">
            <w:pPr>
              <w:spacing w:after="0" w:line="240" w:lineRule="auto"/>
              <w:jc w:val="center"/>
              <w:rPr>
                <w:rFonts w:ascii="Arial Narrow" w:hAnsi="Arial Narrow"/>
                <w:color w:val="000000"/>
                <w:sz w:val="20"/>
                <w:szCs w:val="20"/>
                <w:lang w:val="en-US" w:eastAsia="en-US"/>
              </w:rPr>
            </w:pPr>
            <w:r w:rsidRPr="00412AB0">
              <w:rPr>
                <w:rFonts w:ascii="Arial Narrow" w:hAnsi="Arial Narrow"/>
                <w:color w:val="000000"/>
                <w:sz w:val="20"/>
                <w:szCs w:val="20"/>
                <w:lang w:val="en-US" w:eastAsia="en-US"/>
              </w:rPr>
              <w:t>31,5</w:t>
            </w:r>
          </w:p>
        </w:tc>
        <w:tc>
          <w:tcPr>
            <w:tcW w:w="625" w:type="dxa"/>
            <w:tcBorders>
              <w:top w:val="nil"/>
              <w:left w:val="nil"/>
              <w:bottom w:val="nil"/>
              <w:right w:val="nil"/>
            </w:tcBorders>
          </w:tcPr>
          <w:p w14:paraId="2D0982BF"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07D885FD" w14:textId="19BE1A74"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40</w:t>
            </w:r>
          </w:p>
        </w:tc>
      </w:tr>
      <w:tr w:rsidR="00C62636" w:rsidRPr="00677CC7" w14:paraId="42A6AE63" w14:textId="77777777" w:rsidTr="00E336C7">
        <w:trPr>
          <w:gridAfter w:val="1"/>
          <w:wAfter w:w="10" w:type="dxa"/>
          <w:trHeight w:val="188"/>
          <w:jc w:val="center"/>
        </w:trPr>
        <w:tc>
          <w:tcPr>
            <w:tcW w:w="426" w:type="dxa"/>
            <w:vMerge/>
            <w:tcBorders>
              <w:top w:val="nil"/>
              <w:left w:val="nil"/>
              <w:bottom w:val="single" w:sz="4" w:space="0" w:color="000000"/>
              <w:right w:val="nil"/>
            </w:tcBorders>
            <w:vAlign w:val="center"/>
            <w:hideMark/>
          </w:tcPr>
          <w:p w14:paraId="3D37C690" w14:textId="77777777" w:rsidR="00C62636" w:rsidRPr="00677CC7" w:rsidRDefault="00C62636" w:rsidP="00C62636">
            <w:pPr>
              <w:spacing w:after="0" w:line="240" w:lineRule="auto"/>
              <w:rPr>
                <w:rFonts w:ascii="Arial Narrow" w:hAnsi="Arial Narrow"/>
                <w:b/>
                <w:bCs/>
                <w:color w:val="000000"/>
                <w:sz w:val="20"/>
                <w:szCs w:val="20"/>
                <w:lang w:val="en-US" w:eastAsia="en-US"/>
              </w:rPr>
            </w:pPr>
          </w:p>
        </w:tc>
        <w:tc>
          <w:tcPr>
            <w:tcW w:w="425" w:type="dxa"/>
            <w:gridSpan w:val="2"/>
            <w:vMerge/>
            <w:tcBorders>
              <w:top w:val="nil"/>
              <w:left w:val="nil"/>
              <w:bottom w:val="single" w:sz="4" w:space="0" w:color="000000"/>
              <w:right w:val="nil"/>
            </w:tcBorders>
            <w:vAlign w:val="center"/>
            <w:hideMark/>
          </w:tcPr>
          <w:p w14:paraId="1FC94527"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076E9D8C" w14:textId="77777777" w:rsidR="00C62636" w:rsidRPr="00677CC7" w:rsidRDefault="00C62636" w:rsidP="00C62636">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vo</w:t>
            </w:r>
            <w:proofErr w:type="spellEnd"/>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vekovej</w:t>
            </w:r>
            <w:proofErr w:type="spellEnd"/>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skupine</w:t>
            </w:r>
            <w:proofErr w:type="spellEnd"/>
            <w:r w:rsidRPr="00677CC7">
              <w:rPr>
                <w:rFonts w:ascii="Arial Narrow" w:hAnsi="Arial Narrow"/>
                <w:color w:val="000000"/>
                <w:sz w:val="20"/>
                <w:szCs w:val="20"/>
                <w:lang w:val="en-US" w:eastAsia="en-US"/>
              </w:rPr>
              <w:t xml:space="preserve"> 30 - 34 </w:t>
            </w:r>
            <w:proofErr w:type="spellStart"/>
            <w:r w:rsidRPr="00677CC7">
              <w:rPr>
                <w:rFonts w:ascii="Arial Narrow" w:hAnsi="Arial Narrow"/>
                <w:color w:val="000000"/>
                <w:sz w:val="20"/>
                <w:szCs w:val="20"/>
                <w:lang w:val="en-US" w:eastAsia="en-US"/>
              </w:rPr>
              <w:t>rokov</w:t>
            </w:r>
            <w:proofErr w:type="spellEnd"/>
            <w:r w:rsidRPr="00677CC7">
              <w:rPr>
                <w:rFonts w:ascii="Arial Narrow" w:hAnsi="Arial Narrow"/>
                <w:color w:val="000000"/>
                <w:sz w:val="20"/>
                <w:szCs w:val="20"/>
                <w:lang w:val="en-US" w:eastAsia="en-US"/>
              </w:rPr>
              <w:t>)</w:t>
            </w:r>
          </w:p>
        </w:tc>
        <w:tc>
          <w:tcPr>
            <w:tcW w:w="756" w:type="dxa"/>
            <w:tcBorders>
              <w:top w:val="nil"/>
              <w:left w:val="nil"/>
              <w:bottom w:val="single" w:sz="4" w:space="0" w:color="auto"/>
              <w:right w:val="nil"/>
            </w:tcBorders>
            <w:shd w:val="clear" w:color="auto" w:fill="auto"/>
            <w:vAlign w:val="center"/>
            <w:hideMark/>
          </w:tcPr>
          <w:p w14:paraId="399EB610"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shd w:val="clear" w:color="auto" w:fill="auto"/>
            <w:vAlign w:val="center"/>
            <w:hideMark/>
          </w:tcPr>
          <w:p w14:paraId="18BB521E"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31,2</w:t>
            </w:r>
          </w:p>
        </w:tc>
        <w:tc>
          <w:tcPr>
            <w:tcW w:w="625" w:type="dxa"/>
            <w:tcBorders>
              <w:top w:val="nil"/>
              <w:left w:val="nil"/>
              <w:bottom w:val="nil"/>
              <w:right w:val="nil"/>
            </w:tcBorders>
            <w:shd w:val="clear" w:color="auto" w:fill="auto"/>
            <w:vAlign w:val="center"/>
            <w:hideMark/>
          </w:tcPr>
          <w:p w14:paraId="6549F541" w14:textId="19B6A3BB"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32,3</w:t>
            </w:r>
          </w:p>
        </w:tc>
        <w:tc>
          <w:tcPr>
            <w:tcW w:w="625" w:type="dxa"/>
            <w:tcBorders>
              <w:top w:val="nil"/>
              <w:left w:val="nil"/>
              <w:bottom w:val="nil"/>
              <w:right w:val="nil"/>
            </w:tcBorders>
            <w:shd w:val="clear" w:color="auto" w:fill="auto"/>
            <w:vAlign w:val="center"/>
            <w:hideMark/>
          </w:tcPr>
          <w:p w14:paraId="6152ACD5" w14:textId="2A25E648"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33,8</w:t>
            </w:r>
          </w:p>
        </w:tc>
        <w:tc>
          <w:tcPr>
            <w:tcW w:w="625" w:type="dxa"/>
            <w:tcBorders>
              <w:top w:val="nil"/>
              <w:left w:val="nil"/>
              <w:bottom w:val="nil"/>
              <w:right w:val="nil"/>
            </w:tcBorders>
            <w:shd w:val="clear" w:color="auto" w:fill="auto"/>
            <w:vAlign w:val="center"/>
            <w:hideMark/>
          </w:tcPr>
          <w:p w14:paraId="3BBD48A3" w14:textId="1E4EFA8F"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34,8</w:t>
            </w:r>
          </w:p>
        </w:tc>
        <w:tc>
          <w:tcPr>
            <w:tcW w:w="625" w:type="dxa"/>
            <w:tcBorders>
              <w:top w:val="nil"/>
              <w:left w:val="nil"/>
              <w:bottom w:val="nil"/>
              <w:right w:val="nil"/>
            </w:tcBorders>
            <w:shd w:val="clear" w:color="auto" w:fill="auto"/>
            <w:vAlign w:val="center"/>
            <w:hideMark/>
          </w:tcPr>
          <w:p w14:paraId="67986636" w14:textId="27903330"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36</w:t>
            </w:r>
          </w:p>
        </w:tc>
        <w:tc>
          <w:tcPr>
            <w:tcW w:w="625" w:type="dxa"/>
            <w:tcBorders>
              <w:top w:val="nil"/>
              <w:left w:val="nil"/>
              <w:bottom w:val="nil"/>
              <w:right w:val="nil"/>
            </w:tcBorders>
            <w:shd w:val="clear" w:color="auto" w:fill="auto"/>
            <w:vAlign w:val="center"/>
            <w:hideMark/>
          </w:tcPr>
          <w:p w14:paraId="5C960D04" w14:textId="78883D05"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37,1</w:t>
            </w:r>
          </w:p>
        </w:tc>
        <w:tc>
          <w:tcPr>
            <w:tcW w:w="625" w:type="dxa"/>
            <w:tcBorders>
              <w:top w:val="nil"/>
              <w:left w:val="nil"/>
              <w:bottom w:val="single" w:sz="4" w:space="0" w:color="auto"/>
              <w:right w:val="nil"/>
            </w:tcBorders>
            <w:shd w:val="clear" w:color="auto" w:fill="auto"/>
            <w:vAlign w:val="center"/>
            <w:hideMark/>
          </w:tcPr>
          <w:p w14:paraId="037E45C6" w14:textId="353F6E8C"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37,9</w:t>
            </w:r>
          </w:p>
        </w:tc>
        <w:tc>
          <w:tcPr>
            <w:tcW w:w="625" w:type="dxa"/>
            <w:tcBorders>
              <w:top w:val="nil"/>
              <w:left w:val="nil"/>
              <w:bottom w:val="single" w:sz="4" w:space="0" w:color="auto"/>
              <w:right w:val="nil"/>
            </w:tcBorders>
            <w:shd w:val="clear" w:color="auto" w:fill="auto"/>
            <w:vAlign w:val="center"/>
            <w:hideMark/>
          </w:tcPr>
          <w:p w14:paraId="1E475EF3" w14:textId="2E1B8729" w:rsidR="00C62636" w:rsidRPr="00677CC7"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38,7</w:t>
            </w:r>
          </w:p>
        </w:tc>
        <w:tc>
          <w:tcPr>
            <w:tcW w:w="625" w:type="dxa"/>
            <w:tcBorders>
              <w:top w:val="nil"/>
              <w:left w:val="nil"/>
              <w:bottom w:val="single" w:sz="4" w:space="0" w:color="auto"/>
              <w:right w:val="nil"/>
            </w:tcBorders>
            <w:shd w:val="clear" w:color="auto" w:fill="auto"/>
            <w:noWrap/>
            <w:vAlign w:val="center"/>
          </w:tcPr>
          <w:p w14:paraId="33125596" w14:textId="711D07DC" w:rsidR="00C62636" w:rsidRPr="00677CC7" w:rsidRDefault="00C62636" w:rsidP="00C62636">
            <w:pPr>
              <w:spacing w:after="0" w:line="240" w:lineRule="auto"/>
              <w:jc w:val="center"/>
              <w:rPr>
                <w:rFonts w:ascii="Arial Narrow" w:hAnsi="Arial Narrow"/>
                <w:color w:val="000000"/>
                <w:sz w:val="20"/>
                <w:szCs w:val="20"/>
                <w:lang w:val="en-US" w:eastAsia="en-US"/>
              </w:rPr>
            </w:pPr>
            <w:r w:rsidRPr="00412AB0">
              <w:rPr>
                <w:rFonts w:ascii="Arial Narrow" w:hAnsi="Arial Narrow"/>
                <w:color w:val="000000"/>
                <w:sz w:val="20"/>
                <w:szCs w:val="20"/>
                <w:lang w:val="en-US" w:eastAsia="en-US"/>
              </w:rPr>
              <w:t>39,1</w:t>
            </w:r>
          </w:p>
        </w:tc>
        <w:tc>
          <w:tcPr>
            <w:tcW w:w="625" w:type="dxa"/>
            <w:tcBorders>
              <w:top w:val="nil"/>
              <w:left w:val="nil"/>
              <w:bottom w:val="single" w:sz="4" w:space="0" w:color="auto"/>
              <w:right w:val="nil"/>
            </w:tcBorders>
          </w:tcPr>
          <w:p w14:paraId="0070CB0A"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hideMark/>
          </w:tcPr>
          <w:p w14:paraId="616A3601" w14:textId="60E9B27A"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40</w:t>
            </w:r>
          </w:p>
        </w:tc>
      </w:tr>
      <w:tr w:rsidR="00C62636" w:rsidRPr="00677CC7" w14:paraId="2377F720" w14:textId="77777777" w:rsidTr="00E336C7">
        <w:trPr>
          <w:gridAfter w:val="1"/>
          <w:wAfter w:w="10" w:type="dxa"/>
          <w:trHeight w:val="188"/>
          <w:jc w:val="center"/>
        </w:trPr>
        <w:tc>
          <w:tcPr>
            <w:tcW w:w="426" w:type="dxa"/>
            <w:vMerge w:val="restart"/>
            <w:tcBorders>
              <w:top w:val="nil"/>
              <w:left w:val="nil"/>
              <w:bottom w:val="single" w:sz="4" w:space="0" w:color="000000"/>
              <w:right w:val="nil"/>
            </w:tcBorders>
            <w:shd w:val="clear" w:color="auto" w:fill="auto"/>
            <w:textDirection w:val="btLr"/>
            <w:vAlign w:val="center"/>
            <w:hideMark/>
          </w:tcPr>
          <w:p w14:paraId="0F7CE6A2"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425" w:type="dxa"/>
            <w:gridSpan w:val="2"/>
            <w:vMerge w:val="restart"/>
            <w:tcBorders>
              <w:top w:val="nil"/>
              <w:left w:val="nil"/>
              <w:bottom w:val="single" w:sz="4" w:space="0" w:color="000000"/>
              <w:right w:val="nil"/>
            </w:tcBorders>
            <w:shd w:val="clear" w:color="auto" w:fill="auto"/>
            <w:noWrap/>
            <w:vAlign w:val="center"/>
            <w:hideMark/>
          </w:tcPr>
          <w:p w14:paraId="45A88016"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8</w:t>
            </w:r>
          </w:p>
        </w:tc>
        <w:tc>
          <w:tcPr>
            <w:tcW w:w="2221" w:type="dxa"/>
            <w:tcBorders>
              <w:top w:val="nil"/>
              <w:left w:val="nil"/>
              <w:bottom w:val="nil"/>
              <w:right w:val="nil"/>
            </w:tcBorders>
            <w:shd w:val="clear" w:color="auto" w:fill="auto"/>
            <w:noWrap/>
            <w:vAlign w:val="center"/>
            <w:hideMark/>
          </w:tcPr>
          <w:p w14:paraId="6C469E69" w14:textId="77777777" w:rsidR="00C62636" w:rsidRPr="00677CC7" w:rsidRDefault="00C62636" w:rsidP="00C62636">
            <w:pPr>
              <w:spacing w:after="0" w:line="240" w:lineRule="auto"/>
              <w:rPr>
                <w:rFonts w:ascii="Arial Narrow" w:hAnsi="Arial Narrow"/>
                <w:b/>
                <w:bCs/>
                <w:color w:val="000000"/>
                <w:sz w:val="20"/>
                <w:szCs w:val="20"/>
                <w:lang w:val="en-US" w:eastAsia="en-US"/>
              </w:rPr>
            </w:pPr>
            <w:proofErr w:type="spellStart"/>
            <w:r>
              <w:rPr>
                <w:rFonts w:ascii="Arial Narrow" w:hAnsi="Arial Narrow"/>
                <w:b/>
                <w:bCs/>
                <w:color w:val="000000"/>
                <w:sz w:val="20"/>
                <w:szCs w:val="20"/>
                <w:lang w:val="en-US" w:eastAsia="en-US"/>
              </w:rPr>
              <w:t>Výdavky</w:t>
            </w:r>
            <w:proofErr w:type="spellEnd"/>
            <w:r>
              <w:rPr>
                <w:rFonts w:ascii="Arial Narrow" w:hAnsi="Arial Narrow"/>
                <w:b/>
                <w:bCs/>
                <w:color w:val="000000"/>
                <w:sz w:val="20"/>
                <w:szCs w:val="20"/>
                <w:lang w:val="en-US" w:eastAsia="en-US"/>
              </w:rPr>
              <w:t xml:space="preserve"> </w:t>
            </w:r>
            <w:proofErr w:type="spellStart"/>
            <w:r>
              <w:rPr>
                <w:rFonts w:ascii="Arial Narrow" w:hAnsi="Arial Narrow"/>
                <w:b/>
                <w:bCs/>
                <w:color w:val="000000"/>
                <w:sz w:val="20"/>
                <w:szCs w:val="20"/>
                <w:lang w:val="en-US" w:eastAsia="en-US"/>
              </w:rPr>
              <w:t>na</w:t>
            </w:r>
            <w:proofErr w:type="spellEnd"/>
            <w:r>
              <w:rPr>
                <w:rFonts w:ascii="Arial Narrow" w:hAnsi="Arial Narrow"/>
                <w:b/>
                <w:bCs/>
                <w:color w:val="000000"/>
                <w:sz w:val="20"/>
                <w:szCs w:val="20"/>
                <w:lang w:val="en-US" w:eastAsia="en-US"/>
              </w:rPr>
              <w:t xml:space="preserve"> </w:t>
            </w:r>
            <w:proofErr w:type="spellStart"/>
            <w:r>
              <w:rPr>
                <w:rFonts w:ascii="Arial Narrow" w:hAnsi="Arial Narrow"/>
                <w:b/>
                <w:bCs/>
                <w:color w:val="000000"/>
                <w:sz w:val="20"/>
                <w:szCs w:val="20"/>
                <w:lang w:val="en-US" w:eastAsia="en-US"/>
              </w:rPr>
              <w:t>výskum</w:t>
            </w:r>
            <w:proofErr w:type="spellEnd"/>
            <w:r>
              <w:rPr>
                <w:rFonts w:ascii="Arial Narrow" w:hAnsi="Arial Narrow"/>
                <w:b/>
                <w:bCs/>
                <w:color w:val="000000"/>
                <w:sz w:val="20"/>
                <w:szCs w:val="20"/>
                <w:lang w:val="en-US" w:eastAsia="en-US"/>
              </w:rPr>
              <w:t xml:space="preserve"> </w:t>
            </w:r>
            <w:r w:rsidRPr="00321A39">
              <w:rPr>
                <w:rFonts w:ascii="Arial Narrow" w:hAnsi="Arial Narrow"/>
                <w:b/>
                <w:bCs/>
                <w:color w:val="000000"/>
                <w:sz w:val="20"/>
                <w:szCs w:val="20"/>
                <w:lang w:val="en-US" w:eastAsia="en-US"/>
              </w:rPr>
              <w:t xml:space="preserve">a </w:t>
            </w:r>
            <w:proofErr w:type="spellStart"/>
            <w:r w:rsidRPr="00321A39">
              <w:rPr>
                <w:rFonts w:ascii="Arial Narrow" w:hAnsi="Arial Narrow"/>
                <w:b/>
                <w:bCs/>
                <w:color w:val="000000"/>
                <w:sz w:val="20"/>
                <w:szCs w:val="20"/>
                <w:lang w:val="en-US" w:eastAsia="en-US"/>
              </w:rPr>
              <w:t>vývoj</w:t>
            </w:r>
            <w:proofErr w:type="spellEnd"/>
          </w:p>
        </w:tc>
        <w:tc>
          <w:tcPr>
            <w:tcW w:w="756" w:type="dxa"/>
            <w:tcBorders>
              <w:top w:val="nil"/>
              <w:left w:val="nil"/>
              <w:bottom w:val="nil"/>
              <w:right w:val="nil"/>
            </w:tcBorders>
            <w:shd w:val="clear" w:color="auto" w:fill="auto"/>
            <w:vAlign w:val="center"/>
            <w:hideMark/>
          </w:tcPr>
          <w:p w14:paraId="6C381ADA"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vAlign w:val="center"/>
            <w:hideMark/>
          </w:tcPr>
          <w:p w14:paraId="3F6B0F03"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0,46</w:t>
            </w:r>
          </w:p>
        </w:tc>
        <w:tc>
          <w:tcPr>
            <w:tcW w:w="625" w:type="dxa"/>
            <w:tcBorders>
              <w:top w:val="single" w:sz="4" w:space="0" w:color="auto"/>
              <w:left w:val="nil"/>
              <w:bottom w:val="nil"/>
              <w:right w:val="nil"/>
            </w:tcBorders>
            <w:shd w:val="clear" w:color="auto" w:fill="auto"/>
            <w:vAlign w:val="center"/>
            <w:hideMark/>
          </w:tcPr>
          <w:p w14:paraId="092BBCA3" w14:textId="4034A64B"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0,47</w:t>
            </w:r>
          </w:p>
        </w:tc>
        <w:tc>
          <w:tcPr>
            <w:tcW w:w="625" w:type="dxa"/>
            <w:tcBorders>
              <w:top w:val="single" w:sz="4" w:space="0" w:color="auto"/>
              <w:left w:val="nil"/>
              <w:bottom w:val="nil"/>
              <w:right w:val="nil"/>
            </w:tcBorders>
            <w:shd w:val="clear" w:color="auto" w:fill="auto"/>
            <w:vAlign w:val="center"/>
            <w:hideMark/>
          </w:tcPr>
          <w:p w14:paraId="6DF064D2" w14:textId="26055DDA"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0,62</w:t>
            </w:r>
          </w:p>
        </w:tc>
        <w:tc>
          <w:tcPr>
            <w:tcW w:w="625" w:type="dxa"/>
            <w:tcBorders>
              <w:top w:val="single" w:sz="4" w:space="0" w:color="auto"/>
              <w:left w:val="nil"/>
              <w:bottom w:val="nil"/>
              <w:right w:val="nil"/>
            </w:tcBorders>
            <w:shd w:val="clear" w:color="auto" w:fill="auto"/>
            <w:vAlign w:val="center"/>
            <w:hideMark/>
          </w:tcPr>
          <w:p w14:paraId="3A58C18D" w14:textId="6E48CB8B"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0,67</w:t>
            </w:r>
          </w:p>
        </w:tc>
        <w:tc>
          <w:tcPr>
            <w:tcW w:w="625" w:type="dxa"/>
            <w:tcBorders>
              <w:top w:val="single" w:sz="4" w:space="0" w:color="auto"/>
              <w:left w:val="nil"/>
              <w:bottom w:val="nil"/>
              <w:right w:val="nil"/>
            </w:tcBorders>
            <w:shd w:val="clear" w:color="auto" w:fill="auto"/>
            <w:vAlign w:val="center"/>
            <w:hideMark/>
          </w:tcPr>
          <w:p w14:paraId="7A062266" w14:textId="44C51939"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0,81</w:t>
            </w:r>
          </w:p>
        </w:tc>
        <w:tc>
          <w:tcPr>
            <w:tcW w:w="625" w:type="dxa"/>
            <w:tcBorders>
              <w:top w:val="single" w:sz="4" w:space="0" w:color="auto"/>
              <w:left w:val="nil"/>
              <w:bottom w:val="nil"/>
              <w:right w:val="nil"/>
            </w:tcBorders>
            <w:shd w:val="clear" w:color="auto" w:fill="auto"/>
            <w:vAlign w:val="center"/>
            <w:hideMark/>
          </w:tcPr>
          <w:p w14:paraId="58629DA3" w14:textId="49EEAAC5"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0,83</w:t>
            </w:r>
          </w:p>
        </w:tc>
        <w:tc>
          <w:tcPr>
            <w:tcW w:w="625" w:type="dxa"/>
            <w:tcBorders>
              <w:top w:val="nil"/>
              <w:left w:val="nil"/>
              <w:bottom w:val="nil"/>
              <w:right w:val="nil"/>
            </w:tcBorders>
            <w:shd w:val="clear" w:color="auto" w:fill="auto"/>
            <w:vAlign w:val="center"/>
            <w:hideMark/>
          </w:tcPr>
          <w:p w14:paraId="5A465659" w14:textId="59F91F05"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0,89</w:t>
            </w:r>
          </w:p>
        </w:tc>
        <w:tc>
          <w:tcPr>
            <w:tcW w:w="625" w:type="dxa"/>
            <w:tcBorders>
              <w:top w:val="nil"/>
              <w:left w:val="nil"/>
              <w:bottom w:val="nil"/>
              <w:right w:val="nil"/>
            </w:tcBorders>
            <w:shd w:val="clear" w:color="auto" w:fill="auto"/>
            <w:vAlign w:val="center"/>
            <w:hideMark/>
          </w:tcPr>
          <w:p w14:paraId="576B6FE5" w14:textId="28064B26"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1,18</w:t>
            </w:r>
          </w:p>
        </w:tc>
        <w:tc>
          <w:tcPr>
            <w:tcW w:w="625" w:type="dxa"/>
            <w:tcBorders>
              <w:top w:val="nil"/>
              <w:left w:val="nil"/>
              <w:bottom w:val="nil"/>
              <w:right w:val="nil"/>
            </w:tcBorders>
            <w:shd w:val="clear" w:color="auto" w:fill="auto"/>
            <w:noWrap/>
            <w:vAlign w:val="center"/>
          </w:tcPr>
          <w:p w14:paraId="4FB07CAE" w14:textId="147DC21B" w:rsidR="00C62636" w:rsidRPr="00677CC7" w:rsidRDefault="00C62636" w:rsidP="00C62636">
            <w:pPr>
              <w:spacing w:after="0" w:line="240" w:lineRule="auto"/>
              <w:jc w:val="center"/>
              <w:rPr>
                <w:rFonts w:ascii="Arial Narrow" w:hAnsi="Arial Narrow"/>
                <w:color w:val="000000"/>
                <w:sz w:val="20"/>
                <w:szCs w:val="20"/>
                <w:lang w:val="en-US" w:eastAsia="en-US"/>
              </w:rPr>
            </w:pPr>
            <w:r w:rsidRPr="00412AB0">
              <w:rPr>
                <w:rFonts w:ascii="Arial Narrow" w:hAnsi="Arial Narrow"/>
                <w:color w:val="000000"/>
                <w:sz w:val="20"/>
                <w:szCs w:val="20"/>
                <w:lang w:val="en-US" w:eastAsia="en-US"/>
              </w:rPr>
              <w:t>0,79</w:t>
            </w:r>
          </w:p>
        </w:tc>
        <w:tc>
          <w:tcPr>
            <w:tcW w:w="625" w:type="dxa"/>
            <w:tcBorders>
              <w:top w:val="nil"/>
              <w:left w:val="nil"/>
              <w:bottom w:val="nil"/>
              <w:right w:val="nil"/>
            </w:tcBorders>
          </w:tcPr>
          <w:p w14:paraId="1E95E9B5"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40AC0CE8" w14:textId="0229F483"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1,2</w:t>
            </w:r>
          </w:p>
        </w:tc>
      </w:tr>
      <w:tr w:rsidR="00C62636" w:rsidRPr="00677CC7" w14:paraId="63998A83" w14:textId="77777777" w:rsidTr="00E336C7">
        <w:trPr>
          <w:gridAfter w:val="1"/>
          <w:wAfter w:w="10" w:type="dxa"/>
          <w:trHeight w:val="188"/>
          <w:jc w:val="center"/>
        </w:trPr>
        <w:tc>
          <w:tcPr>
            <w:tcW w:w="426" w:type="dxa"/>
            <w:vMerge/>
            <w:tcBorders>
              <w:top w:val="nil"/>
              <w:left w:val="nil"/>
              <w:bottom w:val="single" w:sz="4" w:space="0" w:color="000000"/>
              <w:right w:val="nil"/>
            </w:tcBorders>
            <w:vAlign w:val="center"/>
            <w:hideMark/>
          </w:tcPr>
          <w:p w14:paraId="4C504E1B" w14:textId="77777777" w:rsidR="00C62636" w:rsidRPr="00677CC7" w:rsidRDefault="00C62636" w:rsidP="00C62636">
            <w:pPr>
              <w:spacing w:after="0" w:line="240" w:lineRule="auto"/>
              <w:rPr>
                <w:rFonts w:ascii="Arial Narrow" w:hAnsi="Arial Narrow"/>
                <w:b/>
                <w:bCs/>
                <w:color w:val="000000"/>
                <w:sz w:val="20"/>
                <w:szCs w:val="20"/>
                <w:lang w:val="en-US" w:eastAsia="en-US"/>
              </w:rPr>
            </w:pPr>
          </w:p>
        </w:tc>
        <w:tc>
          <w:tcPr>
            <w:tcW w:w="425" w:type="dxa"/>
            <w:gridSpan w:val="2"/>
            <w:vMerge/>
            <w:tcBorders>
              <w:top w:val="nil"/>
              <w:left w:val="nil"/>
              <w:bottom w:val="single" w:sz="4" w:space="0" w:color="000000"/>
              <w:right w:val="nil"/>
            </w:tcBorders>
            <w:vAlign w:val="center"/>
            <w:hideMark/>
          </w:tcPr>
          <w:p w14:paraId="3FD14696"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5A8DCE18" w14:textId="77777777" w:rsidR="00C62636" w:rsidRPr="00677CC7" w:rsidRDefault="00C62636" w:rsidP="00C62636">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HDP)</w:t>
            </w:r>
          </w:p>
        </w:tc>
        <w:tc>
          <w:tcPr>
            <w:tcW w:w="756" w:type="dxa"/>
            <w:tcBorders>
              <w:top w:val="nil"/>
              <w:left w:val="nil"/>
              <w:bottom w:val="single" w:sz="4" w:space="0" w:color="auto"/>
              <w:right w:val="nil"/>
            </w:tcBorders>
            <w:shd w:val="clear" w:color="auto" w:fill="auto"/>
            <w:vAlign w:val="center"/>
            <w:hideMark/>
          </w:tcPr>
          <w:p w14:paraId="0D285440"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nil"/>
              <w:right w:val="nil"/>
            </w:tcBorders>
            <w:shd w:val="clear" w:color="auto" w:fill="auto"/>
            <w:vAlign w:val="center"/>
            <w:hideMark/>
          </w:tcPr>
          <w:p w14:paraId="5F34D372"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1,85</w:t>
            </w:r>
          </w:p>
        </w:tc>
        <w:tc>
          <w:tcPr>
            <w:tcW w:w="625" w:type="dxa"/>
            <w:tcBorders>
              <w:top w:val="nil"/>
              <w:left w:val="nil"/>
              <w:bottom w:val="nil"/>
              <w:right w:val="nil"/>
            </w:tcBorders>
            <w:shd w:val="clear" w:color="auto" w:fill="auto"/>
            <w:vAlign w:val="center"/>
            <w:hideMark/>
          </w:tcPr>
          <w:p w14:paraId="08A09F19" w14:textId="19F451E4"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1,94</w:t>
            </w:r>
          </w:p>
        </w:tc>
        <w:tc>
          <w:tcPr>
            <w:tcW w:w="625" w:type="dxa"/>
            <w:tcBorders>
              <w:top w:val="nil"/>
              <w:left w:val="nil"/>
              <w:bottom w:val="nil"/>
              <w:right w:val="nil"/>
            </w:tcBorders>
            <w:shd w:val="clear" w:color="auto" w:fill="auto"/>
            <w:vAlign w:val="center"/>
            <w:hideMark/>
          </w:tcPr>
          <w:p w14:paraId="15043E07" w14:textId="230F3A57"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1,93</w:t>
            </w:r>
          </w:p>
        </w:tc>
        <w:tc>
          <w:tcPr>
            <w:tcW w:w="625" w:type="dxa"/>
            <w:tcBorders>
              <w:top w:val="nil"/>
              <w:left w:val="nil"/>
              <w:bottom w:val="nil"/>
              <w:right w:val="nil"/>
            </w:tcBorders>
            <w:shd w:val="clear" w:color="auto" w:fill="auto"/>
            <w:vAlign w:val="center"/>
            <w:hideMark/>
          </w:tcPr>
          <w:p w14:paraId="5ECC5201" w14:textId="553D50C0"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1,97</w:t>
            </w:r>
          </w:p>
        </w:tc>
        <w:tc>
          <w:tcPr>
            <w:tcW w:w="625" w:type="dxa"/>
            <w:tcBorders>
              <w:top w:val="nil"/>
              <w:left w:val="nil"/>
              <w:bottom w:val="nil"/>
              <w:right w:val="nil"/>
            </w:tcBorders>
            <w:shd w:val="clear" w:color="auto" w:fill="auto"/>
            <w:vAlign w:val="center"/>
            <w:hideMark/>
          </w:tcPr>
          <w:p w14:paraId="5F72EACB" w14:textId="0921193F"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2,01</w:t>
            </w:r>
          </w:p>
        </w:tc>
        <w:tc>
          <w:tcPr>
            <w:tcW w:w="625" w:type="dxa"/>
            <w:tcBorders>
              <w:top w:val="nil"/>
              <w:left w:val="nil"/>
              <w:bottom w:val="nil"/>
              <w:right w:val="nil"/>
            </w:tcBorders>
            <w:shd w:val="clear" w:color="auto" w:fill="auto"/>
            <w:vAlign w:val="center"/>
            <w:hideMark/>
          </w:tcPr>
          <w:p w14:paraId="56A6664E" w14:textId="7BB064CF"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2,03</w:t>
            </w:r>
          </w:p>
        </w:tc>
        <w:tc>
          <w:tcPr>
            <w:tcW w:w="625" w:type="dxa"/>
            <w:tcBorders>
              <w:top w:val="nil"/>
              <w:left w:val="nil"/>
              <w:bottom w:val="single" w:sz="4" w:space="0" w:color="auto"/>
              <w:right w:val="nil"/>
            </w:tcBorders>
            <w:shd w:val="clear" w:color="auto" w:fill="auto"/>
            <w:vAlign w:val="center"/>
            <w:hideMark/>
          </w:tcPr>
          <w:p w14:paraId="48AFA224" w14:textId="75A93C0E"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2,04</w:t>
            </w:r>
          </w:p>
        </w:tc>
        <w:tc>
          <w:tcPr>
            <w:tcW w:w="625" w:type="dxa"/>
            <w:tcBorders>
              <w:top w:val="nil"/>
              <w:left w:val="nil"/>
              <w:bottom w:val="single" w:sz="4" w:space="0" w:color="auto"/>
              <w:right w:val="nil"/>
            </w:tcBorders>
            <w:shd w:val="clear" w:color="auto" w:fill="auto"/>
            <w:vAlign w:val="center"/>
            <w:hideMark/>
          </w:tcPr>
          <w:p w14:paraId="14EC16D2" w14:textId="45872D6B"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color w:val="000000"/>
                <w:sz w:val="20"/>
                <w:szCs w:val="20"/>
              </w:rPr>
              <w:t>2,03</w:t>
            </w:r>
          </w:p>
        </w:tc>
        <w:tc>
          <w:tcPr>
            <w:tcW w:w="625" w:type="dxa"/>
            <w:tcBorders>
              <w:top w:val="nil"/>
              <w:left w:val="nil"/>
              <w:bottom w:val="single" w:sz="4" w:space="0" w:color="auto"/>
              <w:right w:val="nil"/>
            </w:tcBorders>
            <w:shd w:val="clear" w:color="auto" w:fill="auto"/>
            <w:noWrap/>
            <w:vAlign w:val="center"/>
          </w:tcPr>
          <w:p w14:paraId="403444AA" w14:textId="6DE64167" w:rsidR="00C62636" w:rsidRPr="00677CC7" w:rsidRDefault="00C62636" w:rsidP="00C62636">
            <w:pPr>
              <w:spacing w:after="0" w:line="240" w:lineRule="auto"/>
              <w:jc w:val="center"/>
              <w:rPr>
                <w:rFonts w:ascii="Arial Narrow" w:hAnsi="Arial Narrow"/>
                <w:color w:val="000000"/>
                <w:sz w:val="20"/>
                <w:szCs w:val="20"/>
                <w:lang w:val="en-US" w:eastAsia="en-US"/>
              </w:rPr>
            </w:pPr>
            <w:r w:rsidRPr="00412AB0">
              <w:rPr>
                <w:rFonts w:ascii="Arial Narrow" w:hAnsi="Arial Narrow"/>
                <w:color w:val="000000"/>
                <w:sz w:val="20"/>
                <w:szCs w:val="20"/>
                <w:lang w:val="en-US" w:eastAsia="en-US"/>
              </w:rPr>
              <w:t>2,03</w:t>
            </w:r>
          </w:p>
        </w:tc>
        <w:tc>
          <w:tcPr>
            <w:tcW w:w="625" w:type="dxa"/>
            <w:tcBorders>
              <w:top w:val="nil"/>
              <w:left w:val="nil"/>
              <w:bottom w:val="single" w:sz="4" w:space="0" w:color="auto"/>
              <w:right w:val="nil"/>
            </w:tcBorders>
          </w:tcPr>
          <w:p w14:paraId="6E7C01C7"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hideMark/>
          </w:tcPr>
          <w:p w14:paraId="303B0773" w14:textId="783398DB"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3</w:t>
            </w:r>
          </w:p>
        </w:tc>
      </w:tr>
      <w:tr w:rsidR="00C62636" w:rsidRPr="00677CC7" w14:paraId="5B54255E" w14:textId="77777777" w:rsidTr="00E336C7">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1463A539"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p>
        </w:tc>
        <w:tc>
          <w:tcPr>
            <w:tcW w:w="425" w:type="dxa"/>
            <w:gridSpan w:val="2"/>
            <w:vMerge w:val="restart"/>
            <w:tcBorders>
              <w:top w:val="nil"/>
              <w:left w:val="nil"/>
              <w:bottom w:val="single" w:sz="4" w:space="0" w:color="000000"/>
              <w:right w:val="nil"/>
            </w:tcBorders>
            <w:shd w:val="clear" w:color="auto" w:fill="auto"/>
            <w:noWrap/>
            <w:vAlign w:val="center"/>
            <w:hideMark/>
          </w:tcPr>
          <w:p w14:paraId="4DC6492F"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9</w:t>
            </w:r>
          </w:p>
        </w:tc>
        <w:tc>
          <w:tcPr>
            <w:tcW w:w="2221" w:type="dxa"/>
            <w:tcBorders>
              <w:top w:val="nil"/>
              <w:left w:val="nil"/>
              <w:bottom w:val="nil"/>
              <w:right w:val="nil"/>
            </w:tcBorders>
            <w:shd w:val="clear" w:color="auto" w:fill="auto"/>
            <w:noWrap/>
            <w:vAlign w:val="center"/>
            <w:hideMark/>
          </w:tcPr>
          <w:p w14:paraId="4AF262DF" w14:textId="77777777" w:rsidR="00C62636" w:rsidRPr="00677CC7" w:rsidRDefault="00C62636" w:rsidP="00C62636">
            <w:pPr>
              <w:spacing w:after="0" w:line="240" w:lineRule="auto"/>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High-tech export</w:t>
            </w:r>
          </w:p>
        </w:tc>
        <w:tc>
          <w:tcPr>
            <w:tcW w:w="756" w:type="dxa"/>
            <w:tcBorders>
              <w:top w:val="nil"/>
              <w:left w:val="nil"/>
              <w:bottom w:val="nil"/>
              <w:right w:val="nil"/>
            </w:tcBorders>
            <w:shd w:val="clear" w:color="auto" w:fill="auto"/>
            <w:vAlign w:val="center"/>
            <w:hideMark/>
          </w:tcPr>
          <w:p w14:paraId="4FC7D3D6"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single" w:sz="8" w:space="0" w:color="auto"/>
              <w:left w:val="nil"/>
              <w:bottom w:val="nil"/>
              <w:right w:val="nil"/>
            </w:tcBorders>
            <w:shd w:val="clear" w:color="auto" w:fill="auto"/>
            <w:vAlign w:val="center"/>
            <w:hideMark/>
          </w:tcPr>
          <w:p w14:paraId="401695E1"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5,2</w:t>
            </w:r>
          </w:p>
        </w:tc>
        <w:tc>
          <w:tcPr>
            <w:tcW w:w="625" w:type="dxa"/>
            <w:tcBorders>
              <w:top w:val="single" w:sz="4" w:space="0" w:color="auto"/>
              <w:left w:val="nil"/>
              <w:bottom w:val="nil"/>
              <w:right w:val="nil"/>
            </w:tcBorders>
            <w:shd w:val="clear" w:color="auto" w:fill="auto"/>
            <w:vAlign w:val="center"/>
            <w:hideMark/>
          </w:tcPr>
          <w:p w14:paraId="3D80AA1C" w14:textId="71603C9C"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sz w:val="20"/>
                <w:szCs w:val="20"/>
              </w:rPr>
              <w:t>5,9</w:t>
            </w:r>
          </w:p>
        </w:tc>
        <w:tc>
          <w:tcPr>
            <w:tcW w:w="625" w:type="dxa"/>
            <w:tcBorders>
              <w:top w:val="single" w:sz="4" w:space="0" w:color="auto"/>
              <w:left w:val="nil"/>
              <w:bottom w:val="nil"/>
              <w:right w:val="nil"/>
            </w:tcBorders>
            <w:shd w:val="clear" w:color="auto" w:fill="auto"/>
            <w:vAlign w:val="center"/>
            <w:hideMark/>
          </w:tcPr>
          <w:p w14:paraId="0C0AD80E" w14:textId="315E0C43"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sz w:val="20"/>
                <w:szCs w:val="20"/>
              </w:rPr>
              <w:t>6,6</w:t>
            </w:r>
          </w:p>
        </w:tc>
        <w:tc>
          <w:tcPr>
            <w:tcW w:w="625" w:type="dxa"/>
            <w:tcBorders>
              <w:top w:val="single" w:sz="4" w:space="0" w:color="auto"/>
              <w:left w:val="nil"/>
              <w:bottom w:val="nil"/>
              <w:right w:val="nil"/>
            </w:tcBorders>
            <w:shd w:val="clear" w:color="auto" w:fill="auto"/>
            <w:vAlign w:val="center"/>
            <w:hideMark/>
          </w:tcPr>
          <w:p w14:paraId="170F496F" w14:textId="79584B46"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sz w:val="20"/>
                <w:szCs w:val="20"/>
              </w:rPr>
              <w:t>6,6</w:t>
            </w:r>
          </w:p>
        </w:tc>
        <w:tc>
          <w:tcPr>
            <w:tcW w:w="625" w:type="dxa"/>
            <w:tcBorders>
              <w:top w:val="single" w:sz="4" w:space="0" w:color="auto"/>
              <w:left w:val="nil"/>
              <w:bottom w:val="nil"/>
              <w:right w:val="nil"/>
            </w:tcBorders>
            <w:shd w:val="clear" w:color="auto" w:fill="auto"/>
            <w:vAlign w:val="center"/>
            <w:hideMark/>
          </w:tcPr>
          <w:p w14:paraId="4080F194" w14:textId="597D575A"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sz w:val="20"/>
                <w:szCs w:val="20"/>
              </w:rPr>
              <w:t>8,2</w:t>
            </w:r>
          </w:p>
        </w:tc>
        <w:tc>
          <w:tcPr>
            <w:tcW w:w="625" w:type="dxa"/>
            <w:tcBorders>
              <w:top w:val="single" w:sz="4" w:space="0" w:color="auto"/>
              <w:left w:val="nil"/>
              <w:bottom w:val="nil"/>
              <w:right w:val="nil"/>
            </w:tcBorders>
            <w:shd w:val="clear" w:color="auto" w:fill="auto"/>
            <w:vAlign w:val="center"/>
            <w:hideMark/>
          </w:tcPr>
          <w:p w14:paraId="2DC094D5" w14:textId="158D5EBE"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sz w:val="20"/>
                <w:szCs w:val="20"/>
              </w:rPr>
              <w:t>9,5</w:t>
            </w:r>
          </w:p>
        </w:tc>
        <w:tc>
          <w:tcPr>
            <w:tcW w:w="625" w:type="dxa"/>
            <w:tcBorders>
              <w:top w:val="nil"/>
              <w:left w:val="nil"/>
              <w:bottom w:val="nil"/>
              <w:right w:val="nil"/>
            </w:tcBorders>
            <w:shd w:val="clear" w:color="auto" w:fill="auto"/>
            <w:vAlign w:val="center"/>
            <w:hideMark/>
          </w:tcPr>
          <w:p w14:paraId="501A6F98" w14:textId="02102988"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sz w:val="20"/>
                <w:szCs w:val="20"/>
              </w:rPr>
              <w:t>9,7</w:t>
            </w:r>
          </w:p>
        </w:tc>
        <w:tc>
          <w:tcPr>
            <w:tcW w:w="625" w:type="dxa"/>
            <w:tcBorders>
              <w:top w:val="nil"/>
              <w:left w:val="nil"/>
              <w:bottom w:val="nil"/>
              <w:right w:val="nil"/>
            </w:tcBorders>
            <w:shd w:val="clear" w:color="auto" w:fill="auto"/>
            <w:vAlign w:val="center"/>
            <w:hideMark/>
          </w:tcPr>
          <w:p w14:paraId="2137E73F" w14:textId="7FFB48FC" w:rsidR="00C62636" w:rsidRPr="00677CC7" w:rsidRDefault="00C62636" w:rsidP="00C62636">
            <w:pPr>
              <w:spacing w:after="0" w:line="240" w:lineRule="auto"/>
              <w:jc w:val="center"/>
              <w:rPr>
                <w:rFonts w:ascii="Arial Narrow" w:hAnsi="Arial Narrow"/>
                <w:color w:val="000000"/>
                <w:sz w:val="20"/>
                <w:szCs w:val="20"/>
                <w:lang w:val="en-US" w:eastAsia="en-US"/>
              </w:rPr>
            </w:pPr>
            <w:r w:rsidRPr="00181935">
              <w:rPr>
                <w:rFonts w:ascii="Arial Narrow" w:hAnsi="Arial Narrow"/>
                <w:sz w:val="20"/>
                <w:szCs w:val="20"/>
              </w:rPr>
              <w:t>9,8</w:t>
            </w:r>
          </w:p>
        </w:tc>
        <w:tc>
          <w:tcPr>
            <w:tcW w:w="625" w:type="dxa"/>
            <w:tcBorders>
              <w:top w:val="nil"/>
              <w:left w:val="nil"/>
              <w:bottom w:val="nil"/>
              <w:right w:val="nil"/>
            </w:tcBorders>
            <w:shd w:val="clear" w:color="auto" w:fill="auto"/>
            <w:noWrap/>
            <w:vAlign w:val="center"/>
          </w:tcPr>
          <w:p w14:paraId="78AF2B3C" w14:textId="662BDEEF" w:rsidR="00C62636" w:rsidRPr="00677CC7" w:rsidRDefault="00C62636" w:rsidP="00C62636">
            <w:pPr>
              <w:spacing w:after="0" w:line="240" w:lineRule="auto"/>
              <w:jc w:val="center"/>
              <w:rPr>
                <w:rFonts w:ascii="Arial Narrow" w:hAnsi="Arial Narrow"/>
                <w:color w:val="000000"/>
                <w:sz w:val="20"/>
                <w:szCs w:val="20"/>
                <w:lang w:val="en-US" w:eastAsia="en-US"/>
              </w:rPr>
            </w:pPr>
            <w:r w:rsidRPr="00412AB0">
              <w:rPr>
                <w:rFonts w:ascii="Arial Narrow" w:hAnsi="Arial Narrow"/>
                <w:color w:val="000000"/>
                <w:sz w:val="20"/>
                <w:szCs w:val="20"/>
                <w:lang w:val="en-US" w:eastAsia="en-US"/>
              </w:rPr>
              <w:t xml:space="preserve"> - </w:t>
            </w:r>
          </w:p>
        </w:tc>
        <w:tc>
          <w:tcPr>
            <w:tcW w:w="625" w:type="dxa"/>
            <w:tcBorders>
              <w:top w:val="nil"/>
              <w:left w:val="nil"/>
              <w:bottom w:val="nil"/>
              <w:right w:val="nil"/>
            </w:tcBorders>
          </w:tcPr>
          <w:p w14:paraId="5FA37081"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731A8458" w14:textId="265D2D66"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14</w:t>
            </w:r>
          </w:p>
        </w:tc>
      </w:tr>
      <w:tr w:rsidR="00C62636" w:rsidRPr="00677CC7" w14:paraId="779A39C1" w14:textId="77777777" w:rsidTr="00994161">
        <w:trPr>
          <w:gridAfter w:val="1"/>
          <w:wAfter w:w="10" w:type="dxa"/>
          <w:trHeight w:val="188"/>
          <w:jc w:val="center"/>
        </w:trPr>
        <w:tc>
          <w:tcPr>
            <w:tcW w:w="426" w:type="dxa"/>
            <w:tcBorders>
              <w:top w:val="nil"/>
              <w:left w:val="nil"/>
              <w:bottom w:val="single" w:sz="4" w:space="0" w:color="auto"/>
              <w:right w:val="nil"/>
            </w:tcBorders>
            <w:shd w:val="clear" w:color="auto" w:fill="auto"/>
            <w:textDirection w:val="btLr"/>
            <w:vAlign w:val="center"/>
            <w:hideMark/>
          </w:tcPr>
          <w:p w14:paraId="462A7BA9"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 </w:t>
            </w:r>
          </w:p>
        </w:tc>
        <w:tc>
          <w:tcPr>
            <w:tcW w:w="425" w:type="dxa"/>
            <w:gridSpan w:val="2"/>
            <w:vMerge/>
            <w:tcBorders>
              <w:top w:val="nil"/>
              <w:left w:val="nil"/>
              <w:bottom w:val="single" w:sz="4" w:space="0" w:color="000000"/>
              <w:right w:val="nil"/>
            </w:tcBorders>
            <w:vAlign w:val="center"/>
            <w:hideMark/>
          </w:tcPr>
          <w:p w14:paraId="66D6ED8A"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5E63BD98" w14:textId="77777777" w:rsidR="00C62636" w:rsidRPr="00677CC7" w:rsidRDefault="00C62636" w:rsidP="00C62636">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na</w:t>
            </w:r>
            <w:proofErr w:type="spellEnd"/>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celkovom</w:t>
            </w:r>
            <w:proofErr w:type="spellEnd"/>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exporte</w:t>
            </w:r>
            <w:proofErr w:type="spellEnd"/>
            <w:r w:rsidRPr="00677CC7">
              <w:rPr>
                <w:rFonts w:ascii="Arial Narrow" w:hAnsi="Arial Narrow"/>
                <w:color w:val="000000"/>
                <w:sz w:val="20"/>
                <w:szCs w:val="20"/>
                <w:lang w:val="en-US" w:eastAsia="en-US"/>
              </w:rPr>
              <w:t>)</w:t>
            </w:r>
          </w:p>
        </w:tc>
        <w:tc>
          <w:tcPr>
            <w:tcW w:w="756" w:type="dxa"/>
            <w:tcBorders>
              <w:top w:val="nil"/>
              <w:left w:val="nil"/>
              <w:bottom w:val="single" w:sz="4" w:space="0" w:color="auto"/>
              <w:right w:val="nil"/>
            </w:tcBorders>
            <w:shd w:val="clear" w:color="auto" w:fill="auto"/>
            <w:vAlign w:val="center"/>
            <w:hideMark/>
          </w:tcPr>
          <w:p w14:paraId="336D50BA"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shd w:val="clear" w:color="auto" w:fill="auto"/>
            <w:vAlign w:val="center"/>
            <w:hideMark/>
          </w:tcPr>
          <w:p w14:paraId="03BEC79D"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15,4</w:t>
            </w:r>
          </w:p>
        </w:tc>
        <w:tc>
          <w:tcPr>
            <w:tcW w:w="625" w:type="dxa"/>
            <w:tcBorders>
              <w:top w:val="nil"/>
              <w:left w:val="nil"/>
              <w:bottom w:val="single" w:sz="4" w:space="0" w:color="auto"/>
              <w:right w:val="nil"/>
            </w:tcBorders>
            <w:shd w:val="clear" w:color="auto" w:fill="auto"/>
            <w:vAlign w:val="center"/>
            <w:hideMark/>
          </w:tcPr>
          <w:p w14:paraId="48FC95EC" w14:textId="7694AB51" w:rsidR="00C62636" w:rsidRPr="00677CC7"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17,1</w:t>
            </w:r>
          </w:p>
        </w:tc>
        <w:tc>
          <w:tcPr>
            <w:tcW w:w="625" w:type="dxa"/>
            <w:tcBorders>
              <w:top w:val="nil"/>
              <w:left w:val="nil"/>
              <w:bottom w:val="single" w:sz="4" w:space="0" w:color="auto"/>
              <w:right w:val="nil"/>
            </w:tcBorders>
            <w:shd w:val="clear" w:color="auto" w:fill="auto"/>
            <w:vAlign w:val="center"/>
            <w:hideMark/>
          </w:tcPr>
          <w:p w14:paraId="1D1047F1" w14:textId="209A2A6D" w:rsidR="00C62636" w:rsidRPr="00677CC7"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16,1</w:t>
            </w:r>
          </w:p>
        </w:tc>
        <w:tc>
          <w:tcPr>
            <w:tcW w:w="625" w:type="dxa"/>
            <w:tcBorders>
              <w:top w:val="nil"/>
              <w:left w:val="nil"/>
              <w:bottom w:val="single" w:sz="4" w:space="0" w:color="auto"/>
              <w:right w:val="nil"/>
            </w:tcBorders>
            <w:shd w:val="clear" w:color="auto" w:fill="auto"/>
            <w:vAlign w:val="center"/>
            <w:hideMark/>
          </w:tcPr>
          <w:p w14:paraId="14A4ADCA" w14:textId="07D31D7A" w:rsidR="00C62636" w:rsidRPr="00677CC7"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15,4</w:t>
            </w:r>
          </w:p>
        </w:tc>
        <w:tc>
          <w:tcPr>
            <w:tcW w:w="625" w:type="dxa"/>
            <w:tcBorders>
              <w:top w:val="nil"/>
              <w:left w:val="nil"/>
              <w:bottom w:val="single" w:sz="4" w:space="0" w:color="auto"/>
              <w:right w:val="nil"/>
            </w:tcBorders>
            <w:shd w:val="clear" w:color="auto" w:fill="auto"/>
            <w:vAlign w:val="center"/>
            <w:hideMark/>
          </w:tcPr>
          <w:p w14:paraId="0CABCB91" w14:textId="34E7601E" w:rsidR="00C62636" w:rsidRPr="00677CC7"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15,7</w:t>
            </w:r>
          </w:p>
        </w:tc>
        <w:tc>
          <w:tcPr>
            <w:tcW w:w="625" w:type="dxa"/>
            <w:tcBorders>
              <w:top w:val="nil"/>
              <w:left w:val="nil"/>
              <w:bottom w:val="single" w:sz="4" w:space="0" w:color="auto"/>
              <w:right w:val="nil"/>
            </w:tcBorders>
            <w:shd w:val="clear" w:color="auto" w:fill="auto"/>
            <w:vAlign w:val="center"/>
            <w:hideMark/>
          </w:tcPr>
          <w:p w14:paraId="35AD4175" w14:textId="7B3688B0" w:rsidR="00C62636" w:rsidRPr="00677CC7"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15,3</w:t>
            </w:r>
          </w:p>
        </w:tc>
        <w:tc>
          <w:tcPr>
            <w:tcW w:w="625" w:type="dxa"/>
            <w:tcBorders>
              <w:top w:val="nil"/>
              <w:left w:val="nil"/>
              <w:bottom w:val="single" w:sz="4" w:space="0" w:color="auto"/>
              <w:right w:val="nil"/>
            </w:tcBorders>
            <w:shd w:val="clear" w:color="auto" w:fill="auto"/>
            <w:vAlign w:val="center"/>
            <w:hideMark/>
          </w:tcPr>
          <w:p w14:paraId="52B4FFCB" w14:textId="47E489E4" w:rsidR="00C62636" w:rsidRPr="00677CC7"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15,7</w:t>
            </w:r>
          </w:p>
        </w:tc>
        <w:tc>
          <w:tcPr>
            <w:tcW w:w="625" w:type="dxa"/>
            <w:tcBorders>
              <w:top w:val="nil"/>
              <w:left w:val="nil"/>
              <w:bottom w:val="single" w:sz="4" w:space="0" w:color="auto"/>
              <w:right w:val="nil"/>
            </w:tcBorders>
            <w:shd w:val="clear" w:color="auto" w:fill="auto"/>
            <w:vAlign w:val="center"/>
            <w:hideMark/>
          </w:tcPr>
          <w:p w14:paraId="04C5E3DE" w14:textId="5B3056B8" w:rsidR="00C62636" w:rsidRPr="00677CC7"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17</w:t>
            </w:r>
          </w:p>
        </w:tc>
        <w:tc>
          <w:tcPr>
            <w:tcW w:w="625" w:type="dxa"/>
            <w:tcBorders>
              <w:top w:val="nil"/>
              <w:left w:val="nil"/>
              <w:bottom w:val="single" w:sz="4" w:space="0" w:color="auto"/>
              <w:right w:val="nil"/>
            </w:tcBorders>
            <w:shd w:val="clear" w:color="auto" w:fill="auto"/>
            <w:noWrap/>
            <w:vAlign w:val="center"/>
          </w:tcPr>
          <w:p w14:paraId="36C37C50" w14:textId="687BB805" w:rsidR="00C62636" w:rsidRPr="00677CC7" w:rsidRDefault="00C62636" w:rsidP="00C62636">
            <w:pPr>
              <w:spacing w:after="0" w:line="240" w:lineRule="auto"/>
              <w:jc w:val="center"/>
              <w:rPr>
                <w:rFonts w:ascii="Arial Narrow" w:hAnsi="Arial Narrow"/>
                <w:color w:val="000000"/>
                <w:sz w:val="20"/>
                <w:szCs w:val="20"/>
                <w:lang w:val="en-US" w:eastAsia="en-US"/>
              </w:rPr>
            </w:pPr>
            <w:r w:rsidRPr="00412AB0">
              <w:rPr>
                <w:rFonts w:ascii="Arial Narrow" w:hAnsi="Arial Narrow"/>
                <w:color w:val="000000"/>
                <w:sz w:val="20"/>
                <w:szCs w:val="20"/>
                <w:lang w:val="en-US" w:eastAsia="en-US"/>
              </w:rPr>
              <w:t xml:space="preserve"> - </w:t>
            </w:r>
          </w:p>
        </w:tc>
        <w:tc>
          <w:tcPr>
            <w:tcW w:w="625" w:type="dxa"/>
            <w:tcBorders>
              <w:top w:val="nil"/>
              <w:left w:val="nil"/>
              <w:bottom w:val="single" w:sz="4" w:space="0" w:color="auto"/>
              <w:right w:val="nil"/>
            </w:tcBorders>
          </w:tcPr>
          <w:p w14:paraId="0EB5054C"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hideMark/>
          </w:tcPr>
          <w:p w14:paraId="0484D98A" w14:textId="1C1FE586"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r w:rsidR="00994161" w:rsidRPr="00677CC7" w14:paraId="7A2BF8C3" w14:textId="77777777" w:rsidTr="00994161">
        <w:trPr>
          <w:trHeight w:val="188"/>
          <w:jc w:val="center"/>
        </w:trPr>
        <w:tc>
          <w:tcPr>
            <w:tcW w:w="625" w:type="dxa"/>
            <w:gridSpan w:val="2"/>
            <w:tcBorders>
              <w:top w:val="single" w:sz="4" w:space="0" w:color="auto"/>
              <w:left w:val="nil"/>
              <w:bottom w:val="single" w:sz="4" w:space="0" w:color="auto"/>
              <w:right w:val="nil"/>
            </w:tcBorders>
            <w:shd w:val="clear" w:color="000000" w:fill="A9D2F1"/>
          </w:tcPr>
          <w:p w14:paraId="7345B791" w14:textId="77777777" w:rsidR="00994161" w:rsidRPr="00E35039" w:rsidRDefault="00994161" w:rsidP="00342E82">
            <w:pPr>
              <w:spacing w:after="0" w:line="240" w:lineRule="auto"/>
              <w:rPr>
                <w:rFonts w:ascii="Arial Narrow" w:hAnsi="Arial Narrow"/>
                <w:b/>
                <w:bCs/>
                <w:sz w:val="20"/>
                <w:szCs w:val="20"/>
                <w:lang w:val="en-US" w:eastAsia="en-US"/>
              </w:rPr>
            </w:pPr>
          </w:p>
        </w:tc>
        <w:tc>
          <w:tcPr>
            <w:tcW w:w="10206" w:type="dxa"/>
            <w:gridSpan w:val="15"/>
            <w:tcBorders>
              <w:top w:val="single" w:sz="4" w:space="0" w:color="auto"/>
              <w:left w:val="nil"/>
              <w:bottom w:val="single" w:sz="4" w:space="0" w:color="auto"/>
              <w:right w:val="nil"/>
            </w:tcBorders>
            <w:shd w:val="clear" w:color="000000" w:fill="A9D2F1"/>
            <w:noWrap/>
            <w:vAlign w:val="center"/>
          </w:tcPr>
          <w:p w14:paraId="72A68AE9" w14:textId="5198F040" w:rsidR="00994161" w:rsidRPr="00677CC7" w:rsidRDefault="00994161" w:rsidP="00342E82">
            <w:pPr>
              <w:spacing w:after="0" w:line="240" w:lineRule="auto"/>
              <w:rPr>
                <w:rFonts w:ascii="Arial Narrow" w:hAnsi="Arial Narrow"/>
                <w:b/>
                <w:bCs/>
                <w:sz w:val="20"/>
                <w:szCs w:val="20"/>
                <w:lang w:val="en-US" w:eastAsia="en-US"/>
              </w:rPr>
            </w:pPr>
            <w:proofErr w:type="spellStart"/>
            <w:r w:rsidRPr="00E35039">
              <w:rPr>
                <w:rFonts w:ascii="Arial Narrow" w:hAnsi="Arial Narrow"/>
                <w:b/>
                <w:bCs/>
                <w:sz w:val="20"/>
                <w:szCs w:val="20"/>
                <w:lang w:val="en-US" w:eastAsia="en-US"/>
              </w:rPr>
              <w:t>Zamestnanosť</w:t>
            </w:r>
            <w:proofErr w:type="spellEnd"/>
            <w:r w:rsidRPr="00E35039">
              <w:rPr>
                <w:rFonts w:ascii="Arial Narrow" w:hAnsi="Arial Narrow"/>
                <w:b/>
                <w:bCs/>
                <w:sz w:val="20"/>
                <w:szCs w:val="20"/>
                <w:lang w:val="en-US" w:eastAsia="en-US"/>
              </w:rPr>
              <w:t xml:space="preserve"> a </w:t>
            </w:r>
            <w:proofErr w:type="spellStart"/>
            <w:r w:rsidRPr="00E35039">
              <w:rPr>
                <w:rFonts w:ascii="Arial Narrow" w:hAnsi="Arial Narrow"/>
                <w:b/>
                <w:bCs/>
                <w:sz w:val="20"/>
                <w:szCs w:val="20"/>
                <w:lang w:val="en-US" w:eastAsia="en-US"/>
              </w:rPr>
              <w:t>sociálna</w:t>
            </w:r>
            <w:proofErr w:type="spellEnd"/>
            <w:r w:rsidRPr="00E35039">
              <w:rPr>
                <w:rFonts w:ascii="Arial Narrow" w:hAnsi="Arial Narrow"/>
                <w:b/>
                <w:bCs/>
                <w:sz w:val="20"/>
                <w:szCs w:val="20"/>
                <w:lang w:val="en-US" w:eastAsia="en-US"/>
              </w:rPr>
              <w:t xml:space="preserve"> </w:t>
            </w:r>
            <w:proofErr w:type="spellStart"/>
            <w:r w:rsidRPr="00E35039">
              <w:rPr>
                <w:rFonts w:ascii="Arial Narrow" w:hAnsi="Arial Narrow"/>
                <w:b/>
                <w:bCs/>
                <w:sz w:val="20"/>
                <w:szCs w:val="20"/>
                <w:lang w:val="en-US" w:eastAsia="en-US"/>
              </w:rPr>
              <w:t>inklúzia</w:t>
            </w:r>
            <w:proofErr w:type="spellEnd"/>
          </w:p>
        </w:tc>
      </w:tr>
      <w:tr w:rsidR="00C62636" w:rsidRPr="00677CC7" w14:paraId="4AA8B86D" w14:textId="77777777" w:rsidTr="00E336C7">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03F3553E" w14:textId="77777777" w:rsidR="00C62636" w:rsidRPr="00677CC7" w:rsidRDefault="00C62636" w:rsidP="00C62636">
            <w:pPr>
              <w:spacing w:after="0" w:line="240" w:lineRule="auto"/>
              <w:rPr>
                <w:rFonts w:ascii="Arial Narrow" w:hAnsi="Arial Narrow"/>
                <w:b/>
                <w:bCs/>
                <w:sz w:val="20"/>
                <w:szCs w:val="20"/>
                <w:lang w:val="en-US" w:eastAsia="en-US"/>
              </w:rPr>
            </w:pPr>
          </w:p>
        </w:tc>
        <w:tc>
          <w:tcPr>
            <w:tcW w:w="425" w:type="dxa"/>
            <w:gridSpan w:val="2"/>
            <w:vMerge w:val="restart"/>
            <w:tcBorders>
              <w:top w:val="nil"/>
              <w:left w:val="nil"/>
              <w:bottom w:val="single" w:sz="4" w:space="0" w:color="000000"/>
              <w:right w:val="nil"/>
            </w:tcBorders>
            <w:shd w:val="clear" w:color="auto" w:fill="auto"/>
            <w:noWrap/>
            <w:vAlign w:val="center"/>
            <w:hideMark/>
          </w:tcPr>
          <w:p w14:paraId="2919DD81"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rPr>
              <w:t>10</w:t>
            </w:r>
          </w:p>
        </w:tc>
        <w:tc>
          <w:tcPr>
            <w:tcW w:w="2221" w:type="dxa"/>
            <w:tcBorders>
              <w:top w:val="nil"/>
              <w:left w:val="nil"/>
              <w:bottom w:val="nil"/>
              <w:right w:val="nil"/>
            </w:tcBorders>
            <w:shd w:val="clear" w:color="auto" w:fill="auto"/>
            <w:noWrap/>
            <w:vAlign w:val="center"/>
            <w:hideMark/>
          </w:tcPr>
          <w:p w14:paraId="60535742" w14:textId="77777777" w:rsidR="00C62636" w:rsidRPr="00677CC7" w:rsidRDefault="00C62636" w:rsidP="00C62636">
            <w:pPr>
              <w:spacing w:after="0" w:line="240" w:lineRule="auto"/>
              <w:rPr>
                <w:rFonts w:ascii="Arial Narrow" w:hAnsi="Arial Narrow"/>
                <w:b/>
                <w:bCs/>
                <w:color w:val="000000"/>
                <w:sz w:val="20"/>
                <w:szCs w:val="20"/>
                <w:lang w:val="en-US" w:eastAsia="en-US"/>
              </w:rPr>
            </w:pPr>
            <w:proofErr w:type="spellStart"/>
            <w:r w:rsidRPr="00677CC7">
              <w:rPr>
                <w:rFonts w:ascii="Arial Narrow" w:hAnsi="Arial Narrow"/>
                <w:b/>
                <w:bCs/>
                <w:color w:val="000000"/>
                <w:sz w:val="20"/>
                <w:szCs w:val="20"/>
                <w:lang w:val="en-US" w:eastAsia="en-US"/>
              </w:rPr>
              <w:t>Miera</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dlhodobej</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nezamestnanosti</w:t>
            </w:r>
            <w:proofErr w:type="spellEnd"/>
          </w:p>
        </w:tc>
        <w:tc>
          <w:tcPr>
            <w:tcW w:w="756" w:type="dxa"/>
            <w:tcBorders>
              <w:top w:val="nil"/>
              <w:left w:val="nil"/>
              <w:bottom w:val="nil"/>
              <w:right w:val="nil"/>
            </w:tcBorders>
            <w:shd w:val="clear" w:color="auto" w:fill="auto"/>
            <w:vAlign w:val="center"/>
            <w:hideMark/>
          </w:tcPr>
          <w:p w14:paraId="78475E0F"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vAlign w:val="center"/>
            <w:hideMark/>
          </w:tcPr>
          <w:p w14:paraId="64F0528B" w14:textId="12358250" w:rsidR="00C62636" w:rsidRPr="00677CC7" w:rsidRDefault="00C62636" w:rsidP="00C62636">
            <w:pPr>
              <w:spacing w:after="0" w:line="240" w:lineRule="auto"/>
              <w:jc w:val="center"/>
              <w:rPr>
                <w:rFonts w:ascii="Arial Narrow" w:hAnsi="Arial Narrow"/>
                <w:sz w:val="20"/>
                <w:szCs w:val="20"/>
                <w:lang w:val="en-US" w:eastAsia="en-US"/>
              </w:rPr>
            </w:pPr>
            <w:r>
              <w:rPr>
                <w:rFonts w:ascii="Arial Narrow" w:hAnsi="Arial Narrow"/>
                <w:sz w:val="20"/>
                <w:szCs w:val="20"/>
              </w:rPr>
              <w:t>6,5</w:t>
            </w:r>
          </w:p>
        </w:tc>
        <w:tc>
          <w:tcPr>
            <w:tcW w:w="625" w:type="dxa"/>
            <w:tcBorders>
              <w:top w:val="nil"/>
              <w:left w:val="nil"/>
              <w:bottom w:val="nil"/>
              <w:right w:val="nil"/>
            </w:tcBorders>
            <w:shd w:val="clear" w:color="auto" w:fill="auto"/>
            <w:vAlign w:val="center"/>
            <w:hideMark/>
          </w:tcPr>
          <w:p w14:paraId="729B8A51" w14:textId="6A5B891A" w:rsidR="00C62636" w:rsidRPr="00677CC7"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9,2</w:t>
            </w:r>
          </w:p>
        </w:tc>
        <w:tc>
          <w:tcPr>
            <w:tcW w:w="625" w:type="dxa"/>
            <w:tcBorders>
              <w:top w:val="nil"/>
              <w:left w:val="nil"/>
              <w:bottom w:val="nil"/>
              <w:right w:val="nil"/>
            </w:tcBorders>
            <w:shd w:val="clear" w:color="auto" w:fill="auto"/>
            <w:vAlign w:val="center"/>
            <w:hideMark/>
          </w:tcPr>
          <w:p w14:paraId="54162DE0" w14:textId="3C3F7706" w:rsidR="00C62636" w:rsidRPr="00677CC7"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9,2</w:t>
            </w:r>
          </w:p>
        </w:tc>
        <w:tc>
          <w:tcPr>
            <w:tcW w:w="625" w:type="dxa"/>
            <w:tcBorders>
              <w:top w:val="nil"/>
              <w:left w:val="nil"/>
              <w:bottom w:val="nil"/>
              <w:right w:val="nil"/>
            </w:tcBorders>
            <w:shd w:val="clear" w:color="auto" w:fill="auto"/>
            <w:vAlign w:val="center"/>
            <w:hideMark/>
          </w:tcPr>
          <w:p w14:paraId="71EACC4E" w14:textId="6BCE59E4" w:rsidR="00C62636" w:rsidRPr="00677CC7" w:rsidRDefault="00C62636" w:rsidP="00C62636">
            <w:pPr>
              <w:spacing w:after="0" w:line="240" w:lineRule="auto"/>
              <w:jc w:val="center"/>
              <w:rPr>
                <w:rFonts w:ascii="Arial Narrow" w:hAnsi="Arial Narrow"/>
                <w:color w:val="000000"/>
                <w:sz w:val="20"/>
                <w:szCs w:val="20"/>
                <w:lang w:val="en-US" w:eastAsia="en-US"/>
              </w:rPr>
            </w:pPr>
            <w:r w:rsidRPr="006F2C23">
              <w:rPr>
                <w:rFonts w:ascii="Arial Narrow" w:hAnsi="Arial Narrow"/>
                <w:sz w:val="20"/>
                <w:szCs w:val="20"/>
              </w:rPr>
              <w:t>9,4</w:t>
            </w:r>
          </w:p>
        </w:tc>
        <w:tc>
          <w:tcPr>
            <w:tcW w:w="625" w:type="dxa"/>
            <w:tcBorders>
              <w:top w:val="nil"/>
              <w:left w:val="nil"/>
              <w:bottom w:val="nil"/>
              <w:right w:val="nil"/>
            </w:tcBorders>
            <w:shd w:val="clear" w:color="auto" w:fill="auto"/>
            <w:vAlign w:val="center"/>
            <w:hideMark/>
          </w:tcPr>
          <w:p w14:paraId="57ACB5AF" w14:textId="5C7A050A" w:rsidR="00C62636" w:rsidRPr="00677CC7" w:rsidRDefault="00C62636" w:rsidP="00C62636">
            <w:pPr>
              <w:spacing w:after="0" w:line="240" w:lineRule="auto"/>
              <w:jc w:val="center"/>
              <w:rPr>
                <w:rFonts w:ascii="Arial Narrow" w:hAnsi="Arial Narrow"/>
                <w:color w:val="000000"/>
                <w:sz w:val="20"/>
                <w:szCs w:val="20"/>
                <w:lang w:val="en-US" w:eastAsia="en-US"/>
              </w:rPr>
            </w:pPr>
            <w:r w:rsidRPr="006F2C23">
              <w:rPr>
                <w:rFonts w:ascii="Arial Narrow" w:hAnsi="Arial Narrow"/>
                <w:sz w:val="20"/>
                <w:szCs w:val="20"/>
              </w:rPr>
              <w:t>10,0</w:t>
            </w:r>
          </w:p>
        </w:tc>
        <w:tc>
          <w:tcPr>
            <w:tcW w:w="625" w:type="dxa"/>
            <w:tcBorders>
              <w:top w:val="nil"/>
              <w:left w:val="nil"/>
              <w:bottom w:val="nil"/>
              <w:right w:val="nil"/>
            </w:tcBorders>
            <w:shd w:val="clear" w:color="auto" w:fill="auto"/>
            <w:vAlign w:val="center"/>
            <w:hideMark/>
          </w:tcPr>
          <w:p w14:paraId="17C2E367" w14:textId="7CC258DC" w:rsidR="00C62636" w:rsidRPr="00677CC7" w:rsidRDefault="00C62636" w:rsidP="00C62636">
            <w:pPr>
              <w:spacing w:after="0" w:line="240" w:lineRule="auto"/>
              <w:jc w:val="center"/>
              <w:rPr>
                <w:rFonts w:ascii="Arial Narrow" w:hAnsi="Arial Narrow"/>
                <w:color w:val="000000"/>
                <w:sz w:val="20"/>
                <w:szCs w:val="20"/>
                <w:lang w:val="en-US" w:eastAsia="en-US"/>
              </w:rPr>
            </w:pPr>
            <w:r w:rsidRPr="006F2C23">
              <w:rPr>
                <w:rFonts w:ascii="Arial Narrow" w:hAnsi="Arial Narrow"/>
                <w:sz w:val="20"/>
                <w:szCs w:val="20"/>
              </w:rPr>
              <w:t xml:space="preserve"> </w:t>
            </w:r>
            <w:r>
              <w:rPr>
                <w:rFonts w:ascii="Arial Narrow" w:hAnsi="Arial Narrow"/>
                <w:sz w:val="20"/>
                <w:szCs w:val="20"/>
              </w:rPr>
              <w:t>9,3</w:t>
            </w:r>
          </w:p>
        </w:tc>
        <w:tc>
          <w:tcPr>
            <w:tcW w:w="625" w:type="dxa"/>
            <w:tcBorders>
              <w:top w:val="nil"/>
              <w:left w:val="nil"/>
              <w:bottom w:val="nil"/>
              <w:right w:val="nil"/>
            </w:tcBorders>
            <w:shd w:val="clear" w:color="auto" w:fill="auto"/>
            <w:vAlign w:val="center"/>
            <w:hideMark/>
          </w:tcPr>
          <w:p w14:paraId="2A9A9E51" w14:textId="6343C2E4" w:rsidR="00C62636" w:rsidRPr="00677CC7"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7,6</w:t>
            </w:r>
          </w:p>
        </w:tc>
        <w:tc>
          <w:tcPr>
            <w:tcW w:w="625" w:type="dxa"/>
            <w:tcBorders>
              <w:top w:val="nil"/>
              <w:left w:val="nil"/>
              <w:bottom w:val="nil"/>
              <w:right w:val="nil"/>
            </w:tcBorders>
            <w:vAlign w:val="center"/>
            <w:hideMark/>
          </w:tcPr>
          <w:p w14:paraId="08B8503D" w14:textId="2F959A5D" w:rsidR="00C62636" w:rsidRPr="00677CC7"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5,8</w:t>
            </w:r>
          </w:p>
        </w:tc>
        <w:tc>
          <w:tcPr>
            <w:tcW w:w="625" w:type="dxa"/>
            <w:tcBorders>
              <w:top w:val="nil"/>
              <w:left w:val="nil"/>
              <w:bottom w:val="nil"/>
              <w:right w:val="nil"/>
            </w:tcBorders>
            <w:shd w:val="clear" w:color="auto" w:fill="auto"/>
            <w:vAlign w:val="center"/>
          </w:tcPr>
          <w:p w14:paraId="21EADA3A" w14:textId="7D835824" w:rsidR="00C62636" w:rsidRPr="00677CC7"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6,5</w:t>
            </w:r>
          </w:p>
        </w:tc>
        <w:tc>
          <w:tcPr>
            <w:tcW w:w="625" w:type="dxa"/>
            <w:tcBorders>
              <w:top w:val="nil"/>
              <w:left w:val="nil"/>
              <w:bottom w:val="nil"/>
              <w:right w:val="nil"/>
            </w:tcBorders>
          </w:tcPr>
          <w:p w14:paraId="1D1B1A49"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49C2A109" w14:textId="54A01A3B"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3</w:t>
            </w:r>
          </w:p>
        </w:tc>
      </w:tr>
      <w:tr w:rsidR="00C62636" w:rsidRPr="00677CC7" w14:paraId="506FCE14" w14:textId="77777777" w:rsidTr="00E336C7">
        <w:trPr>
          <w:gridAfter w:val="1"/>
          <w:wAfter w:w="10" w:type="dxa"/>
          <w:trHeight w:val="188"/>
          <w:jc w:val="center"/>
        </w:trPr>
        <w:tc>
          <w:tcPr>
            <w:tcW w:w="426" w:type="dxa"/>
            <w:tcBorders>
              <w:top w:val="nil"/>
              <w:left w:val="nil"/>
              <w:bottom w:val="single" w:sz="4" w:space="0" w:color="auto"/>
              <w:right w:val="nil"/>
            </w:tcBorders>
            <w:shd w:val="clear" w:color="auto" w:fill="auto"/>
            <w:textDirection w:val="btLr"/>
            <w:vAlign w:val="center"/>
            <w:hideMark/>
          </w:tcPr>
          <w:p w14:paraId="45B8057D"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 </w:t>
            </w:r>
          </w:p>
        </w:tc>
        <w:tc>
          <w:tcPr>
            <w:tcW w:w="425" w:type="dxa"/>
            <w:gridSpan w:val="2"/>
            <w:vMerge/>
            <w:tcBorders>
              <w:top w:val="nil"/>
              <w:left w:val="nil"/>
              <w:bottom w:val="single" w:sz="4" w:space="0" w:color="000000"/>
              <w:right w:val="nil"/>
            </w:tcBorders>
            <w:vAlign w:val="center"/>
            <w:hideMark/>
          </w:tcPr>
          <w:p w14:paraId="3FB768B9"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7A3952A7" w14:textId="77777777" w:rsidR="00C62636" w:rsidRPr="00677CC7" w:rsidRDefault="00C62636" w:rsidP="00C62636">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aktívneho</w:t>
            </w:r>
            <w:proofErr w:type="spellEnd"/>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obyvateľstva</w:t>
            </w:r>
            <w:proofErr w:type="spellEnd"/>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nad</w:t>
            </w:r>
            <w:proofErr w:type="spellEnd"/>
            <w:r w:rsidRPr="00677CC7">
              <w:rPr>
                <w:rFonts w:ascii="Arial Narrow" w:hAnsi="Arial Narrow"/>
                <w:color w:val="000000"/>
                <w:sz w:val="20"/>
                <w:szCs w:val="20"/>
                <w:lang w:val="en-US" w:eastAsia="en-US"/>
              </w:rPr>
              <w:t xml:space="preserve"> 15 </w:t>
            </w:r>
            <w:proofErr w:type="spellStart"/>
            <w:r w:rsidRPr="00677CC7">
              <w:rPr>
                <w:rFonts w:ascii="Arial Narrow" w:hAnsi="Arial Narrow"/>
                <w:color w:val="000000"/>
                <w:sz w:val="20"/>
                <w:szCs w:val="20"/>
                <w:lang w:val="en-US" w:eastAsia="en-US"/>
              </w:rPr>
              <w:t>rokov</w:t>
            </w:r>
            <w:proofErr w:type="spellEnd"/>
            <w:r w:rsidRPr="00677CC7">
              <w:rPr>
                <w:rFonts w:ascii="Arial Narrow" w:hAnsi="Arial Narrow"/>
                <w:color w:val="000000"/>
                <w:sz w:val="20"/>
                <w:szCs w:val="20"/>
                <w:lang w:val="en-US" w:eastAsia="en-US"/>
              </w:rPr>
              <w:t>)</w:t>
            </w:r>
          </w:p>
        </w:tc>
        <w:tc>
          <w:tcPr>
            <w:tcW w:w="756" w:type="dxa"/>
            <w:tcBorders>
              <w:top w:val="nil"/>
              <w:left w:val="nil"/>
              <w:bottom w:val="single" w:sz="4" w:space="0" w:color="auto"/>
              <w:right w:val="nil"/>
            </w:tcBorders>
            <w:shd w:val="clear" w:color="auto" w:fill="auto"/>
            <w:vAlign w:val="center"/>
            <w:hideMark/>
          </w:tcPr>
          <w:p w14:paraId="0424BB85"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shd w:val="clear" w:color="auto" w:fill="auto"/>
            <w:vAlign w:val="center"/>
            <w:hideMark/>
          </w:tcPr>
          <w:p w14:paraId="103A91B2" w14:textId="22A71D42" w:rsidR="00C62636" w:rsidRPr="00677CC7" w:rsidRDefault="00C62636" w:rsidP="00C62636">
            <w:pPr>
              <w:spacing w:after="0" w:line="240" w:lineRule="auto"/>
              <w:jc w:val="center"/>
              <w:rPr>
                <w:rFonts w:ascii="Arial Narrow" w:hAnsi="Arial Narrow"/>
                <w:sz w:val="20"/>
                <w:szCs w:val="20"/>
                <w:lang w:val="en-US" w:eastAsia="en-US"/>
              </w:rPr>
            </w:pPr>
            <w:r>
              <w:rPr>
                <w:rFonts w:ascii="Arial Narrow" w:hAnsi="Arial Narrow"/>
                <w:sz w:val="20"/>
                <w:szCs w:val="20"/>
              </w:rPr>
              <w:t>2,9</w:t>
            </w:r>
          </w:p>
        </w:tc>
        <w:tc>
          <w:tcPr>
            <w:tcW w:w="625" w:type="dxa"/>
            <w:tcBorders>
              <w:top w:val="nil"/>
              <w:left w:val="nil"/>
              <w:bottom w:val="single" w:sz="4" w:space="0" w:color="auto"/>
              <w:right w:val="nil"/>
            </w:tcBorders>
            <w:shd w:val="clear" w:color="auto" w:fill="auto"/>
            <w:vAlign w:val="center"/>
            <w:hideMark/>
          </w:tcPr>
          <w:p w14:paraId="31F40BDE" w14:textId="0586F1E0" w:rsidR="00C62636" w:rsidRPr="00677CC7" w:rsidRDefault="00C62636" w:rsidP="00C62636">
            <w:pPr>
              <w:spacing w:after="0" w:line="240" w:lineRule="auto"/>
              <w:jc w:val="center"/>
              <w:rPr>
                <w:rFonts w:ascii="Arial Narrow" w:hAnsi="Arial Narrow"/>
                <w:color w:val="000000"/>
                <w:sz w:val="20"/>
                <w:szCs w:val="20"/>
                <w:lang w:val="en-US" w:eastAsia="en-US"/>
              </w:rPr>
            </w:pPr>
            <w:r w:rsidRPr="00975D00">
              <w:rPr>
                <w:rFonts w:ascii="Arial Narrow" w:hAnsi="Arial Narrow"/>
                <w:sz w:val="20"/>
                <w:szCs w:val="20"/>
              </w:rPr>
              <w:t>3,</w:t>
            </w:r>
            <w:r>
              <w:rPr>
                <w:rFonts w:ascii="Arial Narrow" w:hAnsi="Arial Narrow"/>
                <w:sz w:val="20"/>
                <w:szCs w:val="20"/>
              </w:rPr>
              <w:t>8</w:t>
            </w:r>
          </w:p>
        </w:tc>
        <w:tc>
          <w:tcPr>
            <w:tcW w:w="625" w:type="dxa"/>
            <w:tcBorders>
              <w:top w:val="nil"/>
              <w:left w:val="nil"/>
              <w:bottom w:val="single" w:sz="4" w:space="0" w:color="auto"/>
              <w:right w:val="nil"/>
            </w:tcBorders>
            <w:shd w:val="clear" w:color="auto" w:fill="auto"/>
            <w:vAlign w:val="center"/>
            <w:hideMark/>
          </w:tcPr>
          <w:p w14:paraId="7A7811F2" w14:textId="211F3F48" w:rsidR="00C62636" w:rsidRPr="00677CC7" w:rsidRDefault="00C62636" w:rsidP="00C62636">
            <w:pPr>
              <w:spacing w:after="0" w:line="240" w:lineRule="auto"/>
              <w:jc w:val="center"/>
              <w:rPr>
                <w:rFonts w:ascii="Arial Narrow" w:hAnsi="Arial Narrow"/>
                <w:color w:val="000000"/>
                <w:sz w:val="20"/>
                <w:szCs w:val="20"/>
                <w:lang w:val="en-US" w:eastAsia="en-US"/>
              </w:rPr>
            </w:pPr>
            <w:r w:rsidRPr="00975D00">
              <w:rPr>
                <w:rFonts w:ascii="Arial Narrow" w:hAnsi="Arial Narrow"/>
                <w:sz w:val="20"/>
                <w:szCs w:val="20"/>
              </w:rPr>
              <w:t>4,</w:t>
            </w:r>
            <w:r>
              <w:rPr>
                <w:rFonts w:ascii="Arial Narrow" w:hAnsi="Arial Narrow"/>
                <w:sz w:val="20"/>
                <w:szCs w:val="20"/>
              </w:rPr>
              <w:t>1</w:t>
            </w:r>
          </w:p>
        </w:tc>
        <w:tc>
          <w:tcPr>
            <w:tcW w:w="625" w:type="dxa"/>
            <w:tcBorders>
              <w:top w:val="nil"/>
              <w:left w:val="nil"/>
              <w:bottom w:val="single" w:sz="4" w:space="0" w:color="auto"/>
              <w:right w:val="nil"/>
            </w:tcBorders>
            <w:shd w:val="clear" w:color="auto" w:fill="auto"/>
            <w:vAlign w:val="center"/>
            <w:hideMark/>
          </w:tcPr>
          <w:p w14:paraId="6B5569FF" w14:textId="06592528" w:rsidR="00C62636" w:rsidRPr="00677CC7"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4,6</w:t>
            </w:r>
          </w:p>
        </w:tc>
        <w:tc>
          <w:tcPr>
            <w:tcW w:w="625" w:type="dxa"/>
            <w:tcBorders>
              <w:top w:val="nil"/>
              <w:left w:val="nil"/>
              <w:bottom w:val="single" w:sz="4" w:space="0" w:color="auto"/>
              <w:right w:val="nil"/>
            </w:tcBorders>
            <w:shd w:val="clear" w:color="auto" w:fill="auto"/>
            <w:vAlign w:val="center"/>
            <w:hideMark/>
          </w:tcPr>
          <w:p w14:paraId="46D049DB" w14:textId="1F30EE4A" w:rsidR="00C62636" w:rsidRPr="00677CC7"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 xml:space="preserve"> </w:t>
            </w:r>
            <w:r w:rsidRPr="00975D00">
              <w:rPr>
                <w:rFonts w:ascii="Arial Narrow" w:hAnsi="Arial Narrow"/>
                <w:sz w:val="20"/>
                <w:szCs w:val="20"/>
              </w:rPr>
              <w:t>5,</w:t>
            </w:r>
            <w:r>
              <w:rPr>
                <w:rFonts w:ascii="Arial Narrow" w:hAnsi="Arial Narrow"/>
                <w:sz w:val="20"/>
                <w:szCs w:val="20"/>
              </w:rPr>
              <w:t>1</w:t>
            </w:r>
          </w:p>
        </w:tc>
        <w:tc>
          <w:tcPr>
            <w:tcW w:w="625" w:type="dxa"/>
            <w:tcBorders>
              <w:top w:val="nil"/>
              <w:left w:val="nil"/>
              <w:bottom w:val="single" w:sz="4" w:space="0" w:color="auto"/>
              <w:right w:val="nil"/>
            </w:tcBorders>
            <w:shd w:val="clear" w:color="auto" w:fill="auto"/>
            <w:vAlign w:val="center"/>
            <w:hideMark/>
          </w:tcPr>
          <w:p w14:paraId="3FAE37E4" w14:textId="2A51B5CB" w:rsidR="00C62636" w:rsidRPr="00677CC7"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 xml:space="preserve"> 5,0</w:t>
            </w:r>
          </w:p>
        </w:tc>
        <w:tc>
          <w:tcPr>
            <w:tcW w:w="625" w:type="dxa"/>
            <w:tcBorders>
              <w:top w:val="nil"/>
              <w:left w:val="nil"/>
              <w:bottom w:val="single" w:sz="4" w:space="0" w:color="auto"/>
              <w:right w:val="nil"/>
            </w:tcBorders>
            <w:shd w:val="clear" w:color="auto" w:fill="auto"/>
            <w:vAlign w:val="center"/>
            <w:hideMark/>
          </w:tcPr>
          <w:p w14:paraId="19A2FDCC" w14:textId="7B7D35B5" w:rsidR="00C62636" w:rsidRPr="00677CC7"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4,5</w:t>
            </w:r>
          </w:p>
        </w:tc>
        <w:tc>
          <w:tcPr>
            <w:tcW w:w="625" w:type="dxa"/>
            <w:tcBorders>
              <w:top w:val="nil"/>
              <w:left w:val="nil"/>
              <w:bottom w:val="single" w:sz="4" w:space="0" w:color="auto"/>
              <w:right w:val="nil"/>
            </w:tcBorders>
            <w:vAlign w:val="center"/>
            <w:hideMark/>
          </w:tcPr>
          <w:p w14:paraId="1CEF3807" w14:textId="5D0DD157" w:rsidR="00C62636" w:rsidRPr="00677CC7"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4,0</w:t>
            </w:r>
          </w:p>
        </w:tc>
        <w:tc>
          <w:tcPr>
            <w:tcW w:w="625" w:type="dxa"/>
            <w:tcBorders>
              <w:top w:val="nil"/>
              <w:left w:val="nil"/>
              <w:bottom w:val="single" w:sz="4" w:space="0" w:color="auto"/>
              <w:right w:val="nil"/>
            </w:tcBorders>
            <w:shd w:val="clear" w:color="auto" w:fill="auto"/>
            <w:vAlign w:val="center"/>
          </w:tcPr>
          <w:p w14:paraId="204531DF" w14:textId="32D95ABC" w:rsidR="00C62636" w:rsidRPr="00677CC7"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2,9</w:t>
            </w:r>
          </w:p>
        </w:tc>
        <w:tc>
          <w:tcPr>
            <w:tcW w:w="625" w:type="dxa"/>
            <w:tcBorders>
              <w:top w:val="nil"/>
              <w:left w:val="nil"/>
              <w:bottom w:val="nil"/>
              <w:right w:val="nil"/>
            </w:tcBorders>
          </w:tcPr>
          <w:p w14:paraId="376649F5"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1996FCE0" w14:textId="33CC159F"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r w:rsidR="00C62636" w:rsidRPr="00677CC7" w14:paraId="14C71EAA" w14:textId="77777777" w:rsidTr="00E336C7">
        <w:trPr>
          <w:gridAfter w:val="1"/>
          <w:wAfter w:w="10" w:type="dxa"/>
          <w:trHeight w:val="188"/>
          <w:jc w:val="center"/>
        </w:trPr>
        <w:tc>
          <w:tcPr>
            <w:tcW w:w="426" w:type="dxa"/>
            <w:vMerge w:val="restart"/>
            <w:tcBorders>
              <w:top w:val="nil"/>
              <w:left w:val="nil"/>
              <w:bottom w:val="single" w:sz="4" w:space="0" w:color="000000"/>
              <w:right w:val="nil"/>
            </w:tcBorders>
            <w:shd w:val="clear" w:color="auto" w:fill="auto"/>
            <w:textDirection w:val="btLr"/>
            <w:vAlign w:val="center"/>
            <w:hideMark/>
          </w:tcPr>
          <w:p w14:paraId="6C41B1A6"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425" w:type="dxa"/>
            <w:gridSpan w:val="2"/>
            <w:vMerge w:val="restart"/>
            <w:tcBorders>
              <w:top w:val="nil"/>
              <w:left w:val="nil"/>
              <w:bottom w:val="single" w:sz="4" w:space="0" w:color="000000"/>
              <w:right w:val="nil"/>
            </w:tcBorders>
            <w:shd w:val="clear" w:color="auto" w:fill="auto"/>
            <w:noWrap/>
            <w:vAlign w:val="center"/>
            <w:hideMark/>
          </w:tcPr>
          <w:p w14:paraId="2F492C16"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rPr>
              <w:t>11</w:t>
            </w:r>
          </w:p>
        </w:tc>
        <w:tc>
          <w:tcPr>
            <w:tcW w:w="2221" w:type="dxa"/>
            <w:tcBorders>
              <w:top w:val="nil"/>
              <w:left w:val="nil"/>
              <w:bottom w:val="nil"/>
              <w:right w:val="nil"/>
            </w:tcBorders>
            <w:shd w:val="clear" w:color="auto" w:fill="auto"/>
            <w:noWrap/>
            <w:vAlign w:val="center"/>
            <w:hideMark/>
          </w:tcPr>
          <w:p w14:paraId="252D085C" w14:textId="77777777" w:rsidR="00C62636" w:rsidRPr="00677CC7" w:rsidRDefault="00C62636" w:rsidP="00C62636">
            <w:pPr>
              <w:spacing w:after="0" w:line="240" w:lineRule="auto"/>
              <w:rPr>
                <w:rFonts w:ascii="Arial Narrow" w:hAnsi="Arial Narrow"/>
                <w:b/>
                <w:bCs/>
                <w:color w:val="000000"/>
                <w:sz w:val="20"/>
                <w:szCs w:val="20"/>
                <w:lang w:val="en-US" w:eastAsia="en-US"/>
              </w:rPr>
            </w:pPr>
            <w:proofErr w:type="spellStart"/>
            <w:r w:rsidRPr="00677CC7">
              <w:rPr>
                <w:rFonts w:ascii="Arial Narrow" w:hAnsi="Arial Narrow"/>
                <w:b/>
                <w:bCs/>
                <w:color w:val="000000"/>
                <w:sz w:val="20"/>
                <w:szCs w:val="20"/>
                <w:lang w:val="en-US" w:eastAsia="en-US"/>
              </w:rPr>
              <w:t>Miera</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zamestnanosti</w:t>
            </w:r>
            <w:proofErr w:type="spellEnd"/>
          </w:p>
        </w:tc>
        <w:tc>
          <w:tcPr>
            <w:tcW w:w="756" w:type="dxa"/>
            <w:tcBorders>
              <w:top w:val="nil"/>
              <w:left w:val="nil"/>
              <w:bottom w:val="nil"/>
              <w:right w:val="nil"/>
            </w:tcBorders>
            <w:shd w:val="clear" w:color="auto" w:fill="auto"/>
            <w:vAlign w:val="center"/>
            <w:hideMark/>
          </w:tcPr>
          <w:p w14:paraId="4BA66605"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vAlign w:val="center"/>
            <w:hideMark/>
          </w:tcPr>
          <w:p w14:paraId="49A4BB49" w14:textId="7E6E8ACC" w:rsidR="00C62636" w:rsidRPr="00677CC7" w:rsidRDefault="00C62636" w:rsidP="00C62636">
            <w:pPr>
              <w:spacing w:after="0" w:line="240" w:lineRule="auto"/>
              <w:jc w:val="center"/>
              <w:rPr>
                <w:rFonts w:ascii="Arial Narrow" w:hAnsi="Arial Narrow"/>
                <w:color w:val="000000"/>
                <w:sz w:val="20"/>
                <w:szCs w:val="20"/>
                <w:lang w:val="en-US" w:eastAsia="en-US"/>
              </w:rPr>
            </w:pPr>
            <w:r w:rsidRPr="00BF0187">
              <w:rPr>
                <w:rFonts w:ascii="Arial Narrow" w:hAnsi="Arial Narrow"/>
                <w:sz w:val="20"/>
                <w:szCs w:val="20"/>
              </w:rPr>
              <w:t>66,4</w:t>
            </w:r>
          </w:p>
        </w:tc>
        <w:tc>
          <w:tcPr>
            <w:tcW w:w="625" w:type="dxa"/>
            <w:tcBorders>
              <w:top w:val="nil"/>
              <w:left w:val="nil"/>
              <w:bottom w:val="nil"/>
              <w:right w:val="nil"/>
            </w:tcBorders>
            <w:shd w:val="clear" w:color="auto" w:fill="auto"/>
            <w:vAlign w:val="center"/>
            <w:hideMark/>
          </w:tcPr>
          <w:p w14:paraId="4FB1C7D2" w14:textId="47090109" w:rsidR="00C62636" w:rsidRPr="00677CC7" w:rsidRDefault="00C62636" w:rsidP="00C62636">
            <w:pPr>
              <w:spacing w:after="0" w:line="240" w:lineRule="auto"/>
              <w:jc w:val="center"/>
              <w:rPr>
                <w:rFonts w:ascii="Arial Narrow" w:hAnsi="Arial Narrow"/>
                <w:color w:val="000000"/>
                <w:sz w:val="20"/>
                <w:szCs w:val="20"/>
                <w:lang w:val="en-US" w:eastAsia="en-US"/>
              </w:rPr>
            </w:pPr>
            <w:r w:rsidRPr="00BF0187">
              <w:rPr>
                <w:rFonts w:ascii="Arial Narrow" w:hAnsi="Arial Narrow"/>
                <w:sz w:val="20"/>
                <w:szCs w:val="20"/>
              </w:rPr>
              <w:t>64,6</w:t>
            </w:r>
          </w:p>
        </w:tc>
        <w:tc>
          <w:tcPr>
            <w:tcW w:w="625" w:type="dxa"/>
            <w:tcBorders>
              <w:top w:val="nil"/>
              <w:left w:val="nil"/>
              <w:bottom w:val="nil"/>
              <w:right w:val="nil"/>
            </w:tcBorders>
            <w:shd w:val="clear" w:color="auto" w:fill="auto"/>
            <w:vAlign w:val="center"/>
            <w:hideMark/>
          </w:tcPr>
          <w:p w14:paraId="724B9722" w14:textId="3589149F" w:rsidR="00C62636" w:rsidRPr="00677CC7" w:rsidRDefault="00C62636" w:rsidP="00C62636">
            <w:pPr>
              <w:spacing w:after="0" w:line="240" w:lineRule="auto"/>
              <w:jc w:val="center"/>
              <w:rPr>
                <w:rFonts w:ascii="Arial Narrow" w:hAnsi="Arial Narrow"/>
                <w:color w:val="000000"/>
                <w:sz w:val="20"/>
                <w:szCs w:val="20"/>
                <w:lang w:val="en-US" w:eastAsia="en-US"/>
              </w:rPr>
            </w:pPr>
            <w:r w:rsidRPr="00BF0187">
              <w:rPr>
                <w:rFonts w:ascii="Arial Narrow" w:hAnsi="Arial Narrow"/>
                <w:sz w:val="20"/>
                <w:szCs w:val="20"/>
              </w:rPr>
              <w:t>65,0</w:t>
            </w:r>
          </w:p>
        </w:tc>
        <w:tc>
          <w:tcPr>
            <w:tcW w:w="625" w:type="dxa"/>
            <w:tcBorders>
              <w:top w:val="nil"/>
              <w:left w:val="nil"/>
              <w:bottom w:val="nil"/>
              <w:right w:val="nil"/>
            </w:tcBorders>
            <w:shd w:val="clear" w:color="auto" w:fill="auto"/>
            <w:vAlign w:val="center"/>
            <w:hideMark/>
          </w:tcPr>
          <w:p w14:paraId="58F1D701" w14:textId="0F6D0AEF" w:rsidR="00C62636" w:rsidRPr="00677CC7" w:rsidRDefault="00C62636" w:rsidP="00C62636">
            <w:pPr>
              <w:spacing w:after="0" w:line="240" w:lineRule="auto"/>
              <w:jc w:val="center"/>
              <w:rPr>
                <w:rFonts w:ascii="Arial Narrow" w:hAnsi="Arial Narrow"/>
                <w:color w:val="000000"/>
                <w:sz w:val="20"/>
                <w:szCs w:val="20"/>
                <w:lang w:val="en-US" w:eastAsia="en-US"/>
              </w:rPr>
            </w:pPr>
            <w:r w:rsidRPr="00BF0187">
              <w:rPr>
                <w:rFonts w:ascii="Arial Narrow" w:hAnsi="Arial Narrow"/>
                <w:sz w:val="20"/>
                <w:szCs w:val="20"/>
              </w:rPr>
              <w:t>65,1</w:t>
            </w:r>
          </w:p>
        </w:tc>
        <w:tc>
          <w:tcPr>
            <w:tcW w:w="625" w:type="dxa"/>
            <w:tcBorders>
              <w:top w:val="nil"/>
              <w:left w:val="nil"/>
              <w:bottom w:val="nil"/>
              <w:right w:val="nil"/>
            </w:tcBorders>
            <w:shd w:val="clear" w:color="auto" w:fill="auto"/>
            <w:vAlign w:val="center"/>
            <w:hideMark/>
          </w:tcPr>
          <w:p w14:paraId="50D231AE" w14:textId="435D5D7D" w:rsidR="00C62636" w:rsidRPr="00677CC7" w:rsidRDefault="00C62636" w:rsidP="00C62636">
            <w:pPr>
              <w:spacing w:after="0" w:line="240" w:lineRule="auto"/>
              <w:jc w:val="center"/>
              <w:rPr>
                <w:rFonts w:ascii="Arial Narrow" w:hAnsi="Arial Narrow"/>
                <w:color w:val="000000"/>
                <w:sz w:val="20"/>
                <w:szCs w:val="20"/>
                <w:lang w:val="en-US" w:eastAsia="en-US"/>
              </w:rPr>
            </w:pPr>
            <w:r w:rsidRPr="00BF0187">
              <w:rPr>
                <w:rFonts w:ascii="Arial Narrow" w:hAnsi="Arial Narrow"/>
                <w:sz w:val="20"/>
                <w:szCs w:val="20"/>
              </w:rPr>
              <w:t>65,0</w:t>
            </w:r>
          </w:p>
        </w:tc>
        <w:tc>
          <w:tcPr>
            <w:tcW w:w="625" w:type="dxa"/>
            <w:tcBorders>
              <w:top w:val="nil"/>
              <w:left w:val="nil"/>
              <w:bottom w:val="nil"/>
              <w:right w:val="nil"/>
            </w:tcBorders>
            <w:shd w:val="clear" w:color="auto" w:fill="auto"/>
            <w:vAlign w:val="center"/>
            <w:hideMark/>
          </w:tcPr>
          <w:p w14:paraId="2AC8C4C4" w14:textId="5A03962A" w:rsidR="00C62636" w:rsidRPr="00677CC7" w:rsidRDefault="00C62636" w:rsidP="00C62636">
            <w:pPr>
              <w:spacing w:after="0" w:line="240" w:lineRule="auto"/>
              <w:jc w:val="center"/>
              <w:rPr>
                <w:rFonts w:ascii="Arial Narrow" w:hAnsi="Arial Narrow"/>
                <w:color w:val="000000"/>
                <w:sz w:val="20"/>
                <w:szCs w:val="20"/>
                <w:lang w:val="en-US" w:eastAsia="en-US"/>
              </w:rPr>
            </w:pPr>
            <w:r w:rsidRPr="00BF0187">
              <w:rPr>
                <w:rFonts w:ascii="Arial Narrow" w:hAnsi="Arial Narrow"/>
                <w:sz w:val="20"/>
                <w:szCs w:val="20"/>
              </w:rPr>
              <w:t xml:space="preserve">65,9 </w:t>
            </w:r>
          </w:p>
        </w:tc>
        <w:tc>
          <w:tcPr>
            <w:tcW w:w="625" w:type="dxa"/>
            <w:tcBorders>
              <w:top w:val="nil"/>
              <w:left w:val="nil"/>
              <w:bottom w:val="nil"/>
              <w:right w:val="nil"/>
            </w:tcBorders>
            <w:shd w:val="clear" w:color="auto" w:fill="auto"/>
            <w:vAlign w:val="center"/>
            <w:hideMark/>
          </w:tcPr>
          <w:p w14:paraId="733163E6" w14:textId="051D473E" w:rsidR="00C62636" w:rsidRPr="00677CC7" w:rsidRDefault="00C62636" w:rsidP="00C62636">
            <w:pPr>
              <w:spacing w:after="0" w:line="240" w:lineRule="auto"/>
              <w:jc w:val="center"/>
              <w:rPr>
                <w:rFonts w:ascii="Arial Narrow" w:hAnsi="Arial Narrow"/>
                <w:color w:val="000000"/>
                <w:sz w:val="20"/>
                <w:szCs w:val="20"/>
                <w:lang w:val="en-US" w:eastAsia="en-US"/>
              </w:rPr>
            </w:pPr>
            <w:r w:rsidRPr="00BF0187">
              <w:rPr>
                <w:rFonts w:ascii="Arial Narrow" w:hAnsi="Arial Narrow"/>
                <w:sz w:val="20"/>
                <w:szCs w:val="20"/>
              </w:rPr>
              <w:t>67,7</w:t>
            </w:r>
          </w:p>
        </w:tc>
        <w:tc>
          <w:tcPr>
            <w:tcW w:w="625" w:type="dxa"/>
            <w:tcBorders>
              <w:top w:val="nil"/>
              <w:left w:val="nil"/>
              <w:bottom w:val="nil"/>
              <w:right w:val="nil"/>
            </w:tcBorders>
            <w:vAlign w:val="center"/>
            <w:hideMark/>
          </w:tcPr>
          <w:p w14:paraId="48D26072" w14:textId="4D9C33E6" w:rsidR="00C62636" w:rsidRPr="00677CC7"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69,8</w:t>
            </w:r>
          </w:p>
        </w:tc>
        <w:tc>
          <w:tcPr>
            <w:tcW w:w="625" w:type="dxa"/>
            <w:tcBorders>
              <w:top w:val="nil"/>
              <w:left w:val="nil"/>
              <w:bottom w:val="nil"/>
              <w:right w:val="nil"/>
            </w:tcBorders>
            <w:shd w:val="clear" w:color="auto" w:fill="auto"/>
            <w:vAlign w:val="center"/>
          </w:tcPr>
          <w:p w14:paraId="49CAD2D9" w14:textId="577AA94D" w:rsidR="00C62636" w:rsidRPr="00677CC7" w:rsidRDefault="00C62636" w:rsidP="00C62636">
            <w:pPr>
              <w:spacing w:after="0" w:line="240" w:lineRule="auto"/>
              <w:jc w:val="center"/>
              <w:rPr>
                <w:rFonts w:ascii="Arial Narrow" w:hAnsi="Arial Narrow"/>
                <w:color w:val="000000"/>
                <w:sz w:val="20"/>
                <w:szCs w:val="20"/>
                <w:lang w:val="en-US" w:eastAsia="en-US"/>
              </w:rPr>
            </w:pPr>
            <w:r w:rsidRPr="00BF0187">
              <w:rPr>
                <w:rFonts w:ascii="Arial Narrow" w:hAnsi="Arial Narrow"/>
                <w:sz w:val="20"/>
                <w:szCs w:val="20"/>
              </w:rPr>
              <w:t>66,4</w:t>
            </w:r>
          </w:p>
        </w:tc>
        <w:tc>
          <w:tcPr>
            <w:tcW w:w="625" w:type="dxa"/>
            <w:tcBorders>
              <w:top w:val="single" w:sz="4" w:space="0" w:color="auto"/>
              <w:left w:val="nil"/>
              <w:bottom w:val="nil"/>
              <w:right w:val="nil"/>
            </w:tcBorders>
          </w:tcPr>
          <w:p w14:paraId="4F085091"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p>
        </w:tc>
        <w:tc>
          <w:tcPr>
            <w:tcW w:w="625" w:type="dxa"/>
            <w:tcBorders>
              <w:top w:val="single" w:sz="4" w:space="0" w:color="auto"/>
              <w:left w:val="nil"/>
              <w:bottom w:val="nil"/>
              <w:right w:val="nil"/>
            </w:tcBorders>
            <w:shd w:val="clear" w:color="auto" w:fill="auto"/>
            <w:vAlign w:val="center"/>
            <w:hideMark/>
          </w:tcPr>
          <w:p w14:paraId="0507BC15" w14:textId="6A3003A2"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72</w:t>
            </w:r>
          </w:p>
        </w:tc>
      </w:tr>
      <w:tr w:rsidR="00C62636" w:rsidRPr="00677CC7" w14:paraId="313CA11B" w14:textId="77777777" w:rsidTr="00E336C7">
        <w:trPr>
          <w:gridAfter w:val="1"/>
          <w:wAfter w:w="10" w:type="dxa"/>
          <w:trHeight w:val="188"/>
          <w:jc w:val="center"/>
        </w:trPr>
        <w:tc>
          <w:tcPr>
            <w:tcW w:w="426" w:type="dxa"/>
            <w:vMerge/>
            <w:tcBorders>
              <w:top w:val="nil"/>
              <w:left w:val="nil"/>
              <w:bottom w:val="single" w:sz="4" w:space="0" w:color="000000"/>
              <w:right w:val="nil"/>
            </w:tcBorders>
            <w:vAlign w:val="center"/>
            <w:hideMark/>
          </w:tcPr>
          <w:p w14:paraId="35F0199A" w14:textId="77777777" w:rsidR="00C62636" w:rsidRPr="00677CC7" w:rsidRDefault="00C62636" w:rsidP="00C62636">
            <w:pPr>
              <w:spacing w:after="0" w:line="240" w:lineRule="auto"/>
              <w:rPr>
                <w:rFonts w:ascii="Arial Narrow" w:hAnsi="Arial Narrow"/>
                <w:b/>
                <w:bCs/>
                <w:color w:val="000000"/>
                <w:sz w:val="20"/>
                <w:szCs w:val="20"/>
                <w:lang w:val="en-US" w:eastAsia="en-US"/>
              </w:rPr>
            </w:pPr>
          </w:p>
        </w:tc>
        <w:tc>
          <w:tcPr>
            <w:tcW w:w="425" w:type="dxa"/>
            <w:gridSpan w:val="2"/>
            <w:vMerge/>
            <w:tcBorders>
              <w:top w:val="nil"/>
              <w:left w:val="nil"/>
              <w:bottom w:val="single" w:sz="4" w:space="0" w:color="000000"/>
              <w:right w:val="nil"/>
            </w:tcBorders>
            <w:vAlign w:val="center"/>
            <w:hideMark/>
          </w:tcPr>
          <w:p w14:paraId="57130B7A"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10AC1BB1" w14:textId="77777777" w:rsidR="00C62636" w:rsidRPr="00677CC7" w:rsidRDefault="00C62636" w:rsidP="00C62636">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vo</w:t>
            </w:r>
            <w:proofErr w:type="spellEnd"/>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vekovej</w:t>
            </w:r>
            <w:proofErr w:type="spellEnd"/>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skupine</w:t>
            </w:r>
            <w:proofErr w:type="spellEnd"/>
            <w:r w:rsidRPr="00677CC7">
              <w:rPr>
                <w:rFonts w:ascii="Arial Narrow" w:hAnsi="Arial Narrow"/>
                <w:color w:val="000000"/>
                <w:sz w:val="20"/>
                <w:szCs w:val="20"/>
                <w:lang w:val="en-US" w:eastAsia="en-US"/>
              </w:rPr>
              <w:t xml:space="preserve"> 20 - 64 </w:t>
            </w:r>
            <w:proofErr w:type="spellStart"/>
            <w:r w:rsidRPr="00677CC7">
              <w:rPr>
                <w:rFonts w:ascii="Arial Narrow" w:hAnsi="Arial Narrow"/>
                <w:color w:val="000000"/>
                <w:sz w:val="20"/>
                <w:szCs w:val="20"/>
                <w:lang w:val="en-US" w:eastAsia="en-US"/>
              </w:rPr>
              <w:t>rokov</w:t>
            </w:r>
            <w:proofErr w:type="spellEnd"/>
            <w:r w:rsidRPr="00677CC7">
              <w:rPr>
                <w:rFonts w:ascii="Arial Narrow" w:hAnsi="Arial Narrow"/>
                <w:color w:val="000000"/>
                <w:sz w:val="20"/>
                <w:szCs w:val="20"/>
                <w:lang w:val="en-US" w:eastAsia="en-US"/>
              </w:rPr>
              <w:t>)</w:t>
            </w:r>
          </w:p>
        </w:tc>
        <w:tc>
          <w:tcPr>
            <w:tcW w:w="756" w:type="dxa"/>
            <w:tcBorders>
              <w:top w:val="nil"/>
              <w:left w:val="nil"/>
              <w:bottom w:val="single" w:sz="4" w:space="0" w:color="auto"/>
              <w:right w:val="nil"/>
            </w:tcBorders>
            <w:shd w:val="clear" w:color="auto" w:fill="auto"/>
            <w:vAlign w:val="center"/>
            <w:hideMark/>
          </w:tcPr>
          <w:p w14:paraId="35AF1D02"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shd w:val="clear" w:color="auto" w:fill="auto"/>
            <w:vAlign w:val="center"/>
            <w:hideMark/>
          </w:tcPr>
          <w:p w14:paraId="19F8A90D" w14:textId="51245AC6" w:rsidR="00C62636" w:rsidRPr="00677CC7" w:rsidRDefault="00C62636" w:rsidP="00C62636">
            <w:pPr>
              <w:spacing w:after="0" w:line="240" w:lineRule="auto"/>
              <w:jc w:val="center"/>
              <w:rPr>
                <w:rFonts w:ascii="Arial Narrow" w:hAnsi="Arial Narrow"/>
                <w:color w:val="000000"/>
                <w:sz w:val="20"/>
                <w:szCs w:val="20"/>
                <w:lang w:val="en-US" w:eastAsia="en-US"/>
              </w:rPr>
            </w:pPr>
            <w:r w:rsidRPr="00BF0187">
              <w:rPr>
                <w:rFonts w:ascii="Arial Narrow" w:hAnsi="Arial Narrow"/>
                <w:sz w:val="20"/>
                <w:szCs w:val="20"/>
              </w:rPr>
              <w:t>69</w:t>
            </w:r>
          </w:p>
        </w:tc>
        <w:tc>
          <w:tcPr>
            <w:tcW w:w="625" w:type="dxa"/>
            <w:tcBorders>
              <w:top w:val="nil"/>
              <w:left w:val="nil"/>
              <w:bottom w:val="single" w:sz="4" w:space="0" w:color="auto"/>
              <w:right w:val="nil"/>
            </w:tcBorders>
            <w:shd w:val="clear" w:color="auto" w:fill="auto"/>
            <w:vAlign w:val="center"/>
            <w:hideMark/>
          </w:tcPr>
          <w:p w14:paraId="737A0A99" w14:textId="7D8AB8E3" w:rsidR="00C62636" w:rsidRPr="00677CC7" w:rsidRDefault="00C62636" w:rsidP="00C62636">
            <w:pPr>
              <w:spacing w:after="0" w:line="240" w:lineRule="auto"/>
              <w:jc w:val="center"/>
              <w:rPr>
                <w:rFonts w:ascii="Arial Narrow" w:hAnsi="Arial Narrow"/>
                <w:color w:val="000000"/>
                <w:sz w:val="20"/>
                <w:szCs w:val="20"/>
                <w:lang w:val="en-US" w:eastAsia="en-US"/>
              </w:rPr>
            </w:pPr>
            <w:r w:rsidRPr="00BF0187">
              <w:rPr>
                <w:rFonts w:ascii="Arial Narrow" w:hAnsi="Arial Narrow"/>
                <w:sz w:val="20"/>
                <w:szCs w:val="20"/>
              </w:rPr>
              <w:t>68,6</w:t>
            </w:r>
          </w:p>
        </w:tc>
        <w:tc>
          <w:tcPr>
            <w:tcW w:w="625" w:type="dxa"/>
            <w:tcBorders>
              <w:top w:val="nil"/>
              <w:left w:val="nil"/>
              <w:bottom w:val="single" w:sz="4" w:space="0" w:color="auto"/>
              <w:right w:val="nil"/>
            </w:tcBorders>
            <w:shd w:val="clear" w:color="auto" w:fill="auto"/>
            <w:vAlign w:val="center"/>
            <w:hideMark/>
          </w:tcPr>
          <w:p w14:paraId="2BF5763C" w14:textId="39396202" w:rsidR="00C62636" w:rsidRPr="00677CC7" w:rsidRDefault="00C62636" w:rsidP="00C62636">
            <w:pPr>
              <w:spacing w:after="0" w:line="240" w:lineRule="auto"/>
              <w:jc w:val="center"/>
              <w:rPr>
                <w:rFonts w:ascii="Arial Narrow" w:hAnsi="Arial Narrow"/>
                <w:color w:val="000000"/>
                <w:sz w:val="20"/>
                <w:szCs w:val="20"/>
                <w:lang w:val="en-US" w:eastAsia="en-US"/>
              </w:rPr>
            </w:pPr>
            <w:r w:rsidRPr="00BF0187">
              <w:rPr>
                <w:rFonts w:ascii="Arial Narrow" w:hAnsi="Arial Narrow"/>
                <w:sz w:val="20"/>
                <w:szCs w:val="20"/>
              </w:rPr>
              <w:t>68,6</w:t>
            </w:r>
          </w:p>
        </w:tc>
        <w:tc>
          <w:tcPr>
            <w:tcW w:w="625" w:type="dxa"/>
            <w:tcBorders>
              <w:top w:val="nil"/>
              <w:left w:val="nil"/>
              <w:bottom w:val="single" w:sz="4" w:space="0" w:color="auto"/>
              <w:right w:val="nil"/>
            </w:tcBorders>
            <w:shd w:val="clear" w:color="auto" w:fill="auto"/>
            <w:vAlign w:val="center"/>
            <w:hideMark/>
          </w:tcPr>
          <w:p w14:paraId="02C5AFF2" w14:textId="49B38658" w:rsidR="00C62636" w:rsidRPr="00677CC7" w:rsidRDefault="00C62636" w:rsidP="00C62636">
            <w:pPr>
              <w:spacing w:after="0" w:line="240" w:lineRule="auto"/>
              <w:jc w:val="center"/>
              <w:rPr>
                <w:rFonts w:ascii="Arial Narrow" w:hAnsi="Arial Narrow"/>
                <w:color w:val="000000"/>
                <w:sz w:val="20"/>
                <w:szCs w:val="20"/>
                <w:lang w:val="en-US" w:eastAsia="en-US"/>
              </w:rPr>
            </w:pPr>
            <w:r w:rsidRPr="00BF0187">
              <w:rPr>
                <w:rFonts w:ascii="Arial Narrow" w:hAnsi="Arial Narrow"/>
                <w:sz w:val="20"/>
                <w:szCs w:val="20"/>
              </w:rPr>
              <w:t>68,4</w:t>
            </w:r>
          </w:p>
        </w:tc>
        <w:tc>
          <w:tcPr>
            <w:tcW w:w="625" w:type="dxa"/>
            <w:tcBorders>
              <w:top w:val="nil"/>
              <w:left w:val="nil"/>
              <w:bottom w:val="single" w:sz="4" w:space="0" w:color="auto"/>
              <w:right w:val="nil"/>
            </w:tcBorders>
            <w:shd w:val="clear" w:color="auto" w:fill="auto"/>
            <w:vAlign w:val="center"/>
            <w:hideMark/>
          </w:tcPr>
          <w:p w14:paraId="74FB89B6" w14:textId="306F4DAD" w:rsidR="00C62636" w:rsidRPr="00677CC7" w:rsidRDefault="00C62636" w:rsidP="00C62636">
            <w:pPr>
              <w:spacing w:after="0" w:line="240" w:lineRule="auto"/>
              <w:jc w:val="center"/>
              <w:rPr>
                <w:rFonts w:ascii="Arial Narrow" w:hAnsi="Arial Narrow"/>
                <w:color w:val="000000"/>
                <w:sz w:val="20"/>
                <w:szCs w:val="20"/>
                <w:lang w:val="en-US" w:eastAsia="en-US"/>
              </w:rPr>
            </w:pPr>
            <w:r w:rsidRPr="00BF0187">
              <w:rPr>
                <w:rFonts w:ascii="Arial Narrow" w:hAnsi="Arial Narrow"/>
                <w:sz w:val="20"/>
                <w:szCs w:val="20"/>
              </w:rPr>
              <w:t>68,4</w:t>
            </w:r>
          </w:p>
        </w:tc>
        <w:tc>
          <w:tcPr>
            <w:tcW w:w="625" w:type="dxa"/>
            <w:tcBorders>
              <w:top w:val="nil"/>
              <w:left w:val="nil"/>
              <w:bottom w:val="single" w:sz="4" w:space="0" w:color="auto"/>
              <w:right w:val="nil"/>
            </w:tcBorders>
            <w:shd w:val="clear" w:color="auto" w:fill="auto"/>
            <w:vAlign w:val="center"/>
            <w:hideMark/>
          </w:tcPr>
          <w:p w14:paraId="70DF112A" w14:textId="60592F0C" w:rsidR="00C62636" w:rsidRPr="00677CC7" w:rsidRDefault="00C62636" w:rsidP="00C62636">
            <w:pPr>
              <w:spacing w:after="0" w:line="240" w:lineRule="auto"/>
              <w:jc w:val="center"/>
              <w:rPr>
                <w:rFonts w:ascii="Arial Narrow" w:hAnsi="Arial Narrow"/>
                <w:color w:val="000000"/>
                <w:sz w:val="20"/>
                <w:szCs w:val="20"/>
                <w:lang w:val="en-US" w:eastAsia="en-US"/>
              </w:rPr>
            </w:pPr>
            <w:r w:rsidRPr="00BF0187">
              <w:rPr>
                <w:rFonts w:ascii="Arial Narrow" w:hAnsi="Arial Narrow"/>
                <w:sz w:val="20"/>
                <w:szCs w:val="20"/>
              </w:rPr>
              <w:t>69,2</w:t>
            </w:r>
          </w:p>
        </w:tc>
        <w:tc>
          <w:tcPr>
            <w:tcW w:w="625" w:type="dxa"/>
            <w:tcBorders>
              <w:top w:val="nil"/>
              <w:left w:val="nil"/>
              <w:bottom w:val="single" w:sz="4" w:space="0" w:color="auto"/>
              <w:right w:val="nil"/>
            </w:tcBorders>
            <w:shd w:val="clear" w:color="auto" w:fill="auto"/>
            <w:vAlign w:val="center"/>
            <w:hideMark/>
          </w:tcPr>
          <w:p w14:paraId="38A26761" w14:textId="2CE2F2C2" w:rsidR="00C62636" w:rsidRPr="00677CC7" w:rsidRDefault="00C62636" w:rsidP="00C62636">
            <w:pPr>
              <w:spacing w:after="0" w:line="240" w:lineRule="auto"/>
              <w:jc w:val="center"/>
              <w:rPr>
                <w:rFonts w:ascii="Arial Narrow" w:hAnsi="Arial Narrow"/>
                <w:color w:val="000000"/>
                <w:sz w:val="20"/>
                <w:szCs w:val="20"/>
                <w:lang w:val="en-US" w:eastAsia="en-US"/>
              </w:rPr>
            </w:pPr>
            <w:r w:rsidRPr="00BF0187">
              <w:rPr>
                <w:rFonts w:ascii="Arial Narrow" w:hAnsi="Arial Narrow"/>
                <w:sz w:val="20"/>
                <w:szCs w:val="20"/>
              </w:rPr>
              <w:t>70,1</w:t>
            </w:r>
          </w:p>
        </w:tc>
        <w:tc>
          <w:tcPr>
            <w:tcW w:w="625" w:type="dxa"/>
            <w:tcBorders>
              <w:top w:val="nil"/>
              <w:left w:val="nil"/>
              <w:bottom w:val="single" w:sz="4" w:space="0" w:color="auto"/>
              <w:right w:val="nil"/>
            </w:tcBorders>
            <w:vAlign w:val="center"/>
            <w:hideMark/>
          </w:tcPr>
          <w:p w14:paraId="4964B61A" w14:textId="0966E7EC" w:rsidR="00C62636" w:rsidRPr="00677CC7"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71,1</w:t>
            </w:r>
          </w:p>
        </w:tc>
        <w:tc>
          <w:tcPr>
            <w:tcW w:w="625" w:type="dxa"/>
            <w:tcBorders>
              <w:top w:val="nil"/>
              <w:left w:val="nil"/>
              <w:bottom w:val="single" w:sz="4" w:space="0" w:color="auto"/>
              <w:right w:val="nil"/>
            </w:tcBorders>
            <w:shd w:val="clear" w:color="auto" w:fill="auto"/>
            <w:vAlign w:val="center"/>
          </w:tcPr>
          <w:p w14:paraId="37AAD053" w14:textId="17BDC1FF" w:rsidR="00C62636" w:rsidRPr="00677CC7" w:rsidRDefault="00C62636" w:rsidP="00C62636">
            <w:pPr>
              <w:spacing w:after="0" w:line="240" w:lineRule="auto"/>
              <w:jc w:val="center"/>
              <w:rPr>
                <w:rFonts w:ascii="Arial Narrow" w:hAnsi="Arial Narrow"/>
                <w:color w:val="000000"/>
                <w:sz w:val="20"/>
                <w:szCs w:val="20"/>
                <w:lang w:val="en-US" w:eastAsia="en-US"/>
              </w:rPr>
            </w:pPr>
            <w:r w:rsidRPr="00BF0187">
              <w:rPr>
                <w:rFonts w:ascii="Arial Narrow" w:hAnsi="Arial Narrow"/>
                <w:sz w:val="20"/>
                <w:szCs w:val="20"/>
              </w:rPr>
              <w:t>69</w:t>
            </w:r>
          </w:p>
        </w:tc>
        <w:tc>
          <w:tcPr>
            <w:tcW w:w="625" w:type="dxa"/>
            <w:tcBorders>
              <w:top w:val="nil"/>
              <w:left w:val="nil"/>
              <w:bottom w:val="single" w:sz="4" w:space="0" w:color="auto"/>
              <w:right w:val="nil"/>
            </w:tcBorders>
          </w:tcPr>
          <w:p w14:paraId="79C6478B"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hideMark/>
          </w:tcPr>
          <w:p w14:paraId="2F06C191" w14:textId="0D07A80A"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75</w:t>
            </w:r>
          </w:p>
        </w:tc>
      </w:tr>
      <w:tr w:rsidR="00C62636" w:rsidRPr="00677CC7" w14:paraId="4AA116AB" w14:textId="77777777" w:rsidTr="00E336C7">
        <w:trPr>
          <w:gridAfter w:val="1"/>
          <w:wAfter w:w="10" w:type="dxa"/>
          <w:trHeight w:val="468"/>
          <w:jc w:val="center"/>
        </w:trPr>
        <w:tc>
          <w:tcPr>
            <w:tcW w:w="426" w:type="dxa"/>
            <w:vMerge w:val="restart"/>
            <w:tcBorders>
              <w:top w:val="nil"/>
              <w:left w:val="nil"/>
              <w:bottom w:val="single" w:sz="4" w:space="0" w:color="000000"/>
              <w:right w:val="nil"/>
            </w:tcBorders>
            <w:shd w:val="clear" w:color="auto" w:fill="auto"/>
            <w:textDirection w:val="btLr"/>
            <w:vAlign w:val="center"/>
            <w:hideMark/>
          </w:tcPr>
          <w:p w14:paraId="7DFD62F2"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425" w:type="dxa"/>
            <w:gridSpan w:val="2"/>
            <w:vMerge w:val="restart"/>
            <w:tcBorders>
              <w:top w:val="nil"/>
              <w:left w:val="nil"/>
              <w:bottom w:val="single" w:sz="4" w:space="0" w:color="000000"/>
              <w:right w:val="nil"/>
            </w:tcBorders>
            <w:shd w:val="clear" w:color="auto" w:fill="auto"/>
            <w:noWrap/>
            <w:vAlign w:val="center"/>
            <w:hideMark/>
          </w:tcPr>
          <w:p w14:paraId="7CC9CB75"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rPr>
              <w:t>12</w:t>
            </w:r>
          </w:p>
        </w:tc>
        <w:tc>
          <w:tcPr>
            <w:tcW w:w="2221" w:type="dxa"/>
            <w:tcBorders>
              <w:top w:val="nil"/>
              <w:left w:val="nil"/>
              <w:bottom w:val="nil"/>
              <w:right w:val="nil"/>
            </w:tcBorders>
            <w:shd w:val="clear" w:color="auto" w:fill="auto"/>
            <w:vAlign w:val="center"/>
            <w:hideMark/>
          </w:tcPr>
          <w:p w14:paraId="648F36EC" w14:textId="77777777" w:rsidR="00C62636" w:rsidRPr="00677CC7" w:rsidRDefault="00C62636" w:rsidP="00C62636">
            <w:pPr>
              <w:spacing w:after="0" w:line="240" w:lineRule="auto"/>
              <w:rPr>
                <w:rFonts w:ascii="Arial Narrow" w:hAnsi="Arial Narrow"/>
                <w:b/>
                <w:bCs/>
                <w:color w:val="000000"/>
                <w:sz w:val="20"/>
                <w:szCs w:val="20"/>
                <w:lang w:val="en-US" w:eastAsia="en-US"/>
              </w:rPr>
            </w:pPr>
            <w:proofErr w:type="spellStart"/>
            <w:r w:rsidRPr="00677CC7">
              <w:rPr>
                <w:rFonts w:ascii="Arial Narrow" w:hAnsi="Arial Narrow"/>
                <w:b/>
                <w:bCs/>
                <w:color w:val="000000"/>
                <w:sz w:val="20"/>
                <w:szCs w:val="20"/>
                <w:lang w:val="en-US" w:eastAsia="en-US"/>
              </w:rPr>
              <w:t>Populácia</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ohrozená</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chudobou</w:t>
            </w:r>
            <w:proofErr w:type="spellEnd"/>
            <w:r w:rsidRPr="00677CC7">
              <w:rPr>
                <w:rFonts w:ascii="Arial Narrow" w:hAnsi="Arial Narrow"/>
                <w:b/>
                <w:bCs/>
                <w:color w:val="000000"/>
                <w:sz w:val="20"/>
                <w:szCs w:val="20"/>
                <w:lang w:val="en-US" w:eastAsia="en-US"/>
              </w:rPr>
              <w:t xml:space="preserve"> a </w:t>
            </w:r>
            <w:r w:rsidRPr="00677CC7">
              <w:rPr>
                <w:rFonts w:ascii="Arial Narrow" w:hAnsi="Arial Narrow"/>
                <w:b/>
                <w:bCs/>
                <w:color w:val="000000"/>
                <w:sz w:val="20"/>
                <w:szCs w:val="20"/>
                <w:lang w:val="en-US" w:eastAsia="en-US"/>
              </w:rPr>
              <w:br/>
            </w:r>
            <w:proofErr w:type="spellStart"/>
            <w:r w:rsidRPr="00677CC7">
              <w:rPr>
                <w:rFonts w:ascii="Arial Narrow" w:hAnsi="Arial Narrow"/>
                <w:b/>
                <w:bCs/>
                <w:color w:val="000000"/>
                <w:sz w:val="20"/>
                <w:szCs w:val="20"/>
                <w:lang w:val="en-US" w:eastAsia="en-US"/>
              </w:rPr>
              <w:t>sociálnym</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vylúčením</w:t>
            </w:r>
            <w:proofErr w:type="spellEnd"/>
          </w:p>
        </w:tc>
        <w:tc>
          <w:tcPr>
            <w:tcW w:w="756" w:type="dxa"/>
            <w:tcBorders>
              <w:top w:val="nil"/>
              <w:left w:val="nil"/>
              <w:bottom w:val="nil"/>
              <w:right w:val="nil"/>
            </w:tcBorders>
            <w:shd w:val="clear" w:color="auto" w:fill="auto"/>
            <w:vAlign w:val="center"/>
            <w:hideMark/>
          </w:tcPr>
          <w:p w14:paraId="653AD978"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right w:val="nil"/>
            </w:tcBorders>
            <w:shd w:val="clear" w:color="auto" w:fill="auto"/>
            <w:vAlign w:val="center"/>
            <w:hideMark/>
          </w:tcPr>
          <w:p w14:paraId="1DB5B35A" w14:textId="53084289" w:rsidR="00C62636" w:rsidRPr="00677CC7" w:rsidRDefault="00C62636" w:rsidP="00C62636">
            <w:pPr>
              <w:spacing w:after="0" w:line="240" w:lineRule="auto"/>
              <w:jc w:val="center"/>
              <w:rPr>
                <w:rFonts w:ascii="Arial Narrow" w:hAnsi="Arial Narrow"/>
                <w:color w:val="000000"/>
                <w:sz w:val="20"/>
                <w:szCs w:val="20"/>
                <w:lang w:val="en-US" w:eastAsia="en-US"/>
              </w:rPr>
            </w:pPr>
            <w:r w:rsidRPr="006F2C23">
              <w:rPr>
                <w:rFonts w:ascii="Arial Narrow" w:hAnsi="Arial Narrow"/>
                <w:sz w:val="20"/>
                <w:szCs w:val="20"/>
              </w:rPr>
              <w:t>19,6</w:t>
            </w:r>
          </w:p>
        </w:tc>
        <w:tc>
          <w:tcPr>
            <w:tcW w:w="625" w:type="dxa"/>
            <w:tcBorders>
              <w:top w:val="nil"/>
              <w:left w:val="nil"/>
              <w:right w:val="nil"/>
            </w:tcBorders>
            <w:shd w:val="clear" w:color="auto" w:fill="auto"/>
            <w:vAlign w:val="center"/>
            <w:hideMark/>
          </w:tcPr>
          <w:p w14:paraId="5EAE469B" w14:textId="753EC60E" w:rsidR="00C62636" w:rsidRPr="00677CC7" w:rsidRDefault="00C62636" w:rsidP="00C62636">
            <w:pPr>
              <w:spacing w:after="0" w:line="240" w:lineRule="auto"/>
              <w:jc w:val="center"/>
              <w:rPr>
                <w:rFonts w:ascii="Arial Narrow" w:hAnsi="Arial Narrow"/>
                <w:color w:val="000000"/>
                <w:sz w:val="20"/>
                <w:szCs w:val="20"/>
                <w:lang w:val="en-US" w:eastAsia="en-US"/>
              </w:rPr>
            </w:pPr>
            <w:r w:rsidRPr="006F2C23">
              <w:rPr>
                <w:rFonts w:ascii="Arial Narrow" w:hAnsi="Arial Narrow"/>
                <w:sz w:val="20"/>
                <w:szCs w:val="20"/>
              </w:rPr>
              <w:t>20,6</w:t>
            </w:r>
          </w:p>
        </w:tc>
        <w:tc>
          <w:tcPr>
            <w:tcW w:w="625" w:type="dxa"/>
            <w:tcBorders>
              <w:top w:val="nil"/>
              <w:left w:val="nil"/>
              <w:right w:val="nil"/>
            </w:tcBorders>
            <w:shd w:val="clear" w:color="auto" w:fill="auto"/>
            <w:vAlign w:val="center"/>
            <w:hideMark/>
          </w:tcPr>
          <w:p w14:paraId="5ED78A03" w14:textId="49DEE060" w:rsidR="00C62636" w:rsidRPr="00677CC7" w:rsidRDefault="00C62636" w:rsidP="00C62636">
            <w:pPr>
              <w:spacing w:after="0" w:line="240" w:lineRule="auto"/>
              <w:jc w:val="center"/>
              <w:rPr>
                <w:rFonts w:ascii="Arial Narrow" w:hAnsi="Arial Narrow"/>
                <w:color w:val="000000"/>
                <w:sz w:val="20"/>
                <w:szCs w:val="20"/>
                <w:lang w:val="en-US" w:eastAsia="en-US"/>
              </w:rPr>
            </w:pPr>
            <w:r w:rsidRPr="006F2C23">
              <w:rPr>
                <w:rFonts w:ascii="Arial Narrow" w:hAnsi="Arial Narrow"/>
                <w:sz w:val="20"/>
                <w:szCs w:val="20"/>
              </w:rPr>
              <w:t>20,6</w:t>
            </w:r>
          </w:p>
        </w:tc>
        <w:tc>
          <w:tcPr>
            <w:tcW w:w="625" w:type="dxa"/>
            <w:tcBorders>
              <w:top w:val="nil"/>
              <w:left w:val="nil"/>
              <w:right w:val="nil"/>
            </w:tcBorders>
            <w:shd w:val="clear" w:color="auto" w:fill="auto"/>
            <w:vAlign w:val="center"/>
            <w:hideMark/>
          </w:tcPr>
          <w:p w14:paraId="0DD68FE7" w14:textId="2C4433C8" w:rsidR="00C62636" w:rsidRPr="00677CC7" w:rsidRDefault="00C62636" w:rsidP="00C62636">
            <w:pPr>
              <w:spacing w:after="0" w:line="240" w:lineRule="auto"/>
              <w:jc w:val="center"/>
              <w:rPr>
                <w:rFonts w:ascii="Arial Narrow" w:hAnsi="Arial Narrow"/>
                <w:color w:val="000000"/>
                <w:sz w:val="20"/>
                <w:szCs w:val="20"/>
                <w:lang w:val="en-US" w:eastAsia="en-US"/>
              </w:rPr>
            </w:pPr>
            <w:r w:rsidRPr="006F2C23">
              <w:rPr>
                <w:rFonts w:ascii="Arial Narrow" w:hAnsi="Arial Narrow"/>
                <w:sz w:val="20"/>
                <w:szCs w:val="20"/>
              </w:rPr>
              <w:t>20,5</w:t>
            </w:r>
          </w:p>
        </w:tc>
        <w:tc>
          <w:tcPr>
            <w:tcW w:w="625" w:type="dxa"/>
            <w:tcBorders>
              <w:top w:val="nil"/>
              <w:left w:val="nil"/>
              <w:right w:val="nil"/>
            </w:tcBorders>
            <w:shd w:val="clear" w:color="auto" w:fill="auto"/>
            <w:vAlign w:val="center"/>
            <w:hideMark/>
          </w:tcPr>
          <w:p w14:paraId="7B5B393A" w14:textId="79A07640" w:rsidR="00C62636" w:rsidRPr="00677CC7" w:rsidRDefault="00C62636" w:rsidP="00C62636">
            <w:pPr>
              <w:spacing w:after="0" w:line="240" w:lineRule="auto"/>
              <w:jc w:val="center"/>
              <w:rPr>
                <w:rFonts w:ascii="Arial Narrow" w:hAnsi="Arial Narrow"/>
                <w:color w:val="000000"/>
                <w:sz w:val="20"/>
                <w:szCs w:val="20"/>
                <w:lang w:val="en-US" w:eastAsia="en-US"/>
              </w:rPr>
            </w:pPr>
            <w:r w:rsidRPr="006F2C23">
              <w:rPr>
                <w:rFonts w:ascii="Arial Narrow" w:hAnsi="Arial Narrow"/>
                <w:sz w:val="20"/>
                <w:szCs w:val="20"/>
              </w:rPr>
              <w:t>19,8</w:t>
            </w:r>
          </w:p>
        </w:tc>
        <w:tc>
          <w:tcPr>
            <w:tcW w:w="625" w:type="dxa"/>
            <w:tcBorders>
              <w:top w:val="nil"/>
              <w:left w:val="nil"/>
              <w:right w:val="nil"/>
            </w:tcBorders>
            <w:shd w:val="clear" w:color="auto" w:fill="auto"/>
            <w:vAlign w:val="center"/>
            <w:hideMark/>
          </w:tcPr>
          <w:p w14:paraId="75AF5BA1" w14:textId="4B6AA53D" w:rsidR="00C62636" w:rsidRPr="00677CC7" w:rsidRDefault="00C62636" w:rsidP="00C62636">
            <w:pPr>
              <w:spacing w:after="0" w:line="240" w:lineRule="auto"/>
              <w:jc w:val="center"/>
              <w:rPr>
                <w:rFonts w:ascii="Arial Narrow" w:hAnsi="Arial Narrow"/>
                <w:color w:val="000000"/>
                <w:sz w:val="20"/>
                <w:szCs w:val="20"/>
                <w:lang w:val="en-US" w:eastAsia="en-US"/>
              </w:rPr>
            </w:pPr>
            <w:r w:rsidRPr="006F2C23">
              <w:rPr>
                <w:rFonts w:ascii="Arial Narrow" w:hAnsi="Arial Narrow"/>
                <w:sz w:val="20"/>
                <w:szCs w:val="20"/>
              </w:rPr>
              <w:t xml:space="preserve"> </w:t>
            </w:r>
            <w:r>
              <w:rPr>
                <w:rFonts w:ascii="Arial Narrow" w:hAnsi="Arial Narrow"/>
                <w:sz w:val="20"/>
                <w:szCs w:val="20"/>
              </w:rPr>
              <w:t>18,4</w:t>
            </w:r>
          </w:p>
        </w:tc>
        <w:tc>
          <w:tcPr>
            <w:tcW w:w="625" w:type="dxa"/>
            <w:tcBorders>
              <w:top w:val="nil"/>
              <w:left w:val="nil"/>
              <w:right w:val="nil"/>
            </w:tcBorders>
            <w:shd w:val="clear" w:color="auto" w:fill="auto"/>
            <w:vAlign w:val="center"/>
            <w:hideMark/>
          </w:tcPr>
          <w:p w14:paraId="635B2F8A" w14:textId="412B5D1D" w:rsidR="00C62636" w:rsidRPr="00677CC7"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18,4</w:t>
            </w:r>
          </w:p>
        </w:tc>
        <w:tc>
          <w:tcPr>
            <w:tcW w:w="625" w:type="dxa"/>
            <w:tcBorders>
              <w:top w:val="nil"/>
              <w:left w:val="nil"/>
              <w:right w:val="nil"/>
            </w:tcBorders>
            <w:vAlign w:val="center"/>
            <w:hideMark/>
          </w:tcPr>
          <w:p w14:paraId="3C3BAB4F" w14:textId="1127B048" w:rsidR="00C62636" w:rsidRPr="00677CC7"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18,1</w:t>
            </w:r>
          </w:p>
        </w:tc>
        <w:tc>
          <w:tcPr>
            <w:tcW w:w="625" w:type="dxa"/>
            <w:tcBorders>
              <w:top w:val="nil"/>
              <w:left w:val="nil"/>
              <w:right w:val="nil"/>
            </w:tcBorders>
            <w:shd w:val="clear" w:color="auto" w:fill="auto"/>
            <w:noWrap/>
            <w:vAlign w:val="center"/>
          </w:tcPr>
          <w:p w14:paraId="5827B7EF" w14:textId="65C81100" w:rsidR="00C62636" w:rsidRPr="00677CC7" w:rsidRDefault="00C62636" w:rsidP="00C62636">
            <w:pPr>
              <w:spacing w:after="0" w:line="240" w:lineRule="auto"/>
              <w:jc w:val="center"/>
              <w:rPr>
                <w:rFonts w:ascii="Arial Narrow" w:hAnsi="Arial Narrow"/>
                <w:color w:val="000000"/>
                <w:sz w:val="20"/>
                <w:szCs w:val="20"/>
                <w:lang w:val="en-US" w:eastAsia="en-US"/>
              </w:rPr>
            </w:pPr>
            <w:r w:rsidRPr="006F2C23">
              <w:rPr>
                <w:rFonts w:ascii="Arial Narrow" w:hAnsi="Arial Narrow"/>
                <w:sz w:val="20"/>
                <w:szCs w:val="20"/>
              </w:rPr>
              <w:t>19,6</w:t>
            </w:r>
          </w:p>
        </w:tc>
        <w:tc>
          <w:tcPr>
            <w:tcW w:w="625" w:type="dxa"/>
            <w:tcBorders>
              <w:top w:val="nil"/>
              <w:left w:val="nil"/>
              <w:bottom w:val="nil"/>
              <w:right w:val="nil"/>
            </w:tcBorders>
          </w:tcPr>
          <w:p w14:paraId="73A94BB5" w14:textId="77777777" w:rsidR="00C62636" w:rsidRPr="00677CC7" w:rsidRDefault="00C62636" w:rsidP="00C62636">
            <w:pPr>
              <w:spacing w:after="0" w:line="240" w:lineRule="auto"/>
              <w:jc w:val="center"/>
              <w:rPr>
                <w:rFonts w:ascii="Arial Narrow" w:hAnsi="Arial Narrow"/>
                <w:color w:val="000000"/>
                <w:sz w:val="20"/>
                <w:szCs w:val="20"/>
                <w:lang w:eastAsia="en-US"/>
              </w:rPr>
            </w:pPr>
          </w:p>
        </w:tc>
        <w:tc>
          <w:tcPr>
            <w:tcW w:w="625" w:type="dxa"/>
            <w:tcBorders>
              <w:top w:val="nil"/>
              <w:left w:val="nil"/>
              <w:bottom w:val="nil"/>
              <w:right w:val="nil"/>
            </w:tcBorders>
            <w:shd w:val="clear" w:color="auto" w:fill="auto"/>
            <w:vAlign w:val="center"/>
            <w:hideMark/>
          </w:tcPr>
          <w:p w14:paraId="06C83B8C" w14:textId="46B39D60"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17,2</w:t>
            </w:r>
          </w:p>
        </w:tc>
      </w:tr>
      <w:tr w:rsidR="00C62636" w:rsidRPr="00677CC7" w14:paraId="63CDBA57" w14:textId="77777777" w:rsidTr="00E336C7">
        <w:trPr>
          <w:gridAfter w:val="1"/>
          <w:wAfter w:w="10" w:type="dxa"/>
          <w:trHeight w:val="188"/>
          <w:jc w:val="center"/>
        </w:trPr>
        <w:tc>
          <w:tcPr>
            <w:tcW w:w="426" w:type="dxa"/>
            <w:vMerge/>
            <w:tcBorders>
              <w:top w:val="nil"/>
              <w:left w:val="nil"/>
              <w:bottom w:val="single" w:sz="4" w:space="0" w:color="000000"/>
              <w:right w:val="nil"/>
            </w:tcBorders>
            <w:vAlign w:val="center"/>
            <w:hideMark/>
          </w:tcPr>
          <w:p w14:paraId="20EF696D" w14:textId="77777777" w:rsidR="00C62636" w:rsidRPr="00677CC7" w:rsidRDefault="00C62636" w:rsidP="00C62636">
            <w:pPr>
              <w:spacing w:after="0" w:line="240" w:lineRule="auto"/>
              <w:rPr>
                <w:rFonts w:ascii="Arial Narrow" w:hAnsi="Arial Narrow"/>
                <w:b/>
                <w:bCs/>
                <w:color w:val="000000"/>
                <w:sz w:val="20"/>
                <w:szCs w:val="20"/>
                <w:lang w:val="en-US" w:eastAsia="en-US"/>
              </w:rPr>
            </w:pPr>
          </w:p>
        </w:tc>
        <w:tc>
          <w:tcPr>
            <w:tcW w:w="425" w:type="dxa"/>
            <w:gridSpan w:val="2"/>
            <w:vMerge/>
            <w:tcBorders>
              <w:top w:val="nil"/>
              <w:left w:val="nil"/>
              <w:bottom w:val="single" w:sz="4" w:space="0" w:color="000000"/>
              <w:right w:val="nil"/>
            </w:tcBorders>
            <w:vAlign w:val="center"/>
            <w:hideMark/>
          </w:tcPr>
          <w:p w14:paraId="1BAC4321"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3A981C3C" w14:textId="77777777" w:rsidR="00C62636" w:rsidRPr="00677CC7" w:rsidRDefault="00C62636" w:rsidP="00C62636">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populácie</w:t>
            </w:r>
            <w:proofErr w:type="spellEnd"/>
            <w:r w:rsidRPr="00677CC7">
              <w:rPr>
                <w:rFonts w:ascii="Arial Narrow" w:hAnsi="Arial Narrow"/>
                <w:color w:val="000000"/>
                <w:sz w:val="20"/>
                <w:szCs w:val="20"/>
                <w:lang w:val="en-US" w:eastAsia="en-US"/>
              </w:rPr>
              <w:t>)</w:t>
            </w:r>
          </w:p>
        </w:tc>
        <w:tc>
          <w:tcPr>
            <w:tcW w:w="756" w:type="dxa"/>
            <w:tcBorders>
              <w:top w:val="nil"/>
              <w:left w:val="nil"/>
              <w:bottom w:val="single" w:sz="4" w:space="0" w:color="auto"/>
              <w:right w:val="nil"/>
            </w:tcBorders>
            <w:shd w:val="clear" w:color="auto" w:fill="auto"/>
            <w:vAlign w:val="center"/>
            <w:hideMark/>
          </w:tcPr>
          <w:p w14:paraId="787FFC11"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shd w:val="clear" w:color="auto" w:fill="auto"/>
            <w:vAlign w:val="center"/>
            <w:hideMark/>
          </w:tcPr>
          <w:p w14:paraId="60F602F2" w14:textId="043AD2B1" w:rsidR="00C62636" w:rsidRPr="00677CC7" w:rsidRDefault="00C62636" w:rsidP="00C62636">
            <w:pPr>
              <w:spacing w:after="0" w:line="240" w:lineRule="auto"/>
              <w:jc w:val="center"/>
              <w:rPr>
                <w:rFonts w:ascii="Arial Narrow" w:hAnsi="Arial Narrow"/>
                <w:color w:val="000000"/>
                <w:sz w:val="20"/>
                <w:szCs w:val="20"/>
                <w:lang w:val="en-US" w:eastAsia="en-US"/>
              </w:rPr>
            </w:pPr>
            <w:r w:rsidRPr="006F2C23">
              <w:rPr>
                <w:rFonts w:ascii="Arial Narrow" w:hAnsi="Arial Narrow"/>
                <w:sz w:val="20"/>
                <w:szCs w:val="20"/>
              </w:rPr>
              <w:t>23,</w:t>
            </w:r>
            <w:r>
              <w:rPr>
                <w:rFonts w:ascii="Arial Narrow" w:hAnsi="Arial Narrow"/>
                <w:sz w:val="20"/>
                <w:szCs w:val="20"/>
              </w:rPr>
              <w:t>3</w:t>
            </w:r>
          </w:p>
        </w:tc>
        <w:tc>
          <w:tcPr>
            <w:tcW w:w="625" w:type="dxa"/>
            <w:tcBorders>
              <w:top w:val="nil"/>
              <w:left w:val="nil"/>
              <w:bottom w:val="single" w:sz="4" w:space="0" w:color="auto"/>
              <w:right w:val="nil"/>
            </w:tcBorders>
            <w:shd w:val="clear" w:color="auto" w:fill="auto"/>
            <w:vAlign w:val="center"/>
            <w:hideMark/>
          </w:tcPr>
          <w:p w14:paraId="58DBF7F9" w14:textId="37D71DF1" w:rsidR="00C62636" w:rsidRPr="00677CC7" w:rsidRDefault="00C62636" w:rsidP="00C62636">
            <w:pPr>
              <w:spacing w:after="0" w:line="240" w:lineRule="auto"/>
              <w:jc w:val="center"/>
              <w:rPr>
                <w:rFonts w:ascii="Arial Narrow" w:hAnsi="Arial Narrow"/>
                <w:color w:val="000000"/>
                <w:sz w:val="20"/>
                <w:szCs w:val="20"/>
                <w:lang w:val="en-US" w:eastAsia="en-US"/>
              </w:rPr>
            </w:pPr>
            <w:r w:rsidRPr="006F2C23">
              <w:rPr>
                <w:rFonts w:ascii="Arial Narrow" w:hAnsi="Arial Narrow"/>
                <w:sz w:val="20"/>
                <w:szCs w:val="20"/>
              </w:rPr>
              <w:t>23,</w:t>
            </w:r>
            <w:r>
              <w:rPr>
                <w:rFonts w:ascii="Arial Narrow" w:hAnsi="Arial Narrow"/>
                <w:sz w:val="20"/>
                <w:szCs w:val="20"/>
              </w:rPr>
              <w:t>7</w:t>
            </w:r>
          </w:p>
        </w:tc>
        <w:tc>
          <w:tcPr>
            <w:tcW w:w="625" w:type="dxa"/>
            <w:tcBorders>
              <w:top w:val="nil"/>
              <w:left w:val="nil"/>
              <w:bottom w:val="single" w:sz="4" w:space="0" w:color="auto"/>
              <w:right w:val="nil"/>
            </w:tcBorders>
            <w:shd w:val="clear" w:color="auto" w:fill="auto"/>
            <w:vAlign w:val="center"/>
            <w:hideMark/>
          </w:tcPr>
          <w:p w14:paraId="09C4E12E" w14:textId="08C211D4" w:rsidR="00C62636" w:rsidRPr="00677CC7" w:rsidRDefault="00C62636" w:rsidP="00C62636">
            <w:pPr>
              <w:spacing w:after="0" w:line="240" w:lineRule="auto"/>
              <w:jc w:val="center"/>
              <w:rPr>
                <w:rFonts w:ascii="Arial Narrow" w:hAnsi="Arial Narrow"/>
                <w:color w:val="000000"/>
                <w:sz w:val="20"/>
                <w:szCs w:val="20"/>
                <w:lang w:val="en-US" w:eastAsia="en-US"/>
              </w:rPr>
            </w:pPr>
            <w:r w:rsidRPr="006F2C23">
              <w:rPr>
                <w:rFonts w:ascii="Arial Narrow" w:hAnsi="Arial Narrow"/>
                <w:sz w:val="20"/>
                <w:szCs w:val="20"/>
              </w:rPr>
              <w:t>24,3</w:t>
            </w:r>
          </w:p>
        </w:tc>
        <w:tc>
          <w:tcPr>
            <w:tcW w:w="625" w:type="dxa"/>
            <w:tcBorders>
              <w:top w:val="nil"/>
              <w:left w:val="nil"/>
              <w:bottom w:val="single" w:sz="4" w:space="0" w:color="auto"/>
              <w:right w:val="nil"/>
            </w:tcBorders>
            <w:shd w:val="clear" w:color="auto" w:fill="auto"/>
            <w:vAlign w:val="center"/>
            <w:hideMark/>
          </w:tcPr>
          <w:p w14:paraId="60FF4D64" w14:textId="688B1563" w:rsidR="00C62636" w:rsidRPr="00677CC7" w:rsidRDefault="00C62636" w:rsidP="00C62636">
            <w:pPr>
              <w:spacing w:after="0" w:line="240" w:lineRule="auto"/>
              <w:jc w:val="center"/>
              <w:rPr>
                <w:rFonts w:ascii="Arial Narrow" w:hAnsi="Arial Narrow"/>
                <w:color w:val="000000"/>
                <w:sz w:val="20"/>
                <w:szCs w:val="20"/>
                <w:lang w:val="en-US" w:eastAsia="en-US"/>
              </w:rPr>
            </w:pPr>
            <w:r w:rsidRPr="006F2C23">
              <w:rPr>
                <w:rFonts w:ascii="Arial Narrow" w:hAnsi="Arial Narrow"/>
                <w:sz w:val="20"/>
                <w:szCs w:val="20"/>
              </w:rPr>
              <w:t>24,7</w:t>
            </w:r>
          </w:p>
        </w:tc>
        <w:tc>
          <w:tcPr>
            <w:tcW w:w="625" w:type="dxa"/>
            <w:tcBorders>
              <w:top w:val="nil"/>
              <w:left w:val="nil"/>
              <w:bottom w:val="single" w:sz="4" w:space="0" w:color="auto"/>
              <w:right w:val="nil"/>
            </w:tcBorders>
            <w:shd w:val="clear" w:color="auto" w:fill="auto"/>
            <w:vAlign w:val="center"/>
            <w:hideMark/>
          </w:tcPr>
          <w:p w14:paraId="3D48F18F" w14:textId="7F41DC7F" w:rsidR="00C62636" w:rsidRPr="00677CC7" w:rsidRDefault="00C62636" w:rsidP="00C62636">
            <w:pPr>
              <w:spacing w:after="0" w:line="240" w:lineRule="auto"/>
              <w:jc w:val="center"/>
              <w:rPr>
                <w:rFonts w:ascii="Arial Narrow" w:hAnsi="Arial Narrow"/>
                <w:color w:val="000000"/>
                <w:sz w:val="20"/>
                <w:szCs w:val="20"/>
                <w:lang w:val="en-US" w:eastAsia="en-US"/>
              </w:rPr>
            </w:pPr>
            <w:r w:rsidRPr="006F2C23">
              <w:rPr>
                <w:rFonts w:ascii="Arial Narrow" w:hAnsi="Arial Narrow"/>
                <w:sz w:val="20"/>
                <w:szCs w:val="20"/>
              </w:rPr>
              <w:t>24,</w:t>
            </w:r>
            <w:r>
              <w:rPr>
                <w:rFonts w:ascii="Arial Narrow" w:hAnsi="Arial Narrow"/>
                <w:sz w:val="20"/>
                <w:szCs w:val="20"/>
              </w:rPr>
              <w:t>6</w:t>
            </w:r>
          </w:p>
        </w:tc>
        <w:tc>
          <w:tcPr>
            <w:tcW w:w="625" w:type="dxa"/>
            <w:tcBorders>
              <w:top w:val="nil"/>
              <w:left w:val="nil"/>
              <w:bottom w:val="single" w:sz="4" w:space="0" w:color="auto"/>
              <w:right w:val="nil"/>
            </w:tcBorders>
            <w:shd w:val="clear" w:color="auto" w:fill="auto"/>
            <w:vAlign w:val="center"/>
            <w:hideMark/>
          </w:tcPr>
          <w:p w14:paraId="3267DAEF" w14:textId="631775E8" w:rsidR="00C62636" w:rsidRPr="00677CC7" w:rsidRDefault="00C62636" w:rsidP="00C62636">
            <w:pPr>
              <w:spacing w:after="0" w:line="240" w:lineRule="auto"/>
              <w:jc w:val="center"/>
              <w:rPr>
                <w:rFonts w:ascii="Arial Narrow" w:hAnsi="Arial Narrow"/>
                <w:color w:val="000000"/>
                <w:sz w:val="20"/>
                <w:szCs w:val="20"/>
                <w:lang w:val="en-US" w:eastAsia="en-US"/>
              </w:rPr>
            </w:pPr>
            <w:r w:rsidRPr="006F2C23">
              <w:rPr>
                <w:rFonts w:ascii="Arial Narrow" w:hAnsi="Arial Narrow"/>
                <w:sz w:val="20"/>
                <w:szCs w:val="20"/>
              </w:rPr>
              <w:t xml:space="preserve"> </w:t>
            </w:r>
            <w:r>
              <w:rPr>
                <w:rFonts w:ascii="Arial Narrow" w:hAnsi="Arial Narrow"/>
                <w:sz w:val="20"/>
                <w:szCs w:val="20"/>
              </w:rPr>
              <w:t>24,4</w:t>
            </w:r>
          </w:p>
        </w:tc>
        <w:tc>
          <w:tcPr>
            <w:tcW w:w="625" w:type="dxa"/>
            <w:tcBorders>
              <w:top w:val="nil"/>
              <w:left w:val="nil"/>
              <w:bottom w:val="single" w:sz="4" w:space="0" w:color="auto"/>
              <w:right w:val="nil"/>
            </w:tcBorders>
            <w:shd w:val="clear" w:color="auto" w:fill="auto"/>
            <w:vAlign w:val="center"/>
            <w:hideMark/>
          </w:tcPr>
          <w:p w14:paraId="5546D073" w14:textId="7B2425D0" w:rsidR="00C62636" w:rsidRPr="00677CC7"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23,8</w:t>
            </w:r>
          </w:p>
        </w:tc>
        <w:tc>
          <w:tcPr>
            <w:tcW w:w="625" w:type="dxa"/>
            <w:tcBorders>
              <w:top w:val="nil"/>
              <w:left w:val="nil"/>
              <w:bottom w:val="single" w:sz="4" w:space="0" w:color="auto"/>
              <w:right w:val="nil"/>
            </w:tcBorders>
            <w:vAlign w:val="center"/>
            <w:hideMark/>
          </w:tcPr>
          <w:p w14:paraId="18B7AC83" w14:textId="008C50ED" w:rsidR="00C62636" w:rsidRPr="00677CC7"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23,5</w:t>
            </w:r>
          </w:p>
        </w:tc>
        <w:tc>
          <w:tcPr>
            <w:tcW w:w="625" w:type="dxa"/>
            <w:tcBorders>
              <w:top w:val="nil"/>
              <w:left w:val="nil"/>
              <w:bottom w:val="single" w:sz="4" w:space="0" w:color="auto"/>
              <w:right w:val="nil"/>
            </w:tcBorders>
            <w:shd w:val="clear" w:color="auto" w:fill="auto"/>
            <w:noWrap/>
            <w:vAlign w:val="center"/>
          </w:tcPr>
          <w:p w14:paraId="5961E42C" w14:textId="47412423" w:rsidR="00C62636" w:rsidRPr="00677CC7" w:rsidRDefault="00C62636" w:rsidP="00C62636">
            <w:pPr>
              <w:spacing w:after="0" w:line="240" w:lineRule="auto"/>
              <w:jc w:val="center"/>
              <w:rPr>
                <w:rFonts w:ascii="Arial Narrow" w:hAnsi="Arial Narrow"/>
                <w:color w:val="000000"/>
                <w:sz w:val="20"/>
                <w:szCs w:val="20"/>
                <w:lang w:val="en-US" w:eastAsia="en-US"/>
              </w:rPr>
            </w:pPr>
            <w:r w:rsidRPr="006F2C23">
              <w:rPr>
                <w:rFonts w:ascii="Arial Narrow" w:hAnsi="Arial Narrow"/>
                <w:sz w:val="20"/>
                <w:szCs w:val="20"/>
              </w:rPr>
              <w:t>23,</w:t>
            </w:r>
            <w:r>
              <w:rPr>
                <w:rFonts w:ascii="Arial Narrow" w:hAnsi="Arial Narrow"/>
                <w:sz w:val="20"/>
                <w:szCs w:val="20"/>
              </w:rPr>
              <w:t>3</w:t>
            </w:r>
          </w:p>
        </w:tc>
        <w:tc>
          <w:tcPr>
            <w:tcW w:w="625" w:type="dxa"/>
            <w:tcBorders>
              <w:top w:val="nil"/>
              <w:left w:val="nil"/>
              <w:bottom w:val="single" w:sz="4" w:space="0" w:color="auto"/>
              <w:right w:val="nil"/>
            </w:tcBorders>
          </w:tcPr>
          <w:p w14:paraId="2ABE7BF6" w14:textId="77777777" w:rsidR="00C62636" w:rsidRPr="00677CC7" w:rsidRDefault="00C62636" w:rsidP="00C62636">
            <w:pPr>
              <w:spacing w:after="0" w:line="240" w:lineRule="auto"/>
              <w:jc w:val="center"/>
              <w:rPr>
                <w:rFonts w:ascii="Arial Narrow" w:hAnsi="Arial Narrow"/>
                <w:color w:val="000000"/>
                <w:sz w:val="20"/>
                <w:szCs w:val="20"/>
                <w:lang w:eastAsia="en-US"/>
              </w:rPr>
            </w:pPr>
          </w:p>
        </w:tc>
        <w:tc>
          <w:tcPr>
            <w:tcW w:w="625" w:type="dxa"/>
            <w:tcBorders>
              <w:top w:val="nil"/>
              <w:left w:val="nil"/>
              <w:bottom w:val="single" w:sz="4" w:space="0" w:color="auto"/>
              <w:right w:val="nil"/>
            </w:tcBorders>
            <w:shd w:val="clear" w:color="auto" w:fill="auto"/>
            <w:vAlign w:val="center"/>
            <w:hideMark/>
          </w:tcPr>
          <w:p w14:paraId="1B7B49DF" w14:textId="40CA44CE" w:rsidR="00C62636" w:rsidRPr="00677CC7" w:rsidRDefault="00C62636" w:rsidP="00C62636">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19,4</w:t>
            </w:r>
          </w:p>
        </w:tc>
      </w:tr>
      <w:tr w:rsidR="00C62636" w:rsidRPr="00677CC7" w14:paraId="4A973A4B" w14:textId="77777777" w:rsidTr="00E336C7">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66727CA3" w14:textId="77777777" w:rsidR="00C62636" w:rsidRPr="00677CC7" w:rsidRDefault="00C62636" w:rsidP="00C62636">
            <w:pPr>
              <w:spacing w:after="0" w:line="240" w:lineRule="auto"/>
              <w:jc w:val="center"/>
              <w:rPr>
                <w:rFonts w:ascii="Arial Narrow" w:hAnsi="Arial Narrow"/>
                <w:color w:val="000000"/>
                <w:sz w:val="20"/>
                <w:szCs w:val="20"/>
                <w:lang w:val="en-US" w:eastAsia="en-US"/>
              </w:rPr>
            </w:pPr>
          </w:p>
        </w:tc>
        <w:tc>
          <w:tcPr>
            <w:tcW w:w="425" w:type="dxa"/>
            <w:gridSpan w:val="2"/>
            <w:vMerge w:val="restart"/>
            <w:tcBorders>
              <w:top w:val="nil"/>
              <w:left w:val="nil"/>
              <w:right w:val="nil"/>
            </w:tcBorders>
            <w:shd w:val="clear" w:color="auto" w:fill="auto"/>
            <w:noWrap/>
            <w:vAlign w:val="center"/>
            <w:hideMark/>
          </w:tcPr>
          <w:p w14:paraId="51245BAB" w14:textId="77777777" w:rsidR="00C62636" w:rsidRPr="00677CC7" w:rsidRDefault="00C62636" w:rsidP="00C62636">
            <w:pPr>
              <w:spacing w:after="0" w:line="240" w:lineRule="auto"/>
              <w:jc w:val="center"/>
              <w:rPr>
                <w:rFonts w:ascii="Times New Roman" w:hAnsi="Times New Roman"/>
                <w:sz w:val="20"/>
                <w:szCs w:val="20"/>
                <w:lang w:val="en-US" w:eastAsia="en-US"/>
              </w:rPr>
            </w:pPr>
            <w:r>
              <w:rPr>
                <w:rFonts w:ascii="Arial Narrow" w:hAnsi="Arial Narrow"/>
                <w:b/>
                <w:bCs/>
                <w:color w:val="000000"/>
                <w:sz w:val="20"/>
                <w:szCs w:val="20"/>
              </w:rPr>
              <w:t>13</w:t>
            </w:r>
          </w:p>
        </w:tc>
        <w:tc>
          <w:tcPr>
            <w:tcW w:w="2221" w:type="dxa"/>
            <w:tcBorders>
              <w:top w:val="nil"/>
              <w:left w:val="nil"/>
              <w:bottom w:val="nil"/>
              <w:right w:val="nil"/>
            </w:tcBorders>
            <w:shd w:val="clear" w:color="auto" w:fill="auto"/>
            <w:noWrap/>
            <w:vAlign w:val="center"/>
            <w:hideMark/>
          </w:tcPr>
          <w:p w14:paraId="7ADDA2E2" w14:textId="77777777" w:rsidR="00C62636" w:rsidRPr="00677CC7" w:rsidRDefault="00C62636" w:rsidP="00C62636">
            <w:pPr>
              <w:spacing w:after="0" w:line="240" w:lineRule="auto"/>
              <w:jc w:val="both"/>
              <w:rPr>
                <w:rFonts w:ascii="Arial Narrow" w:hAnsi="Arial Narrow"/>
                <w:b/>
                <w:bCs/>
                <w:color w:val="000000"/>
                <w:sz w:val="20"/>
                <w:szCs w:val="20"/>
                <w:lang w:val="en-US" w:eastAsia="en-US"/>
              </w:rPr>
            </w:pPr>
            <w:proofErr w:type="spellStart"/>
            <w:r w:rsidRPr="00677CC7">
              <w:rPr>
                <w:rFonts w:ascii="Arial Narrow" w:hAnsi="Arial Narrow"/>
                <w:b/>
                <w:bCs/>
                <w:color w:val="000000"/>
                <w:sz w:val="20"/>
                <w:szCs w:val="20"/>
                <w:lang w:val="en-US" w:eastAsia="en-US"/>
              </w:rPr>
              <w:t>Miera</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náhrady</w:t>
            </w:r>
            <w:proofErr w:type="spellEnd"/>
            <w:r w:rsidRPr="00677CC7">
              <w:rPr>
                <w:rFonts w:ascii="Arial Narrow" w:hAnsi="Arial Narrow"/>
                <w:b/>
                <w:bCs/>
                <w:color w:val="000000"/>
                <w:sz w:val="20"/>
                <w:szCs w:val="20"/>
                <w:lang w:val="en-US" w:eastAsia="en-US"/>
              </w:rPr>
              <w:t xml:space="preserve"> (Benefit ratio)</w:t>
            </w:r>
          </w:p>
        </w:tc>
        <w:tc>
          <w:tcPr>
            <w:tcW w:w="756" w:type="dxa"/>
            <w:tcBorders>
              <w:top w:val="nil"/>
              <w:left w:val="nil"/>
              <w:bottom w:val="nil"/>
              <w:right w:val="nil"/>
            </w:tcBorders>
            <w:shd w:val="clear" w:color="auto" w:fill="auto"/>
            <w:vAlign w:val="center"/>
            <w:hideMark/>
          </w:tcPr>
          <w:p w14:paraId="23BEAA4B"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single" w:sz="4" w:space="0" w:color="auto"/>
              <w:left w:val="nil"/>
              <w:bottom w:val="nil"/>
              <w:right w:val="nil"/>
            </w:tcBorders>
            <w:shd w:val="clear" w:color="auto" w:fill="auto"/>
            <w:vAlign w:val="center"/>
            <w:hideMark/>
          </w:tcPr>
          <w:p w14:paraId="6497D231" w14:textId="56F7DC00" w:rsidR="00C62636" w:rsidRPr="00486361"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w:t>
            </w:r>
          </w:p>
        </w:tc>
        <w:tc>
          <w:tcPr>
            <w:tcW w:w="625" w:type="dxa"/>
            <w:tcBorders>
              <w:top w:val="single" w:sz="4" w:space="0" w:color="auto"/>
              <w:left w:val="nil"/>
              <w:bottom w:val="nil"/>
              <w:right w:val="nil"/>
            </w:tcBorders>
            <w:shd w:val="clear" w:color="auto" w:fill="auto"/>
            <w:vAlign w:val="center"/>
            <w:hideMark/>
          </w:tcPr>
          <w:p w14:paraId="2F677E90" w14:textId="4202C012" w:rsidR="00C62636" w:rsidRPr="00486361" w:rsidRDefault="00C62636" w:rsidP="00C62636">
            <w:pPr>
              <w:spacing w:after="0" w:line="240" w:lineRule="auto"/>
              <w:jc w:val="center"/>
              <w:rPr>
                <w:rFonts w:ascii="Arial Narrow" w:hAnsi="Arial Narrow"/>
                <w:color w:val="000000"/>
                <w:sz w:val="20"/>
                <w:szCs w:val="20"/>
                <w:lang w:val="en-US" w:eastAsia="en-US"/>
              </w:rPr>
            </w:pPr>
            <w:r w:rsidRPr="00DB4DE2">
              <w:rPr>
                <w:rFonts w:ascii="Arial Narrow" w:hAnsi="Arial Narrow"/>
                <w:sz w:val="20"/>
                <w:szCs w:val="20"/>
              </w:rPr>
              <w:t>43,7</w:t>
            </w:r>
          </w:p>
        </w:tc>
        <w:tc>
          <w:tcPr>
            <w:tcW w:w="625" w:type="dxa"/>
            <w:tcBorders>
              <w:top w:val="single" w:sz="4" w:space="0" w:color="auto"/>
              <w:left w:val="nil"/>
              <w:bottom w:val="nil"/>
              <w:right w:val="nil"/>
            </w:tcBorders>
            <w:shd w:val="clear" w:color="auto" w:fill="auto"/>
            <w:vAlign w:val="center"/>
            <w:hideMark/>
          </w:tcPr>
          <w:p w14:paraId="306F2F35" w14:textId="5AAB7453" w:rsidR="00C62636" w:rsidRPr="00486361"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w:t>
            </w:r>
          </w:p>
        </w:tc>
        <w:tc>
          <w:tcPr>
            <w:tcW w:w="625" w:type="dxa"/>
            <w:tcBorders>
              <w:top w:val="single" w:sz="4" w:space="0" w:color="auto"/>
              <w:left w:val="nil"/>
              <w:bottom w:val="nil"/>
              <w:right w:val="nil"/>
            </w:tcBorders>
            <w:shd w:val="clear" w:color="auto" w:fill="auto"/>
            <w:vAlign w:val="center"/>
            <w:hideMark/>
          </w:tcPr>
          <w:p w14:paraId="3472D660" w14:textId="0494854C" w:rsidR="00C62636" w:rsidRPr="00486361"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w:t>
            </w:r>
          </w:p>
        </w:tc>
        <w:tc>
          <w:tcPr>
            <w:tcW w:w="625" w:type="dxa"/>
            <w:tcBorders>
              <w:top w:val="single" w:sz="4" w:space="0" w:color="auto"/>
              <w:left w:val="nil"/>
              <w:bottom w:val="nil"/>
              <w:right w:val="nil"/>
            </w:tcBorders>
            <w:shd w:val="clear" w:color="auto" w:fill="auto"/>
            <w:vAlign w:val="center"/>
            <w:hideMark/>
          </w:tcPr>
          <w:p w14:paraId="3496FDB6" w14:textId="7DA68114" w:rsidR="00C62636" w:rsidRPr="00486361" w:rsidRDefault="00C62636" w:rsidP="00C62636">
            <w:pPr>
              <w:spacing w:after="0" w:line="240" w:lineRule="auto"/>
              <w:jc w:val="center"/>
              <w:rPr>
                <w:rFonts w:ascii="Arial Narrow" w:hAnsi="Arial Narrow"/>
                <w:color w:val="000000"/>
                <w:sz w:val="20"/>
                <w:szCs w:val="20"/>
                <w:lang w:val="en-US" w:eastAsia="en-US"/>
              </w:rPr>
            </w:pPr>
            <w:r w:rsidRPr="00DB4DE2">
              <w:rPr>
                <w:rFonts w:ascii="Arial Narrow" w:hAnsi="Arial Narrow"/>
                <w:sz w:val="20"/>
                <w:szCs w:val="20"/>
              </w:rPr>
              <w:t>45,7</w:t>
            </w:r>
          </w:p>
        </w:tc>
        <w:tc>
          <w:tcPr>
            <w:tcW w:w="625" w:type="dxa"/>
            <w:tcBorders>
              <w:top w:val="single" w:sz="4" w:space="0" w:color="auto"/>
              <w:left w:val="nil"/>
              <w:bottom w:val="nil"/>
              <w:right w:val="nil"/>
            </w:tcBorders>
            <w:shd w:val="clear" w:color="auto" w:fill="auto"/>
            <w:vAlign w:val="center"/>
            <w:hideMark/>
          </w:tcPr>
          <w:p w14:paraId="1F900AFB" w14:textId="2262091F" w:rsidR="00C62636" w:rsidRPr="00486361"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w:t>
            </w:r>
          </w:p>
        </w:tc>
        <w:tc>
          <w:tcPr>
            <w:tcW w:w="625" w:type="dxa"/>
            <w:tcBorders>
              <w:top w:val="single" w:sz="4" w:space="0" w:color="auto"/>
              <w:left w:val="nil"/>
              <w:bottom w:val="nil"/>
              <w:right w:val="nil"/>
            </w:tcBorders>
            <w:shd w:val="clear" w:color="auto" w:fill="auto"/>
            <w:vAlign w:val="center"/>
            <w:hideMark/>
          </w:tcPr>
          <w:p w14:paraId="74020D2E" w14:textId="1BBC5AF8" w:rsidR="00C62636" w:rsidRPr="00486361"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w:t>
            </w:r>
          </w:p>
        </w:tc>
        <w:tc>
          <w:tcPr>
            <w:tcW w:w="625" w:type="dxa"/>
            <w:tcBorders>
              <w:top w:val="single" w:sz="4" w:space="0" w:color="auto"/>
              <w:left w:val="nil"/>
              <w:bottom w:val="nil"/>
              <w:right w:val="nil"/>
            </w:tcBorders>
            <w:vAlign w:val="center"/>
            <w:hideMark/>
          </w:tcPr>
          <w:p w14:paraId="0DC0A14A" w14:textId="629B7515" w:rsidR="00C62636" w:rsidRPr="00486361"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46,7</w:t>
            </w:r>
          </w:p>
        </w:tc>
        <w:tc>
          <w:tcPr>
            <w:tcW w:w="625" w:type="dxa"/>
            <w:tcBorders>
              <w:top w:val="single" w:sz="4" w:space="0" w:color="auto"/>
              <w:left w:val="nil"/>
              <w:bottom w:val="nil"/>
              <w:right w:val="nil"/>
            </w:tcBorders>
            <w:shd w:val="clear" w:color="auto" w:fill="auto"/>
            <w:vAlign w:val="center"/>
          </w:tcPr>
          <w:p w14:paraId="31F845DC" w14:textId="29142536" w:rsidR="00C62636" w:rsidRPr="00486361"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w:t>
            </w:r>
          </w:p>
        </w:tc>
        <w:tc>
          <w:tcPr>
            <w:tcW w:w="625" w:type="dxa"/>
            <w:tcBorders>
              <w:top w:val="nil"/>
              <w:left w:val="nil"/>
              <w:bottom w:val="nil"/>
              <w:right w:val="nil"/>
            </w:tcBorders>
          </w:tcPr>
          <w:p w14:paraId="51C2FB66" w14:textId="77777777" w:rsidR="00C62636" w:rsidRPr="00486361" w:rsidRDefault="00C62636" w:rsidP="00C62636">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1C9CE8AF" w14:textId="68A66023" w:rsidR="00C62636" w:rsidRPr="00486361" w:rsidRDefault="00C62636" w:rsidP="00C62636">
            <w:pPr>
              <w:spacing w:after="0" w:line="240" w:lineRule="auto"/>
              <w:jc w:val="center"/>
              <w:rPr>
                <w:rFonts w:ascii="Arial Narrow" w:hAnsi="Arial Narrow"/>
                <w:color w:val="000000"/>
                <w:sz w:val="20"/>
                <w:szCs w:val="20"/>
                <w:lang w:val="en-US" w:eastAsia="en-US"/>
              </w:rPr>
            </w:pPr>
            <w:r w:rsidRPr="00486361">
              <w:rPr>
                <w:rFonts w:ascii="Arial Narrow" w:hAnsi="Arial Narrow"/>
                <w:color w:val="000000"/>
                <w:sz w:val="20"/>
                <w:szCs w:val="20"/>
                <w:lang w:val="en-US" w:eastAsia="en-US"/>
              </w:rPr>
              <w:t>-</w:t>
            </w:r>
          </w:p>
        </w:tc>
      </w:tr>
      <w:tr w:rsidR="00C62636" w:rsidRPr="00677CC7" w14:paraId="3E30E10E" w14:textId="77777777" w:rsidTr="00E336C7">
        <w:trPr>
          <w:gridAfter w:val="1"/>
          <w:wAfter w:w="10" w:type="dxa"/>
          <w:trHeight w:val="188"/>
          <w:jc w:val="center"/>
        </w:trPr>
        <w:tc>
          <w:tcPr>
            <w:tcW w:w="426" w:type="dxa"/>
            <w:tcBorders>
              <w:top w:val="nil"/>
              <w:left w:val="nil"/>
              <w:bottom w:val="single" w:sz="4" w:space="0" w:color="auto"/>
              <w:right w:val="nil"/>
            </w:tcBorders>
            <w:shd w:val="clear" w:color="auto" w:fill="auto"/>
            <w:textDirection w:val="btLr"/>
            <w:vAlign w:val="center"/>
            <w:hideMark/>
          </w:tcPr>
          <w:p w14:paraId="26A43C58" w14:textId="77777777" w:rsidR="00C62636" w:rsidRPr="00677CC7" w:rsidRDefault="00C62636" w:rsidP="00C62636">
            <w:pPr>
              <w:spacing w:after="0" w:line="240" w:lineRule="auto"/>
              <w:jc w:val="center"/>
              <w:rPr>
                <w:color w:val="000000"/>
                <w:lang w:val="en-US" w:eastAsia="en-US"/>
              </w:rPr>
            </w:pPr>
            <w:r w:rsidRPr="00677CC7">
              <w:rPr>
                <w:color w:val="000000"/>
                <w:lang w:val="en-US" w:eastAsia="en-US"/>
              </w:rPr>
              <w:t> </w:t>
            </w:r>
          </w:p>
        </w:tc>
        <w:tc>
          <w:tcPr>
            <w:tcW w:w="425" w:type="dxa"/>
            <w:gridSpan w:val="2"/>
            <w:vMerge/>
            <w:tcBorders>
              <w:left w:val="nil"/>
              <w:bottom w:val="single" w:sz="4" w:space="0" w:color="auto"/>
              <w:right w:val="nil"/>
            </w:tcBorders>
            <w:shd w:val="clear" w:color="auto" w:fill="auto"/>
            <w:noWrap/>
            <w:vAlign w:val="center"/>
            <w:hideMark/>
          </w:tcPr>
          <w:p w14:paraId="05ABC16E"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29285B0D" w14:textId="77777777" w:rsidR="00C62636" w:rsidRPr="00E9605F" w:rsidRDefault="00C62636" w:rsidP="00C62636">
            <w:pPr>
              <w:spacing w:after="0" w:line="240" w:lineRule="auto"/>
              <w:jc w:val="both"/>
              <w:rPr>
                <w:rFonts w:ascii="Arial Narrow" w:hAnsi="Arial Narrow"/>
                <w:color w:val="000000"/>
                <w:sz w:val="20"/>
                <w:szCs w:val="20"/>
                <w:lang w:val="en-US" w:eastAsia="en-US"/>
              </w:rPr>
            </w:pPr>
            <w:r w:rsidRPr="00E9605F">
              <w:rPr>
                <w:rFonts w:ascii="Arial Narrow" w:hAnsi="Arial Narrow"/>
                <w:color w:val="000000"/>
                <w:sz w:val="20"/>
                <w:szCs w:val="20"/>
                <w:lang w:val="en-US" w:eastAsia="en-US"/>
              </w:rPr>
              <w:t>(</w:t>
            </w:r>
            <w:proofErr w:type="spellStart"/>
            <w:r w:rsidRPr="00E9605F">
              <w:rPr>
                <w:rFonts w:ascii="Arial Narrow" w:hAnsi="Arial Narrow"/>
                <w:color w:val="000000"/>
                <w:sz w:val="20"/>
                <w:szCs w:val="20"/>
                <w:lang w:val="en-US" w:eastAsia="en-US"/>
              </w:rPr>
              <w:t>priemerný</w:t>
            </w:r>
            <w:proofErr w:type="spellEnd"/>
            <w:r w:rsidRPr="00E9605F">
              <w:rPr>
                <w:rFonts w:ascii="Arial Narrow" w:hAnsi="Arial Narrow"/>
                <w:color w:val="000000"/>
                <w:sz w:val="20"/>
                <w:szCs w:val="20"/>
                <w:lang w:val="en-US" w:eastAsia="en-US"/>
              </w:rPr>
              <w:t xml:space="preserve"> </w:t>
            </w:r>
            <w:proofErr w:type="spellStart"/>
            <w:r w:rsidRPr="00E9605F">
              <w:rPr>
                <w:rFonts w:ascii="Arial Narrow" w:hAnsi="Arial Narrow"/>
                <w:color w:val="000000"/>
                <w:sz w:val="20"/>
                <w:szCs w:val="20"/>
                <w:lang w:val="en-US" w:eastAsia="en-US"/>
              </w:rPr>
              <w:t>dôchodok</w:t>
            </w:r>
            <w:proofErr w:type="spellEnd"/>
            <w:r w:rsidRPr="00E9605F">
              <w:rPr>
                <w:rFonts w:ascii="Arial Narrow" w:hAnsi="Arial Narrow"/>
                <w:color w:val="000000"/>
                <w:sz w:val="20"/>
                <w:szCs w:val="20"/>
                <w:lang w:val="en-US" w:eastAsia="en-US"/>
              </w:rPr>
              <w:t xml:space="preserve">, % z </w:t>
            </w:r>
            <w:proofErr w:type="spellStart"/>
            <w:r w:rsidRPr="00E9605F">
              <w:rPr>
                <w:rFonts w:ascii="Arial Narrow" w:hAnsi="Arial Narrow"/>
                <w:color w:val="000000"/>
                <w:sz w:val="20"/>
                <w:szCs w:val="20"/>
                <w:lang w:val="en-US" w:eastAsia="en-US"/>
              </w:rPr>
              <w:t>priemernej</w:t>
            </w:r>
            <w:proofErr w:type="spellEnd"/>
            <w:r w:rsidRPr="00E9605F">
              <w:rPr>
                <w:rFonts w:ascii="Arial Narrow" w:hAnsi="Arial Narrow"/>
                <w:color w:val="000000"/>
                <w:sz w:val="20"/>
                <w:szCs w:val="20"/>
                <w:lang w:val="en-US" w:eastAsia="en-US"/>
              </w:rPr>
              <w:t xml:space="preserve"> </w:t>
            </w:r>
            <w:proofErr w:type="spellStart"/>
            <w:r w:rsidRPr="00E9605F">
              <w:rPr>
                <w:rFonts w:ascii="Arial Narrow" w:hAnsi="Arial Narrow"/>
                <w:color w:val="000000"/>
                <w:sz w:val="20"/>
                <w:szCs w:val="20"/>
                <w:lang w:val="en-US" w:eastAsia="en-US"/>
              </w:rPr>
              <w:t>mzdy</w:t>
            </w:r>
            <w:proofErr w:type="spellEnd"/>
            <w:r w:rsidRPr="00E9605F">
              <w:rPr>
                <w:rFonts w:ascii="Arial Narrow" w:hAnsi="Arial Narrow"/>
                <w:color w:val="000000"/>
                <w:sz w:val="20"/>
                <w:szCs w:val="20"/>
                <w:lang w:val="en-US" w:eastAsia="en-US"/>
              </w:rPr>
              <w:t>)</w:t>
            </w:r>
          </w:p>
        </w:tc>
        <w:tc>
          <w:tcPr>
            <w:tcW w:w="756" w:type="dxa"/>
            <w:tcBorders>
              <w:top w:val="nil"/>
              <w:left w:val="nil"/>
              <w:bottom w:val="single" w:sz="4" w:space="0" w:color="auto"/>
              <w:right w:val="nil"/>
            </w:tcBorders>
            <w:shd w:val="clear" w:color="auto" w:fill="auto"/>
            <w:vAlign w:val="center"/>
            <w:hideMark/>
          </w:tcPr>
          <w:p w14:paraId="0C39BD25" w14:textId="77777777" w:rsidR="00C62636" w:rsidRPr="00677CC7" w:rsidRDefault="00C62636" w:rsidP="00C62636">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shd w:val="clear" w:color="auto" w:fill="auto"/>
            <w:vAlign w:val="center"/>
            <w:hideMark/>
          </w:tcPr>
          <w:p w14:paraId="1E19E97E" w14:textId="4FA7E5B1" w:rsidR="00C62636" w:rsidRPr="00486361"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w:t>
            </w:r>
          </w:p>
        </w:tc>
        <w:tc>
          <w:tcPr>
            <w:tcW w:w="625" w:type="dxa"/>
            <w:tcBorders>
              <w:top w:val="nil"/>
              <w:left w:val="nil"/>
              <w:bottom w:val="single" w:sz="4" w:space="0" w:color="auto"/>
              <w:right w:val="nil"/>
            </w:tcBorders>
            <w:shd w:val="clear" w:color="auto" w:fill="auto"/>
            <w:vAlign w:val="center"/>
            <w:hideMark/>
          </w:tcPr>
          <w:p w14:paraId="631F5153" w14:textId="2B306775" w:rsidR="00C62636" w:rsidRPr="00486361"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41,4</w:t>
            </w:r>
          </w:p>
        </w:tc>
        <w:tc>
          <w:tcPr>
            <w:tcW w:w="625" w:type="dxa"/>
            <w:tcBorders>
              <w:top w:val="nil"/>
              <w:left w:val="nil"/>
              <w:bottom w:val="single" w:sz="4" w:space="0" w:color="auto"/>
              <w:right w:val="nil"/>
            </w:tcBorders>
            <w:shd w:val="clear" w:color="auto" w:fill="auto"/>
            <w:vAlign w:val="center"/>
            <w:hideMark/>
          </w:tcPr>
          <w:p w14:paraId="437FD317" w14:textId="71EA269C" w:rsidR="00C62636" w:rsidRPr="00486361"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w:t>
            </w:r>
          </w:p>
        </w:tc>
        <w:tc>
          <w:tcPr>
            <w:tcW w:w="625" w:type="dxa"/>
            <w:tcBorders>
              <w:top w:val="nil"/>
              <w:left w:val="nil"/>
              <w:bottom w:val="single" w:sz="4" w:space="0" w:color="auto"/>
              <w:right w:val="nil"/>
            </w:tcBorders>
            <w:shd w:val="clear" w:color="auto" w:fill="auto"/>
            <w:vAlign w:val="center"/>
            <w:hideMark/>
          </w:tcPr>
          <w:p w14:paraId="19D1EF73" w14:textId="03C23933" w:rsidR="00C62636" w:rsidRPr="00486361"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w:t>
            </w:r>
          </w:p>
        </w:tc>
        <w:tc>
          <w:tcPr>
            <w:tcW w:w="625" w:type="dxa"/>
            <w:tcBorders>
              <w:top w:val="nil"/>
              <w:left w:val="nil"/>
              <w:bottom w:val="single" w:sz="4" w:space="0" w:color="auto"/>
              <w:right w:val="nil"/>
            </w:tcBorders>
            <w:shd w:val="clear" w:color="auto" w:fill="auto"/>
            <w:vAlign w:val="center"/>
            <w:hideMark/>
          </w:tcPr>
          <w:p w14:paraId="25DBDD4E" w14:textId="53FDDD94" w:rsidR="00C62636" w:rsidRPr="00486361" w:rsidRDefault="00C62636" w:rsidP="00C62636">
            <w:pPr>
              <w:spacing w:after="0" w:line="240" w:lineRule="auto"/>
              <w:jc w:val="center"/>
              <w:rPr>
                <w:rFonts w:ascii="Arial Narrow" w:hAnsi="Arial Narrow"/>
                <w:color w:val="000000"/>
                <w:sz w:val="20"/>
                <w:szCs w:val="20"/>
                <w:lang w:val="en-US" w:eastAsia="en-US"/>
              </w:rPr>
            </w:pPr>
            <w:r w:rsidRPr="00DB4DE2">
              <w:rPr>
                <w:rFonts w:ascii="Arial Narrow" w:hAnsi="Arial Narrow"/>
                <w:sz w:val="20"/>
                <w:szCs w:val="20"/>
              </w:rPr>
              <w:t>44</w:t>
            </w:r>
            <w:r>
              <w:rPr>
                <w:rFonts w:ascii="Arial Narrow" w:hAnsi="Arial Narrow"/>
                <w:sz w:val="20"/>
                <w:szCs w:val="20"/>
              </w:rPr>
              <w:t>,0</w:t>
            </w:r>
          </w:p>
        </w:tc>
        <w:tc>
          <w:tcPr>
            <w:tcW w:w="625" w:type="dxa"/>
            <w:tcBorders>
              <w:top w:val="nil"/>
              <w:left w:val="nil"/>
              <w:bottom w:val="single" w:sz="4" w:space="0" w:color="auto"/>
              <w:right w:val="nil"/>
            </w:tcBorders>
            <w:shd w:val="clear" w:color="auto" w:fill="auto"/>
            <w:vAlign w:val="center"/>
            <w:hideMark/>
          </w:tcPr>
          <w:p w14:paraId="7EC5BA98" w14:textId="6DBBE0F3" w:rsidR="00C62636" w:rsidRPr="00486361"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w:t>
            </w:r>
          </w:p>
        </w:tc>
        <w:tc>
          <w:tcPr>
            <w:tcW w:w="625" w:type="dxa"/>
            <w:tcBorders>
              <w:top w:val="nil"/>
              <w:left w:val="nil"/>
              <w:bottom w:val="single" w:sz="4" w:space="0" w:color="auto"/>
              <w:right w:val="nil"/>
            </w:tcBorders>
            <w:shd w:val="clear" w:color="auto" w:fill="auto"/>
            <w:vAlign w:val="center"/>
            <w:hideMark/>
          </w:tcPr>
          <w:p w14:paraId="02946171" w14:textId="4C086128" w:rsidR="00C62636" w:rsidRPr="00486361"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w:t>
            </w:r>
          </w:p>
        </w:tc>
        <w:tc>
          <w:tcPr>
            <w:tcW w:w="625" w:type="dxa"/>
            <w:tcBorders>
              <w:top w:val="nil"/>
              <w:left w:val="nil"/>
              <w:bottom w:val="single" w:sz="4" w:space="0" w:color="auto"/>
              <w:right w:val="nil"/>
            </w:tcBorders>
            <w:vAlign w:val="center"/>
            <w:hideMark/>
          </w:tcPr>
          <w:p w14:paraId="116AE839" w14:textId="7D1DDBBA" w:rsidR="00C62636" w:rsidRPr="00486361"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w:t>
            </w:r>
          </w:p>
        </w:tc>
        <w:tc>
          <w:tcPr>
            <w:tcW w:w="625" w:type="dxa"/>
            <w:tcBorders>
              <w:top w:val="nil"/>
              <w:left w:val="nil"/>
              <w:bottom w:val="single" w:sz="4" w:space="0" w:color="auto"/>
              <w:right w:val="nil"/>
            </w:tcBorders>
            <w:shd w:val="clear" w:color="auto" w:fill="auto"/>
            <w:vAlign w:val="center"/>
          </w:tcPr>
          <w:p w14:paraId="4D5B80B7" w14:textId="04E461F0" w:rsidR="00C62636" w:rsidRPr="00486361" w:rsidRDefault="00C62636" w:rsidP="00C62636">
            <w:pPr>
              <w:spacing w:after="0" w:line="240" w:lineRule="auto"/>
              <w:jc w:val="center"/>
              <w:rPr>
                <w:rFonts w:ascii="Arial Narrow" w:hAnsi="Arial Narrow"/>
                <w:color w:val="000000"/>
                <w:sz w:val="20"/>
                <w:szCs w:val="20"/>
                <w:lang w:val="en-US" w:eastAsia="en-US"/>
              </w:rPr>
            </w:pPr>
            <w:r>
              <w:rPr>
                <w:rFonts w:ascii="Arial Narrow" w:hAnsi="Arial Narrow"/>
                <w:sz w:val="20"/>
                <w:szCs w:val="20"/>
              </w:rPr>
              <w:t>-</w:t>
            </w:r>
          </w:p>
        </w:tc>
        <w:tc>
          <w:tcPr>
            <w:tcW w:w="625" w:type="dxa"/>
            <w:tcBorders>
              <w:top w:val="nil"/>
              <w:left w:val="nil"/>
              <w:bottom w:val="single" w:sz="4" w:space="0" w:color="auto"/>
              <w:right w:val="nil"/>
            </w:tcBorders>
          </w:tcPr>
          <w:p w14:paraId="0FD04237" w14:textId="77777777" w:rsidR="00C62636" w:rsidRPr="00486361" w:rsidRDefault="00C62636" w:rsidP="00C62636">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hideMark/>
          </w:tcPr>
          <w:p w14:paraId="4A65CB31" w14:textId="40336C58" w:rsidR="00C62636" w:rsidRPr="00486361" w:rsidRDefault="00C62636" w:rsidP="00C62636">
            <w:pPr>
              <w:spacing w:after="0" w:line="240" w:lineRule="auto"/>
              <w:jc w:val="center"/>
              <w:rPr>
                <w:rFonts w:ascii="Arial Narrow" w:hAnsi="Arial Narrow"/>
                <w:color w:val="000000"/>
                <w:sz w:val="20"/>
                <w:szCs w:val="20"/>
                <w:lang w:val="en-US" w:eastAsia="en-US"/>
              </w:rPr>
            </w:pPr>
            <w:r w:rsidRPr="00486361">
              <w:rPr>
                <w:rFonts w:ascii="Arial Narrow" w:hAnsi="Arial Narrow"/>
                <w:color w:val="000000"/>
                <w:sz w:val="20"/>
                <w:szCs w:val="20"/>
                <w:lang w:val="en-US" w:eastAsia="en-US"/>
              </w:rPr>
              <w:t>-</w:t>
            </w:r>
          </w:p>
        </w:tc>
      </w:tr>
      <w:tr w:rsidR="00994161" w:rsidRPr="00677CC7" w14:paraId="71108861" w14:textId="77777777" w:rsidTr="00994161">
        <w:trPr>
          <w:trHeight w:val="188"/>
          <w:jc w:val="center"/>
        </w:trPr>
        <w:tc>
          <w:tcPr>
            <w:tcW w:w="625" w:type="dxa"/>
            <w:gridSpan w:val="2"/>
            <w:tcBorders>
              <w:top w:val="single" w:sz="4" w:space="0" w:color="auto"/>
              <w:left w:val="nil"/>
              <w:bottom w:val="single" w:sz="4" w:space="0" w:color="auto"/>
              <w:right w:val="nil"/>
            </w:tcBorders>
            <w:shd w:val="clear" w:color="000000" w:fill="A9D2F1"/>
          </w:tcPr>
          <w:p w14:paraId="772254A5" w14:textId="77777777" w:rsidR="00994161" w:rsidRPr="00E24676" w:rsidRDefault="00994161" w:rsidP="00342E82">
            <w:pPr>
              <w:spacing w:after="0" w:line="240" w:lineRule="auto"/>
              <w:rPr>
                <w:rFonts w:ascii="Arial Narrow" w:hAnsi="Arial Narrow"/>
                <w:b/>
                <w:bCs/>
                <w:sz w:val="20"/>
                <w:szCs w:val="20"/>
                <w:lang w:eastAsia="en-US"/>
              </w:rPr>
            </w:pPr>
          </w:p>
        </w:tc>
        <w:tc>
          <w:tcPr>
            <w:tcW w:w="10206" w:type="dxa"/>
            <w:gridSpan w:val="15"/>
            <w:tcBorders>
              <w:top w:val="single" w:sz="4" w:space="0" w:color="auto"/>
              <w:left w:val="nil"/>
              <w:bottom w:val="single" w:sz="4" w:space="0" w:color="auto"/>
              <w:right w:val="nil"/>
            </w:tcBorders>
            <w:shd w:val="clear" w:color="000000" w:fill="A9D2F1"/>
            <w:noWrap/>
            <w:vAlign w:val="center"/>
            <w:hideMark/>
          </w:tcPr>
          <w:p w14:paraId="7436B026" w14:textId="4388EE14" w:rsidR="00994161" w:rsidRPr="00E24676" w:rsidRDefault="00994161" w:rsidP="00342E82">
            <w:pPr>
              <w:spacing w:after="0" w:line="240" w:lineRule="auto"/>
              <w:rPr>
                <w:rFonts w:ascii="Arial Narrow" w:hAnsi="Arial Narrow"/>
                <w:b/>
                <w:bCs/>
                <w:sz w:val="20"/>
                <w:szCs w:val="20"/>
                <w:lang w:eastAsia="en-US"/>
              </w:rPr>
            </w:pPr>
            <w:r w:rsidRPr="00E24676">
              <w:rPr>
                <w:rFonts w:ascii="Arial Narrow" w:hAnsi="Arial Narrow"/>
                <w:b/>
                <w:bCs/>
                <w:sz w:val="20"/>
                <w:szCs w:val="20"/>
                <w:lang w:eastAsia="en-US"/>
              </w:rPr>
              <w:t>Modernizácia verejnej správy a podnikateľské prostredie</w:t>
            </w:r>
          </w:p>
        </w:tc>
      </w:tr>
      <w:tr w:rsidR="00EA4ADD" w:rsidRPr="00677CC7" w14:paraId="323CBD9E" w14:textId="77777777" w:rsidTr="00EA4ADD">
        <w:trPr>
          <w:gridAfter w:val="1"/>
          <w:wAfter w:w="10" w:type="dxa"/>
          <w:trHeight w:val="188"/>
          <w:jc w:val="center"/>
        </w:trPr>
        <w:tc>
          <w:tcPr>
            <w:tcW w:w="426" w:type="dxa"/>
            <w:tcBorders>
              <w:top w:val="nil"/>
              <w:left w:val="nil"/>
              <w:right w:val="nil"/>
            </w:tcBorders>
            <w:shd w:val="clear" w:color="auto" w:fill="auto"/>
            <w:textDirection w:val="btLr"/>
            <w:vAlign w:val="center"/>
            <w:hideMark/>
          </w:tcPr>
          <w:p w14:paraId="224CE4B4" w14:textId="77777777" w:rsidR="00EA4ADD" w:rsidRPr="00E24676" w:rsidRDefault="00EA4ADD" w:rsidP="00EA4ADD">
            <w:pPr>
              <w:spacing w:after="0" w:line="240" w:lineRule="auto"/>
              <w:rPr>
                <w:rFonts w:ascii="Arial Narrow" w:hAnsi="Arial Narrow"/>
                <w:b/>
                <w:bCs/>
                <w:sz w:val="20"/>
                <w:szCs w:val="20"/>
                <w:lang w:eastAsia="en-US"/>
              </w:rPr>
            </w:pPr>
          </w:p>
        </w:tc>
        <w:tc>
          <w:tcPr>
            <w:tcW w:w="425" w:type="dxa"/>
            <w:gridSpan w:val="2"/>
            <w:vMerge w:val="restart"/>
            <w:tcBorders>
              <w:top w:val="nil"/>
              <w:left w:val="nil"/>
              <w:right w:val="nil"/>
            </w:tcBorders>
            <w:shd w:val="clear" w:color="auto" w:fill="auto"/>
            <w:noWrap/>
            <w:vAlign w:val="center"/>
            <w:hideMark/>
          </w:tcPr>
          <w:p w14:paraId="7AEEA3C8"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14</w:t>
            </w:r>
          </w:p>
        </w:tc>
        <w:tc>
          <w:tcPr>
            <w:tcW w:w="2221" w:type="dxa"/>
            <w:tcBorders>
              <w:top w:val="nil"/>
              <w:left w:val="nil"/>
              <w:right w:val="nil"/>
            </w:tcBorders>
            <w:shd w:val="clear" w:color="auto" w:fill="auto"/>
            <w:noWrap/>
            <w:vAlign w:val="center"/>
            <w:hideMark/>
          </w:tcPr>
          <w:p w14:paraId="300E1A0E" w14:textId="77777777" w:rsidR="00EA4ADD" w:rsidRPr="00677CC7" w:rsidRDefault="00EA4ADD" w:rsidP="00EA4ADD">
            <w:pPr>
              <w:spacing w:after="0" w:line="240" w:lineRule="auto"/>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Doing Business</w:t>
            </w:r>
          </w:p>
        </w:tc>
        <w:tc>
          <w:tcPr>
            <w:tcW w:w="756" w:type="dxa"/>
            <w:tcBorders>
              <w:top w:val="nil"/>
              <w:left w:val="nil"/>
              <w:right w:val="nil"/>
            </w:tcBorders>
            <w:shd w:val="clear" w:color="auto" w:fill="auto"/>
            <w:vAlign w:val="center"/>
            <w:hideMark/>
          </w:tcPr>
          <w:p w14:paraId="280A623B"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single" w:sz="4" w:space="0" w:color="auto"/>
              <w:left w:val="nil"/>
              <w:bottom w:val="nil"/>
              <w:right w:val="nil"/>
            </w:tcBorders>
            <w:shd w:val="clear" w:color="auto" w:fill="auto"/>
            <w:vAlign w:val="center"/>
            <w:hideMark/>
          </w:tcPr>
          <w:p w14:paraId="31672E6D" w14:textId="4938383B" w:rsidR="00EA4ADD" w:rsidRPr="00677CC7" w:rsidRDefault="00EA4ADD" w:rsidP="00EA4ADD">
            <w:pPr>
              <w:spacing w:after="0" w:line="240" w:lineRule="auto"/>
              <w:jc w:val="center"/>
              <w:rPr>
                <w:rFonts w:ascii="Arial Narrow" w:hAnsi="Arial Narrow"/>
                <w:color w:val="000000"/>
                <w:sz w:val="20"/>
                <w:szCs w:val="20"/>
                <w:lang w:val="en-US" w:eastAsia="en-US"/>
              </w:rPr>
            </w:pPr>
            <w:r w:rsidRPr="00451A15">
              <w:rPr>
                <w:rFonts w:ascii="Arial Narrow" w:hAnsi="Arial Narrow"/>
                <w:color w:val="000000"/>
                <w:sz w:val="20"/>
                <w:szCs w:val="20"/>
              </w:rPr>
              <w:t>-</w:t>
            </w:r>
          </w:p>
        </w:tc>
        <w:tc>
          <w:tcPr>
            <w:tcW w:w="625" w:type="dxa"/>
            <w:tcBorders>
              <w:top w:val="nil"/>
              <w:left w:val="nil"/>
              <w:bottom w:val="nil"/>
              <w:right w:val="nil"/>
            </w:tcBorders>
            <w:shd w:val="clear" w:color="auto" w:fill="auto"/>
            <w:vAlign w:val="center"/>
            <w:hideMark/>
          </w:tcPr>
          <w:p w14:paraId="5E6CDFE4" w14:textId="710B107A" w:rsidR="00EA4ADD" w:rsidRPr="00677CC7" w:rsidRDefault="00EA4ADD" w:rsidP="00EA4ADD">
            <w:pPr>
              <w:spacing w:after="0" w:line="240" w:lineRule="auto"/>
              <w:jc w:val="center"/>
              <w:rPr>
                <w:rFonts w:ascii="Arial Narrow" w:hAnsi="Arial Narrow"/>
                <w:color w:val="000000"/>
                <w:sz w:val="20"/>
                <w:szCs w:val="20"/>
                <w:lang w:val="en-US" w:eastAsia="en-US"/>
              </w:rPr>
            </w:pPr>
            <w:r w:rsidRPr="00451A15">
              <w:rPr>
                <w:rFonts w:ascii="Arial Narrow" w:hAnsi="Arial Narrow"/>
                <w:color w:val="000000"/>
                <w:sz w:val="20"/>
                <w:szCs w:val="20"/>
              </w:rPr>
              <w:t>-</w:t>
            </w:r>
          </w:p>
        </w:tc>
        <w:tc>
          <w:tcPr>
            <w:tcW w:w="625" w:type="dxa"/>
            <w:tcBorders>
              <w:top w:val="nil"/>
              <w:left w:val="nil"/>
              <w:bottom w:val="nil"/>
              <w:right w:val="nil"/>
            </w:tcBorders>
            <w:shd w:val="clear" w:color="auto" w:fill="auto"/>
            <w:vAlign w:val="center"/>
            <w:hideMark/>
          </w:tcPr>
          <w:p w14:paraId="11D614EF" w14:textId="7690DFB7" w:rsidR="00EA4ADD" w:rsidRPr="00677CC7" w:rsidRDefault="00EA4ADD" w:rsidP="00EA4ADD">
            <w:pPr>
              <w:spacing w:after="0" w:line="240" w:lineRule="auto"/>
              <w:jc w:val="center"/>
              <w:rPr>
                <w:rFonts w:ascii="Arial Narrow" w:hAnsi="Arial Narrow"/>
                <w:color w:val="000000"/>
                <w:sz w:val="20"/>
                <w:szCs w:val="20"/>
                <w:lang w:val="en-US" w:eastAsia="en-US"/>
              </w:rPr>
            </w:pPr>
            <w:r w:rsidRPr="00451A15">
              <w:rPr>
                <w:rFonts w:ascii="Arial Narrow" w:hAnsi="Arial Narrow"/>
                <w:color w:val="000000"/>
                <w:sz w:val="20"/>
                <w:szCs w:val="20"/>
              </w:rPr>
              <w:t>-</w:t>
            </w:r>
          </w:p>
        </w:tc>
        <w:tc>
          <w:tcPr>
            <w:tcW w:w="625" w:type="dxa"/>
            <w:tcBorders>
              <w:top w:val="nil"/>
              <w:left w:val="nil"/>
              <w:bottom w:val="nil"/>
              <w:right w:val="nil"/>
            </w:tcBorders>
            <w:shd w:val="clear" w:color="auto" w:fill="auto"/>
            <w:vAlign w:val="center"/>
            <w:hideMark/>
          </w:tcPr>
          <w:p w14:paraId="5CEDC5E7" w14:textId="67A7AE14" w:rsidR="00EA4ADD" w:rsidRPr="00677CC7" w:rsidRDefault="00EA4ADD" w:rsidP="00EA4ADD">
            <w:pPr>
              <w:spacing w:after="0" w:line="240" w:lineRule="auto"/>
              <w:jc w:val="center"/>
              <w:rPr>
                <w:rFonts w:ascii="Arial Narrow" w:hAnsi="Arial Narrow"/>
                <w:color w:val="000000"/>
                <w:sz w:val="20"/>
                <w:szCs w:val="20"/>
                <w:lang w:val="en-US" w:eastAsia="en-US"/>
              </w:rPr>
            </w:pPr>
            <w:r w:rsidRPr="00451A15">
              <w:rPr>
                <w:rFonts w:ascii="Arial Narrow" w:hAnsi="Arial Narrow"/>
                <w:color w:val="000000"/>
                <w:sz w:val="20"/>
                <w:szCs w:val="20"/>
              </w:rPr>
              <w:t>-</w:t>
            </w:r>
          </w:p>
        </w:tc>
        <w:tc>
          <w:tcPr>
            <w:tcW w:w="625" w:type="dxa"/>
            <w:tcBorders>
              <w:top w:val="nil"/>
              <w:left w:val="nil"/>
              <w:bottom w:val="nil"/>
              <w:right w:val="nil"/>
            </w:tcBorders>
            <w:shd w:val="clear" w:color="auto" w:fill="auto"/>
            <w:vAlign w:val="center"/>
            <w:hideMark/>
          </w:tcPr>
          <w:p w14:paraId="28CE07C9" w14:textId="4D5F4B5D" w:rsidR="00EA4ADD" w:rsidRPr="00677CC7" w:rsidRDefault="00EA4ADD" w:rsidP="00EA4ADD">
            <w:pPr>
              <w:spacing w:after="0" w:line="240" w:lineRule="auto"/>
              <w:jc w:val="center"/>
              <w:rPr>
                <w:rFonts w:ascii="Arial Narrow" w:hAnsi="Arial Narrow"/>
                <w:color w:val="000000"/>
                <w:sz w:val="20"/>
                <w:szCs w:val="20"/>
                <w:lang w:val="en-US" w:eastAsia="en-US"/>
              </w:rPr>
            </w:pPr>
            <w:r w:rsidRPr="00451A15">
              <w:rPr>
                <w:rFonts w:ascii="Arial Narrow" w:hAnsi="Arial Narrow"/>
                <w:color w:val="000000"/>
                <w:sz w:val="20"/>
                <w:szCs w:val="20"/>
              </w:rPr>
              <w:t>-</w:t>
            </w:r>
          </w:p>
        </w:tc>
        <w:tc>
          <w:tcPr>
            <w:tcW w:w="625" w:type="dxa"/>
            <w:tcBorders>
              <w:top w:val="nil"/>
              <w:left w:val="nil"/>
              <w:bottom w:val="nil"/>
              <w:right w:val="nil"/>
            </w:tcBorders>
            <w:shd w:val="clear" w:color="auto" w:fill="auto"/>
            <w:vAlign w:val="center"/>
            <w:hideMark/>
          </w:tcPr>
          <w:p w14:paraId="030D6DD5" w14:textId="3E7A9192"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sz w:val="20"/>
                <w:szCs w:val="20"/>
              </w:rPr>
              <w:t>-</w:t>
            </w:r>
          </w:p>
        </w:tc>
        <w:tc>
          <w:tcPr>
            <w:tcW w:w="625" w:type="dxa"/>
            <w:tcBorders>
              <w:top w:val="nil"/>
              <w:left w:val="nil"/>
              <w:bottom w:val="nil"/>
              <w:right w:val="nil"/>
            </w:tcBorders>
            <w:shd w:val="clear" w:color="auto" w:fill="auto"/>
            <w:noWrap/>
            <w:hideMark/>
          </w:tcPr>
          <w:p w14:paraId="353B469E" w14:textId="2564BE59" w:rsidR="00EA4ADD" w:rsidRPr="00677CC7" w:rsidRDefault="00EA4ADD" w:rsidP="00EA4ADD">
            <w:pPr>
              <w:spacing w:after="0" w:line="240" w:lineRule="auto"/>
              <w:jc w:val="center"/>
              <w:rPr>
                <w:color w:val="000000"/>
                <w:lang w:val="en-US" w:eastAsia="en-US"/>
              </w:rPr>
            </w:pPr>
            <w:r w:rsidRPr="00ED7038">
              <w:rPr>
                <w:rFonts w:ascii="Arial Narrow" w:hAnsi="Arial Narrow"/>
                <w:sz w:val="20"/>
                <w:szCs w:val="20"/>
              </w:rPr>
              <w:t>33</w:t>
            </w:r>
          </w:p>
        </w:tc>
        <w:tc>
          <w:tcPr>
            <w:tcW w:w="625" w:type="dxa"/>
            <w:tcBorders>
              <w:top w:val="nil"/>
              <w:left w:val="nil"/>
              <w:bottom w:val="nil"/>
              <w:right w:val="nil"/>
            </w:tcBorders>
            <w:shd w:val="clear" w:color="auto" w:fill="auto"/>
            <w:hideMark/>
          </w:tcPr>
          <w:p w14:paraId="3E10E4C2" w14:textId="53E2757E" w:rsidR="00EA4ADD" w:rsidRPr="00677CC7" w:rsidRDefault="00EA4ADD" w:rsidP="00EA4ADD">
            <w:pPr>
              <w:spacing w:after="0" w:line="240" w:lineRule="auto"/>
              <w:jc w:val="center"/>
              <w:rPr>
                <w:rFonts w:ascii="Arial Narrow" w:hAnsi="Arial Narrow"/>
                <w:color w:val="000000"/>
                <w:sz w:val="20"/>
                <w:szCs w:val="20"/>
                <w:lang w:val="en-US" w:eastAsia="en-US"/>
              </w:rPr>
            </w:pPr>
            <w:r w:rsidRPr="00ED7038">
              <w:rPr>
                <w:rFonts w:ascii="Arial Narrow" w:hAnsi="Arial Narrow"/>
                <w:sz w:val="20"/>
                <w:szCs w:val="20"/>
              </w:rPr>
              <w:t>34</w:t>
            </w:r>
          </w:p>
        </w:tc>
        <w:tc>
          <w:tcPr>
            <w:tcW w:w="625" w:type="dxa"/>
            <w:tcBorders>
              <w:top w:val="nil"/>
              <w:left w:val="nil"/>
              <w:bottom w:val="nil"/>
              <w:right w:val="nil"/>
            </w:tcBorders>
            <w:shd w:val="clear" w:color="auto" w:fill="auto"/>
            <w:hideMark/>
          </w:tcPr>
          <w:p w14:paraId="2924AA4A" w14:textId="066224C4" w:rsidR="00EA4ADD" w:rsidRPr="00677CC7" w:rsidRDefault="00EA4ADD" w:rsidP="00EA4ADD">
            <w:pPr>
              <w:spacing w:after="0" w:line="240" w:lineRule="auto"/>
              <w:jc w:val="center"/>
              <w:rPr>
                <w:rFonts w:ascii="Arial Narrow" w:hAnsi="Arial Narrow"/>
                <w:color w:val="000000"/>
                <w:sz w:val="20"/>
                <w:szCs w:val="20"/>
                <w:lang w:val="en-US" w:eastAsia="en-US"/>
              </w:rPr>
            </w:pPr>
            <w:r w:rsidRPr="00ED7038">
              <w:rPr>
                <w:rFonts w:ascii="Arial Narrow" w:hAnsi="Arial Narrow"/>
                <w:sz w:val="20"/>
                <w:szCs w:val="20"/>
              </w:rPr>
              <w:t>39</w:t>
            </w:r>
          </w:p>
        </w:tc>
        <w:tc>
          <w:tcPr>
            <w:tcW w:w="625" w:type="dxa"/>
            <w:tcBorders>
              <w:top w:val="nil"/>
              <w:left w:val="nil"/>
              <w:right w:val="nil"/>
            </w:tcBorders>
          </w:tcPr>
          <w:p w14:paraId="20AB33FC" w14:textId="3C6545D2" w:rsidR="00EA4ADD" w:rsidRPr="00677CC7" w:rsidRDefault="0028136A"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c>
          <w:tcPr>
            <w:tcW w:w="625" w:type="dxa"/>
            <w:tcBorders>
              <w:top w:val="nil"/>
              <w:left w:val="nil"/>
              <w:right w:val="nil"/>
            </w:tcBorders>
            <w:shd w:val="clear" w:color="auto" w:fill="auto"/>
            <w:vAlign w:val="center"/>
            <w:hideMark/>
          </w:tcPr>
          <w:p w14:paraId="7EA59B1E" w14:textId="7B1646E8" w:rsidR="00EA4ADD" w:rsidRPr="00677CC7" w:rsidRDefault="00EA4ADD" w:rsidP="00EA4ADD">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15</w:t>
            </w:r>
          </w:p>
        </w:tc>
      </w:tr>
      <w:tr w:rsidR="00EA4ADD" w:rsidRPr="00677CC7" w14:paraId="6E33C056" w14:textId="77777777" w:rsidTr="0028136A">
        <w:trPr>
          <w:gridAfter w:val="1"/>
          <w:wAfter w:w="10" w:type="dxa"/>
          <w:trHeight w:val="188"/>
          <w:jc w:val="center"/>
        </w:trPr>
        <w:tc>
          <w:tcPr>
            <w:tcW w:w="426" w:type="dxa"/>
            <w:tcBorders>
              <w:top w:val="nil"/>
              <w:left w:val="nil"/>
              <w:right w:val="nil"/>
            </w:tcBorders>
            <w:shd w:val="clear" w:color="auto" w:fill="auto"/>
            <w:textDirection w:val="btLr"/>
            <w:vAlign w:val="center"/>
            <w:hideMark/>
          </w:tcPr>
          <w:p w14:paraId="5F4329A4"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 </w:t>
            </w:r>
          </w:p>
        </w:tc>
        <w:tc>
          <w:tcPr>
            <w:tcW w:w="425" w:type="dxa"/>
            <w:gridSpan w:val="2"/>
            <w:vMerge/>
            <w:tcBorders>
              <w:top w:val="nil"/>
              <w:left w:val="nil"/>
              <w:right w:val="nil"/>
            </w:tcBorders>
            <w:vAlign w:val="center"/>
            <w:hideMark/>
          </w:tcPr>
          <w:p w14:paraId="2EA17137"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p>
        </w:tc>
        <w:tc>
          <w:tcPr>
            <w:tcW w:w="2221" w:type="dxa"/>
            <w:tcBorders>
              <w:top w:val="nil"/>
              <w:left w:val="nil"/>
              <w:right w:val="nil"/>
            </w:tcBorders>
            <w:shd w:val="clear" w:color="auto" w:fill="auto"/>
            <w:noWrap/>
            <w:vAlign w:val="center"/>
            <w:hideMark/>
          </w:tcPr>
          <w:p w14:paraId="02810F65" w14:textId="77777777" w:rsidR="00EA4ADD" w:rsidRPr="00677CC7" w:rsidRDefault="00EA4ADD" w:rsidP="00EA4ADD">
            <w:pPr>
              <w:spacing w:after="0" w:line="240" w:lineRule="auto"/>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roofErr w:type="spellStart"/>
            <w:r w:rsidRPr="00677CC7">
              <w:rPr>
                <w:rFonts w:ascii="Arial Narrow" w:hAnsi="Arial Narrow"/>
                <w:color w:val="000000"/>
                <w:sz w:val="20"/>
                <w:szCs w:val="20"/>
                <w:lang w:val="en-US" w:eastAsia="en-US"/>
              </w:rPr>
              <w:t>poradie</w:t>
            </w:r>
            <w:proofErr w:type="spellEnd"/>
            <w:r w:rsidRPr="00677CC7">
              <w:rPr>
                <w:rFonts w:ascii="Arial Narrow" w:hAnsi="Arial Narrow"/>
                <w:color w:val="000000"/>
                <w:sz w:val="20"/>
                <w:szCs w:val="20"/>
                <w:lang w:val="en-US" w:eastAsia="en-US"/>
              </w:rPr>
              <w:t xml:space="preserve"> v </w:t>
            </w:r>
            <w:proofErr w:type="spellStart"/>
            <w:r w:rsidRPr="00677CC7">
              <w:rPr>
                <w:rFonts w:ascii="Arial Narrow" w:hAnsi="Arial Narrow"/>
                <w:color w:val="000000"/>
                <w:sz w:val="20"/>
                <w:szCs w:val="20"/>
                <w:lang w:val="en-US" w:eastAsia="en-US"/>
              </w:rPr>
              <w:t>rebríčku</w:t>
            </w:r>
            <w:proofErr w:type="spellEnd"/>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Svetovej</w:t>
            </w:r>
            <w:proofErr w:type="spellEnd"/>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banky</w:t>
            </w:r>
            <w:proofErr w:type="spellEnd"/>
            <w:r w:rsidRPr="00677CC7">
              <w:rPr>
                <w:rFonts w:ascii="Arial Narrow" w:hAnsi="Arial Narrow"/>
                <w:color w:val="000000"/>
                <w:sz w:val="20"/>
                <w:szCs w:val="20"/>
                <w:lang w:val="en-US" w:eastAsia="en-US"/>
              </w:rPr>
              <w:t>)</w:t>
            </w:r>
          </w:p>
        </w:tc>
        <w:tc>
          <w:tcPr>
            <w:tcW w:w="756" w:type="dxa"/>
            <w:tcBorders>
              <w:top w:val="nil"/>
              <w:left w:val="nil"/>
              <w:right w:val="nil"/>
            </w:tcBorders>
            <w:shd w:val="clear" w:color="auto" w:fill="auto"/>
            <w:vAlign w:val="center"/>
            <w:hideMark/>
          </w:tcPr>
          <w:p w14:paraId="2C3842F3"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right w:val="nil"/>
            </w:tcBorders>
            <w:shd w:val="clear" w:color="auto" w:fill="auto"/>
            <w:vAlign w:val="center"/>
            <w:hideMark/>
          </w:tcPr>
          <w:p w14:paraId="056D3309" w14:textId="37C8A80B" w:rsidR="00EA4ADD" w:rsidRPr="00677CC7" w:rsidRDefault="00EA4ADD" w:rsidP="00EA4ADD">
            <w:pPr>
              <w:spacing w:after="0" w:line="240" w:lineRule="auto"/>
              <w:jc w:val="center"/>
              <w:rPr>
                <w:rFonts w:ascii="Arial Narrow" w:hAnsi="Arial Narrow"/>
                <w:color w:val="000000"/>
                <w:sz w:val="20"/>
                <w:szCs w:val="20"/>
                <w:lang w:val="en-US" w:eastAsia="en-US"/>
              </w:rPr>
            </w:pPr>
            <w:r w:rsidRPr="00451A15">
              <w:rPr>
                <w:rFonts w:ascii="Arial Narrow" w:hAnsi="Arial Narrow"/>
                <w:color w:val="000000"/>
                <w:sz w:val="20"/>
                <w:szCs w:val="20"/>
              </w:rPr>
              <w:t>-</w:t>
            </w:r>
          </w:p>
        </w:tc>
        <w:tc>
          <w:tcPr>
            <w:tcW w:w="625" w:type="dxa"/>
            <w:tcBorders>
              <w:top w:val="nil"/>
              <w:left w:val="nil"/>
              <w:right w:val="nil"/>
            </w:tcBorders>
            <w:shd w:val="clear" w:color="auto" w:fill="auto"/>
            <w:vAlign w:val="center"/>
            <w:hideMark/>
          </w:tcPr>
          <w:p w14:paraId="494B80B7" w14:textId="5E3835EA" w:rsidR="00EA4ADD" w:rsidRPr="00677CC7" w:rsidRDefault="00EA4ADD" w:rsidP="00EA4ADD">
            <w:pPr>
              <w:spacing w:after="0" w:line="240" w:lineRule="auto"/>
              <w:jc w:val="center"/>
              <w:rPr>
                <w:rFonts w:ascii="Arial Narrow" w:hAnsi="Arial Narrow"/>
                <w:color w:val="000000"/>
                <w:sz w:val="20"/>
                <w:szCs w:val="20"/>
                <w:lang w:val="en-US" w:eastAsia="en-US"/>
              </w:rPr>
            </w:pPr>
            <w:r w:rsidRPr="00451A15">
              <w:rPr>
                <w:rFonts w:ascii="Arial Narrow" w:hAnsi="Arial Narrow"/>
                <w:color w:val="000000"/>
                <w:sz w:val="20"/>
                <w:szCs w:val="20"/>
              </w:rPr>
              <w:t>-</w:t>
            </w:r>
          </w:p>
        </w:tc>
        <w:tc>
          <w:tcPr>
            <w:tcW w:w="625" w:type="dxa"/>
            <w:tcBorders>
              <w:top w:val="nil"/>
              <w:left w:val="nil"/>
              <w:right w:val="nil"/>
            </w:tcBorders>
            <w:shd w:val="clear" w:color="auto" w:fill="auto"/>
            <w:vAlign w:val="center"/>
            <w:hideMark/>
          </w:tcPr>
          <w:p w14:paraId="7095B8E8" w14:textId="1DD5E706" w:rsidR="00EA4ADD" w:rsidRPr="00677CC7" w:rsidRDefault="00EA4ADD" w:rsidP="00EA4ADD">
            <w:pPr>
              <w:spacing w:after="0" w:line="240" w:lineRule="auto"/>
              <w:jc w:val="center"/>
              <w:rPr>
                <w:rFonts w:ascii="Arial Narrow" w:hAnsi="Arial Narrow"/>
                <w:color w:val="000000"/>
                <w:sz w:val="20"/>
                <w:szCs w:val="20"/>
                <w:lang w:val="en-US" w:eastAsia="en-US"/>
              </w:rPr>
            </w:pPr>
            <w:r w:rsidRPr="00451A15">
              <w:rPr>
                <w:rFonts w:ascii="Arial Narrow" w:hAnsi="Arial Narrow"/>
                <w:color w:val="000000"/>
                <w:sz w:val="20"/>
                <w:szCs w:val="20"/>
              </w:rPr>
              <w:t>-</w:t>
            </w:r>
          </w:p>
        </w:tc>
        <w:tc>
          <w:tcPr>
            <w:tcW w:w="625" w:type="dxa"/>
            <w:tcBorders>
              <w:top w:val="nil"/>
              <w:left w:val="nil"/>
              <w:right w:val="nil"/>
            </w:tcBorders>
            <w:shd w:val="clear" w:color="auto" w:fill="auto"/>
            <w:vAlign w:val="center"/>
            <w:hideMark/>
          </w:tcPr>
          <w:p w14:paraId="3AE3809C" w14:textId="250AB58D" w:rsidR="00EA4ADD" w:rsidRPr="00677CC7" w:rsidRDefault="00EA4ADD" w:rsidP="00EA4ADD">
            <w:pPr>
              <w:spacing w:after="0" w:line="240" w:lineRule="auto"/>
              <w:jc w:val="center"/>
              <w:rPr>
                <w:rFonts w:ascii="Arial Narrow" w:hAnsi="Arial Narrow"/>
                <w:color w:val="000000"/>
                <w:sz w:val="20"/>
                <w:szCs w:val="20"/>
                <w:lang w:val="en-US" w:eastAsia="en-US"/>
              </w:rPr>
            </w:pPr>
            <w:r w:rsidRPr="00451A15">
              <w:rPr>
                <w:rFonts w:ascii="Arial Narrow" w:hAnsi="Arial Narrow"/>
                <w:color w:val="000000"/>
                <w:sz w:val="20"/>
                <w:szCs w:val="20"/>
              </w:rPr>
              <w:t>-</w:t>
            </w:r>
          </w:p>
        </w:tc>
        <w:tc>
          <w:tcPr>
            <w:tcW w:w="625" w:type="dxa"/>
            <w:tcBorders>
              <w:top w:val="nil"/>
              <w:left w:val="nil"/>
              <w:right w:val="nil"/>
            </w:tcBorders>
            <w:shd w:val="clear" w:color="auto" w:fill="auto"/>
            <w:vAlign w:val="center"/>
            <w:hideMark/>
          </w:tcPr>
          <w:p w14:paraId="44C9C2E7" w14:textId="05F82E6D" w:rsidR="00EA4ADD" w:rsidRPr="00677CC7" w:rsidRDefault="00EA4ADD" w:rsidP="00EA4ADD">
            <w:pPr>
              <w:spacing w:after="0" w:line="240" w:lineRule="auto"/>
              <w:jc w:val="center"/>
              <w:rPr>
                <w:rFonts w:ascii="Arial Narrow" w:hAnsi="Arial Narrow"/>
                <w:color w:val="000000"/>
                <w:sz w:val="20"/>
                <w:szCs w:val="20"/>
                <w:lang w:val="en-US" w:eastAsia="en-US"/>
              </w:rPr>
            </w:pPr>
            <w:r w:rsidRPr="00451A15">
              <w:rPr>
                <w:rFonts w:ascii="Arial Narrow" w:hAnsi="Arial Narrow"/>
                <w:color w:val="000000"/>
                <w:sz w:val="20"/>
                <w:szCs w:val="20"/>
              </w:rPr>
              <w:t>-</w:t>
            </w:r>
          </w:p>
        </w:tc>
        <w:tc>
          <w:tcPr>
            <w:tcW w:w="625" w:type="dxa"/>
            <w:tcBorders>
              <w:top w:val="nil"/>
              <w:left w:val="nil"/>
              <w:right w:val="nil"/>
            </w:tcBorders>
            <w:shd w:val="clear" w:color="auto" w:fill="auto"/>
            <w:vAlign w:val="center"/>
            <w:hideMark/>
          </w:tcPr>
          <w:p w14:paraId="0B46F6C8" w14:textId="58CDB31E"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sz w:val="20"/>
                <w:szCs w:val="20"/>
              </w:rPr>
              <w:t>-</w:t>
            </w:r>
          </w:p>
        </w:tc>
        <w:tc>
          <w:tcPr>
            <w:tcW w:w="625" w:type="dxa"/>
            <w:tcBorders>
              <w:top w:val="nil"/>
              <w:left w:val="nil"/>
              <w:right w:val="nil"/>
            </w:tcBorders>
            <w:shd w:val="clear" w:color="auto" w:fill="auto"/>
            <w:noWrap/>
            <w:vAlign w:val="center"/>
            <w:hideMark/>
          </w:tcPr>
          <w:p w14:paraId="3C76087C" w14:textId="0E5B74C1" w:rsidR="00EA4ADD" w:rsidRPr="00677CC7" w:rsidRDefault="00EA4ADD" w:rsidP="00EA4ADD">
            <w:pPr>
              <w:spacing w:after="0" w:line="240" w:lineRule="auto"/>
              <w:jc w:val="center"/>
              <w:rPr>
                <w:color w:val="000000"/>
                <w:lang w:val="en-US" w:eastAsia="en-US"/>
              </w:rPr>
            </w:pPr>
            <w:r w:rsidRPr="00ED7038">
              <w:rPr>
                <w:rFonts w:ascii="Arial Narrow" w:hAnsi="Arial Narrow"/>
                <w:sz w:val="20"/>
                <w:szCs w:val="20"/>
              </w:rPr>
              <w:t>30</w:t>
            </w:r>
          </w:p>
        </w:tc>
        <w:tc>
          <w:tcPr>
            <w:tcW w:w="625" w:type="dxa"/>
            <w:tcBorders>
              <w:top w:val="nil"/>
              <w:left w:val="nil"/>
              <w:right w:val="nil"/>
            </w:tcBorders>
            <w:shd w:val="clear" w:color="auto" w:fill="auto"/>
            <w:vAlign w:val="center"/>
            <w:hideMark/>
          </w:tcPr>
          <w:p w14:paraId="17304EDF" w14:textId="7D14CC1C" w:rsidR="00EA4ADD" w:rsidRPr="00677CC7" w:rsidRDefault="00EA4ADD" w:rsidP="00EA4ADD">
            <w:pPr>
              <w:spacing w:after="0" w:line="240" w:lineRule="auto"/>
              <w:jc w:val="center"/>
              <w:rPr>
                <w:rFonts w:ascii="Arial Narrow" w:hAnsi="Arial Narrow"/>
                <w:color w:val="000000"/>
                <w:sz w:val="20"/>
                <w:szCs w:val="20"/>
                <w:lang w:val="en-US" w:eastAsia="en-US"/>
              </w:rPr>
            </w:pPr>
            <w:r w:rsidRPr="00ED7038">
              <w:rPr>
                <w:rFonts w:ascii="Arial Narrow" w:hAnsi="Arial Narrow"/>
                <w:sz w:val="20"/>
                <w:szCs w:val="20"/>
              </w:rPr>
              <w:t>32</w:t>
            </w:r>
          </w:p>
        </w:tc>
        <w:tc>
          <w:tcPr>
            <w:tcW w:w="625" w:type="dxa"/>
            <w:tcBorders>
              <w:top w:val="nil"/>
              <w:left w:val="nil"/>
              <w:right w:val="nil"/>
            </w:tcBorders>
            <w:shd w:val="clear" w:color="auto" w:fill="auto"/>
            <w:vAlign w:val="center"/>
            <w:hideMark/>
          </w:tcPr>
          <w:p w14:paraId="334E81FA" w14:textId="427FC192" w:rsidR="00EA4ADD" w:rsidRPr="00677CC7" w:rsidRDefault="00EA4ADD" w:rsidP="00EA4ADD">
            <w:pPr>
              <w:spacing w:after="0" w:line="240" w:lineRule="auto"/>
              <w:jc w:val="center"/>
              <w:rPr>
                <w:rFonts w:ascii="Arial Narrow" w:hAnsi="Arial Narrow"/>
                <w:color w:val="000000"/>
                <w:sz w:val="20"/>
                <w:szCs w:val="20"/>
                <w:lang w:val="en-US" w:eastAsia="en-US"/>
              </w:rPr>
            </w:pPr>
            <w:r w:rsidRPr="00ED7038">
              <w:rPr>
                <w:rFonts w:ascii="Arial Narrow" w:hAnsi="Arial Narrow"/>
                <w:sz w:val="20"/>
                <w:szCs w:val="20"/>
              </w:rPr>
              <w:t>34</w:t>
            </w:r>
          </w:p>
        </w:tc>
        <w:tc>
          <w:tcPr>
            <w:tcW w:w="625" w:type="dxa"/>
            <w:tcBorders>
              <w:top w:val="nil"/>
              <w:left w:val="nil"/>
              <w:right w:val="nil"/>
            </w:tcBorders>
            <w:vAlign w:val="center"/>
          </w:tcPr>
          <w:p w14:paraId="148BE1EC" w14:textId="14345857" w:rsidR="00EA4ADD" w:rsidRPr="00677CC7" w:rsidRDefault="0028136A"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c>
          <w:tcPr>
            <w:tcW w:w="625" w:type="dxa"/>
            <w:tcBorders>
              <w:top w:val="nil"/>
              <w:left w:val="nil"/>
              <w:right w:val="nil"/>
            </w:tcBorders>
            <w:shd w:val="clear" w:color="auto" w:fill="auto"/>
            <w:vAlign w:val="center"/>
            <w:hideMark/>
          </w:tcPr>
          <w:p w14:paraId="65DD19CD" w14:textId="62F60E35" w:rsidR="00EA4ADD" w:rsidRPr="00677CC7" w:rsidRDefault="00EA4ADD" w:rsidP="00EA4ADD">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r w:rsidR="00EA4ADD" w:rsidRPr="00677CC7" w14:paraId="30C3B65F" w14:textId="77777777" w:rsidTr="0028136A">
        <w:trPr>
          <w:gridAfter w:val="1"/>
          <w:wAfter w:w="10" w:type="dxa"/>
          <w:trHeight w:val="188"/>
          <w:jc w:val="center"/>
        </w:trPr>
        <w:tc>
          <w:tcPr>
            <w:tcW w:w="426" w:type="dxa"/>
            <w:tcBorders>
              <w:left w:val="nil"/>
              <w:bottom w:val="single" w:sz="4" w:space="0" w:color="auto"/>
              <w:right w:val="nil"/>
            </w:tcBorders>
            <w:shd w:val="clear" w:color="auto" w:fill="auto"/>
            <w:textDirection w:val="btLr"/>
            <w:vAlign w:val="center"/>
          </w:tcPr>
          <w:p w14:paraId="6919E5B6"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p>
        </w:tc>
        <w:tc>
          <w:tcPr>
            <w:tcW w:w="425" w:type="dxa"/>
            <w:gridSpan w:val="2"/>
            <w:tcBorders>
              <w:left w:val="nil"/>
              <w:bottom w:val="single" w:sz="4" w:space="0" w:color="000000"/>
              <w:right w:val="nil"/>
            </w:tcBorders>
            <w:vAlign w:val="center"/>
          </w:tcPr>
          <w:p w14:paraId="218E5441"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p>
        </w:tc>
        <w:tc>
          <w:tcPr>
            <w:tcW w:w="2221" w:type="dxa"/>
            <w:tcBorders>
              <w:left w:val="nil"/>
              <w:bottom w:val="single" w:sz="4" w:space="0" w:color="auto"/>
              <w:right w:val="nil"/>
            </w:tcBorders>
            <w:shd w:val="clear" w:color="auto" w:fill="auto"/>
            <w:noWrap/>
            <w:vAlign w:val="center"/>
          </w:tcPr>
          <w:p w14:paraId="6C4312FC" w14:textId="77777777" w:rsidR="00EA4ADD" w:rsidRPr="00677CC7" w:rsidRDefault="00EA4ADD" w:rsidP="00EA4ADD">
            <w:pPr>
              <w:spacing w:after="0" w:line="240" w:lineRule="auto"/>
              <w:rPr>
                <w:rFonts w:ascii="Arial Narrow" w:hAnsi="Arial Narrow"/>
                <w:color w:val="000000"/>
                <w:sz w:val="20"/>
                <w:szCs w:val="20"/>
                <w:lang w:val="en-US" w:eastAsia="en-US"/>
              </w:rPr>
            </w:pPr>
          </w:p>
        </w:tc>
        <w:tc>
          <w:tcPr>
            <w:tcW w:w="756" w:type="dxa"/>
            <w:tcBorders>
              <w:left w:val="nil"/>
              <w:bottom w:val="single" w:sz="4" w:space="0" w:color="auto"/>
              <w:right w:val="nil"/>
            </w:tcBorders>
            <w:shd w:val="clear" w:color="auto" w:fill="auto"/>
            <w:vAlign w:val="center"/>
          </w:tcPr>
          <w:p w14:paraId="643C316D" w14:textId="06AFD412" w:rsidR="00EA4ADD" w:rsidRPr="00677CC7" w:rsidRDefault="00EA4ADD" w:rsidP="00EA4ADD">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V3</w:t>
            </w:r>
          </w:p>
        </w:tc>
        <w:tc>
          <w:tcPr>
            <w:tcW w:w="743" w:type="dxa"/>
            <w:tcBorders>
              <w:top w:val="nil"/>
              <w:left w:val="nil"/>
              <w:bottom w:val="single" w:sz="4" w:space="0" w:color="auto"/>
              <w:right w:val="nil"/>
            </w:tcBorders>
            <w:shd w:val="clear" w:color="auto" w:fill="auto"/>
            <w:vAlign w:val="center"/>
          </w:tcPr>
          <w:p w14:paraId="74410161" w14:textId="77777777" w:rsidR="00EA4ADD" w:rsidRPr="00677CC7" w:rsidRDefault="00EA4ADD" w:rsidP="00EA4ADD">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tcPr>
          <w:p w14:paraId="7CDEDDD2" w14:textId="77777777" w:rsidR="00EA4ADD" w:rsidRPr="00677CC7" w:rsidRDefault="00EA4ADD" w:rsidP="00EA4ADD">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tcPr>
          <w:p w14:paraId="0CF0BD99" w14:textId="77777777" w:rsidR="00EA4ADD" w:rsidRPr="00677CC7" w:rsidRDefault="00EA4ADD" w:rsidP="00EA4ADD">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tcPr>
          <w:p w14:paraId="0AA65740" w14:textId="77777777" w:rsidR="00EA4ADD" w:rsidRPr="00677CC7" w:rsidRDefault="00EA4ADD" w:rsidP="00EA4ADD">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tcPr>
          <w:p w14:paraId="2A6DDC5D" w14:textId="77777777" w:rsidR="00EA4ADD" w:rsidRPr="00677CC7" w:rsidRDefault="00EA4ADD" w:rsidP="00EA4ADD">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tcPr>
          <w:p w14:paraId="53AB9268" w14:textId="665D5C70" w:rsidR="00EA4ADD" w:rsidRPr="00677CC7" w:rsidRDefault="00EA4ADD" w:rsidP="00EA4ADD">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noWrap/>
            <w:vAlign w:val="center"/>
          </w:tcPr>
          <w:p w14:paraId="781C8994" w14:textId="23311B90" w:rsidR="00EA4ADD" w:rsidRPr="00677CC7" w:rsidRDefault="00EA4ADD" w:rsidP="00EA4ADD">
            <w:pPr>
              <w:spacing w:after="0" w:line="240" w:lineRule="auto"/>
              <w:jc w:val="center"/>
              <w:rPr>
                <w:color w:val="000000"/>
                <w:lang w:val="en-US" w:eastAsia="en-US"/>
              </w:rPr>
            </w:pPr>
            <w:r w:rsidRPr="00ED7038">
              <w:rPr>
                <w:rFonts w:ascii="Arial Narrow" w:hAnsi="Arial Narrow"/>
                <w:sz w:val="20"/>
                <w:szCs w:val="20"/>
              </w:rPr>
              <w:t>31</w:t>
            </w:r>
          </w:p>
        </w:tc>
        <w:tc>
          <w:tcPr>
            <w:tcW w:w="625" w:type="dxa"/>
            <w:tcBorders>
              <w:top w:val="nil"/>
              <w:left w:val="nil"/>
              <w:bottom w:val="single" w:sz="4" w:space="0" w:color="auto"/>
              <w:right w:val="nil"/>
            </w:tcBorders>
            <w:shd w:val="clear" w:color="auto" w:fill="auto"/>
            <w:vAlign w:val="center"/>
          </w:tcPr>
          <w:p w14:paraId="79D6DEE2" w14:textId="15E526B4" w:rsidR="00EA4ADD" w:rsidRPr="00677CC7" w:rsidRDefault="00EA4ADD" w:rsidP="00EA4ADD">
            <w:pPr>
              <w:spacing w:after="0" w:line="240" w:lineRule="auto"/>
              <w:jc w:val="center"/>
              <w:rPr>
                <w:rFonts w:ascii="Arial Narrow" w:hAnsi="Arial Narrow"/>
                <w:color w:val="000000"/>
                <w:sz w:val="20"/>
                <w:szCs w:val="20"/>
                <w:lang w:val="en-US" w:eastAsia="en-US"/>
              </w:rPr>
            </w:pPr>
            <w:r w:rsidRPr="00ED7038">
              <w:rPr>
                <w:rFonts w:ascii="Arial Narrow" w:hAnsi="Arial Narrow"/>
                <w:sz w:val="20"/>
                <w:szCs w:val="20"/>
              </w:rPr>
              <w:t>31</w:t>
            </w:r>
          </w:p>
        </w:tc>
        <w:tc>
          <w:tcPr>
            <w:tcW w:w="625" w:type="dxa"/>
            <w:tcBorders>
              <w:top w:val="nil"/>
              <w:left w:val="nil"/>
              <w:bottom w:val="single" w:sz="4" w:space="0" w:color="auto"/>
              <w:right w:val="nil"/>
            </w:tcBorders>
            <w:shd w:val="clear" w:color="auto" w:fill="auto"/>
            <w:vAlign w:val="center"/>
          </w:tcPr>
          <w:p w14:paraId="43318880" w14:textId="130A7D58" w:rsidR="00EA4ADD" w:rsidRPr="00677CC7" w:rsidRDefault="00EA4ADD" w:rsidP="00EA4ADD">
            <w:pPr>
              <w:spacing w:after="0" w:line="240" w:lineRule="auto"/>
              <w:jc w:val="center"/>
              <w:rPr>
                <w:rFonts w:ascii="Arial Narrow" w:hAnsi="Arial Narrow"/>
                <w:color w:val="000000"/>
                <w:sz w:val="20"/>
                <w:szCs w:val="20"/>
                <w:lang w:val="en-US" w:eastAsia="en-US"/>
              </w:rPr>
            </w:pPr>
            <w:r w:rsidRPr="00ED7038">
              <w:rPr>
                <w:rFonts w:ascii="Arial Narrow" w:hAnsi="Arial Narrow"/>
                <w:sz w:val="20"/>
                <w:szCs w:val="20"/>
              </w:rPr>
              <w:t>35</w:t>
            </w:r>
          </w:p>
        </w:tc>
        <w:tc>
          <w:tcPr>
            <w:tcW w:w="625" w:type="dxa"/>
            <w:tcBorders>
              <w:left w:val="nil"/>
              <w:bottom w:val="single" w:sz="4" w:space="0" w:color="auto"/>
              <w:right w:val="nil"/>
            </w:tcBorders>
            <w:vAlign w:val="center"/>
          </w:tcPr>
          <w:p w14:paraId="5E4E6ED7" w14:textId="372DCD49" w:rsidR="00EA4ADD" w:rsidRPr="00677CC7" w:rsidRDefault="0028136A"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c>
          <w:tcPr>
            <w:tcW w:w="625" w:type="dxa"/>
            <w:tcBorders>
              <w:left w:val="nil"/>
              <w:bottom w:val="single" w:sz="4" w:space="0" w:color="auto"/>
              <w:right w:val="nil"/>
            </w:tcBorders>
            <w:shd w:val="clear" w:color="auto" w:fill="auto"/>
            <w:vAlign w:val="center"/>
          </w:tcPr>
          <w:p w14:paraId="01FF0DDE" w14:textId="77777777" w:rsidR="00EA4ADD" w:rsidRPr="00677CC7" w:rsidRDefault="00EA4ADD" w:rsidP="00EA4ADD">
            <w:pPr>
              <w:spacing w:after="0" w:line="240" w:lineRule="auto"/>
              <w:jc w:val="center"/>
              <w:rPr>
                <w:rFonts w:ascii="Arial Narrow" w:hAnsi="Arial Narrow"/>
                <w:color w:val="000000"/>
                <w:sz w:val="20"/>
                <w:szCs w:val="20"/>
                <w:lang w:val="en-US" w:eastAsia="en-US"/>
              </w:rPr>
            </w:pPr>
          </w:p>
        </w:tc>
      </w:tr>
      <w:tr w:rsidR="00EA4ADD" w:rsidRPr="00677CC7" w14:paraId="6511967F" w14:textId="77777777" w:rsidTr="00EA4ADD">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52668E8A" w14:textId="77777777" w:rsidR="00EA4ADD" w:rsidRPr="00677CC7" w:rsidRDefault="00EA4ADD" w:rsidP="00EA4ADD">
            <w:pPr>
              <w:spacing w:after="0" w:line="240" w:lineRule="auto"/>
              <w:jc w:val="center"/>
              <w:rPr>
                <w:rFonts w:ascii="Arial Narrow" w:hAnsi="Arial Narrow"/>
                <w:color w:val="000000"/>
                <w:sz w:val="20"/>
                <w:szCs w:val="20"/>
                <w:lang w:val="en-US" w:eastAsia="en-US"/>
              </w:rPr>
            </w:pPr>
          </w:p>
        </w:tc>
        <w:tc>
          <w:tcPr>
            <w:tcW w:w="425" w:type="dxa"/>
            <w:gridSpan w:val="2"/>
            <w:vMerge w:val="restart"/>
            <w:tcBorders>
              <w:top w:val="nil"/>
              <w:left w:val="nil"/>
              <w:bottom w:val="single" w:sz="4" w:space="0" w:color="000000"/>
              <w:right w:val="nil"/>
            </w:tcBorders>
            <w:shd w:val="clear" w:color="auto" w:fill="auto"/>
            <w:noWrap/>
            <w:vAlign w:val="center"/>
            <w:hideMark/>
          </w:tcPr>
          <w:p w14:paraId="4377222B"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15</w:t>
            </w:r>
          </w:p>
        </w:tc>
        <w:tc>
          <w:tcPr>
            <w:tcW w:w="2221" w:type="dxa"/>
            <w:tcBorders>
              <w:top w:val="nil"/>
              <w:left w:val="nil"/>
              <w:bottom w:val="nil"/>
              <w:right w:val="nil"/>
            </w:tcBorders>
            <w:shd w:val="clear" w:color="auto" w:fill="auto"/>
            <w:noWrap/>
            <w:vAlign w:val="center"/>
            <w:hideMark/>
          </w:tcPr>
          <w:p w14:paraId="4C66A3E3" w14:textId="77777777" w:rsidR="00EA4ADD" w:rsidRPr="00677CC7" w:rsidRDefault="00EA4ADD" w:rsidP="00EA4ADD">
            <w:pPr>
              <w:spacing w:after="0" w:line="240" w:lineRule="auto"/>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 xml:space="preserve">Index </w:t>
            </w:r>
            <w:proofErr w:type="spellStart"/>
            <w:r w:rsidRPr="00677CC7">
              <w:rPr>
                <w:rFonts w:ascii="Arial Narrow" w:hAnsi="Arial Narrow"/>
                <w:b/>
                <w:bCs/>
                <w:color w:val="000000"/>
                <w:sz w:val="20"/>
                <w:szCs w:val="20"/>
                <w:lang w:val="en-US" w:eastAsia="en-US"/>
              </w:rPr>
              <w:t>regulácie</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trhu</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produktov</w:t>
            </w:r>
            <w:proofErr w:type="spellEnd"/>
          </w:p>
        </w:tc>
        <w:tc>
          <w:tcPr>
            <w:tcW w:w="756" w:type="dxa"/>
            <w:tcBorders>
              <w:top w:val="nil"/>
              <w:left w:val="nil"/>
              <w:bottom w:val="nil"/>
              <w:right w:val="nil"/>
            </w:tcBorders>
            <w:shd w:val="clear" w:color="auto" w:fill="auto"/>
            <w:vAlign w:val="center"/>
            <w:hideMark/>
          </w:tcPr>
          <w:p w14:paraId="18AA1442"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right w:val="nil"/>
            </w:tcBorders>
            <w:shd w:val="clear" w:color="auto" w:fill="auto"/>
            <w:vAlign w:val="center"/>
            <w:hideMark/>
          </w:tcPr>
          <w:p w14:paraId="4FD7E4D1" w14:textId="0B9FF1A3" w:rsidR="00EA4ADD" w:rsidRPr="00677CC7" w:rsidRDefault="00EA4ADD" w:rsidP="00EA4ADD">
            <w:pPr>
              <w:spacing w:after="0" w:line="240" w:lineRule="auto"/>
              <w:jc w:val="center"/>
              <w:rPr>
                <w:rFonts w:ascii="Arial Narrow" w:hAnsi="Arial Narrow"/>
                <w:color w:val="000000"/>
                <w:sz w:val="20"/>
                <w:szCs w:val="20"/>
                <w:lang w:val="en-US" w:eastAsia="en-US"/>
              </w:rPr>
            </w:pPr>
            <w:r w:rsidRPr="00451A15">
              <w:rPr>
                <w:rFonts w:ascii="Arial Narrow" w:hAnsi="Arial Narrow"/>
                <w:color w:val="000000"/>
                <w:sz w:val="20"/>
                <w:szCs w:val="20"/>
              </w:rPr>
              <w:t>1,62</w:t>
            </w:r>
          </w:p>
        </w:tc>
        <w:tc>
          <w:tcPr>
            <w:tcW w:w="625" w:type="dxa"/>
            <w:tcBorders>
              <w:top w:val="nil"/>
              <w:left w:val="nil"/>
              <w:right w:val="nil"/>
            </w:tcBorders>
            <w:shd w:val="clear" w:color="auto" w:fill="auto"/>
            <w:vAlign w:val="center"/>
            <w:hideMark/>
          </w:tcPr>
          <w:p w14:paraId="287212A6" w14:textId="0177735C" w:rsidR="00EA4ADD" w:rsidRPr="00677CC7" w:rsidRDefault="00EA4ADD" w:rsidP="00EA4ADD">
            <w:pPr>
              <w:spacing w:after="0" w:line="240" w:lineRule="auto"/>
              <w:jc w:val="center"/>
              <w:rPr>
                <w:rFonts w:ascii="Arial Narrow" w:hAnsi="Arial Narrow"/>
                <w:color w:val="000000"/>
                <w:sz w:val="20"/>
                <w:szCs w:val="20"/>
                <w:lang w:val="en-US" w:eastAsia="en-US"/>
              </w:rPr>
            </w:pPr>
            <w:r w:rsidRPr="00451A15">
              <w:rPr>
                <w:rFonts w:ascii="Arial Narrow" w:hAnsi="Arial Narrow"/>
                <w:color w:val="000000"/>
                <w:sz w:val="20"/>
                <w:szCs w:val="20"/>
              </w:rPr>
              <w:t xml:space="preserve"> - </w:t>
            </w:r>
          </w:p>
        </w:tc>
        <w:tc>
          <w:tcPr>
            <w:tcW w:w="625" w:type="dxa"/>
            <w:tcBorders>
              <w:top w:val="nil"/>
              <w:left w:val="nil"/>
              <w:right w:val="nil"/>
            </w:tcBorders>
            <w:shd w:val="clear" w:color="auto" w:fill="auto"/>
            <w:vAlign w:val="center"/>
            <w:hideMark/>
          </w:tcPr>
          <w:p w14:paraId="3B423349" w14:textId="0822A67F" w:rsidR="00EA4ADD" w:rsidRPr="00677CC7" w:rsidRDefault="00EA4ADD" w:rsidP="00EA4ADD">
            <w:pPr>
              <w:spacing w:after="0" w:line="240" w:lineRule="auto"/>
              <w:jc w:val="center"/>
              <w:rPr>
                <w:rFonts w:ascii="Arial Narrow" w:hAnsi="Arial Narrow"/>
                <w:color w:val="000000"/>
                <w:sz w:val="20"/>
                <w:szCs w:val="20"/>
                <w:lang w:val="en-US" w:eastAsia="en-US"/>
              </w:rPr>
            </w:pPr>
            <w:r w:rsidRPr="00451A15">
              <w:rPr>
                <w:rFonts w:ascii="Arial Narrow" w:hAnsi="Arial Narrow"/>
                <w:color w:val="000000"/>
                <w:sz w:val="20"/>
                <w:szCs w:val="20"/>
              </w:rPr>
              <w:t xml:space="preserve"> - </w:t>
            </w:r>
          </w:p>
        </w:tc>
        <w:tc>
          <w:tcPr>
            <w:tcW w:w="625" w:type="dxa"/>
            <w:tcBorders>
              <w:top w:val="nil"/>
              <w:left w:val="nil"/>
              <w:right w:val="nil"/>
            </w:tcBorders>
            <w:shd w:val="clear" w:color="auto" w:fill="auto"/>
            <w:vAlign w:val="center"/>
          </w:tcPr>
          <w:p w14:paraId="75B64E35" w14:textId="4316B6C7"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c>
          <w:tcPr>
            <w:tcW w:w="625" w:type="dxa"/>
            <w:tcBorders>
              <w:top w:val="nil"/>
              <w:left w:val="nil"/>
              <w:right w:val="nil"/>
            </w:tcBorders>
            <w:shd w:val="clear" w:color="auto" w:fill="auto"/>
            <w:vAlign w:val="center"/>
            <w:hideMark/>
          </w:tcPr>
          <w:p w14:paraId="6DE34D86" w14:textId="6422AA6A" w:rsidR="00EA4ADD" w:rsidRPr="00677CC7" w:rsidRDefault="00EA4ADD" w:rsidP="00EA4ADD">
            <w:pPr>
              <w:spacing w:after="0" w:line="240" w:lineRule="auto"/>
              <w:jc w:val="center"/>
              <w:rPr>
                <w:rFonts w:ascii="Arial Narrow" w:hAnsi="Arial Narrow"/>
                <w:color w:val="000000"/>
                <w:sz w:val="20"/>
                <w:szCs w:val="20"/>
                <w:lang w:val="en-US" w:eastAsia="en-US"/>
              </w:rPr>
            </w:pPr>
            <w:r w:rsidRPr="00451A15">
              <w:rPr>
                <w:rFonts w:ascii="Arial Narrow" w:hAnsi="Arial Narrow"/>
                <w:color w:val="000000"/>
                <w:sz w:val="20"/>
                <w:szCs w:val="20"/>
              </w:rPr>
              <w:t xml:space="preserve"> - </w:t>
            </w:r>
          </w:p>
        </w:tc>
        <w:tc>
          <w:tcPr>
            <w:tcW w:w="625" w:type="dxa"/>
            <w:tcBorders>
              <w:top w:val="nil"/>
              <w:left w:val="nil"/>
              <w:right w:val="nil"/>
            </w:tcBorders>
            <w:shd w:val="clear" w:color="auto" w:fill="auto"/>
            <w:vAlign w:val="center"/>
            <w:hideMark/>
          </w:tcPr>
          <w:p w14:paraId="4421FAB3" w14:textId="7A4DF6BA" w:rsidR="00EA4ADD" w:rsidRPr="00677CC7" w:rsidRDefault="00EA4ADD" w:rsidP="00EA4ADD">
            <w:pPr>
              <w:spacing w:after="0" w:line="240" w:lineRule="auto"/>
              <w:jc w:val="center"/>
              <w:rPr>
                <w:rFonts w:ascii="Arial Narrow" w:hAnsi="Arial Narrow"/>
                <w:color w:val="000000"/>
                <w:sz w:val="20"/>
                <w:szCs w:val="20"/>
                <w:lang w:val="en-US" w:eastAsia="en-US"/>
              </w:rPr>
            </w:pPr>
            <w:r w:rsidRPr="00451A15">
              <w:rPr>
                <w:rFonts w:ascii="Arial Narrow" w:hAnsi="Arial Narrow"/>
                <w:color w:val="000000"/>
                <w:sz w:val="20"/>
                <w:szCs w:val="20"/>
              </w:rPr>
              <w:t>1,29</w:t>
            </w:r>
          </w:p>
        </w:tc>
        <w:tc>
          <w:tcPr>
            <w:tcW w:w="625" w:type="dxa"/>
            <w:tcBorders>
              <w:top w:val="nil"/>
              <w:left w:val="nil"/>
              <w:right w:val="nil"/>
            </w:tcBorders>
            <w:shd w:val="clear" w:color="auto" w:fill="auto"/>
            <w:vAlign w:val="center"/>
            <w:hideMark/>
          </w:tcPr>
          <w:p w14:paraId="669B89F4" w14:textId="6B9A2F30" w:rsidR="00EA4ADD" w:rsidRPr="00677CC7" w:rsidRDefault="00EA4ADD" w:rsidP="00EA4ADD">
            <w:pPr>
              <w:spacing w:after="0" w:line="240" w:lineRule="auto"/>
              <w:jc w:val="center"/>
              <w:rPr>
                <w:rFonts w:ascii="Arial Narrow" w:hAnsi="Arial Narrow"/>
                <w:color w:val="000000"/>
                <w:sz w:val="20"/>
                <w:szCs w:val="20"/>
                <w:lang w:val="en-US" w:eastAsia="en-US"/>
              </w:rPr>
            </w:pPr>
            <w:r w:rsidRPr="00451A15">
              <w:rPr>
                <w:rFonts w:ascii="Arial Narrow" w:hAnsi="Arial Narrow"/>
                <w:color w:val="000000"/>
                <w:sz w:val="20"/>
                <w:szCs w:val="20"/>
              </w:rPr>
              <w:t>-</w:t>
            </w:r>
          </w:p>
        </w:tc>
        <w:tc>
          <w:tcPr>
            <w:tcW w:w="625" w:type="dxa"/>
            <w:tcBorders>
              <w:top w:val="nil"/>
              <w:left w:val="nil"/>
              <w:right w:val="nil"/>
            </w:tcBorders>
            <w:shd w:val="clear" w:color="auto" w:fill="auto"/>
            <w:vAlign w:val="center"/>
            <w:hideMark/>
          </w:tcPr>
          <w:p w14:paraId="7808492D" w14:textId="6D989833"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c>
          <w:tcPr>
            <w:tcW w:w="625" w:type="dxa"/>
            <w:tcBorders>
              <w:top w:val="nil"/>
              <w:left w:val="nil"/>
              <w:right w:val="nil"/>
            </w:tcBorders>
            <w:shd w:val="clear" w:color="auto" w:fill="auto"/>
            <w:vAlign w:val="center"/>
            <w:hideMark/>
          </w:tcPr>
          <w:p w14:paraId="70EC46FE" w14:textId="62FA0101" w:rsidR="00EA4ADD" w:rsidRPr="00DA1C19"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c>
          <w:tcPr>
            <w:tcW w:w="625" w:type="dxa"/>
            <w:tcBorders>
              <w:top w:val="nil"/>
              <w:left w:val="nil"/>
              <w:bottom w:val="nil"/>
              <w:right w:val="nil"/>
            </w:tcBorders>
            <w:vAlign w:val="center"/>
          </w:tcPr>
          <w:p w14:paraId="62C58D83" w14:textId="73292E87" w:rsidR="00EA4ADD" w:rsidRPr="00677CC7" w:rsidRDefault="0028136A"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c>
          <w:tcPr>
            <w:tcW w:w="625" w:type="dxa"/>
            <w:tcBorders>
              <w:top w:val="nil"/>
              <w:left w:val="nil"/>
              <w:bottom w:val="nil"/>
              <w:right w:val="nil"/>
            </w:tcBorders>
            <w:shd w:val="clear" w:color="auto" w:fill="auto"/>
            <w:vAlign w:val="center"/>
            <w:hideMark/>
          </w:tcPr>
          <w:p w14:paraId="336C8406" w14:textId="5566C5F8" w:rsidR="00EA4ADD" w:rsidRPr="00677CC7" w:rsidRDefault="00EA4ADD" w:rsidP="00EA4ADD">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1,2</w:t>
            </w:r>
          </w:p>
        </w:tc>
      </w:tr>
      <w:tr w:rsidR="00EA4ADD" w:rsidRPr="00677CC7" w14:paraId="4D0FD313" w14:textId="77777777" w:rsidTr="00EA4ADD">
        <w:trPr>
          <w:gridAfter w:val="1"/>
          <w:wAfter w:w="10" w:type="dxa"/>
          <w:trHeight w:val="154"/>
          <w:jc w:val="center"/>
        </w:trPr>
        <w:tc>
          <w:tcPr>
            <w:tcW w:w="426" w:type="dxa"/>
            <w:tcBorders>
              <w:top w:val="nil"/>
              <w:left w:val="nil"/>
              <w:bottom w:val="single" w:sz="4" w:space="0" w:color="auto"/>
              <w:right w:val="nil"/>
            </w:tcBorders>
            <w:shd w:val="clear" w:color="auto" w:fill="auto"/>
            <w:textDirection w:val="btLr"/>
            <w:vAlign w:val="center"/>
            <w:hideMark/>
          </w:tcPr>
          <w:p w14:paraId="6EC76871"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 </w:t>
            </w:r>
          </w:p>
        </w:tc>
        <w:tc>
          <w:tcPr>
            <w:tcW w:w="425" w:type="dxa"/>
            <w:gridSpan w:val="2"/>
            <w:vMerge/>
            <w:tcBorders>
              <w:top w:val="nil"/>
              <w:left w:val="nil"/>
              <w:bottom w:val="single" w:sz="4" w:space="0" w:color="000000"/>
              <w:right w:val="nil"/>
            </w:tcBorders>
            <w:vAlign w:val="center"/>
            <w:hideMark/>
          </w:tcPr>
          <w:p w14:paraId="72FE9CE0"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2CD537E2" w14:textId="77777777" w:rsidR="00EA4ADD" w:rsidRPr="00677CC7" w:rsidRDefault="00EA4ADD" w:rsidP="00EA4ADD">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roofErr w:type="spellStart"/>
            <w:r w:rsidRPr="00677CC7">
              <w:rPr>
                <w:rFonts w:ascii="Arial Narrow" w:hAnsi="Arial Narrow"/>
                <w:color w:val="000000"/>
                <w:sz w:val="20"/>
                <w:szCs w:val="20"/>
                <w:lang w:val="en-US" w:eastAsia="en-US"/>
              </w:rPr>
              <w:t>bodové</w:t>
            </w:r>
            <w:proofErr w:type="spellEnd"/>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hodnotenie</w:t>
            </w:r>
            <w:proofErr w:type="spellEnd"/>
            <w:r w:rsidRPr="00677CC7">
              <w:rPr>
                <w:rFonts w:ascii="Arial Narrow" w:hAnsi="Arial Narrow"/>
                <w:color w:val="000000"/>
                <w:sz w:val="20"/>
                <w:szCs w:val="20"/>
                <w:lang w:val="en-US" w:eastAsia="en-US"/>
              </w:rPr>
              <w:t>)</w:t>
            </w:r>
          </w:p>
        </w:tc>
        <w:tc>
          <w:tcPr>
            <w:tcW w:w="756" w:type="dxa"/>
            <w:tcBorders>
              <w:top w:val="nil"/>
              <w:left w:val="nil"/>
              <w:bottom w:val="single" w:sz="4" w:space="0" w:color="auto"/>
              <w:right w:val="nil"/>
            </w:tcBorders>
            <w:shd w:val="clear" w:color="auto" w:fill="auto"/>
            <w:vAlign w:val="center"/>
            <w:hideMark/>
          </w:tcPr>
          <w:p w14:paraId="0ACDB258"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OECD</w:t>
            </w:r>
          </w:p>
        </w:tc>
        <w:tc>
          <w:tcPr>
            <w:tcW w:w="743" w:type="dxa"/>
            <w:tcBorders>
              <w:top w:val="nil"/>
              <w:left w:val="nil"/>
              <w:bottom w:val="single" w:sz="4" w:space="0" w:color="auto"/>
              <w:right w:val="nil"/>
            </w:tcBorders>
            <w:shd w:val="clear" w:color="auto" w:fill="auto"/>
            <w:vAlign w:val="center"/>
            <w:hideMark/>
          </w:tcPr>
          <w:p w14:paraId="103F9A43" w14:textId="6B083BA1" w:rsidR="00EA4ADD" w:rsidRPr="00677CC7" w:rsidRDefault="00EA4ADD" w:rsidP="00EA4ADD">
            <w:pPr>
              <w:spacing w:after="0" w:line="240" w:lineRule="auto"/>
              <w:jc w:val="center"/>
              <w:rPr>
                <w:rFonts w:ascii="Arial Narrow" w:hAnsi="Arial Narrow"/>
                <w:color w:val="000000"/>
                <w:sz w:val="20"/>
                <w:szCs w:val="20"/>
                <w:lang w:val="en-US" w:eastAsia="en-US"/>
              </w:rPr>
            </w:pPr>
            <w:r w:rsidRPr="00451A15">
              <w:rPr>
                <w:rFonts w:ascii="Arial Narrow" w:hAnsi="Arial Narrow"/>
                <w:color w:val="000000"/>
                <w:sz w:val="20"/>
                <w:szCs w:val="20"/>
              </w:rPr>
              <w:t>1,53</w:t>
            </w:r>
          </w:p>
        </w:tc>
        <w:tc>
          <w:tcPr>
            <w:tcW w:w="625" w:type="dxa"/>
            <w:tcBorders>
              <w:top w:val="nil"/>
              <w:left w:val="nil"/>
              <w:bottom w:val="single" w:sz="4" w:space="0" w:color="auto"/>
              <w:right w:val="nil"/>
            </w:tcBorders>
            <w:shd w:val="clear" w:color="auto" w:fill="auto"/>
            <w:vAlign w:val="center"/>
            <w:hideMark/>
          </w:tcPr>
          <w:p w14:paraId="730DA9F8" w14:textId="1CA88834" w:rsidR="00EA4ADD" w:rsidRPr="00677CC7" w:rsidRDefault="00EA4ADD" w:rsidP="00EA4ADD">
            <w:pPr>
              <w:spacing w:after="0" w:line="240" w:lineRule="auto"/>
              <w:jc w:val="center"/>
              <w:rPr>
                <w:rFonts w:ascii="Arial Narrow" w:hAnsi="Arial Narrow"/>
                <w:color w:val="000000"/>
                <w:sz w:val="20"/>
                <w:szCs w:val="20"/>
                <w:lang w:val="en-US" w:eastAsia="en-US"/>
              </w:rPr>
            </w:pPr>
            <w:r w:rsidRPr="00451A15">
              <w:rPr>
                <w:rFonts w:ascii="Arial Narrow" w:hAnsi="Arial Narrow"/>
                <w:color w:val="000000"/>
                <w:sz w:val="20"/>
                <w:szCs w:val="20"/>
              </w:rPr>
              <w:t xml:space="preserve"> - </w:t>
            </w:r>
          </w:p>
        </w:tc>
        <w:tc>
          <w:tcPr>
            <w:tcW w:w="625" w:type="dxa"/>
            <w:tcBorders>
              <w:top w:val="nil"/>
              <w:left w:val="nil"/>
              <w:bottom w:val="single" w:sz="4" w:space="0" w:color="auto"/>
              <w:right w:val="nil"/>
            </w:tcBorders>
            <w:shd w:val="clear" w:color="auto" w:fill="auto"/>
            <w:vAlign w:val="center"/>
            <w:hideMark/>
          </w:tcPr>
          <w:p w14:paraId="6E3E80AF" w14:textId="659EA068" w:rsidR="00EA4ADD" w:rsidRPr="00677CC7" w:rsidRDefault="00EA4ADD" w:rsidP="00EA4ADD">
            <w:pPr>
              <w:spacing w:after="0" w:line="240" w:lineRule="auto"/>
              <w:jc w:val="center"/>
              <w:rPr>
                <w:rFonts w:ascii="Arial Narrow" w:hAnsi="Arial Narrow"/>
                <w:color w:val="000000"/>
                <w:sz w:val="20"/>
                <w:szCs w:val="20"/>
                <w:lang w:val="en-US" w:eastAsia="en-US"/>
              </w:rPr>
            </w:pPr>
            <w:r w:rsidRPr="00451A15">
              <w:rPr>
                <w:rFonts w:ascii="Arial Narrow" w:hAnsi="Arial Narrow"/>
                <w:color w:val="000000"/>
                <w:sz w:val="20"/>
                <w:szCs w:val="20"/>
              </w:rPr>
              <w:t xml:space="preserve"> - </w:t>
            </w:r>
          </w:p>
        </w:tc>
        <w:tc>
          <w:tcPr>
            <w:tcW w:w="625" w:type="dxa"/>
            <w:tcBorders>
              <w:top w:val="nil"/>
              <w:left w:val="nil"/>
              <w:bottom w:val="single" w:sz="4" w:space="0" w:color="auto"/>
              <w:right w:val="nil"/>
            </w:tcBorders>
            <w:shd w:val="clear" w:color="auto" w:fill="auto"/>
            <w:vAlign w:val="center"/>
          </w:tcPr>
          <w:p w14:paraId="6EDBA17F" w14:textId="596ED18C"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c>
          <w:tcPr>
            <w:tcW w:w="625" w:type="dxa"/>
            <w:tcBorders>
              <w:top w:val="nil"/>
              <w:left w:val="nil"/>
              <w:bottom w:val="single" w:sz="4" w:space="0" w:color="auto"/>
              <w:right w:val="nil"/>
            </w:tcBorders>
            <w:shd w:val="clear" w:color="auto" w:fill="auto"/>
            <w:vAlign w:val="center"/>
            <w:hideMark/>
          </w:tcPr>
          <w:p w14:paraId="7ACF82F0" w14:textId="6DF53263" w:rsidR="00EA4ADD" w:rsidRPr="00677CC7" w:rsidRDefault="00EA4ADD" w:rsidP="00EA4ADD">
            <w:pPr>
              <w:spacing w:after="0" w:line="240" w:lineRule="auto"/>
              <w:jc w:val="center"/>
              <w:rPr>
                <w:rFonts w:ascii="Arial Narrow" w:hAnsi="Arial Narrow"/>
                <w:color w:val="000000"/>
                <w:sz w:val="20"/>
                <w:szCs w:val="20"/>
                <w:lang w:val="en-US" w:eastAsia="en-US"/>
              </w:rPr>
            </w:pPr>
            <w:r w:rsidRPr="00451A15">
              <w:rPr>
                <w:rFonts w:ascii="Arial Narrow" w:hAnsi="Arial Narrow"/>
                <w:color w:val="000000"/>
                <w:sz w:val="20"/>
                <w:szCs w:val="20"/>
              </w:rPr>
              <w:t xml:space="preserve"> - </w:t>
            </w:r>
          </w:p>
        </w:tc>
        <w:tc>
          <w:tcPr>
            <w:tcW w:w="625" w:type="dxa"/>
            <w:tcBorders>
              <w:top w:val="nil"/>
              <w:left w:val="nil"/>
              <w:bottom w:val="single" w:sz="4" w:space="0" w:color="auto"/>
              <w:right w:val="nil"/>
            </w:tcBorders>
            <w:shd w:val="clear" w:color="auto" w:fill="auto"/>
            <w:vAlign w:val="center"/>
            <w:hideMark/>
          </w:tcPr>
          <w:p w14:paraId="05DF307F" w14:textId="29424EA4" w:rsidR="00EA4ADD" w:rsidRPr="00677CC7" w:rsidRDefault="00EA4ADD" w:rsidP="00EA4ADD">
            <w:pPr>
              <w:spacing w:after="0" w:line="240" w:lineRule="auto"/>
              <w:jc w:val="center"/>
              <w:rPr>
                <w:rFonts w:ascii="Arial Narrow" w:hAnsi="Arial Narrow"/>
                <w:color w:val="000000"/>
                <w:sz w:val="20"/>
                <w:szCs w:val="20"/>
                <w:lang w:val="en-US" w:eastAsia="en-US"/>
              </w:rPr>
            </w:pPr>
            <w:r w:rsidRPr="00451A15">
              <w:rPr>
                <w:rFonts w:ascii="Arial Narrow" w:hAnsi="Arial Narrow"/>
                <w:color w:val="000000"/>
                <w:sz w:val="20"/>
                <w:szCs w:val="20"/>
              </w:rPr>
              <w:t>1,44</w:t>
            </w:r>
          </w:p>
        </w:tc>
        <w:tc>
          <w:tcPr>
            <w:tcW w:w="625" w:type="dxa"/>
            <w:tcBorders>
              <w:top w:val="nil"/>
              <w:left w:val="nil"/>
              <w:bottom w:val="single" w:sz="4" w:space="0" w:color="auto"/>
              <w:right w:val="nil"/>
            </w:tcBorders>
            <w:shd w:val="clear" w:color="auto" w:fill="auto"/>
            <w:vAlign w:val="center"/>
            <w:hideMark/>
          </w:tcPr>
          <w:p w14:paraId="5E541CA0" w14:textId="65123492" w:rsidR="00EA4ADD" w:rsidRPr="00677CC7" w:rsidRDefault="00EA4ADD" w:rsidP="00EA4ADD">
            <w:pPr>
              <w:spacing w:after="0" w:line="240" w:lineRule="auto"/>
              <w:jc w:val="center"/>
              <w:rPr>
                <w:rFonts w:ascii="Arial Narrow" w:hAnsi="Arial Narrow"/>
                <w:color w:val="000000"/>
                <w:sz w:val="20"/>
                <w:szCs w:val="20"/>
                <w:lang w:val="en-US" w:eastAsia="en-US"/>
              </w:rPr>
            </w:pPr>
            <w:r w:rsidRPr="00451A15">
              <w:rPr>
                <w:rFonts w:ascii="Arial Narrow" w:hAnsi="Arial Narrow"/>
                <w:color w:val="000000"/>
                <w:sz w:val="20"/>
                <w:szCs w:val="20"/>
              </w:rPr>
              <w:t>-</w:t>
            </w:r>
          </w:p>
        </w:tc>
        <w:tc>
          <w:tcPr>
            <w:tcW w:w="625" w:type="dxa"/>
            <w:tcBorders>
              <w:top w:val="nil"/>
              <w:left w:val="nil"/>
              <w:bottom w:val="single" w:sz="4" w:space="0" w:color="auto"/>
              <w:right w:val="nil"/>
            </w:tcBorders>
            <w:shd w:val="clear" w:color="auto" w:fill="auto"/>
            <w:vAlign w:val="center"/>
            <w:hideMark/>
          </w:tcPr>
          <w:p w14:paraId="5BDB1192" w14:textId="46D4D267"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c>
          <w:tcPr>
            <w:tcW w:w="625" w:type="dxa"/>
            <w:tcBorders>
              <w:top w:val="nil"/>
              <w:left w:val="nil"/>
              <w:bottom w:val="single" w:sz="4" w:space="0" w:color="auto"/>
              <w:right w:val="nil"/>
            </w:tcBorders>
            <w:shd w:val="clear" w:color="auto" w:fill="auto"/>
            <w:vAlign w:val="center"/>
            <w:hideMark/>
          </w:tcPr>
          <w:p w14:paraId="7E3DFA02" w14:textId="3830E52D" w:rsidR="00EA4ADD" w:rsidRPr="00DA1C19"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c>
          <w:tcPr>
            <w:tcW w:w="625" w:type="dxa"/>
            <w:tcBorders>
              <w:top w:val="nil"/>
              <w:left w:val="nil"/>
              <w:bottom w:val="single" w:sz="4" w:space="0" w:color="auto"/>
              <w:right w:val="nil"/>
            </w:tcBorders>
            <w:vAlign w:val="center"/>
          </w:tcPr>
          <w:p w14:paraId="6600FC59" w14:textId="0DEAD60D" w:rsidR="00EA4ADD" w:rsidRPr="00677CC7" w:rsidRDefault="0028136A"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c>
          <w:tcPr>
            <w:tcW w:w="625" w:type="dxa"/>
            <w:tcBorders>
              <w:top w:val="nil"/>
              <w:left w:val="nil"/>
              <w:bottom w:val="single" w:sz="4" w:space="0" w:color="auto"/>
              <w:right w:val="nil"/>
            </w:tcBorders>
            <w:shd w:val="clear" w:color="auto" w:fill="auto"/>
            <w:vAlign w:val="center"/>
            <w:hideMark/>
          </w:tcPr>
          <w:p w14:paraId="2AAD151D" w14:textId="4FD2D34C" w:rsidR="00EA4ADD" w:rsidRPr="00677CC7" w:rsidRDefault="00EA4ADD" w:rsidP="00EA4ADD">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r w:rsidR="00994161" w:rsidRPr="00677CC7" w14:paraId="0C65E470" w14:textId="77777777" w:rsidTr="00994161">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73215C10" w14:textId="77777777" w:rsidR="00994161" w:rsidRPr="00677CC7" w:rsidRDefault="00994161" w:rsidP="00342E82">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 </w:t>
            </w:r>
          </w:p>
        </w:tc>
        <w:tc>
          <w:tcPr>
            <w:tcW w:w="425" w:type="dxa"/>
            <w:gridSpan w:val="2"/>
            <w:vMerge w:val="restart"/>
            <w:tcBorders>
              <w:top w:val="nil"/>
              <w:left w:val="nil"/>
              <w:bottom w:val="single" w:sz="4" w:space="0" w:color="000000"/>
              <w:right w:val="nil"/>
            </w:tcBorders>
            <w:shd w:val="clear" w:color="auto" w:fill="auto"/>
            <w:noWrap/>
            <w:vAlign w:val="center"/>
            <w:hideMark/>
          </w:tcPr>
          <w:p w14:paraId="61D5BBAF" w14:textId="77777777" w:rsidR="00994161" w:rsidRPr="00677CC7" w:rsidRDefault="00994161" w:rsidP="00342E82">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16</w:t>
            </w:r>
          </w:p>
        </w:tc>
        <w:tc>
          <w:tcPr>
            <w:tcW w:w="2221" w:type="dxa"/>
            <w:tcBorders>
              <w:top w:val="nil"/>
              <w:left w:val="nil"/>
              <w:bottom w:val="nil"/>
              <w:right w:val="nil"/>
            </w:tcBorders>
            <w:shd w:val="clear" w:color="auto" w:fill="auto"/>
            <w:noWrap/>
            <w:vAlign w:val="center"/>
            <w:hideMark/>
          </w:tcPr>
          <w:p w14:paraId="5F8E1BBD" w14:textId="77777777" w:rsidR="00994161" w:rsidRPr="00677CC7" w:rsidRDefault="00994161" w:rsidP="00342E82">
            <w:pPr>
              <w:spacing w:after="0" w:line="240" w:lineRule="auto"/>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E-government</w:t>
            </w:r>
          </w:p>
        </w:tc>
        <w:tc>
          <w:tcPr>
            <w:tcW w:w="756" w:type="dxa"/>
            <w:tcBorders>
              <w:top w:val="nil"/>
              <w:left w:val="nil"/>
              <w:bottom w:val="nil"/>
              <w:right w:val="nil"/>
            </w:tcBorders>
            <w:shd w:val="clear" w:color="auto" w:fill="auto"/>
            <w:vAlign w:val="center"/>
            <w:hideMark/>
          </w:tcPr>
          <w:p w14:paraId="69CB0277" w14:textId="77777777" w:rsidR="00994161" w:rsidRPr="00677CC7" w:rsidRDefault="00994161" w:rsidP="00342E82">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vAlign w:val="center"/>
            <w:hideMark/>
          </w:tcPr>
          <w:p w14:paraId="2C2A8325" w14:textId="77A54EBE" w:rsidR="00994161" w:rsidRPr="00677CC7" w:rsidRDefault="00EA4ADD" w:rsidP="00342E82">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40</w:t>
            </w:r>
          </w:p>
        </w:tc>
        <w:tc>
          <w:tcPr>
            <w:tcW w:w="625" w:type="dxa"/>
            <w:tcBorders>
              <w:top w:val="nil"/>
              <w:left w:val="nil"/>
              <w:bottom w:val="nil"/>
              <w:right w:val="nil"/>
            </w:tcBorders>
            <w:shd w:val="clear" w:color="auto" w:fill="auto"/>
            <w:vAlign w:val="center"/>
            <w:hideMark/>
          </w:tcPr>
          <w:p w14:paraId="75F5FC34" w14:textId="4C8E4C10" w:rsidR="00994161" w:rsidRPr="00677CC7" w:rsidRDefault="00EA4ADD" w:rsidP="00342E82">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38</w:t>
            </w:r>
          </w:p>
        </w:tc>
        <w:tc>
          <w:tcPr>
            <w:tcW w:w="625" w:type="dxa"/>
            <w:tcBorders>
              <w:top w:val="nil"/>
              <w:left w:val="nil"/>
              <w:bottom w:val="nil"/>
              <w:right w:val="nil"/>
            </w:tcBorders>
            <w:shd w:val="clear" w:color="auto" w:fill="auto"/>
            <w:vAlign w:val="center"/>
            <w:hideMark/>
          </w:tcPr>
          <w:p w14:paraId="78D947F4" w14:textId="0ED71EC0" w:rsidR="00994161" w:rsidRPr="00677CC7" w:rsidRDefault="00EA4ADD" w:rsidP="00342E82">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50</w:t>
            </w:r>
          </w:p>
        </w:tc>
        <w:tc>
          <w:tcPr>
            <w:tcW w:w="625" w:type="dxa"/>
            <w:tcBorders>
              <w:top w:val="nil"/>
              <w:left w:val="nil"/>
              <w:bottom w:val="nil"/>
              <w:right w:val="nil"/>
            </w:tcBorders>
            <w:shd w:val="clear" w:color="auto" w:fill="auto"/>
            <w:vAlign w:val="center"/>
            <w:hideMark/>
          </w:tcPr>
          <w:p w14:paraId="42AA5F97" w14:textId="7DA44928" w:rsidR="00994161" w:rsidRPr="00677CC7" w:rsidRDefault="00EA4ADD" w:rsidP="00342E82">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48</w:t>
            </w:r>
          </w:p>
        </w:tc>
        <w:tc>
          <w:tcPr>
            <w:tcW w:w="625" w:type="dxa"/>
            <w:tcBorders>
              <w:top w:val="nil"/>
              <w:left w:val="nil"/>
              <w:bottom w:val="nil"/>
              <w:right w:val="nil"/>
            </w:tcBorders>
            <w:shd w:val="clear" w:color="auto" w:fill="auto"/>
            <w:vAlign w:val="center"/>
            <w:hideMark/>
          </w:tcPr>
          <w:p w14:paraId="1D21F8C0" w14:textId="2B15847E" w:rsidR="00994161" w:rsidRPr="00677CC7" w:rsidRDefault="00EA4ADD" w:rsidP="00342E82">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42</w:t>
            </w:r>
          </w:p>
        </w:tc>
        <w:tc>
          <w:tcPr>
            <w:tcW w:w="625" w:type="dxa"/>
            <w:tcBorders>
              <w:top w:val="nil"/>
              <w:left w:val="nil"/>
              <w:bottom w:val="nil"/>
              <w:right w:val="nil"/>
            </w:tcBorders>
            <w:shd w:val="clear" w:color="auto" w:fill="auto"/>
            <w:vAlign w:val="center"/>
            <w:hideMark/>
          </w:tcPr>
          <w:p w14:paraId="3B50AFDF" w14:textId="5A70321E" w:rsidR="00994161" w:rsidRPr="00677CC7" w:rsidRDefault="00EA4ADD" w:rsidP="00342E82">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33</w:t>
            </w:r>
          </w:p>
        </w:tc>
        <w:tc>
          <w:tcPr>
            <w:tcW w:w="625" w:type="dxa"/>
            <w:tcBorders>
              <w:top w:val="nil"/>
              <w:left w:val="nil"/>
              <w:bottom w:val="nil"/>
              <w:right w:val="nil"/>
            </w:tcBorders>
            <w:shd w:val="clear" w:color="auto" w:fill="auto"/>
            <w:vAlign w:val="center"/>
            <w:hideMark/>
          </w:tcPr>
          <w:p w14:paraId="2177DADA" w14:textId="27EC2551" w:rsidR="00994161" w:rsidRPr="00677CC7" w:rsidRDefault="00EA4ADD" w:rsidP="00342E82">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57</w:t>
            </w:r>
          </w:p>
        </w:tc>
        <w:tc>
          <w:tcPr>
            <w:tcW w:w="625" w:type="dxa"/>
            <w:tcBorders>
              <w:top w:val="nil"/>
              <w:left w:val="nil"/>
              <w:bottom w:val="nil"/>
              <w:right w:val="nil"/>
            </w:tcBorders>
            <w:shd w:val="clear" w:color="auto" w:fill="auto"/>
            <w:vAlign w:val="center"/>
            <w:hideMark/>
          </w:tcPr>
          <w:p w14:paraId="0E1392B3" w14:textId="723C8657" w:rsidR="00994161" w:rsidRPr="00677CC7" w:rsidRDefault="00EA4ADD" w:rsidP="00342E82">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51</w:t>
            </w:r>
          </w:p>
        </w:tc>
        <w:tc>
          <w:tcPr>
            <w:tcW w:w="625" w:type="dxa"/>
            <w:tcBorders>
              <w:top w:val="nil"/>
              <w:left w:val="nil"/>
              <w:bottom w:val="nil"/>
              <w:right w:val="nil"/>
            </w:tcBorders>
            <w:shd w:val="clear" w:color="auto" w:fill="auto"/>
            <w:vAlign w:val="center"/>
            <w:hideMark/>
          </w:tcPr>
          <w:p w14:paraId="1FEF84AB" w14:textId="290EAD1B" w:rsidR="00994161" w:rsidRPr="00677CC7" w:rsidRDefault="00EA4ADD" w:rsidP="00342E82">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48</w:t>
            </w:r>
          </w:p>
        </w:tc>
        <w:tc>
          <w:tcPr>
            <w:tcW w:w="625" w:type="dxa"/>
            <w:tcBorders>
              <w:top w:val="nil"/>
              <w:left w:val="nil"/>
              <w:bottom w:val="nil"/>
              <w:right w:val="nil"/>
            </w:tcBorders>
          </w:tcPr>
          <w:p w14:paraId="2FBBC54A" w14:textId="476C3850" w:rsidR="00994161" w:rsidRPr="00677CC7" w:rsidRDefault="00EA4ADD" w:rsidP="00342E82">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47</w:t>
            </w:r>
          </w:p>
        </w:tc>
        <w:tc>
          <w:tcPr>
            <w:tcW w:w="625" w:type="dxa"/>
            <w:tcBorders>
              <w:top w:val="nil"/>
              <w:left w:val="nil"/>
              <w:bottom w:val="nil"/>
              <w:right w:val="nil"/>
            </w:tcBorders>
            <w:shd w:val="clear" w:color="auto" w:fill="auto"/>
            <w:vAlign w:val="center"/>
            <w:hideMark/>
          </w:tcPr>
          <w:p w14:paraId="42C14AF8" w14:textId="4EDDD832" w:rsidR="00994161" w:rsidRPr="00677CC7" w:rsidRDefault="00994161" w:rsidP="00342E82">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71,7</w:t>
            </w:r>
          </w:p>
        </w:tc>
      </w:tr>
      <w:tr w:rsidR="00994161" w:rsidRPr="00677CC7" w14:paraId="148F6489" w14:textId="77777777" w:rsidTr="00994161">
        <w:trPr>
          <w:gridAfter w:val="1"/>
          <w:wAfter w:w="10" w:type="dxa"/>
          <w:trHeight w:val="260"/>
          <w:jc w:val="center"/>
        </w:trPr>
        <w:tc>
          <w:tcPr>
            <w:tcW w:w="426" w:type="dxa"/>
            <w:tcBorders>
              <w:top w:val="nil"/>
              <w:left w:val="nil"/>
              <w:bottom w:val="single" w:sz="4" w:space="0" w:color="auto"/>
              <w:right w:val="nil"/>
            </w:tcBorders>
            <w:shd w:val="clear" w:color="auto" w:fill="auto"/>
            <w:textDirection w:val="btLr"/>
            <w:vAlign w:val="center"/>
            <w:hideMark/>
          </w:tcPr>
          <w:p w14:paraId="3BF95615" w14:textId="77777777" w:rsidR="00994161" w:rsidRPr="00677CC7" w:rsidRDefault="00994161" w:rsidP="00342E82">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lastRenderedPageBreak/>
              <w:t> </w:t>
            </w:r>
          </w:p>
        </w:tc>
        <w:tc>
          <w:tcPr>
            <w:tcW w:w="425" w:type="dxa"/>
            <w:gridSpan w:val="2"/>
            <w:vMerge/>
            <w:tcBorders>
              <w:top w:val="nil"/>
              <w:left w:val="nil"/>
              <w:bottom w:val="single" w:sz="4" w:space="0" w:color="000000"/>
              <w:right w:val="nil"/>
            </w:tcBorders>
            <w:vAlign w:val="center"/>
            <w:hideMark/>
          </w:tcPr>
          <w:p w14:paraId="676842B6" w14:textId="77777777" w:rsidR="00994161" w:rsidRPr="00677CC7" w:rsidRDefault="00994161" w:rsidP="00342E82">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25D42D37" w14:textId="77777777" w:rsidR="00994161" w:rsidRPr="00677CC7" w:rsidRDefault="00994161" w:rsidP="00342E82">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756" w:type="dxa"/>
            <w:tcBorders>
              <w:top w:val="nil"/>
              <w:left w:val="nil"/>
              <w:bottom w:val="single" w:sz="4" w:space="0" w:color="auto"/>
              <w:right w:val="nil"/>
            </w:tcBorders>
            <w:shd w:val="clear" w:color="auto" w:fill="auto"/>
            <w:vAlign w:val="center"/>
            <w:hideMark/>
          </w:tcPr>
          <w:p w14:paraId="57D75C70" w14:textId="77777777" w:rsidR="00994161" w:rsidRPr="00677CC7" w:rsidRDefault="00994161" w:rsidP="00342E82">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shd w:val="clear" w:color="auto" w:fill="auto"/>
            <w:vAlign w:val="center"/>
            <w:hideMark/>
          </w:tcPr>
          <w:p w14:paraId="7C021D22" w14:textId="15F629F5" w:rsidR="00994161" w:rsidRPr="00677CC7" w:rsidRDefault="00EA4ADD" w:rsidP="00342E82">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35</w:t>
            </w:r>
          </w:p>
        </w:tc>
        <w:tc>
          <w:tcPr>
            <w:tcW w:w="625" w:type="dxa"/>
            <w:tcBorders>
              <w:top w:val="nil"/>
              <w:left w:val="nil"/>
              <w:bottom w:val="single" w:sz="4" w:space="0" w:color="auto"/>
              <w:right w:val="nil"/>
            </w:tcBorders>
            <w:shd w:val="clear" w:color="auto" w:fill="auto"/>
            <w:vAlign w:val="center"/>
            <w:hideMark/>
          </w:tcPr>
          <w:p w14:paraId="7824A97E" w14:textId="62E418A8" w:rsidR="00994161" w:rsidRPr="00677CC7" w:rsidRDefault="00EA4ADD" w:rsidP="00342E82">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37</w:t>
            </w:r>
          </w:p>
        </w:tc>
        <w:tc>
          <w:tcPr>
            <w:tcW w:w="625" w:type="dxa"/>
            <w:tcBorders>
              <w:top w:val="nil"/>
              <w:left w:val="nil"/>
              <w:bottom w:val="single" w:sz="4" w:space="0" w:color="auto"/>
              <w:right w:val="nil"/>
            </w:tcBorders>
            <w:shd w:val="clear" w:color="auto" w:fill="auto"/>
            <w:vAlign w:val="center"/>
            <w:hideMark/>
          </w:tcPr>
          <w:p w14:paraId="318748A0" w14:textId="11F308B1" w:rsidR="00994161" w:rsidRPr="00677CC7" w:rsidRDefault="00EA4ADD" w:rsidP="00342E82">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41</w:t>
            </w:r>
          </w:p>
        </w:tc>
        <w:tc>
          <w:tcPr>
            <w:tcW w:w="625" w:type="dxa"/>
            <w:tcBorders>
              <w:top w:val="nil"/>
              <w:left w:val="nil"/>
              <w:bottom w:val="single" w:sz="4" w:space="0" w:color="auto"/>
              <w:right w:val="nil"/>
            </w:tcBorders>
            <w:shd w:val="clear" w:color="auto" w:fill="auto"/>
            <w:vAlign w:val="center"/>
            <w:hideMark/>
          </w:tcPr>
          <w:p w14:paraId="2DF9F3B9" w14:textId="49E126B6" w:rsidR="00994161" w:rsidRPr="00677CC7" w:rsidRDefault="00EA4ADD" w:rsidP="00342E82">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41</w:t>
            </w:r>
          </w:p>
        </w:tc>
        <w:tc>
          <w:tcPr>
            <w:tcW w:w="625" w:type="dxa"/>
            <w:tcBorders>
              <w:top w:val="nil"/>
              <w:left w:val="nil"/>
              <w:bottom w:val="single" w:sz="4" w:space="0" w:color="auto"/>
              <w:right w:val="nil"/>
            </w:tcBorders>
            <w:shd w:val="clear" w:color="auto" w:fill="auto"/>
            <w:vAlign w:val="center"/>
            <w:hideMark/>
          </w:tcPr>
          <w:p w14:paraId="6907D2A0" w14:textId="033EF5A7" w:rsidR="00994161" w:rsidRPr="00677CC7" w:rsidRDefault="00EA4ADD" w:rsidP="00342E82">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44</w:t>
            </w:r>
          </w:p>
        </w:tc>
        <w:tc>
          <w:tcPr>
            <w:tcW w:w="625" w:type="dxa"/>
            <w:tcBorders>
              <w:top w:val="nil"/>
              <w:left w:val="nil"/>
              <w:bottom w:val="single" w:sz="4" w:space="0" w:color="auto"/>
              <w:right w:val="nil"/>
            </w:tcBorders>
            <w:shd w:val="clear" w:color="auto" w:fill="auto"/>
            <w:vAlign w:val="center"/>
            <w:hideMark/>
          </w:tcPr>
          <w:p w14:paraId="6C283CD5" w14:textId="63AF6C3E" w:rsidR="00994161" w:rsidRPr="00677CC7" w:rsidRDefault="00EA4ADD" w:rsidP="00342E82">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41</w:t>
            </w:r>
          </w:p>
        </w:tc>
        <w:tc>
          <w:tcPr>
            <w:tcW w:w="625" w:type="dxa"/>
            <w:tcBorders>
              <w:top w:val="nil"/>
              <w:left w:val="nil"/>
              <w:bottom w:val="single" w:sz="4" w:space="0" w:color="auto"/>
              <w:right w:val="nil"/>
            </w:tcBorders>
            <w:shd w:val="clear" w:color="auto" w:fill="auto"/>
            <w:vAlign w:val="center"/>
            <w:hideMark/>
          </w:tcPr>
          <w:p w14:paraId="5EB2A91E" w14:textId="1AF4F36B" w:rsidR="00994161" w:rsidRPr="00677CC7" w:rsidRDefault="00EA4ADD" w:rsidP="00342E82">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47</w:t>
            </w:r>
          </w:p>
        </w:tc>
        <w:tc>
          <w:tcPr>
            <w:tcW w:w="625" w:type="dxa"/>
            <w:tcBorders>
              <w:top w:val="nil"/>
              <w:left w:val="nil"/>
              <w:bottom w:val="single" w:sz="4" w:space="0" w:color="auto"/>
              <w:right w:val="nil"/>
            </w:tcBorders>
            <w:shd w:val="clear" w:color="auto" w:fill="auto"/>
            <w:vAlign w:val="center"/>
            <w:hideMark/>
          </w:tcPr>
          <w:p w14:paraId="070ED9EA" w14:textId="0B764D9B" w:rsidR="00994161" w:rsidRPr="00677CC7" w:rsidRDefault="00EA4ADD" w:rsidP="00342E82">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46</w:t>
            </w:r>
          </w:p>
        </w:tc>
        <w:tc>
          <w:tcPr>
            <w:tcW w:w="625" w:type="dxa"/>
            <w:tcBorders>
              <w:top w:val="nil"/>
              <w:left w:val="nil"/>
              <w:bottom w:val="single" w:sz="4" w:space="0" w:color="auto"/>
              <w:right w:val="nil"/>
            </w:tcBorders>
            <w:shd w:val="clear" w:color="auto" w:fill="auto"/>
            <w:vAlign w:val="center"/>
            <w:hideMark/>
          </w:tcPr>
          <w:p w14:paraId="5FCA9CB4" w14:textId="15DC81CC" w:rsidR="00994161" w:rsidRPr="00677CC7" w:rsidRDefault="00EA4ADD" w:rsidP="00342E82">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48</w:t>
            </w:r>
          </w:p>
        </w:tc>
        <w:tc>
          <w:tcPr>
            <w:tcW w:w="625" w:type="dxa"/>
            <w:tcBorders>
              <w:top w:val="nil"/>
              <w:left w:val="nil"/>
              <w:bottom w:val="single" w:sz="4" w:space="0" w:color="auto"/>
              <w:right w:val="nil"/>
            </w:tcBorders>
          </w:tcPr>
          <w:p w14:paraId="1545744C" w14:textId="1DB940A9" w:rsidR="00994161" w:rsidRPr="00677CC7" w:rsidRDefault="00EA4ADD" w:rsidP="00342E82">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49</w:t>
            </w:r>
          </w:p>
        </w:tc>
        <w:tc>
          <w:tcPr>
            <w:tcW w:w="625" w:type="dxa"/>
            <w:tcBorders>
              <w:top w:val="nil"/>
              <w:left w:val="nil"/>
              <w:bottom w:val="single" w:sz="4" w:space="0" w:color="auto"/>
              <w:right w:val="nil"/>
            </w:tcBorders>
            <w:shd w:val="clear" w:color="auto" w:fill="auto"/>
            <w:vAlign w:val="center"/>
            <w:hideMark/>
          </w:tcPr>
          <w:p w14:paraId="7AEA9628" w14:textId="518C7A87" w:rsidR="00994161" w:rsidRPr="00677CC7" w:rsidRDefault="00994161" w:rsidP="00342E82">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r w:rsidR="00EA4ADD" w:rsidRPr="00677CC7" w14:paraId="2DCF54F4" w14:textId="77777777" w:rsidTr="00E336C7">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5C1093BD" w14:textId="77777777" w:rsidR="00EA4ADD" w:rsidRPr="00677CC7" w:rsidRDefault="00EA4ADD" w:rsidP="00EA4ADD">
            <w:pPr>
              <w:spacing w:after="0" w:line="240" w:lineRule="auto"/>
              <w:jc w:val="center"/>
              <w:rPr>
                <w:rFonts w:ascii="Arial Narrow" w:hAnsi="Arial Narrow"/>
                <w:color w:val="000000"/>
                <w:sz w:val="20"/>
                <w:szCs w:val="20"/>
                <w:lang w:val="en-US" w:eastAsia="en-US"/>
              </w:rPr>
            </w:pPr>
          </w:p>
        </w:tc>
        <w:tc>
          <w:tcPr>
            <w:tcW w:w="425" w:type="dxa"/>
            <w:gridSpan w:val="2"/>
            <w:vMerge w:val="restart"/>
            <w:tcBorders>
              <w:top w:val="nil"/>
              <w:left w:val="nil"/>
              <w:bottom w:val="nil"/>
              <w:right w:val="nil"/>
            </w:tcBorders>
            <w:shd w:val="clear" w:color="auto" w:fill="auto"/>
            <w:noWrap/>
            <w:vAlign w:val="center"/>
            <w:hideMark/>
          </w:tcPr>
          <w:p w14:paraId="0300ADCE"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17</w:t>
            </w:r>
          </w:p>
        </w:tc>
        <w:tc>
          <w:tcPr>
            <w:tcW w:w="2221" w:type="dxa"/>
            <w:tcBorders>
              <w:top w:val="nil"/>
              <w:left w:val="nil"/>
              <w:bottom w:val="nil"/>
              <w:right w:val="nil"/>
            </w:tcBorders>
            <w:shd w:val="clear" w:color="auto" w:fill="auto"/>
            <w:noWrap/>
            <w:vAlign w:val="center"/>
            <w:hideMark/>
          </w:tcPr>
          <w:p w14:paraId="4C1859C7" w14:textId="77777777" w:rsidR="00EA4ADD" w:rsidRPr="00677CC7" w:rsidRDefault="00EA4ADD" w:rsidP="00EA4ADD">
            <w:pPr>
              <w:spacing w:after="0" w:line="240" w:lineRule="auto"/>
              <w:rPr>
                <w:rFonts w:ascii="Arial Narrow" w:hAnsi="Arial Narrow"/>
                <w:b/>
                <w:bCs/>
                <w:color w:val="000000"/>
                <w:sz w:val="20"/>
                <w:szCs w:val="20"/>
                <w:lang w:val="en-US" w:eastAsia="en-US"/>
              </w:rPr>
            </w:pPr>
            <w:proofErr w:type="spellStart"/>
            <w:r w:rsidRPr="00677CC7">
              <w:rPr>
                <w:rFonts w:ascii="Arial Narrow" w:hAnsi="Arial Narrow"/>
                <w:b/>
                <w:bCs/>
                <w:color w:val="000000"/>
                <w:sz w:val="20"/>
                <w:szCs w:val="20"/>
                <w:lang w:val="en-US" w:eastAsia="en-US"/>
              </w:rPr>
              <w:t>Vnímanie</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korupcie</w:t>
            </w:r>
            <w:proofErr w:type="spellEnd"/>
          </w:p>
        </w:tc>
        <w:tc>
          <w:tcPr>
            <w:tcW w:w="756" w:type="dxa"/>
            <w:tcBorders>
              <w:top w:val="nil"/>
              <w:left w:val="nil"/>
              <w:bottom w:val="nil"/>
              <w:right w:val="nil"/>
            </w:tcBorders>
            <w:shd w:val="clear" w:color="auto" w:fill="auto"/>
            <w:vAlign w:val="center"/>
            <w:hideMark/>
          </w:tcPr>
          <w:p w14:paraId="5D390BFF"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vAlign w:val="center"/>
            <w:hideMark/>
          </w:tcPr>
          <w:p w14:paraId="708E2B46" w14:textId="77777777" w:rsidR="00EA4ADD" w:rsidRPr="00677CC7" w:rsidRDefault="00EA4ADD" w:rsidP="00EA4ADD">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 </w:t>
            </w:r>
          </w:p>
        </w:tc>
        <w:tc>
          <w:tcPr>
            <w:tcW w:w="625" w:type="dxa"/>
            <w:tcBorders>
              <w:top w:val="nil"/>
              <w:left w:val="nil"/>
              <w:bottom w:val="nil"/>
              <w:right w:val="nil"/>
            </w:tcBorders>
            <w:shd w:val="clear" w:color="auto" w:fill="auto"/>
            <w:vAlign w:val="center"/>
            <w:hideMark/>
          </w:tcPr>
          <w:p w14:paraId="191EFD04" w14:textId="7C63F354"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c>
          <w:tcPr>
            <w:tcW w:w="625" w:type="dxa"/>
            <w:tcBorders>
              <w:top w:val="nil"/>
              <w:left w:val="nil"/>
              <w:bottom w:val="nil"/>
              <w:right w:val="nil"/>
            </w:tcBorders>
            <w:shd w:val="clear" w:color="auto" w:fill="auto"/>
            <w:vAlign w:val="center"/>
            <w:hideMark/>
          </w:tcPr>
          <w:p w14:paraId="54DD3B2C" w14:textId="77777777" w:rsidR="00EA4ADD" w:rsidRPr="00677CC7" w:rsidRDefault="00EA4ADD" w:rsidP="00EA4ADD">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 </w:t>
            </w:r>
          </w:p>
        </w:tc>
        <w:tc>
          <w:tcPr>
            <w:tcW w:w="625" w:type="dxa"/>
            <w:tcBorders>
              <w:top w:val="nil"/>
              <w:left w:val="nil"/>
              <w:bottom w:val="nil"/>
              <w:right w:val="nil"/>
            </w:tcBorders>
            <w:shd w:val="clear" w:color="auto" w:fill="auto"/>
            <w:vAlign w:val="center"/>
            <w:hideMark/>
          </w:tcPr>
          <w:p w14:paraId="4633F414" w14:textId="3361687B" w:rsidR="00EA4ADD" w:rsidRPr="00677CC7" w:rsidRDefault="00EA4ADD" w:rsidP="00EA4ADD">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 </w:t>
            </w:r>
          </w:p>
        </w:tc>
        <w:tc>
          <w:tcPr>
            <w:tcW w:w="625" w:type="dxa"/>
            <w:tcBorders>
              <w:top w:val="nil"/>
              <w:left w:val="nil"/>
              <w:bottom w:val="nil"/>
              <w:right w:val="nil"/>
            </w:tcBorders>
            <w:shd w:val="clear" w:color="auto" w:fill="auto"/>
            <w:vAlign w:val="center"/>
            <w:hideMark/>
          </w:tcPr>
          <w:p w14:paraId="52278F16" w14:textId="77777777" w:rsidR="00EA4ADD" w:rsidRPr="00677CC7" w:rsidRDefault="00EA4ADD" w:rsidP="00EA4ADD">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 </w:t>
            </w:r>
          </w:p>
        </w:tc>
        <w:tc>
          <w:tcPr>
            <w:tcW w:w="625" w:type="dxa"/>
            <w:tcBorders>
              <w:top w:val="nil"/>
              <w:left w:val="nil"/>
              <w:bottom w:val="nil"/>
              <w:right w:val="nil"/>
            </w:tcBorders>
            <w:shd w:val="clear" w:color="auto" w:fill="auto"/>
            <w:vAlign w:val="center"/>
            <w:hideMark/>
          </w:tcPr>
          <w:p w14:paraId="52A92771" w14:textId="55ADEA64"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39,5</w:t>
            </w:r>
          </w:p>
        </w:tc>
        <w:tc>
          <w:tcPr>
            <w:tcW w:w="625" w:type="dxa"/>
            <w:tcBorders>
              <w:top w:val="nil"/>
              <w:left w:val="nil"/>
              <w:bottom w:val="nil"/>
              <w:right w:val="nil"/>
            </w:tcBorders>
            <w:shd w:val="clear" w:color="auto" w:fill="auto"/>
            <w:vAlign w:val="center"/>
            <w:hideMark/>
          </w:tcPr>
          <w:p w14:paraId="3E5AFBD5" w14:textId="77777777" w:rsidR="00EA4ADD" w:rsidRPr="00677CC7" w:rsidRDefault="00EA4ADD" w:rsidP="00EA4ADD">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 </w:t>
            </w:r>
          </w:p>
        </w:tc>
        <w:tc>
          <w:tcPr>
            <w:tcW w:w="625" w:type="dxa"/>
            <w:tcBorders>
              <w:top w:val="nil"/>
              <w:left w:val="nil"/>
              <w:bottom w:val="nil"/>
              <w:right w:val="nil"/>
            </w:tcBorders>
            <w:shd w:val="clear" w:color="auto" w:fill="auto"/>
            <w:vAlign w:val="center"/>
            <w:hideMark/>
          </w:tcPr>
          <w:p w14:paraId="437BF5CB" w14:textId="58DBC677"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45,6</w:t>
            </w:r>
          </w:p>
        </w:tc>
        <w:tc>
          <w:tcPr>
            <w:tcW w:w="625" w:type="dxa"/>
            <w:tcBorders>
              <w:top w:val="nil"/>
              <w:left w:val="nil"/>
              <w:bottom w:val="nil"/>
              <w:right w:val="nil"/>
            </w:tcBorders>
            <w:shd w:val="clear" w:color="auto" w:fill="auto"/>
            <w:vAlign w:val="center"/>
            <w:hideMark/>
          </w:tcPr>
          <w:p w14:paraId="0591374E" w14:textId="083B52D4"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c>
          <w:tcPr>
            <w:tcW w:w="625" w:type="dxa"/>
            <w:tcBorders>
              <w:top w:val="nil"/>
              <w:left w:val="nil"/>
              <w:bottom w:val="nil"/>
              <w:right w:val="nil"/>
            </w:tcBorders>
            <w:shd w:val="clear" w:color="auto" w:fill="auto"/>
            <w:vAlign w:val="center"/>
          </w:tcPr>
          <w:p w14:paraId="0E2138C0" w14:textId="05668E45"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46,4</w:t>
            </w:r>
          </w:p>
        </w:tc>
        <w:tc>
          <w:tcPr>
            <w:tcW w:w="625" w:type="dxa"/>
            <w:tcBorders>
              <w:top w:val="nil"/>
              <w:left w:val="nil"/>
              <w:bottom w:val="nil"/>
              <w:right w:val="nil"/>
            </w:tcBorders>
            <w:shd w:val="clear" w:color="auto" w:fill="auto"/>
            <w:vAlign w:val="center"/>
            <w:hideMark/>
          </w:tcPr>
          <w:p w14:paraId="2F03548C" w14:textId="4DC00BC0"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62,6</w:t>
            </w:r>
          </w:p>
        </w:tc>
      </w:tr>
      <w:tr w:rsidR="00EA4ADD" w:rsidRPr="00677CC7" w14:paraId="67BBE7CC" w14:textId="77777777" w:rsidTr="00E336C7">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05FAE32B" w14:textId="77777777" w:rsidR="00EA4ADD" w:rsidRPr="00677CC7" w:rsidRDefault="00EA4ADD" w:rsidP="00EA4ADD">
            <w:pPr>
              <w:spacing w:after="0" w:line="240" w:lineRule="auto"/>
              <w:jc w:val="center"/>
              <w:rPr>
                <w:rFonts w:ascii="Arial Narrow" w:hAnsi="Arial Narrow"/>
                <w:color w:val="000000"/>
                <w:sz w:val="20"/>
                <w:szCs w:val="20"/>
                <w:lang w:val="en-US" w:eastAsia="en-US"/>
              </w:rPr>
            </w:pPr>
          </w:p>
        </w:tc>
        <w:tc>
          <w:tcPr>
            <w:tcW w:w="425" w:type="dxa"/>
            <w:gridSpan w:val="2"/>
            <w:vMerge/>
            <w:tcBorders>
              <w:top w:val="nil"/>
              <w:left w:val="nil"/>
              <w:bottom w:val="nil"/>
              <w:right w:val="nil"/>
            </w:tcBorders>
            <w:vAlign w:val="center"/>
            <w:hideMark/>
          </w:tcPr>
          <w:p w14:paraId="04E9A9E3"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nil"/>
              <w:right w:val="nil"/>
            </w:tcBorders>
            <w:shd w:val="clear" w:color="auto" w:fill="auto"/>
            <w:noWrap/>
            <w:vAlign w:val="center"/>
            <w:hideMark/>
          </w:tcPr>
          <w:p w14:paraId="132724F6" w14:textId="77777777" w:rsidR="00EA4ADD" w:rsidRPr="00677CC7" w:rsidRDefault="00EA4ADD" w:rsidP="00EA4ADD">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756" w:type="dxa"/>
            <w:tcBorders>
              <w:top w:val="nil"/>
              <w:left w:val="nil"/>
              <w:bottom w:val="nil"/>
              <w:right w:val="nil"/>
            </w:tcBorders>
            <w:shd w:val="clear" w:color="auto" w:fill="auto"/>
            <w:vAlign w:val="center"/>
            <w:hideMark/>
          </w:tcPr>
          <w:p w14:paraId="5FC1AD62"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nil"/>
              <w:right w:val="nil"/>
            </w:tcBorders>
            <w:shd w:val="clear" w:color="auto" w:fill="auto"/>
            <w:vAlign w:val="center"/>
            <w:hideMark/>
          </w:tcPr>
          <w:p w14:paraId="24257566" w14:textId="77777777" w:rsidR="00EA4ADD" w:rsidRPr="00677CC7" w:rsidRDefault="00EA4ADD" w:rsidP="00EA4ADD">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 </w:t>
            </w:r>
          </w:p>
        </w:tc>
        <w:tc>
          <w:tcPr>
            <w:tcW w:w="625" w:type="dxa"/>
            <w:tcBorders>
              <w:top w:val="nil"/>
              <w:left w:val="nil"/>
              <w:bottom w:val="nil"/>
              <w:right w:val="nil"/>
            </w:tcBorders>
            <w:shd w:val="clear" w:color="auto" w:fill="auto"/>
            <w:vAlign w:val="center"/>
            <w:hideMark/>
          </w:tcPr>
          <w:p w14:paraId="4C159A01" w14:textId="01A9ECD2"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c>
          <w:tcPr>
            <w:tcW w:w="625" w:type="dxa"/>
            <w:tcBorders>
              <w:top w:val="nil"/>
              <w:left w:val="nil"/>
              <w:bottom w:val="nil"/>
              <w:right w:val="nil"/>
            </w:tcBorders>
            <w:shd w:val="clear" w:color="auto" w:fill="auto"/>
            <w:vAlign w:val="center"/>
            <w:hideMark/>
          </w:tcPr>
          <w:p w14:paraId="73C1EAEE" w14:textId="77777777" w:rsidR="00EA4ADD" w:rsidRPr="00677CC7" w:rsidRDefault="00EA4ADD" w:rsidP="00EA4ADD">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 </w:t>
            </w:r>
          </w:p>
        </w:tc>
        <w:tc>
          <w:tcPr>
            <w:tcW w:w="625" w:type="dxa"/>
            <w:tcBorders>
              <w:top w:val="nil"/>
              <w:left w:val="nil"/>
              <w:bottom w:val="nil"/>
              <w:right w:val="nil"/>
            </w:tcBorders>
            <w:shd w:val="clear" w:color="auto" w:fill="auto"/>
            <w:vAlign w:val="center"/>
            <w:hideMark/>
          </w:tcPr>
          <w:p w14:paraId="715EB31B" w14:textId="5D91AD21"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c>
          <w:tcPr>
            <w:tcW w:w="625" w:type="dxa"/>
            <w:tcBorders>
              <w:top w:val="nil"/>
              <w:left w:val="nil"/>
              <w:bottom w:val="nil"/>
              <w:right w:val="nil"/>
            </w:tcBorders>
            <w:shd w:val="clear" w:color="auto" w:fill="auto"/>
            <w:vAlign w:val="center"/>
            <w:hideMark/>
          </w:tcPr>
          <w:p w14:paraId="5909FC62" w14:textId="77777777" w:rsidR="00EA4ADD" w:rsidRPr="00677CC7" w:rsidRDefault="00EA4ADD" w:rsidP="00EA4ADD">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 </w:t>
            </w:r>
          </w:p>
        </w:tc>
        <w:tc>
          <w:tcPr>
            <w:tcW w:w="625" w:type="dxa"/>
            <w:tcBorders>
              <w:top w:val="nil"/>
              <w:left w:val="nil"/>
              <w:bottom w:val="nil"/>
              <w:right w:val="nil"/>
            </w:tcBorders>
            <w:shd w:val="clear" w:color="auto" w:fill="auto"/>
            <w:vAlign w:val="center"/>
            <w:hideMark/>
          </w:tcPr>
          <w:p w14:paraId="6F2412E4" w14:textId="5725FC96"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61,1</w:t>
            </w:r>
          </w:p>
        </w:tc>
        <w:tc>
          <w:tcPr>
            <w:tcW w:w="625" w:type="dxa"/>
            <w:tcBorders>
              <w:top w:val="nil"/>
              <w:left w:val="nil"/>
              <w:bottom w:val="nil"/>
              <w:right w:val="nil"/>
            </w:tcBorders>
            <w:shd w:val="clear" w:color="auto" w:fill="auto"/>
            <w:vAlign w:val="center"/>
            <w:hideMark/>
          </w:tcPr>
          <w:p w14:paraId="55F5A61E" w14:textId="77777777" w:rsidR="00EA4ADD" w:rsidRPr="00677CC7" w:rsidRDefault="00EA4ADD" w:rsidP="00EA4ADD">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 </w:t>
            </w:r>
          </w:p>
        </w:tc>
        <w:tc>
          <w:tcPr>
            <w:tcW w:w="625" w:type="dxa"/>
            <w:tcBorders>
              <w:top w:val="nil"/>
              <w:left w:val="nil"/>
              <w:bottom w:val="nil"/>
              <w:right w:val="nil"/>
            </w:tcBorders>
            <w:shd w:val="clear" w:color="auto" w:fill="auto"/>
            <w:vAlign w:val="center"/>
            <w:hideMark/>
          </w:tcPr>
          <w:p w14:paraId="4BF2BF50" w14:textId="421F7665"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63,1</w:t>
            </w:r>
          </w:p>
        </w:tc>
        <w:tc>
          <w:tcPr>
            <w:tcW w:w="625" w:type="dxa"/>
            <w:tcBorders>
              <w:top w:val="nil"/>
              <w:left w:val="nil"/>
              <w:bottom w:val="nil"/>
              <w:right w:val="nil"/>
            </w:tcBorders>
            <w:shd w:val="clear" w:color="auto" w:fill="auto"/>
            <w:vAlign w:val="center"/>
            <w:hideMark/>
          </w:tcPr>
          <w:p w14:paraId="3AA247EA" w14:textId="5C4A6401"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c>
          <w:tcPr>
            <w:tcW w:w="625" w:type="dxa"/>
            <w:tcBorders>
              <w:top w:val="nil"/>
              <w:left w:val="nil"/>
              <w:bottom w:val="single" w:sz="4" w:space="0" w:color="auto"/>
              <w:right w:val="nil"/>
            </w:tcBorders>
            <w:shd w:val="clear" w:color="auto" w:fill="auto"/>
            <w:vAlign w:val="center"/>
          </w:tcPr>
          <w:p w14:paraId="0A18D242" w14:textId="4A6CB30D"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62,4</w:t>
            </w:r>
          </w:p>
        </w:tc>
        <w:tc>
          <w:tcPr>
            <w:tcW w:w="625" w:type="dxa"/>
            <w:tcBorders>
              <w:top w:val="nil"/>
              <w:left w:val="nil"/>
              <w:bottom w:val="nil"/>
              <w:right w:val="nil"/>
            </w:tcBorders>
            <w:shd w:val="clear" w:color="auto" w:fill="auto"/>
            <w:vAlign w:val="center"/>
            <w:hideMark/>
          </w:tcPr>
          <w:p w14:paraId="7EADAC67" w14:textId="2B8AE250" w:rsidR="00EA4ADD" w:rsidRPr="00677CC7" w:rsidRDefault="00EA4ADD" w:rsidP="00EA4ADD">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r>
      <w:tr w:rsidR="00EA4ADD" w:rsidRPr="00677CC7" w14:paraId="50D11A03" w14:textId="77777777" w:rsidTr="00994161">
        <w:trPr>
          <w:trHeight w:val="188"/>
          <w:jc w:val="center"/>
        </w:trPr>
        <w:tc>
          <w:tcPr>
            <w:tcW w:w="625" w:type="dxa"/>
            <w:gridSpan w:val="2"/>
            <w:tcBorders>
              <w:top w:val="single" w:sz="4" w:space="0" w:color="auto"/>
              <w:left w:val="nil"/>
              <w:bottom w:val="single" w:sz="4" w:space="0" w:color="auto"/>
              <w:right w:val="nil"/>
            </w:tcBorders>
            <w:shd w:val="clear" w:color="000000" w:fill="A9D2F1"/>
          </w:tcPr>
          <w:p w14:paraId="36A82B12" w14:textId="77777777" w:rsidR="00EA4ADD" w:rsidRPr="00677CC7" w:rsidRDefault="00EA4ADD" w:rsidP="00EA4ADD">
            <w:pPr>
              <w:spacing w:after="0" w:line="240" w:lineRule="auto"/>
              <w:rPr>
                <w:rFonts w:ascii="Arial Narrow" w:hAnsi="Arial Narrow"/>
                <w:b/>
                <w:bCs/>
                <w:sz w:val="20"/>
                <w:szCs w:val="20"/>
                <w:lang w:val="en-US" w:eastAsia="en-US"/>
              </w:rPr>
            </w:pPr>
          </w:p>
        </w:tc>
        <w:tc>
          <w:tcPr>
            <w:tcW w:w="10206" w:type="dxa"/>
            <w:gridSpan w:val="15"/>
            <w:tcBorders>
              <w:top w:val="single" w:sz="4" w:space="0" w:color="auto"/>
              <w:left w:val="nil"/>
              <w:bottom w:val="single" w:sz="4" w:space="0" w:color="auto"/>
              <w:right w:val="nil"/>
            </w:tcBorders>
            <w:shd w:val="clear" w:color="000000" w:fill="A9D2F1"/>
            <w:noWrap/>
            <w:vAlign w:val="center"/>
            <w:hideMark/>
          </w:tcPr>
          <w:p w14:paraId="4E0C8181" w14:textId="17586F07" w:rsidR="00EA4ADD" w:rsidRPr="00677CC7" w:rsidRDefault="00EA4ADD" w:rsidP="00EA4ADD">
            <w:pPr>
              <w:spacing w:after="0" w:line="240" w:lineRule="auto"/>
              <w:rPr>
                <w:rFonts w:ascii="Arial Narrow" w:hAnsi="Arial Narrow"/>
                <w:b/>
                <w:bCs/>
                <w:sz w:val="20"/>
                <w:szCs w:val="20"/>
                <w:lang w:val="en-US" w:eastAsia="en-US"/>
              </w:rPr>
            </w:pPr>
            <w:proofErr w:type="spellStart"/>
            <w:r w:rsidRPr="00677CC7">
              <w:rPr>
                <w:rFonts w:ascii="Arial Narrow" w:hAnsi="Arial Narrow"/>
                <w:b/>
                <w:bCs/>
                <w:sz w:val="20"/>
                <w:szCs w:val="20"/>
                <w:lang w:val="en-US" w:eastAsia="en-US"/>
              </w:rPr>
              <w:t>Zdravie</w:t>
            </w:r>
            <w:proofErr w:type="spellEnd"/>
          </w:p>
        </w:tc>
      </w:tr>
      <w:tr w:rsidR="0028136A" w:rsidRPr="00677CC7" w14:paraId="6BFE7258" w14:textId="77777777" w:rsidTr="0028136A">
        <w:trPr>
          <w:gridAfter w:val="1"/>
          <w:wAfter w:w="10" w:type="dxa"/>
          <w:trHeight w:val="188"/>
          <w:jc w:val="center"/>
        </w:trPr>
        <w:tc>
          <w:tcPr>
            <w:tcW w:w="426" w:type="dxa"/>
            <w:tcBorders>
              <w:top w:val="nil"/>
              <w:left w:val="nil"/>
              <w:bottom w:val="nil"/>
              <w:right w:val="nil"/>
            </w:tcBorders>
            <w:shd w:val="clear" w:color="auto" w:fill="auto"/>
            <w:textDirection w:val="btLr"/>
            <w:vAlign w:val="center"/>
            <w:hideMark/>
          </w:tcPr>
          <w:p w14:paraId="00DFD15E" w14:textId="77777777" w:rsidR="0028136A" w:rsidRPr="00677CC7" w:rsidRDefault="0028136A" w:rsidP="0028136A">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 </w:t>
            </w:r>
          </w:p>
        </w:tc>
        <w:tc>
          <w:tcPr>
            <w:tcW w:w="425" w:type="dxa"/>
            <w:gridSpan w:val="2"/>
            <w:vMerge w:val="restart"/>
            <w:tcBorders>
              <w:top w:val="nil"/>
              <w:left w:val="nil"/>
              <w:right w:val="nil"/>
            </w:tcBorders>
            <w:shd w:val="clear" w:color="auto" w:fill="auto"/>
            <w:noWrap/>
            <w:vAlign w:val="center"/>
            <w:hideMark/>
          </w:tcPr>
          <w:p w14:paraId="256FA252" w14:textId="77777777" w:rsidR="0028136A" w:rsidRPr="00677CC7" w:rsidRDefault="0028136A" w:rsidP="0028136A">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20</w:t>
            </w:r>
          </w:p>
        </w:tc>
        <w:tc>
          <w:tcPr>
            <w:tcW w:w="2221" w:type="dxa"/>
            <w:vMerge w:val="restart"/>
            <w:tcBorders>
              <w:top w:val="nil"/>
              <w:left w:val="nil"/>
              <w:right w:val="nil"/>
            </w:tcBorders>
            <w:shd w:val="clear" w:color="auto" w:fill="auto"/>
            <w:noWrap/>
            <w:vAlign w:val="center"/>
            <w:hideMark/>
          </w:tcPr>
          <w:p w14:paraId="46B2ECD8" w14:textId="77777777" w:rsidR="0028136A" w:rsidRPr="00677CC7" w:rsidRDefault="0028136A" w:rsidP="0028136A">
            <w:pPr>
              <w:spacing w:after="0" w:line="240" w:lineRule="auto"/>
              <w:rPr>
                <w:rFonts w:ascii="Arial Narrow" w:hAnsi="Arial Narrow"/>
                <w:b/>
                <w:bCs/>
                <w:color w:val="000000"/>
                <w:sz w:val="20"/>
                <w:szCs w:val="20"/>
                <w:lang w:val="en-US" w:eastAsia="en-US"/>
              </w:rPr>
            </w:pPr>
            <w:proofErr w:type="spellStart"/>
            <w:r w:rsidRPr="00677CC7">
              <w:rPr>
                <w:rFonts w:ascii="Arial Narrow" w:hAnsi="Arial Narrow"/>
                <w:b/>
                <w:bCs/>
                <w:color w:val="000000"/>
                <w:sz w:val="20"/>
                <w:szCs w:val="20"/>
                <w:lang w:val="en-US" w:eastAsia="en-US"/>
              </w:rPr>
              <w:t>Roky</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zdravého</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života</w:t>
            </w:r>
            <w:proofErr w:type="spellEnd"/>
          </w:p>
          <w:p w14:paraId="593503A1" w14:textId="77777777" w:rsidR="0028136A" w:rsidRPr="00677CC7" w:rsidRDefault="0028136A" w:rsidP="0028136A">
            <w:pPr>
              <w:spacing w:after="0" w:line="240" w:lineRule="auto"/>
              <w:jc w:val="both"/>
              <w:rPr>
                <w:rFonts w:ascii="Arial Narrow" w:hAnsi="Arial Narrow"/>
                <w:b/>
                <w:bCs/>
                <w:color w:val="000000"/>
                <w:sz w:val="20"/>
                <w:szCs w:val="20"/>
                <w:lang w:val="en-US" w:eastAsia="en-US"/>
              </w:rPr>
            </w:pPr>
            <w:r w:rsidRPr="00677CC7">
              <w:rPr>
                <w:rFonts w:ascii="Arial Narrow" w:hAnsi="Arial Narrow"/>
                <w:color w:val="000000"/>
                <w:sz w:val="20"/>
                <w:szCs w:val="20"/>
                <w:lang w:val="en-US" w:eastAsia="en-US"/>
              </w:rPr>
              <w:t>(</w:t>
            </w:r>
            <w:proofErr w:type="spellStart"/>
            <w:r w:rsidRPr="00677CC7">
              <w:rPr>
                <w:rFonts w:ascii="Arial Narrow" w:hAnsi="Arial Narrow"/>
                <w:color w:val="000000"/>
                <w:sz w:val="20"/>
                <w:szCs w:val="20"/>
                <w:lang w:val="en-US" w:eastAsia="en-US"/>
              </w:rPr>
              <w:t>očakávaný</w:t>
            </w:r>
            <w:proofErr w:type="spellEnd"/>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počet</w:t>
            </w:r>
            <w:proofErr w:type="spellEnd"/>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rokov</w:t>
            </w:r>
            <w:proofErr w:type="spellEnd"/>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pri</w:t>
            </w:r>
            <w:proofErr w:type="spellEnd"/>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narodení</w:t>
            </w:r>
            <w:proofErr w:type="spellEnd"/>
            <w:r w:rsidRPr="00677CC7">
              <w:rPr>
                <w:rFonts w:ascii="Arial Narrow" w:hAnsi="Arial Narrow"/>
                <w:color w:val="000000"/>
                <w:sz w:val="20"/>
                <w:szCs w:val="20"/>
                <w:lang w:val="en-US" w:eastAsia="en-US"/>
              </w:rPr>
              <w:t>)</w:t>
            </w:r>
          </w:p>
        </w:tc>
        <w:tc>
          <w:tcPr>
            <w:tcW w:w="756" w:type="dxa"/>
            <w:tcBorders>
              <w:top w:val="nil"/>
              <w:left w:val="nil"/>
              <w:right w:val="nil"/>
            </w:tcBorders>
            <w:shd w:val="clear" w:color="auto" w:fill="auto"/>
            <w:vAlign w:val="center"/>
            <w:hideMark/>
          </w:tcPr>
          <w:p w14:paraId="167209FA" w14:textId="77777777" w:rsidR="0028136A" w:rsidRDefault="0028136A" w:rsidP="0028136A">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p w14:paraId="61D921E2" w14:textId="2FF573F1" w:rsidR="0028136A" w:rsidRPr="00677CC7" w:rsidRDefault="0028136A" w:rsidP="0028136A">
            <w:pPr>
              <w:spacing w:after="0" w:line="240" w:lineRule="auto"/>
              <w:jc w:val="center"/>
              <w:rPr>
                <w:rFonts w:ascii="Arial Narrow" w:hAnsi="Arial Narrow"/>
                <w:b/>
                <w:bCs/>
                <w:color w:val="000000"/>
                <w:sz w:val="20"/>
                <w:szCs w:val="20"/>
                <w:lang w:val="en-US" w:eastAsia="en-US"/>
              </w:rPr>
            </w:pPr>
            <w:proofErr w:type="spellStart"/>
            <w:r>
              <w:rPr>
                <w:rFonts w:ascii="Arial Narrow" w:hAnsi="Arial Narrow"/>
                <w:b/>
                <w:bCs/>
                <w:color w:val="000000"/>
                <w:sz w:val="20"/>
                <w:szCs w:val="20"/>
                <w:lang w:val="en-US" w:eastAsia="en-US"/>
              </w:rPr>
              <w:t>muži</w:t>
            </w:r>
            <w:proofErr w:type="spellEnd"/>
          </w:p>
        </w:tc>
        <w:tc>
          <w:tcPr>
            <w:tcW w:w="743" w:type="dxa"/>
            <w:tcBorders>
              <w:top w:val="nil"/>
              <w:left w:val="nil"/>
              <w:right w:val="nil"/>
            </w:tcBorders>
            <w:shd w:val="clear" w:color="auto" w:fill="auto"/>
            <w:vAlign w:val="center"/>
            <w:hideMark/>
          </w:tcPr>
          <w:p w14:paraId="61F5D89B" w14:textId="691B0D61"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52,1</w:t>
            </w:r>
          </w:p>
        </w:tc>
        <w:tc>
          <w:tcPr>
            <w:tcW w:w="625" w:type="dxa"/>
            <w:tcBorders>
              <w:top w:val="nil"/>
              <w:left w:val="nil"/>
              <w:right w:val="nil"/>
            </w:tcBorders>
            <w:shd w:val="clear" w:color="auto" w:fill="auto"/>
            <w:vAlign w:val="center"/>
            <w:hideMark/>
          </w:tcPr>
          <w:p w14:paraId="2F8395AA" w14:textId="3AE36AE4"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52,4</w:t>
            </w:r>
          </w:p>
        </w:tc>
        <w:tc>
          <w:tcPr>
            <w:tcW w:w="625" w:type="dxa"/>
            <w:tcBorders>
              <w:top w:val="nil"/>
              <w:left w:val="nil"/>
              <w:right w:val="nil"/>
            </w:tcBorders>
            <w:shd w:val="clear" w:color="auto" w:fill="auto"/>
            <w:vAlign w:val="center"/>
            <w:hideMark/>
          </w:tcPr>
          <w:p w14:paraId="66116F0D" w14:textId="2A47A677"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52,4</w:t>
            </w:r>
          </w:p>
        </w:tc>
        <w:tc>
          <w:tcPr>
            <w:tcW w:w="625" w:type="dxa"/>
            <w:tcBorders>
              <w:top w:val="nil"/>
              <w:left w:val="nil"/>
              <w:right w:val="nil"/>
            </w:tcBorders>
            <w:shd w:val="clear" w:color="auto" w:fill="auto"/>
            <w:vAlign w:val="center"/>
            <w:hideMark/>
          </w:tcPr>
          <w:p w14:paraId="45DE2CD3" w14:textId="6FDCC84F"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52,1</w:t>
            </w:r>
          </w:p>
        </w:tc>
        <w:tc>
          <w:tcPr>
            <w:tcW w:w="625" w:type="dxa"/>
            <w:tcBorders>
              <w:top w:val="nil"/>
              <w:left w:val="nil"/>
              <w:right w:val="nil"/>
            </w:tcBorders>
            <w:shd w:val="clear" w:color="auto" w:fill="auto"/>
            <w:vAlign w:val="center"/>
            <w:hideMark/>
          </w:tcPr>
          <w:p w14:paraId="776A7217" w14:textId="2F70104A"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53,4</w:t>
            </w:r>
          </w:p>
        </w:tc>
        <w:tc>
          <w:tcPr>
            <w:tcW w:w="625" w:type="dxa"/>
            <w:tcBorders>
              <w:top w:val="nil"/>
              <w:left w:val="nil"/>
              <w:right w:val="nil"/>
            </w:tcBorders>
            <w:shd w:val="clear" w:color="auto" w:fill="auto"/>
            <w:vAlign w:val="center"/>
            <w:hideMark/>
          </w:tcPr>
          <w:p w14:paraId="49A7DB95" w14:textId="68E3066C"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54,5</w:t>
            </w:r>
          </w:p>
        </w:tc>
        <w:tc>
          <w:tcPr>
            <w:tcW w:w="625" w:type="dxa"/>
            <w:tcBorders>
              <w:top w:val="nil"/>
              <w:left w:val="nil"/>
              <w:right w:val="nil"/>
            </w:tcBorders>
            <w:shd w:val="clear" w:color="auto" w:fill="auto"/>
            <w:vAlign w:val="center"/>
            <w:hideMark/>
          </w:tcPr>
          <w:p w14:paraId="479FCD74" w14:textId="38A1ABE5"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55,5</w:t>
            </w:r>
          </w:p>
        </w:tc>
        <w:tc>
          <w:tcPr>
            <w:tcW w:w="625" w:type="dxa"/>
            <w:tcBorders>
              <w:top w:val="nil"/>
              <w:left w:val="nil"/>
              <w:right w:val="nil"/>
            </w:tcBorders>
            <w:vAlign w:val="center"/>
            <w:hideMark/>
          </w:tcPr>
          <w:p w14:paraId="5899AB50" w14:textId="6333E167"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54,8</w:t>
            </w:r>
          </w:p>
        </w:tc>
        <w:tc>
          <w:tcPr>
            <w:tcW w:w="625" w:type="dxa"/>
            <w:tcBorders>
              <w:top w:val="nil"/>
              <w:left w:val="nil"/>
              <w:right w:val="nil"/>
            </w:tcBorders>
            <w:shd w:val="clear" w:color="auto" w:fill="auto"/>
            <w:vAlign w:val="center"/>
          </w:tcPr>
          <w:p w14:paraId="1A4E038B" w14:textId="3463DAE9" w:rsidR="0028136A" w:rsidRPr="00677CC7" w:rsidRDefault="0028136A" w:rsidP="0028136A">
            <w:pPr>
              <w:spacing w:after="0" w:line="240" w:lineRule="auto"/>
              <w:jc w:val="center"/>
              <w:rPr>
                <w:rFonts w:ascii="Times New Roman" w:hAnsi="Times New Roman"/>
                <w:sz w:val="20"/>
                <w:szCs w:val="20"/>
                <w:lang w:val="en-US" w:eastAsia="en-US"/>
              </w:rPr>
            </w:pPr>
          </w:p>
        </w:tc>
        <w:tc>
          <w:tcPr>
            <w:tcW w:w="625" w:type="dxa"/>
            <w:tcBorders>
              <w:top w:val="nil"/>
              <w:left w:val="nil"/>
              <w:right w:val="nil"/>
            </w:tcBorders>
            <w:shd w:val="clear" w:color="auto" w:fill="auto"/>
            <w:vAlign w:val="center"/>
          </w:tcPr>
          <w:p w14:paraId="65DBF3B3" w14:textId="765BA207" w:rsidR="0028136A" w:rsidRPr="00677CC7" w:rsidRDefault="0028136A" w:rsidP="0028136A">
            <w:pPr>
              <w:spacing w:after="0" w:line="240" w:lineRule="auto"/>
              <w:jc w:val="center"/>
              <w:rPr>
                <w:rFonts w:ascii="Arial Narrow" w:hAnsi="Arial Narrow"/>
                <w:color w:val="000000"/>
                <w:sz w:val="20"/>
                <w:szCs w:val="20"/>
                <w:lang w:val="en-US" w:eastAsia="en-US"/>
              </w:rPr>
            </w:pPr>
          </w:p>
        </w:tc>
        <w:tc>
          <w:tcPr>
            <w:tcW w:w="625" w:type="dxa"/>
            <w:tcBorders>
              <w:top w:val="nil"/>
              <w:left w:val="nil"/>
              <w:right w:val="nil"/>
            </w:tcBorders>
            <w:shd w:val="clear" w:color="auto" w:fill="auto"/>
            <w:vAlign w:val="center"/>
            <w:hideMark/>
          </w:tcPr>
          <w:p w14:paraId="3DEA990E" w14:textId="7C75BA0D" w:rsidR="0028136A" w:rsidRPr="00677CC7" w:rsidRDefault="0028136A" w:rsidP="0028136A">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59,0</w:t>
            </w:r>
          </w:p>
        </w:tc>
      </w:tr>
      <w:tr w:rsidR="0028136A" w:rsidRPr="00677CC7" w14:paraId="41DB2B4A" w14:textId="77777777" w:rsidTr="0028136A">
        <w:trPr>
          <w:gridAfter w:val="1"/>
          <w:wAfter w:w="10" w:type="dxa"/>
          <w:trHeight w:val="188"/>
          <w:jc w:val="center"/>
        </w:trPr>
        <w:tc>
          <w:tcPr>
            <w:tcW w:w="426" w:type="dxa"/>
            <w:tcBorders>
              <w:top w:val="nil"/>
              <w:left w:val="nil"/>
              <w:right w:val="nil"/>
            </w:tcBorders>
            <w:shd w:val="clear" w:color="auto" w:fill="auto"/>
            <w:textDirection w:val="btLr"/>
            <w:vAlign w:val="center"/>
          </w:tcPr>
          <w:p w14:paraId="595BE8A9" w14:textId="77777777" w:rsidR="0028136A" w:rsidRPr="00677CC7" w:rsidRDefault="0028136A" w:rsidP="0028136A">
            <w:pPr>
              <w:spacing w:after="0" w:line="240" w:lineRule="auto"/>
              <w:jc w:val="center"/>
              <w:rPr>
                <w:rFonts w:ascii="Arial Narrow" w:hAnsi="Arial Narrow"/>
                <w:b/>
                <w:bCs/>
                <w:color w:val="000000"/>
                <w:sz w:val="20"/>
                <w:szCs w:val="20"/>
                <w:lang w:val="en-US" w:eastAsia="en-US"/>
              </w:rPr>
            </w:pPr>
          </w:p>
        </w:tc>
        <w:tc>
          <w:tcPr>
            <w:tcW w:w="425" w:type="dxa"/>
            <w:gridSpan w:val="2"/>
            <w:vMerge/>
            <w:tcBorders>
              <w:left w:val="nil"/>
              <w:right w:val="nil"/>
            </w:tcBorders>
            <w:shd w:val="clear" w:color="auto" w:fill="auto"/>
            <w:noWrap/>
            <w:vAlign w:val="center"/>
          </w:tcPr>
          <w:p w14:paraId="35F989EA" w14:textId="77777777" w:rsidR="0028136A" w:rsidRDefault="0028136A" w:rsidP="0028136A">
            <w:pPr>
              <w:spacing w:after="0" w:line="240" w:lineRule="auto"/>
              <w:jc w:val="center"/>
              <w:rPr>
                <w:rFonts w:ascii="Arial Narrow" w:hAnsi="Arial Narrow"/>
                <w:b/>
                <w:bCs/>
                <w:color w:val="000000"/>
                <w:sz w:val="20"/>
                <w:szCs w:val="20"/>
                <w:lang w:val="en-US" w:eastAsia="en-US"/>
              </w:rPr>
            </w:pPr>
          </w:p>
        </w:tc>
        <w:tc>
          <w:tcPr>
            <w:tcW w:w="2221" w:type="dxa"/>
            <w:vMerge/>
            <w:tcBorders>
              <w:left w:val="nil"/>
              <w:right w:val="nil"/>
            </w:tcBorders>
            <w:shd w:val="clear" w:color="auto" w:fill="auto"/>
            <w:noWrap/>
            <w:vAlign w:val="center"/>
          </w:tcPr>
          <w:p w14:paraId="412CACC6" w14:textId="77777777" w:rsidR="0028136A" w:rsidRPr="00677CC7" w:rsidRDefault="0028136A" w:rsidP="0028136A">
            <w:pPr>
              <w:spacing w:after="0" w:line="240" w:lineRule="auto"/>
              <w:rPr>
                <w:rFonts w:ascii="Arial Narrow" w:hAnsi="Arial Narrow"/>
                <w:b/>
                <w:bCs/>
                <w:color w:val="000000"/>
                <w:sz w:val="20"/>
                <w:szCs w:val="20"/>
                <w:lang w:val="en-US" w:eastAsia="en-US"/>
              </w:rPr>
            </w:pPr>
          </w:p>
        </w:tc>
        <w:tc>
          <w:tcPr>
            <w:tcW w:w="756" w:type="dxa"/>
            <w:tcBorders>
              <w:top w:val="nil"/>
              <w:left w:val="nil"/>
              <w:bottom w:val="single" w:sz="4" w:space="0" w:color="auto"/>
              <w:right w:val="nil"/>
            </w:tcBorders>
            <w:shd w:val="clear" w:color="auto" w:fill="auto"/>
            <w:vAlign w:val="center"/>
          </w:tcPr>
          <w:p w14:paraId="6B75B0C4" w14:textId="77777777" w:rsidR="0028136A" w:rsidRDefault="0028136A" w:rsidP="0028136A">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EÚ</w:t>
            </w:r>
          </w:p>
          <w:p w14:paraId="69ED0ECE" w14:textId="51F2C891" w:rsidR="0028136A" w:rsidRPr="00677CC7" w:rsidRDefault="0028136A" w:rsidP="0028136A">
            <w:pPr>
              <w:spacing w:after="0" w:line="240" w:lineRule="auto"/>
              <w:jc w:val="center"/>
              <w:rPr>
                <w:rFonts w:ascii="Arial Narrow" w:hAnsi="Arial Narrow"/>
                <w:b/>
                <w:bCs/>
                <w:color w:val="000000"/>
                <w:sz w:val="20"/>
                <w:szCs w:val="20"/>
                <w:lang w:val="en-US" w:eastAsia="en-US"/>
              </w:rPr>
            </w:pPr>
            <w:proofErr w:type="spellStart"/>
            <w:r>
              <w:rPr>
                <w:rFonts w:ascii="Arial Narrow" w:hAnsi="Arial Narrow"/>
                <w:b/>
                <w:bCs/>
                <w:color w:val="000000"/>
                <w:sz w:val="20"/>
                <w:szCs w:val="20"/>
                <w:lang w:val="en-US" w:eastAsia="en-US"/>
              </w:rPr>
              <w:t>muži</w:t>
            </w:r>
            <w:proofErr w:type="spellEnd"/>
          </w:p>
        </w:tc>
        <w:tc>
          <w:tcPr>
            <w:tcW w:w="743" w:type="dxa"/>
            <w:tcBorders>
              <w:top w:val="nil"/>
              <w:left w:val="nil"/>
              <w:bottom w:val="single" w:sz="4" w:space="0" w:color="auto"/>
              <w:right w:val="nil"/>
            </w:tcBorders>
            <w:shd w:val="clear" w:color="auto" w:fill="auto"/>
            <w:vAlign w:val="center"/>
          </w:tcPr>
          <w:p w14:paraId="465DDDBC" w14:textId="585B20C8"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61,1</w:t>
            </w:r>
          </w:p>
        </w:tc>
        <w:tc>
          <w:tcPr>
            <w:tcW w:w="625" w:type="dxa"/>
            <w:tcBorders>
              <w:top w:val="nil"/>
              <w:left w:val="nil"/>
              <w:bottom w:val="single" w:sz="4" w:space="0" w:color="auto"/>
              <w:right w:val="nil"/>
            </w:tcBorders>
            <w:shd w:val="clear" w:color="auto" w:fill="auto"/>
            <w:vAlign w:val="center"/>
          </w:tcPr>
          <w:p w14:paraId="1A105A87" w14:textId="3B0575DE"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61,3</w:t>
            </w:r>
          </w:p>
        </w:tc>
        <w:tc>
          <w:tcPr>
            <w:tcW w:w="625" w:type="dxa"/>
            <w:tcBorders>
              <w:top w:val="nil"/>
              <w:left w:val="nil"/>
              <w:bottom w:val="single" w:sz="4" w:space="0" w:color="auto"/>
              <w:right w:val="nil"/>
            </w:tcBorders>
            <w:shd w:val="clear" w:color="auto" w:fill="auto"/>
            <w:vAlign w:val="center"/>
          </w:tcPr>
          <w:p w14:paraId="006DAFBC" w14:textId="5B879DFD"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61,8</w:t>
            </w:r>
          </w:p>
        </w:tc>
        <w:tc>
          <w:tcPr>
            <w:tcW w:w="625" w:type="dxa"/>
            <w:tcBorders>
              <w:top w:val="nil"/>
              <w:left w:val="nil"/>
              <w:bottom w:val="single" w:sz="4" w:space="0" w:color="auto"/>
              <w:right w:val="nil"/>
            </w:tcBorders>
            <w:shd w:val="clear" w:color="auto" w:fill="auto"/>
            <w:vAlign w:val="center"/>
          </w:tcPr>
          <w:p w14:paraId="0AFB65BD" w14:textId="7CC4D2AA"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61,7</w:t>
            </w:r>
          </w:p>
        </w:tc>
        <w:tc>
          <w:tcPr>
            <w:tcW w:w="625" w:type="dxa"/>
            <w:tcBorders>
              <w:top w:val="nil"/>
              <w:left w:val="nil"/>
              <w:bottom w:val="single" w:sz="4" w:space="0" w:color="auto"/>
              <w:right w:val="nil"/>
            </w:tcBorders>
            <w:shd w:val="clear" w:color="auto" w:fill="auto"/>
            <w:vAlign w:val="center"/>
          </w:tcPr>
          <w:p w14:paraId="697ABE1A" w14:textId="25D2C935"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61,5</w:t>
            </w:r>
          </w:p>
        </w:tc>
        <w:tc>
          <w:tcPr>
            <w:tcW w:w="625" w:type="dxa"/>
            <w:tcBorders>
              <w:top w:val="nil"/>
              <w:left w:val="nil"/>
              <w:bottom w:val="single" w:sz="4" w:space="0" w:color="auto"/>
              <w:right w:val="nil"/>
            </w:tcBorders>
            <w:shd w:val="clear" w:color="auto" w:fill="auto"/>
            <w:vAlign w:val="center"/>
          </w:tcPr>
          <w:p w14:paraId="24DBEADD" w14:textId="227DBD10"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61,4</w:t>
            </w:r>
          </w:p>
        </w:tc>
        <w:tc>
          <w:tcPr>
            <w:tcW w:w="625" w:type="dxa"/>
            <w:tcBorders>
              <w:top w:val="nil"/>
              <w:left w:val="nil"/>
              <w:bottom w:val="single" w:sz="4" w:space="0" w:color="auto"/>
              <w:right w:val="nil"/>
            </w:tcBorders>
            <w:shd w:val="clear" w:color="auto" w:fill="auto"/>
            <w:vAlign w:val="center"/>
          </w:tcPr>
          <w:p w14:paraId="23CDE260" w14:textId="4CCADB3D"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61,4</w:t>
            </w:r>
          </w:p>
        </w:tc>
        <w:tc>
          <w:tcPr>
            <w:tcW w:w="625" w:type="dxa"/>
            <w:tcBorders>
              <w:top w:val="nil"/>
              <w:left w:val="nil"/>
              <w:bottom w:val="single" w:sz="4" w:space="0" w:color="auto"/>
              <w:right w:val="nil"/>
            </w:tcBorders>
            <w:vAlign w:val="center"/>
          </w:tcPr>
          <w:p w14:paraId="2C72384B" w14:textId="1D49977E" w:rsidR="0028136A"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62,6</w:t>
            </w:r>
          </w:p>
        </w:tc>
        <w:tc>
          <w:tcPr>
            <w:tcW w:w="625" w:type="dxa"/>
            <w:tcBorders>
              <w:top w:val="nil"/>
              <w:left w:val="nil"/>
              <w:bottom w:val="single" w:sz="4" w:space="0" w:color="auto"/>
              <w:right w:val="nil"/>
            </w:tcBorders>
            <w:shd w:val="clear" w:color="auto" w:fill="auto"/>
            <w:vAlign w:val="center"/>
          </w:tcPr>
          <w:p w14:paraId="34E670A9" w14:textId="0FD62828" w:rsidR="0028136A" w:rsidRPr="00677CC7" w:rsidRDefault="0028136A" w:rsidP="0028136A">
            <w:pPr>
              <w:spacing w:after="0" w:line="240" w:lineRule="auto"/>
              <w:jc w:val="center"/>
              <w:rPr>
                <w:rFonts w:ascii="Times New Roman" w:hAnsi="Times New Roman"/>
                <w:sz w:val="20"/>
                <w:szCs w:val="20"/>
                <w:lang w:val="en-US" w:eastAsia="en-US"/>
              </w:rPr>
            </w:pPr>
          </w:p>
        </w:tc>
        <w:tc>
          <w:tcPr>
            <w:tcW w:w="625" w:type="dxa"/>
            <w:tcBorders>
              <w:top w:val="nil"/>
              <w:left w:val="nil"/>
              <w:bottom w:val="single" w:sz="4" w:space="0" w:color="auto"/>
              <w:right w:val="nil"/>
            </w:tcBorders>
            <w:shd w:val="clear" w:color="auto" w:fill="auto"/>
            <w:vAlign w:val="center"/>
          </w:tcPr>
          <w:p w14:paraId="077CCDF4" w14:textId="75D1E1F3" w:rsidR="0028136A" w:rsidRPr="00677CC7" w:rsidRDefault="0028136A" w:rsidP="0028136A">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tcPr>
          <w:p w14:paraId="59F5B2DA" w14:textId="4B6F7198" w:rsidR="0028136A" w:rsidRPr="00677CC7" w:rsidRDefault="0028136A" w:rsidP="0028136A">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r>
      <w:tr w:rsidR="00B835DA" w:rsidRPr="00677CC7" w14:paraId="1AFA4A3E" w14:textId="77777777" w:rsidTr="0028136A">
        <w:trPr>
          <w:gridAfter w:val="1"/>
          <w:wAfter w:w="10" w:type="dxa"/>
          <w:trHeight w:val="188"/>
          <w:jc w:val="center"/>
        </w:trPr>
        <w:tc>
          <w:tcPr>
            <w:tcW w:w="426" w:type="dxa"/>
            <w:tcBorders>
              <w:top w:val="nil"/>
              <w:left w:val="nil"/>
              <w:right w:val="nil"/>
            </w:tcBorders>
            <w:shd w:val="clear" w:color="auto" w:fill="auto"/>
            <w:textDirection w:val="btLr"/>
            <w:vAlign w:val="center"/>
            <w:hideMark/>
          </w:tcPr>
          <w:p w14:paraId="1B758605" w14:textId="1D0B34BC" w:rsidR="0028136A" w:rsidRPr="00677CC7" w:rsidRDefault="0028136A" w:rsidP="0028136A">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 </w:t>
            </w:r>
          </w:p>
        </w:tc>
        <w:tc>
          <w:tcPr>
            <w:tcW w:w="425" w:type="dxa"/>
            <w:gridSpan w:val="2"/>
            <w:vMerge/>
            <w:tcBorders>
              <w:left w:val="nil"/>
              <w:right w:val="nil"/>
            </w:tcBorders>
            <w:vAlign w:val="center"/>
            <w:hideMark/>
          </w:tcPr>
          <w:p w14:paraId="06A31E99" w14:textId="77777777" w:rsidR="0028136A" w:rsidRPr="00677CC7" w:rsidRDefault="0028136A" w:rsidP="0028136A">
            <w:pPr>
              <w:spacing w:after="0" w:line="240" w:lineRule="auto"/>
              <w:jc w:val="center"/>
              <w:rPr>
                <w:rFonts w:ascii="Arial Narrow" w:hAnsi="Arial Narrow"/>
                <w:b/>
                <w:bCs/>
                <w:color w:val="000000"/>
                <w:sz w:val="20"/>
                <w:szCs w:val="20"/>
                <w:lang w:val="en-US" w:eastAsia="en-US"/>
              </w:rPr>
            </w:pPr>
          </w:p>
        </w:tc>
        <w:tc>
          <w:tcPr>
            <w:tcW w:w="2221" w:type="dxa"/>
            <w:vMerge/>
            <w:tcBorders>
              <w:left w:val="nil"/>
              <w:right w:val="nil"/>
            </w:tcBorders>
            <w:shd w:val="clear" w:color="auto" w:fill="auto"/>
            <w:noWrap/>
            <w:vAlign w:val="center"/>
            <w:hideMark/>
          </w:tcPr>
          <w:p w14:paraId="3AD99093" w14:textId="77777777" w:rsidR="0028136A" w:rsidRPr="00677CC7" w:rsidRDefault="0028136A" w:rsidP="0028136A">
            <w:pPr>
              <w:spacing w:after="0" w:line="240" w:lineRule="auto"/>
              <w:jc w:val="both"/>
              <w:rPr>
                <w:rFonts w:ascii="Arial Narrow" w:hAnsi="Arial Narrow"/>
                <w:color w:val="000000"/>
                <w:sz w:val="20"/>
                <w:szCs w:val="20"/>
                <w:lang w:val="en-US" w:eastAsia="en-US"/>
              </w:rPr>
            </w:pPr>
          </w:p>
        </w:tc>
        <w:tc>
          <w:tcPr>
            <w:tcW w:w="756" w:type="dxa"/>
            <w:tcBorders>
              <w:top w:val="single" w:sz="4" w:space="0" w:color="auto"/>
              <w:left w:val="nil"/>
              <w:right w:val="nil"/>
            </w:tcBorders>
            <w:shd w:val="clear" w:color="auto" w:fill="auto"/>
            <w:vAlign w:val="center"/>
            <w:hideMark/>
          </w:tcPr>
          <w:p w14:paraId="684DEA56" w14:textId="77777777" w:rsidR="0028136A" w:rsidRDefault="0028136A" w:rsidP="0028136A">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 xml:space="preserve">SK </w:t>
            </w:r>
          </w:p>
          <w:p w14:paraId="478C2BB2" w14:textId="4840A4F6" w:rsidR="0028136A" w:rsidRPr="00677CC7" w:rsidRDefault="0028136A" w:rsidP="0028136A">
            <w:pPr>
              <w:spacing w:after="0" w:line="240" w:lineRule="auto"/>
              <w:jc w:val="center"/>
              <w:rPr>
                <w:rFonts w:ascii="Arial Narrow" w:hAnsi="Arial Narrow"/>
                <w:b/>
                <w:bCs/>
                <w:color w:val="000000"/>
                <w:sz w:val="20"/>
                <w:szCs w:val="20"/>
                <w:lang w:val="en-US" w:eastAsia="en-US"/>
              </w:rPr>
            </w:pPr>
            <w:proofErr w:type="spellStart"/>
            <w:r>
              <w:rPr>
                <w:rFonts w:ascii="Arial Narrow" w:hAnsi="Arial Narrow"/>
                <w:b/>
                <w:bCs/>
                <w:color w:val="000000"/>
                <w:sz w:val="20"/>
                <w:szCs w:val="20"/>
                <w:lang w:val="en-US" w:eastAsia="en-US"/>
              </w:rPr>
              <w:t>ženy</w:t>
            </w:r>
            <w:proofErr w:type="spellEnd"/>
          </w:p>
        </w:tc>
        <w:tc>
          <w:tcPr>
            <w:tcW w:w="743" w:type="dxa"/>
            <w:tcBorders>
              <w:top w:val="single" w:sz="4" w:space="0" w:color="auto"/>
              <w:left w:val="nil"/>
              <w:bottom w:val="nil"/>
              <w:right w:val="nil"/>
            </w:tcBorders>
            <w:shd w:val="clear" w:color="auto" w:fill="auto"/>
            <w:vAlign w:val="center"/>
            <w:hideMark/>
          </w:tcPr>
          <w:p w14:paraId="677532C3" w14:textId="232F2A92"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52,5</w:t>
            </w:r>
          </w:p>
        </w:tc>
        <w:tc>
          <w:tcPr>
            <w:tcW w:w="625" w:type="dxa"/>
            <w:tcBorders>
              <w:top w:val="single" w:sz="4" w:space="0" w:color="auto"/>
              <w:left w:val="nil"/>
              <w:bottom w:val="nil"/>
              <w:right w:val="nil"/>
            </w:tcBorders>
            <w:shd w:val="clear" w:color="auto" w:fill="auto"/>
            <w:vAlign w:val="center"/>
            <w:hideMark/>
          </w:tcPr>
          <w:p w14:paraId="162960A6" w14:textId="6111335B"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52,6</w:t>
            </w:r>
          </w:p>
        </w:tc>
        <w:tc>
          <w:tcPr>
            <w:tcW w:w="625" w:type="dxa"/>
            <w:tcBorders>
              <w:top w:val="single" w:sz="4" w:space="0" w:color="auto"/>
              <w:left w:val="nil"/>
              <w:bottom w:val="nil"/>
              <w:right w:val="nil"/>
            </w:tcBorders>
            <w:shd w:val="clear" w:color="auto" w:fill="auto"/>
            <w:vAlign w:val="center"/>
            <w:hideMark/>
          </w:tcPr>
          <w:p w14:paraId="4C6D72CE" w14:textId="5AEAE2DE"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52,0</w:t>
            </w:r>
          </w:p>
        </w:tc>
        <w:tc>
          <w:tcPr>
            <w:tcW w:w="625" w:type="dxa"/>
            <w:tcBorders>
              <w:top w:val="single" w:sz="4" w:space="0" w:color="auto"/>
              <w:left w:val="nil"/>
              <w:bottom w:val="nil"/>
              <w:right w:val="nil"/>
            </w:tcBorders>
            <w:shd w:val="clear" w:color="auto" w:fill="auto"/>
            <w:vAlign w:val="center"/>
            <w:hideMark/>
          </w:tcPr>
          <w:p w14:paraId="1DDA3303" w14:textId="4014FCFE"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52,3</w:t>
            </w:r>
          </w:p>
        </w:tc>
        <w:tc>
          <w:tcPr>
            <w:tcW w:w="625" w:type="dxa"/>
            <w:tcBorders>
              <w:top w:val="single" w:sz="4" w:space="0" w:color="auto"/>
              <w:left w:val="nil"/>
              <w:bottom w:val="nil"/>
              <w:right w:val="nil"/>
            </w:tcBorders>
            <w:shd w:val="clear" w:color="auto" w:fill="auto"/>
            <w:vAlign w:val="center"/>
            <w:hideMark/>
          </w:tcPr>
          <w:p w14:paraId="56E3BC53" w14:textId="5C062A89"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53,1</w:t>
            </w:r>
          </w:p>
        </w:tc>
        <w:tc>
          <w:tcPr>
            <w:tcW w:w="625" w:type="dxa"/>
            <w:tcBorders>
              <w:top w:val="single" w:sz="4" w:space="0" w:color="auto"/>
              <w:left w:val="nil"/>
              <w:bottom w:val="nil"/>
              <w:right w:val="nil"/>
            </w:tcBorders>
            <w:shd w:val="clear" w:color="auto" w:fill="auto"/>
            <w:vAlign w:val="center"/>
            <w:hideMark/>
          </w:tcPr>
          <w:p w14:paraId="79BCABDE" w14:textId="0FDC6837"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54,3</w:t>
            </w:r>
          </w:p>
        </w:tc>
        <w:tc>
          <w:tcPr>
            <w:tcW w:w="625" w:type="dxa"/>
            <w:tcBorders>
              <w:top w:val="single" w:sz="4" w:space="0" w:color="auto"/>
              <w:left w:val="nil"/>
              <w:bottom w:val="nil"/>
              <w:right w:val="nil"/>
            </w:tcBorders>
            <w:shd w:val="clear" w:color="auto" w:fill="auto"/>
            <w:vAlign w:val="center"/>
            <w:hideMark/>
          </w:tcPr>
          <w:p w14:paraId="561A5D2E" w14:textId="523310BA"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54,6</w:t>
            </w:r>
          </w:p>
        </w:tc>
        <w:tc>
          <w:tcPr>
            <w:tcW w:w="625" w:type="dxa"/>
            <w:tcBorders>
              <w:top w:val="single" w:sz="4" w:space="0" w:color="auto"/>
              <w:left w:val="nil"/>
              <w:bottom w:val="nil"/>
              <w:right w:val="nil"/>
            </w:tcBorders>
            <w:vAlign w:val="center"/>
            <w:hideMark/>
          </w:tcPr>
          <w:p w14:paraId="4C759F87" w14:textId="32DD8074"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55,1</w:t>
            </w:r>
          </w:p>
        </w:tc>
        <w:tc>
          <w:tcPr>
            <w:tcW w:w="625" w:type="dxa"/>
            <w:tcBorders>
              <w:top w:val="single" w:sz="4" w:space="0" w:color="auto"/>
              <w:left w:val="nil"/>
              <w:bottom w:val="nil"/>
              <w:right w:val="nil"/>
            </w:tcBorders>
            <w:shd w:val="clear" w:color="auto" w:fill="auto"/>
            <w:vAlign w:val="center"/>
          </w:tcPr>
          <w:p w14:paraId="5775D482" w14:textId="1C5E1477" w:rsidR="0028136A" w:rsidRPr="00677CC7" w:rsidRDefault="0028136A" w:rsidP="0028136A">
            <w:pPr>
              <w:spacing w:after="0" w:line="240" w:lineRule="auto"/>
              <w:jc w:val="center"/>
              <w:rPr>
                <w:rFonts w:ascii="Arial Narrow" w:hAnsi="Arial Narrow"/>
                <w:color w:val="000000"/>
                <w:sz w:val="20"/>
                <w:szCs w:val="20"/>
                <w:lang w:val="en-US" w:eastAsia="en-US"/>
              </w:rPr>
            </w:pPr>
          </w:p>
        </w:tc>
        <w:tc>
          <w:tcPr>
            <w:tcW w:w="625" w:type="dxa"/>
            <w:tcBorders>
              <w:top w:val="single" w:sz="4" w:space="0" w:color="auto"/>
              <w:left w:val="nil"/>
              <w:bottom w:val="nil"/>
              <w:right w:val="nil"/>
            </w:tcBorders>
            <w:shd w:val="clear" w:color="auto" w:fill="auto"/>
            <w:vAlign w:val="center"/>
          </w:tcPr>
          <w:p w14:paraId="0A06A5F9" w14:textId="25CF4A32" w:rsidR="0028136A" w:rsidRPr="00677CC7" w:rsidRDefault="0028136A" w:rsidP="0028136A">
            <w:pPr>
              <w:spacing w:after="0" w:line="240" w:lineRule="auto"/>
              <w:jc w:val="center"/>
              <w:rPr>
                <w:rFonts w:ascii="Arial Narrow" w:hAnsi="Arial Narrow"/>
                <w:color w:val="000000"/>
                <w:sz w:val="20"/>
                <w:szCs w:val="20"/>
                <w:lang w:val="en-US" w:eastAsia="en-US"/>
              </w:rPr>
            </w:pPr>
          </w:p>
        </w:tc>
        <w:tc>
          <w:tcPr>
            <w:tcW w:w="625" w:type="dxa"/>
            <w:tcBorders>
              <w:top w:val="single" w:sz="4" w:space="0" w:color="auto"/>
              <w:left w:val="nil"/>
              <w:right w:val="nil"/>
            </w:tcBorders>
            <w:shd w:val="clear" w:color="auto" w:fill="auto"/>
            <w:vAlign w:val="center"/>
            <w:hideMark/>
          </w:tcPr>
          <w:p w14:paraId="5E667097" w14:textId="10660C0A" w:rsidR="0028136A" w:rsidRPr="00677CC7" w:rsidRDefault="0028136A" w:rsidP="0028136A">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62</w:t>
            </w:r>
          </w:p>
        </w:tc>
      </w:tr>
      <w:tr w:rsidR="0028136A" w:rsidRPr="00677CC7" w14:paraId="5FA00A3B" w14:textId="77777777" w:rsidTr="00E336C7">
        <w:trPr>
          <w:gridAfter w:val="1"/>
          <w:wAfter w:w="10" w:type="dxa"/>
          <w:trHeight w:val="188"/>
          <w:jc w:val="center"/>
        </w:trPr>
        <w:tc>
          <w:tcPr>
            <w:tcW w:w="426" w:type="dxa"/>
            <w:tcBorders>
              <w:left w:val="nil"/>
              <w:bottom w:val="single" w:sz="4" w:space="0" w:color="auto"/>
              <w:right w:val="nil"/>
            </w:tcBorders>
            <w:shd w:val="clear" w:color="auto" w:fill="auto"/>
            <w:textDirection w:val="btLr"/>
            <w:vAlign w:val="center"/>
          </w:tcPr>
          <w:p w14:paraId="485677F0" w14:textId="1023CB73" w:rsidR="0028136A" w:rsidRPr="00677CC7" w:rsidRDefault="0028136A" w:rsidP="0028136A">
            <w:pPr>
              <w:spacing w:after="0" w:line="240" w:lineRule="auto"/>
              <w:jc w:val="center"/>
              <w:rPr>
                <w:rFonts w:ascii="Arial Narrow" w:hAnsi="Arial Narrow"/>
                <w:b/>
                <w:bCs/>
                <w:color w:val="000000"/>
                <w:sz w:val="20"/>
                <w:szCs w:val="20"/>
                <w:lang w:val="en-US" w:eastAsia="en-US"/>
              </w:rPr>
            </w:pPr>
          </w:p>
        </w:tc>
        <w:tc>
          <w:tcPr>
            <w:tcW w:w="425" w:type="dxa"/>
            <w:gridSpan w:val="2"/>
            <w:vMerge/>
            <w:tcBorders>
              <w:left w:val="nil"/>
              <w:right w:val="nil"/>
            </w:tcBorders>
            <w:vAlign w:val="center"/>
          </w:tcPr>
          <w:p w14:paraId="38440B0E" w14:textId="77777777" w:rsidR="0028136A" w:rsidRPr="00677CC7" w:rsidRDefault="0028136A" w:rsidP="0028136A">
            <w:pPr>
              <w:spacing w:after="0" w:line="240" w:lineRule="auto"/>
              <w:jc w:val="center"/>
              <w:rPr>
                <w:rFonts w:ascii="Arial Narrow" w:hAnsi="Arial Narrow"/>
                <w:b/>
                <w:bCs/>
                <w:color w:val="000000"/>
                <w:sz w:val="20"/>
                <w:szCs w:val="20"/>
                <w:lang w:val="en-US" w:eastAsia="en-US"/>
              </w:rPr>
            </w:pPr>
          </w:p>
        </w:tc>
        <w:tc>
          <w:tcPr>
            <w:tcW w:w="2221" w:type="dxa"/>
            <w:vMerge/>
            <w:tcBorders>
              <w:left w:val="nil"/>
              <w:bottom w:val="single" w:sz="4" w:space="0" w:color="auto"/>
              <w:right w:val="nil"/>
            </w:tcBorders>
            <w:shd w:val="clear" w:color="auto" w:fill="auto"/>
            <w:noWrap/>
            <w:vAlign w:val="center"/>
          </w:tcPr>
          <w:p w14:paraId="2568DBE6" w14:textId="77777777" w:rsidR="0028136A" w:rsidRPr="00677CC7" w:rsidRDefault="0028136A" w:rsidP="0028136A">
            <w:pPr>
              <w:spacing w:after="0" w:line="240" w:lineRule="auto"/>
              <w:jc w:val="both"/>
              <w:rPr>
                <w:rFonts w:ascii="Arial Narrow" w:hAnsi="Arial Narrow"/>
                <w:color w:val="000000"/>
                <w:sz w:val="20"/>
                <w:szCs w:val="20"/>
                <w:lang w:val="en-US" w:eastAsia="en-US"/>
              </w:rPr>
            </w:pPr>
          </w:p>
        </w:tc>
        <w:tc>
          <w:tcPr>
            <w:tcW w:w="756" w:type="dxa"/>
            <w:tcBorders>
              <w:left w:val="nil"/>
              <w:bottom w:val="single" w:sz="4" w:space="0" w:color="auto"/>
              <w:right w:val="nil"/>
            </w:tcBorders>
            <w:shd w:val="clear" w:color="auto" w:fill="auto"/>
            <w:vAlign w:val="center"/>
          </w:tcPr>
          <w:p w14:paraId="2EA71078" w14:textId="77777777" w:rsidR="0028136A" w:rsidRDefault="0028136A" w:rsidP="0028136A">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 xml:space="preserve">EÚ </w:t>
            </w:r>
          </w:p>
          <w:p w14:paraId="42C8C8CB" w14:textId="6DF946E1" w:rsidR="0028136A" w:rsidRPr="00677CC7" w:rsidRDefault="0028136A" w:rsidP="0028136A">
            <w:pPr>
              <w:spacing w:after="0" w:line="240" w:lineRule="auto"/>
              <w:jc w:val="center"/>
              <w:rPr>
                <w:rFonts w:ascii="Arial Narrow" w:hAnsi="Arial Narrow"/>
                <w:b/>
                <w:bCs/>
                <w:color w:val="000000"/>
                <w:sz w:val="20"/>
                <w:szCs w:val="20"/>
                <w:lang w:val="en-US" w:eastAsia="en-US"/>
              </w:rPr>
            </w:pPr>
            <w:proofErr w:type="spellStart"/>
            <w:r>
              <w:rPr>
                <w:rFonts w:ascii="Arial Narrow" w:hAnsi="Arial Narrow"/>
                <w:b/>
                <w:bCs/>
                <w:color w:val="000000"/>
                <w:sz w:val="20"/>
                <w:szCs w:val="20"/>
                <w:lang w:val="en-US" w:eastAsia="en-US"/>
              </w:rPr>
              <w:t>ženy</w:t>
            </w:r>
            <w:proofErr w:type="spellEnd"/>
          </w:p>
        </w:tc>
        <w:tc>
          <w:tcPr>
            <w:tcW w:w="743" w:type="dxa"/>
            <w:tcBorders>
              <w:top w:val="nil"/>
              <w:left w:val="nil"/>
              <w:bottom w:val="single" w:sz="4" w:space="0" w:color="auto"/>
              <w:right w:val="nil"/>
            </w:tcBorders>
            <w:shd w:val="clear" w:color="auto" w:fill="auto"/>
            <w:vAlign w:val="center"/>
          </w:tcPr>
          <w:p w14:paraId="2BCBDD1A" w14:textId="7695B1C9"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62,2</w:t>
            </w:r>
          </w:p>
        </w:tc>
        <w:tc>
          <w:tcPr>
            <w:tcW w:w="625" w:type="dxa"/>
            <w:tcBorders>
              <w:top w:val="nil"/>
              <w:left w:val="nil"/>
              <w:bottom w:val="single" w:sz="4" w:space="0" w:color="auto"/>
              <w:right w:val="nil"/>
            </w:tcBorders>
            <w:shd w:val="clear" w:color="auto" w:fill="auto"/>
            <w:vAlign w:val="center"/>
          </w:tcPr>
          <w:p w14:paraId="46EE019E" w14:textId="67D26F71"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62,0</w:t>
            </w:r>
          </w:p>
        </w:tc>
        <w:tc>
          <w:tcPr>
            <w:tcW w:w="625" w:type="dxa"/>
            <w:tcBorders>
              <w:top w:val="nil"/>
              <w:left w:val="nil"/>
              <w:bottom w:val="single" w:sz="4" w:space="0" w:color="auto"/>
              <w:right w:val="nil"/>
            </w:tcBorders>
            <w:shd w:val="clear" w:color="auto" w:fill="auto"/>
            <w:vAlign w:val="center"/>
          </w:tcPr>
          <w:p w14:paraId="33C0D5B4" w14:textId="0F0A32F9"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62,6</w:t>
            </w:r>
          </w:p>
        </w:tc>
        <w:tc>
          <w:tcPr>
            <w:tcW w:w="625" w:type="dxa"/>
            <w:tcBorders>
              <w:top w:val="nil"/>
              <w:left w:val="nil"/>
              <w:bottom w:val="single" w:sz="4" w:space="0" w:color="auto"/>
              <w:right w:val="nil"/>
            </w:tcBorders>
            <w:shd w:val="clear" w:color="auto" w:fill="auto"/>
            <w:vAlign w:val="center"/>
          </w:tcPr>
          <w:p w14:paraId="07D322ED" w14:textId="155223AC"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62,1</w:t>
            </w:r>
          </w:p>
        </w:tc>
        <w:tc>
          <w:tcPr>
            <w:tcW w:w="625" w:type="dxa"/>
            <w:tcBorders>
              <w:top w:val="nil"/>
              <w:left w:val="nil"/>
              <w:bottom w:val="single" w:sz="4" w:space="0" w:color="auto"/>
              <w:right w:val="nil"/>
            </w:tcBorders>
            <w:shd w:val="clear" w:color="auto" w:fill="auto"/>
            <w:vAlign w:val="center"/>
          </w:tcPr>
          <w:p w14:paraId="49EF8AFB" w14:textId="0B2F2D38"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62,1</w:t>
            </w:r>
          </w:p>
        </w:tc>
        <w:tc>
          <w:tcPr>
            <w:tcW w:w="625" w:type="dxa"/>
            <w:tcBorders>
              <w:top w:val="nil"/>
              <w:left w:val="nil"/>
              <w:bottom w:val="single" w:sz="4" w:space="0" w:color="auto"/>
              <w:right w:val="nil"/>
            </w:tcBorders>
            <w:shd w:val="clear" w:color="auto" w:fill="auto"/>
            <w:vAlign w:val="center"/>
          </w:tcPr>
          <w:p w14:paraId="05B39175" w14:textId="2BE66582"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61,5</w:t>
            </w:r>
          </w:p>
        </w:tc>
        <w:tc>
          <w:tcPr>
            <w:tcW w:w="625" w:type="dxa"/>
            <w:tcBorders>
              <w:top w:val="nil"/>
              <w:left w:val="nil"/>
              <w:bottom w:val="single" w:sz="4" w:space="0" w:color="auto"/>
              <w:right w:val="nil"/>
            </w:tcBorders>
            <w:shd w:val="clear" w:color="auto" w:fill="auto"/>
            <w:vAlign w:val="center"/>
          </w:tcPr>
          <w:p w14:paraId="54DFF9EA" w14:textId="40D0ED7D"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61,8</w:t>
            </w:r>
          </w:p>
        </w:tc>
        <w:tc>
          <w:tcPr>
            <w:tcW w:w="625" w:type="dxa"/>
            <w:tcBorders>
              <w:top w:val="nil"/>
              <w:left w:val="nil"/>
              <w:bottom w:val="single" w:sz="4" w:space="0" w:color="auto"/>
              <w:right w:val="nil"/>
            </w:tcBorders>
            <w:vAlign w:val="center"/>
          </w:tcPr>
          <w:p w14:paraId="2F8359A1" w14:textId="2A33B645" w:rsidR="0028136A" w:rsidRPr="00677CC7" w:rsidRDefault="0028136A" w:rsidP="0028136A">
            <w:pPr>
              <w:spacing w:after="0" w:line="240" w:lineRule="auto"/>
              <w:jc w:val="center"/>
              <w:rPr>
                <w:rFonts w:ascii="Arial Narrow" w:hAnsi="Arial Narrow"/>
                <w:color w:val="000000"/>
                <w:sz w:val="20"/>
                <w:szCs w:val="20"/>
                <w:lang w:val="en-US" w:eastAsia="en-US"/>
              </w:rPr>
            </w:pPr>
            <w:r w:rsidRPr="006A552D">
              <w:rPr>
                <w:rFonts w:ascii="Arial Narrow" w:hAnsi="Arial Narrow"/>
                <w:color w:val="000000"/>
                <w:sz w:val="20"/>
                <w:szCs w:val="20"/>
              </w:rPr>
              <w:t>63,3</w:t>
            </w:r>
          </w:p>
        </w:tc>
        <w:tc>
          <w:tcPr>
            <w:tcW w:w="625" w:type="dxa"/>
            <w:tcBorders>
              <w:top w:val="nil"/>
              <w:left w:val="nil"/>
              <w:bottom w:val="single" w:sz="4" w:space="0" w:color="auto"/>
              <w:right w:val="nil"/>
            </w:tcBorders>
            <w:shd w:val="clear" w:color="auto" w:fill="auto"/>
            <w:vAlign w:val="center"/>
          </w:tcPr>
          <w:p w14:paraId="5D12443D" w14:textId="28949970" w:rsidR="0028136A" w:rsidRPr="00677CC7" w:rsidRDefault="0028136A" w:rsidP="0028136A">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tcPr>
          <w:p w14:paraId="20D0AE54" w14:textId="6043EAD3" w:rsidR="0028136A" w:rsidRPr="00677CC7" w:rsidRDefault="0028136A" w:rsidP="0028136A">
            <w:pPr>
              <w:spacing w:after="0" w:line="240" w:lineRule="auto"/>
              <w:jc w:val="center"/>
              <w:rPr>
                <w:rFonts w:ascii="Arial Narrow" w:hAnsi="Arial Narrow"/>
                <w:color w:val="000000"/>
                <w:sz w:val="20"/>
                <w:szCs w:val="20"/>
                <w:lang w:val="en-US" w:eastAsia="en-US"/>
              </w:rPr>
            </w:pPr>
          </w:p>
        </w:tc>
        <w:tc>
          <w:tcPr>
            <w:tcW w:w="625" w:type="dxa"/>
            <w:tcBorders>
              <w:left w:val="nil"/>
              <w:bottom w:val="single" w:sz="4" w:space="0" w:color="auto"/>
              <w:right w:val="nil"/>
            </w:tcBorders>
            <w:shd w:val="clear" w:color="auto" w:fill="auto"/>
            <w:vAlign w:val="center"/>
          </w:tcPr>
          <w:p w14:paraId="00BCA203" w14:textId="35E891CF" w:rsidR="0028136A" w:rsidRPr="00677CC7" w:rsidRDefault="0028136A" w:rsidP="0028136A">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w:t>
            </w:r>
          </w:p>
        </w:tc>
      </w:tr>
      <w:tr w:rsidR="00EA4ADD" w:rsidRPr="00677CC7" w14:paraId="645FA099" w14:textId="77777777" w:rsidTr="00994161">
        <w:trPr>
          <w:trHeight w:val="188"/>
          <w:jc w:val="center"/>
        </w:trPr>
        <w:tc>
          <w:tcPr>
            <w:tcW w:w="625" w:type="dxa"/>
            <w:gridSpan w:val="2"/>
            <w:tcBorders>
              <w:top w:val="single" w:sz="4" w:space="0" w:color="auto"/>
              <w:left w:val="nil"/>
              <w:bottom w:val="single" w:sz="4" w:space="0" w:color="auto"/>
              <w:right w:val="nil"/>
            </w:tcBorders>
            <w:shd w:val="clear" w:color="000000" w:fill="A9D2F1"/>
          </w:tcPr>
          <w:p w14:paraId="4AE785B8" w14:textId="5A2F91CD" w:rsidR="00EA4ADD" w:rsidRPr="00677CC7" w:rsidRDefault="00EA4ADD" w:rsidP="00EA4ADD">
            <w:pPr>
              <w:spacing w:after="0" w:line="240" w:lineRule="auto"/>
              <w:rPr>
                <w:rFonts w:ascii="Arial Narrow" w:hAnsi="Arial Narrow"/>
                <w:b/>
                <w:bCs/>
                <w:sz w:val="20"/>
                <w:szCs w:val="20"/>
                <w:lang w:val="en-US" w:eastAsia="en-US"/>
              </w:rPr>
            </w:pPr>
          </w:p>
        </w:tc>
        <w:tc>
          <w:tcPr>
            <w:tcW w:w="10206" w:type="dxa"/>
            <w:gridSpan w:val="15"/>
            <w:tcBorders>
              <w:top w:val="single" w:sz="4" w:space="0" w:color="auto"/>
              <w:left w:val="nil"/>
              <w:bottom w:val="single" w:sz="4" w:space="0" w:color="auto"/>
              <w:right w:val="nil"/>
            </w:tcBorders>
            <w:shd w:val="clear" w:color="000000" w:fill="A9D2F1"/>
            <w:noWrap/>
            <w:vAlign w:val="center"/>
            <w:hideMark/>
          </w:tcPr>
          <w:p w14:paraId="0EFEE9E5" w14:textId="3C19F562" w:rsidR="00EA4ADD" w:rsidRPr="00677CC7" w:rsidRDefault="00EA4ADD" w:rsidP="00EA4ADD">
            <w:pPr>
              <w:spacing w:after="0" w:line="240" w:lineRule="auto"/>
              <w:rPr>
                <w:rFonts w:ascii="Arial Narrow" w:hAnsi="Arial Narrow"/>
                <w:b/>
                <w:bCs/>
                <w:sz w:val="20"/>
                <w:szCs w:val="20"/>
                <w:lang w:val="en-US" w:eastAsia="en-US"/>
              </w:rPr>
            </w:pPr>
            <w:proofErr w:type="spellStart"/>
            <w:r w:rsidRPr="00677CC7">
              <w:rPr>
                <w:rFonts w:ascii="Arial Narrow" w:hAnsi="Arial Narrow"/>
                <w:b/>
                <w:bCs/>
                <w:sz w:val="20"/>
                <w:szCs w:val="20"/>
                <w:lang w:val="en-US" w:eastAsia="en-US"/>
              </w:rPr>
              <w:t>Environmentálna</w:t>
            </w:r>
            <w:proofErr w:type="spellEnd"/>
            <w:r w:rsidRPr="00677CC7">
              <w:rPr>
                <w:rFonts w:ascii="Arial Narrow" w:hAnsi="Arial Narrow"/>
                <w:b/>
                <w:bCs/>
                <w:sz w:val="20"/>
                <w:szCs w:val="20"/>
                <w:lang w:val="en-US" w:eastAsia="en-US"/>
              </w:rPr>
              <w:t xml:space="preserve"> </w:t>
            </w:r>
            <w:proofErr w:type="spellStart"/>
            <w:r w:rsidRPr="00677CC7">
              <w:rPr>
                <w:rFonts w:ascii="Arial Narrow" w:hAnsi="Arial Narrow"/>
                <w:b/>
                <w:bCs/>
                <w:sz w:val="20"/>
                <w:szCs w:val="20"/>
                <w:lang w:val="en-US" w:eastAsia="en-US"/>
              </w:rPr>
              <w:t>udržateľnosť</w:t>
            </w:r>
            <w:proofErr w:type="spellEnd"/>
          </w:p>
        </w:tc>
      </w:tr>
      <w:tr w:rsidR="00EA4ADD" w:rsidRPr="00677CC7" w14:paraId="79D7314C" w14:textId="77777777" w:rsidTr="00EA4ADD">
        <w:trPr>
          <w:gridAfter w:val="1"/>
          <w:wAfter w:w="10" w:type="dxa"/>
          <w:trHeight w:val="188"/>
          <w:jc w:val="center"/>
        </w:trPr>
        <w:tc>
          <w:tcPr>
            <w:tcW w:w="426" w:type="dxa"/>
            <w:vMerge w:val="restart"/>
            <w:tcBorders>
              <w:top w:val="nil"/>
              <w:left w:val="nil"/>
              <w:bottom w:val="single" w:sz="4" w:space="0" w:color="000000"/>
              <w:right w:val="nil"/>
            </w:tcBorders>
            <w:shd w:val="clear" w:color="auto" w:fill="auto"/>
            <w:textDirection w:val="btLr"/>
            <w:vAlign w:val="center"/>
            <w:hideMark/>
          </w:tcPr>
          <w:p w14:paraId="43A10671"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425" w:type="dxa"/>
            <w:gridSpan w:val="2"/>
            <w:vMerge w:val="restart"/>
            <w:tcBorders>
              <w:top w:val="nil"/>
              <w:left w:val="nil"/>
              <w:bottom w:val="single" w:sz="4" w:space="0" w:color="000000"/>
              <w:right w:val="nil"/>
            </w:tcBorders>
            <w:shd w:val="clear" w:color="auto" w:fill="auto"/>
            <w:noWrap/>
            <w:vAlign w:val="center"/>
            <w:hideMark/>
          </w:tcPr>
          <w:p w14:paraId="1380F65E"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21</w:t>
            </w:r>
          </w:p>
        </w:tc>
        <w:tc>
          <w:tcPr>
            <w:tcW w:w="2221" w:type="dxa"/>
            <w:tcBorders>
              <w:top w:val="nil"/>
              <w:left w:val="nil"/>
              <w:bottom w:val="nil"/>
              <w:right w:val="nil"/>
            </w:tcBorders>
            <w:shd w:val="clear" w:color="auto" w:fill="auto"/>
            <w:noWrap/>
            <w:vAlign w:val="center"/>
            <w:hideMark/>
          </w:tcPr>
          <w:p w14:paraId="55783B67" w14:textId="77777777" w:rsidR="00EA4ADD" w:rsidRPr="00677CC7" w:rsidRDefault="00EA4ADD" w:rsidP="00EA4ADD">
            <w:pPr>
              <w:spacing w:after="0" w:line="240" w:lineRule="auto"/>
              <w:rPr>
                <w:rFonts w:ascii="Arial Narrow" w:hAnsi="Arial Narrow"/>
                <w:b/>
                <w:bCs/>
                <w:color w:val="000000"/>
                <w:sz w:val="20"/>
                <w:szCs w:val="20"/>
                <w:lang w:val="en-US" w:eastAsia="en-US"/>
              </w:rPr>
            </w:pPr>
            <w:proofErr w:type="spellStart"/>
            <w:r w:rsidRPr="00677CC7">
              <w:rPr>
                <w:rFonts w:ascii="Arial Narrow" w:hAnsi="Arial Narrow"/>
                <w:b/>
                <w:bCs/>
                <w:color w:val="000000"/>
                <w:sz w:val="20"/>
                <w:szCs w:val="20"/>
                <w:lang w:val="en-US" w:eastAsia="en-US"/>
              </w:rPr>
              <w:t>Emisie</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skleníkových</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plynov</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mimo</w:t>
            </w:r>
            <w:proofErr w:type="spellEnd"/>
            <w:r w:rsidRPr="00677CC7">
              <w:rPr>
                <w:rFonts w:ascii="Arial Narrow" w:hAnsi="Arial Narrow"/>
                <w:b/>
                <w:bCs/>
                <w:color w:val="000000"/>
                <w:sz w:val="20"/>
                <w:szCs w:val="20"/>
                <w:lang w:val="en-US" w:eastAsia="en-US"/>
              </w:rPr>
              <w:t xml:space="preserve"> ETS</w:t>
            </w:r>
          </w:p>
        </w:tc>
        <w:tc>
          <w:tcPr>
            <w:tcW w:w="756" w:type="dxa"/>
            <w:tcBorders>
              <w:top w:val="nil"/>
              <w:left w:val="nil"/>
              <w:bottom w:val="nil"/>
              <w:right w:val="nil"/>
            </w:tcBorders>
            <w:shd w:val="clear" w:color="auto" w:fill="auto"/>
            <w:vAlign w:val="center"/>
            <w:hideMark/>
          </w:tcPr>
          <w:p w14:paraId="008BD4A9"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noWrap/>
            <w:vAlign w:val="center"/>
            <w:hideMark/>
          </w:tcPr>
          <w:p w14:paraId="0F69FCA3" w14:textId="77777777" w:rsidR="00EA4ADD" w:rsidRPr="00677CC7" w:rsidRDefault="00EA4ADD" w:rsidP="00EA4ADD">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-5,1</w:t>
            </w:r>
          </w:p>
        </w:tc>
        <w:tc>
          <w:tcPr>
            <w:tcW w:w="625" w:type="dxa"/>
            <w:tcBorders>
              <w:top w:val="nil"/>
              <w:left w:val="nil"/>
              <w:bottom w:val="nil"/>
              <w:right w:val="nil"/>
            </w:tcBorders>
            <w:shd w:val="clear" w:color="auto" w:fill="auto"/>
            <w:noWrap/>
            <w:vAlign w:val="center"/>
            <w:hideMark/>
          </w:tcPr>
          <w:p w14:paraId="700DB741" w14:textId="5B5568A0" w:rsidR="00EA4ADD" w:rsidRPr="00677CC7" w:rsidRDefault="00EA4ADD" w:rsidP="00EA4ADD">
            <w:pPr>
              <w:spacing w:after="0" w:line="240" w:lineRule="auto"/>
              <w:jc w:val="center"/>
              <w:rPr>
                <w:rFonts w:ascii="Arial Narrow" w:hAnsi="Arial Narrow"/>
                <w:color w:val="000000"/>
                <w:sz w:val="20"/>
                <w:szCs w:val="20"/>
                <w:lang w:val="en-US" w:eastAsia="en-US"/>
              </w:rPr>
            </w:pPr>
            <w:r w:rsidRPr="007C4F02">
              <w:rPr>
                <w:rFonts w:ascii="Arial Narrow" w:hAnsi="Arial Narrow"/>
                <w:color w:val="000000"/>
                <w:sz w:val="20"/>
                <w:szCs w:val="20"/>
              </w:rPr>
              <w:t>-8,1</w:t>
            </w:r>
          </w:p>
        </w:tc>
        <w:tc>
          <w:tcPr>
            <w:tcW w:w="625" w:type="dxa"/>
            <w:tcBorders>
              <w:top w:val="nil"/>
              <w:left w:val="nil"/>
              <w:bottom w:val="nil"/>
              <w:right w:val="nil"/>
            </w:tcBorders>
            <w:shd w:val="clear" w:color="auto" w:fill="auto"/>
            <w:noWrap/>
            <w:vAlign w:val="center"/>
            <w:hideMark/>
          </w:tcPr>
          <w:p w14:paraId="593C2D3D" w14:textId="4F167239" w:rsidR="00EA4ADD" w:rsidRPr="00677CC7" w:rsidRDefault="00EA4ADD" w:rsidP="00EA4ADD">
            <w:pPr>
              <w:spacing w:after="0" w:line="240" w:lineRule="auto"/>
              <w:jc w:val="center"/>
              <w:rPr>
                <w:rFonts w:ascii="Arial Narrow" w:hAnsi="Arial Narrow"/>
                <w:color w:val="000000"/>
                <w:sz w:val="20"/>
                <w:szCs w:val="20"/>
                <w:lang w:val="en-US" w:eastAsia="en-US"/>
              </w:rPr>
            </w:pPr>
            <w:r w:rsidRPr="007C4F02">
              <w:rPr>
                <w:rFonts w:ascii="Arial Narrow" w:hAnsi="Arial Narrow"/>
                <w:color w:val="000000"/>
                <w:sz w:val="20"/>
                <w:szCs w:val="20"/>
              </w:rPr>
              <w:t>-5,1</w:t>
            </w:r>
          </w:p>
        </w:tc>
        <w:tc>
          <w:tcPr>
            <w:tcW w:w="625" w:type="dxa"/>
            <w:tcBorders>
              <w:top w:val="nil"/>
              <w:left w:val="nil"/>
              <w:bottom w:val="nil"/>
              <w:right w:val="nil"/>
            </w:tcBorders>
            <w:shd w:val="clear" w:color="auto" w:fill="auto"/>
            <w:noWrap/>
            <w:vAlign w:val="center"/>
            <w:hideMark/>
          </w:tcPr>
          <w:p w14:paraId="74A05FB0" w14:textId="59548DD6" w:rsidR="00EA4ADD" w:rsidRPr="00677CC7" w:rsidRDefault="00EA4ADD" w:rsidP="00EA4ADD">
            <w:pPr>
              <w:spacing w:after="0" w:line="240" w:lineRule="auto"/>
              <w:jc w:val="center"/>
              <w:rPr>
                <w:rFonts w:ascii="Arial Narrow" w:hAnsi="Arial Narrow"/>
                <w:color w:val="000000"/>
                <w:sz w:val="20"/>
                <w:szCs w:val="20"/>
                <w:lang w:val="en-US" w:eastAsia="en-US"/>
              </w:rPr>
            </w:pPr>
            <w:r w:rsidRPr="007C4F02">
              <w:rPr>
                <w:rFonts w:ascii="Arial Narrow" w:hAnsi="Arial Narrow"/>
                <w:color w:val="000000"/>
                <w:sz w:val="20"/>
                <w:szCs w:val="20"/>
              </w:rPr>
              <w:t>-11,2</w:t>
            </w:r>
          </w:p>
        </w:tc>
        <w:tc>
          <w:tcPr>
            <w:tcW w:w="625" w:type="dxa"/>
            <w:tcBorders>
              <w:top w:val="nil"/>
              <w:left w:val="nil"/>
              <w:bottom w:val="nil"/>
              <w:right w:val="nil"/>
            </w:tcBorders>
            <w:shd w:val="clear" w:color="auto" w:fill="auto"/>
            <w:noWrap/>
            <w:vAlign w:val="center"/>
            <w:hideMark/>
          </w:tcPr>
          <w:p w14:paraId="4783DDAB" w14:textId="6C6CC4C6" w:rsidR="00EA4ADD" w:rsidRPr="00677CC7" w:rsidRDefault="00EA4ADD" w:rsidP="00EA4ADD">
            <w:pPr>
              <w:spacing w:after="0" w:line="240" w:lineRule="auto"/>
              <w:jc w:val="center"/>
              <w:rPr>
                <w:rFonts w:ascii="Arial Narrow" w:hAnsi="Arial Narrow"/>
                <w:color w:val="000000"/>
                <w:sz w:val="20"/>
                <w:szCs w:val="20"/>
                <w:lang w:val="en-US" w:eastAsia="en-US"/>
              </w:rPr>
            </w:pPr>
            <w:r w:rsidRPr="007C4F02">
              <w:rPr>
                <w:rFonts w:ascii="Arial Narrow" w:hAnsi="Arial Narrow"/>
                <w:color w:val="000000"/>
                <w:sz w:val="20"/>
                <w:szCs w:val="20"/>
              </w:rPr>
              <w:t>-14,7</w:t>
            </w:r>
          </w:p>
        </w:tc>
        <w:tc>
          <w:tcPr>
            <w:tcW w:w="625" w:type="dxa"/>
            <w:tcBorders>
              <w:top w:val="nil"/>
              <w:left w:val="nil"/>
              <w:bottom w:val="nil"/>
              <w:right w:val="nil"/>
            </w:tcBorders>
            <w:shd w:val="clear" w:color="auto" w:fill="auto"/>
            <w:noWrap/>
            <w:vAlign w:val="center"/>
            <w:hideMark/>
          </w:tcPr>
          <w:p w14:paraId="28DBD758" w14:textId="78E3CDB7" w:rsidR="00EA4ADD" w:rsidRPr="00677CC7" w:rsidRDefault="00EA4ADD" w:rsidP="00EA4ADD">
            <w:pPr>
              <w:spacing w:after="0" w:line="240" w:lineRule="auto"/>
              <w:jc w:val="center"/>
              <w:rPr>
                <w:rFonts w:ascii="Arial Narrow" w:hAnsi="Arial Narrow"/>
                <w:color w:val="000000"/>
                <w:sz w:val="20"/>
                <w:szCs w:val="20"/>
                <w:lang w:val="en-US" w:eastAsia="en-US"/>
              </w:rPr>
            </w:pPr>
            <w:r w:rsidRPr="007C4F02">
              <w:rPr>
                <w:rFonts w:ascii="Arial Narrow" w:hAnsi="Arial Narrow"/>
                <w:color w:val="000000"/>
                <w:sz w:val="20"/>
                <w:szCs w:val="20"/>
              </w:rPr>
              <w:t>-19,5</w:t>
            </w:r>
          </w:p>
        </w:tc>
        <w:tc>
          <w:tcPr>
            <w:tcW w:w="625" w:type="dxa"/>
            <w:tcBorders>
              <w:top w:val="nil"/>
              <w:left w:val="nil"/>
              <w:bottom w:val="nil"/>
              <w:right w:val="nil"/>
            </w:tcBorders>
            <w:shd w:val="clear" w:color="auto" w:fill="auto"/>
            <w:noWrap/>
            <w:vAlign w:val="center"/>
            <w:hideMark/>
          </w:tcPr>
          <w:p w14:paraId="14E105DE" w14:textId="0618D0A2" w:rsidR="00EA4ADD" w:rsidRPr="00677CC7" w:rsidRDefault="00EA4ADD" w:rsidP="00EA4ADD">
            <w:pPr>
              <w:spacing w:after="0" w:line="240" w:lineRule="auto"/>
              <w:jc w:val="center"/>
              <w:rPr>
                <w:rFonts w:ascii="Arial Narrow" w:hAnsi="Arial Narrow"/>
                <w:color w:val="000000"/>
                <w:sz w:val="20"/>
                <w:szCs w:val="20"/>
                <w:lang w:val="en-US" w:eastAsia="en-US"/>
              </w:rPr>
            </w:pPr>
            <w:r w:rsidRPr="007C4F02">
              <w:rPr>
                <w:rFonts w:ascii="Arial Narrow" w:hAnsi="Arial Narrow"/>
                <w:color w:val="000000"/>
                <w:sz w:val="20"/>
                <w:szCs w:val="20"/>
              </w:rPr>
              <w:t>-24,4</w:t>
            </w:r>
          </w:p>
        </w:tc>
        <w:tc>
          <w:tcPr>
            <w:tcW w:w="625" w:type="dxa"/>
            <w:tcBorders>
              <w:top w:val="nil"/>
              <w:left w:val="nil"/>
              <w:bottom w:val="nil"/>
              <w:right w:val="nil"/>
            </w:tcBorders>
            <w:shd w:val="clear" w:color="auto" w:fill="auto"/>
            <w:vAlign w:val="center"/>
            <w:hideMark/>
          </w:tcPr>
          <w:p w14:paraId="17AAC049" w14:textId="3D3FC640" w:rsidR="00EA4ADD" w:rsidRPr="00677CC7" w:rsidRDefault="00EA4ADD" w:rsidP="00EA4ADD">
            <w:pPr>
              <w:spacing w:after="0" w:line="240" w:lineRule="auto"/>
              <w:jc w:val="center"/>
              <w:rPr>
                <w:rFonts w:ascii="Arial Narrow" w:hAnsi="Arial Narrow"/>
                <w:color w:val="000000"/>
                <w:sz w:val="20"/>
                <w:szCs w:val="20"/>
                <w:lang w:val="en-US" w:eastAsia="en-US"/>
              </w:rPr>
            </w:pPr>
            <w:r w:rsidRPr="007C4F02">
              <w:rPr>
                <w:rFonts w:ascii="Arial Narrow" w:hAnsi="Arial Narrow"/>
                <w:color w:val="000000"/>
                <w:sz w:val="20"/>
                <w:szCs w:val="20"/>
              </w:rPr>
              <w:t>-23,2</w:t>
            </w:r>
          </w:p>
        </w:tc>
        <w:tc>
          <w:tcPr>
            <w:tcW w:w="625" w:type="dxa"/>
            <w:tcBorders>
              <w:top w:val="nil"/>
              <w:left w:val="nil"/>
              <w:bottom w:val="nil"/>
              <w:right w:val="nil"/>
            </w:tcBorders>
            <w:shd w:val="clear" w:color="auto" w:fill="auto"/>
            <w:vAlign w:val="center"/>
            <w:hideMark/>
          </w:tcPr>
          <w:p w14:paraId="0C9F7190" w14:textId="52A56A8E"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w:t>
            </w:r>
          </w:p>
        </w:tc>
        <w:tc>
          <w:tcPr>
            <w:tcW w:w="625" w:type="dxa"/>
            <w:tcBorders>
              <w:top w:val="nil"/>
              <w:left w:val="nil"/>
              <w:bottom w:val="nil"/>
              <w:right w:val="nil"/>
            </w:tcBorders>
            <w:vAlign w:val="center"/>
          </w:tcPr>
          <w:p w14:paraId="72D09D7B" w14:textId="77777777" w:rsidR="00EA4ADD" w:rsidRPr="00677CC7" w:rsidRDefault="00EA4ADD" w:rsidP="00EA4ADD">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5BD447E6" w14:textId="2F01CADF" w:rsidR="00EA4ADD" w:rsidRPr="00677CC7" w:rsidRDefault="00EA4ADD" w:rsidP="00EA4ADD">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13</w:t>
            </w:r>
          </w:p>
        </w:tc>
      </w:tr>
      <w:tr w:rsidR="00EA4ADD" w:rsidRPr="00677CC7" w14:paraId="56BD0A09" w14:textId="77777777" w:rsidTr="00EA4ADD">
        <w:trPr>
          <w:gridAfter w:val="1"/>
          <w:wAfter w:w="10" w:type="dxa"/>
          <w:trHeight w:val="188"/>
          <w:jc w:val="center"/>
        </w:trPr>
        <w:tc>
          <w:tcPr>
            <w:tcW w:w="426" w:type="dxa"/>
            <w:vMerge/>
            <w:tcBorders>
              <w:top w:val="nil"/>
              <w:left w:val="nil"/>
              <w:bottom w:val="single" w:sz="4" w:space="0" w:color="000000"/>
              <w:right w:val="nil"/>
            </w:tcBorders>
            <w:vAlign w:val="center"/>
            <w:hideMark/>
          </w:tcPr>
          <w:p w14:paraId="4F8B1C48" w14:textId="77777777" w:rsidR="00EA4ADD" w:rsidRPr="00677CC7" w:rsidRDefault="00EA4ADD" w:rsidP="00EA4ADD">
            <w:pPr>
              <w:spacing w:after="0" w:line="240" w:lineRule="auto"/>
              <w:rPr>
                <w:rFonts w:ascii="Arial Narrow" w:hAnsi="Arial Narrow"/>
                <w:b/>
                <w:bCs/>
                <w:color w:val="000000"/>
                <w:sz w:val="20"/>
                <w:szCs w:val="20"/>
                <w:lang w:val="en-US" w:eastAsia="en-US"/>
              </w:rPr>
            </w:pPr>
          </w:p>
        </w:tc>
        <w:tc>
          <w:tcPr>
            <w:tcW w:w="425" w:type="dxa"/>
            <w:gridSpan w:val="2"/>
            <w:vMerge/>
            <w:tcBorders>
              <w:top w:val="nil"/>
              <w:left w:val="nil"/>
              <w:bottom w:val="single" w:sz="4" w:space="0" w:color="000000"/>
              <w:right w:val="nil"/>
            </w:tcBorders>
            <w:vAlign w:val="center"/>
            <w:hideMark/>
          </w:tcPr>
          <w:p w14:paraId="26C8D0BF"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00FCFA05" w14:textId="77777777" w:rsidR="00EA4ADD" w:rsidRPr="00677CC7" w:rsidRDefault="00EA4ADD" w:rsidP="00EA4ADD">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zmena</w:t>
            </w:r>
            <w:proofErr w:type="spellEnd"/>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voči</w:t>
            </w:r>
            <w:proofErr w:type="spellEnd"/>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roku</w:t>
            </w:r>
            <w:proofErr w:type="spellEnd"/>
            <w:r w:rsidRPr="00677CC7">
              <w:rPr>
                <w:rFonts w:ascii="Arial Narrow" w:hAnsi="Arial Narrow"/>
                <w:color w:val="000000"/>
                <w:sz w:val="20"/>
                <w:szCs w:val="20"/>
                <w:lang w:val="en-US" w:eastAsia="en-US"/>
              </w:rPr>
              <w:t xml:space="preserve"> 2005)</w:t>
            </w:r>
          </w:p>
        </w:tc>
        <w:tc>
          <w:tcPr>
            <w:tcW w:w="756" w:type="dxa"/>
            <w:tcBorders>
              <w:top w:val="nil"/>
              <w:left w:val="nil"/>
              <w:bottom w:val="single" w:sz="4" w:space="0" w:color="auto"/>
              <w:right w:val="nil"/>
            </w:tcBorders>
            <w:shd w:val="clear" w:color="auto" w:fill="auto"/>
            <w:vAlign w:val="center"/>
            <w:hideMark/>
          </w:tcPr>
          <w:p w14:paraId="04104200"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shd w:val="clear" w:color="auto" w:fill="auto"/>
            <w:noWrap/>
            <w:vAlign w:val="center"/>
            <w:hideMark/>
          </w:tcPr>
          <w:p w14:paraId="7EC0A59B" w14:textId="77777777" w:rsidR="00EA4ADD" w:rsidRPr="00677CC7" w:rsidRDefault="00EA4ADD" w:rsidP="00EA4ADD">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-2,2</w:t>
            </w:r>
          </w:p>
        </w:tc>
        <w:tc>
          <w:tcPr>
            <w:tcW w:w="625" w:type="dxa"/>
            <w:tcBorders>
              <w:top w:val="nil"/>
              <w:left w:val="nil"/>
              <w:bottom w:val="nil"/>
              <w:right w:val="nil"/>
            </w:tcBorders>
            <w:shd w:val="clear" w:color="auto" w:fill="auto"/>
            <w:noWrap/>
            <w:vAlign w:val="center"/>
            <w:hideMark/>
          </w:tcPr>
          <w:p w14:paraId="3F9E2C12" w14:textId="1FD6466B" w:rsidR="00EA4ADD" w:rsidRPr="00677CC7" w:rsidRDefault="00EA4ADD" w:rsidP="00EA4ADD">
            <w:pPr>
              <w:spacing w:after="0" w:line="240" w:lineRule="auto"/>
              <w:jc w:val="center"/>
              <w:rPr>
                <w:rFonts w:ascii="Arial Narrow" w:hAnsi="Arial Narrow"/>
                <w:color w:val="000000"/>
                <w:sz w:val="20"/>
                <w:szCs w:val="20"/>
                <w:lang w:val="en-US" w:eastAsia="en-US"/>
              </w:rPr>
            </w:pPr>
            <w:r w:rsidRPr="007C4F02">
              <w:rPr>
                <w:rFonts w:ascii="Arial Narrow" w:hAnsi="Arial Narrow"/>
                <w:color w:val="000000"/>
                <w:sz w:val="20"/>
                <w:szCs w:val="20"/>
              </w:rPr>
              <w:t>-6,0</w:t>
            </w:r>
          </w:p>
        </w:tc>
        <w:tc>
          <w:tcPr>
            <w:tcW w:w="625" w:type="dxa"/>
            <w:tcBorders>
              <w:top w:val="nil"/>
              <w:left w:val="nil"/>
              <w:bottom w:val="nil"/>
              <w:right w:val="nil"/>
            </w:tcBorders>
            <w:shd w:val="clear" w:color="auto" w:fill="auto"/>
            <w:noWrap/>
            <w:vAlign w:val="center"/>
            <w:hideMark/>
          </w:tcPr>
          <w:p w14:paraId="320D7366" w14:textId="27B5D7F5" w:rsidR="00EA4ADD" w:rsidRPr="00677CC7" w:rsidRDefault="00EA4ADD" w:rsidP="00EA4ADD">
            <w:pPr>
              <w:spacing w:after="0" w:line="240" w:lineRule="auto"/>
              <w:jc w:val="center"/>
              <w:rPr>
                <w:rFonts w:ascii="Arial Narrow" w:hAnsi="Arial Narrow"/>
                <w:color w:val="000000"/>
                <w:sz w:val="20"/>
                <w:szCs w:val="20"/>
                <w:lang w:val="en-US" w:eastAsia="en-US"/>
              </w:rPr>
            </w:pPr>
            <w:r w:rsidRPr="007C4F02">
              <w:rPr>
                <w:rFonts w:ascii="Arial Narrow" w:hAnsi="Arial Narrow"/>
                <w:color w:val="000000"/>
                <w:sz w:val="20"/>
                <w:szCs w:val="20"/>
              </w:rPr>
              <w:t>-3,9</w:t>
            </w:r>
          </w:p>
        </w:tc>
        <w:tc>
          <w:tcPr>
            <w:tcW w:w="625" w:type="dxa"/>
            <w:tcBorders>
              <w:top w:val="nil"/>
              <w:left w:val="nil"/>
              <w:bottom w:val="nil"/>
              <w:right w:val="nil"/>
            </w:tcBorders>
            <w:shd w:val="clear" w:color="auto" w:fill="auto"/>
            <w:noWrap/>
            <w:vAlign w:val="center"/>
            <w:hideMark/>
          </w:tcPr>
          <w:p w14:paraId="4910E71F" w14:textId="2AB6B5AE" w:rsidR="00EA4ADD" w:rsidRPr="00677CC7" w:rsidRDefault="00EA4ADD" w:rsidP="00EA4ADD">
            <w:pPr>
              <w:spacing w:after="0" w:line="240" w:lineRule="auto"/>
              <w:jc w:val="center"/>
              <w:rPr>
                <w:rFonts w:ascii="Arial Narrow" w:hAnsi="Arial Narrow"/>
                <w:color w:val="000000"/>
                <w:sz w:val="20"/>
                <w:szCs w:val="20"/>
                <w:lang w:val="en-US" w:eastAsia="en-US"/>
              </w:rPr>
            </w:pPr>
            <w:r w:rsidRPr="007C4F02">
              <w:rPr>
                <w:rFonts w:ascii="Arial Narrow" w:hAnsi="Arial Narrow"/>
                <w:color w:val="000000"/>
                <w:sz w:val="20"/>
                <w:szCs w:val="20"/>
              </w:rPr>
              <w:t>-7,9</w:t>
            </w:r>
          </w:p>
        </w:tc>
        <w:tc>
          <w:tcPr>
            <w:tcW w:w="625" w:type="dxa"/>
            <w:tcBorders>
              <w:top w:val="nil"/>
              <w:left w:val="nil"/>
              <w:bottom w:val="nil"/>
              <w:right w:val="nil"/>
            </w:tcBorders>
            <w:shd w:val="clear" w:color="auto" w:fill="auto"/>
            <w:noWrap/>
            <w:vAlign w:val="center"/>
            <w:hideMark/>
          </w:tcPr>
          <w:p w14:paraId="287F6CA6" w14:textId="3775FA65" w:rsidR="00EA4ADD" w:rsidRPr="00677CC7" w:rsidRDefault="00EA4ADD" w:rsidP="00EA4ADD">
            <w:pPr>
              <w:spacing w:after="0" w:line="240" w:lineRule="auto"/>
              <w:jc w:val="center"/>
              <w:rPr>
                <w:rFonts w:ascii="Arial Narrow" w:hAnsi="Arial Narrow"/>
                <w:color w:val="000000"/>
                <w:sz w:val="20"/>
                <w:szCs w:val="20"/>
                <w:lang w:val="en-US" w:eastAsia="en-US"/>
              </w:rPr>
            </w:pPr>
            <w:r w:rsidRPr="007C4F02">
              <w:rPr>
                <w:rFonts w:ascii="Arial Narrow" w:hAnsi="Arial Narrow"/>
                <w:color w:val="000000"/>
                <w:sz w:val="20"/>
                <w:szCs w:val="20"/>
              </w:rPr>
              <w:t>-8,7</w:t>
            </w:r>
          </w:p>
        </w:tc>
        <w:tc>
          <w:tcPr>
            <w:tcW w:w="625" w:type="dxa"/>
            <w:tcBorders>
              <w:top w:val="nil"/>
              <w:left w:val="nil"/>
              <w:bottom w:val="nil"/>
              <w:right w:val="nil"/>
            </w:tcBorders>
            <w:shd w:val="clear" w:color="auto" w:fill="auto"/>
            <w:noWrap/>
            <w:vAlign w:val="center"/>
            <w:hideMark/>
          </w:tcPr>
          <w:p w14:paraId="3B77F4B8" w14:textId="46D5C9DB" w:rsidR="00EA4ADD" w:rsidRPr="00677CC7" w:rsidRDefault="00EA4ADD" w:rsidP="00EA4ADD">
            <w:pPr>
              <w:spacing w:after="0" w:line="240" w:lineRule="auto"/>
              <w:jc w:val="center"/>
              <w:rPr>
                <w:rFonts w:ascii="Arial Narrow" w:hAnsi="Arial Narrow"/>
                <w:color w:val="000000"/>
                <w:sz w:val="20"/>
                <w:szCs w:val="20"/>
                <w:lang w:val="en-US" w:eastAsia="en-US"/>
              </w:rPr>
            </w:pPr>
            <w:r w:rsidRPr="007C4F02">
              <w:rPr>
                <w:rFonts w:ascii="Arial Narrow" w:hAnsi="Arial Narrow"/>
                <w:color w:val="000000"/>
                <w:sz w:val="20"/>
                <w:szCs w:val="20"/>
              </w:rPr>
              <w:t>-9,9</w:t>
            </w:r>
          </w:p>
        </w:tc>
        <w:tc>
          <w:tcPr>
            <w:tcW w:w="625" w:type="dxa"/>
            <w:tcBorders>
              <w:top w:val="nil"/>
              <w:left w:val="nil"/>
              <w:bottom w:val="nil"/>
              <w:right w:val="nil"/>
            </w:tcBorders>
            <w:shd w:val="clear" w:color="auto" w:fill="auto"/>
            <w:noWrap/>
            <w:vAlign w:val="center"/>
            <w:hideMark/>
          </w:tcPr>
          <w:p w14:paraId="03F41D93" w14:textId="2A38A30B" w:rsidR="00EA4ADD" w:rsidRPr="00677CC7" w:rsidRDefault="00EA4ADD" w:rsidP="00EA4ADD">
            <w:pPr>
              <w:spacing w:after="0" w:line="240" w:lineRule="auto"/>
              <w:jc w:val="center"/>
              <w:rPr>
                <w:rFonts w:ascii="Arial Narrow" w:hAnsi="Arial Narrow"/>
                <w:color w:val="000000"/>
                <w:sz w:val="20"/>
                <w:szCs w:val="20"/>
                <w:lang w:val="en-US" w:eastAsia="en-US"/>
              </w:rPr>
            </w:pPr>
            <w:r w:rsidRPr="007C4F02">
              <w:rPr>
                <w:rFonts w:ascii="Arial Narrow" w:hAnsi="Arial Narrow"/>
                <w:color w:val="000000"/>
                <w:sz w:val="20"/>
                <w:szCs w:val="20"/>
              </w:rPr>
              <w:t>-13,0</w:t>
            </w:r>
          </w:p>
        </w:tc>
        <w:tc>
          <w:tcPr>
            <w:tcW w:w="625" w:type="dxa"/>
            <w:tcBorders>
              <w:top w:val="nil"/>
              <w:left w:val="nil"/>
              <w:bottom w:val="nil"/>
              <w:right w:val="nil"/>
            </w:tcBorders>
            <w:shd w:val="clear" w:color="auto" w:fill="auto"/>
            <w:vAlign w:val="center"/>
            <w:hideMark/>
          </w:tcPr>
          <w:p w14:paraId="471F4500" w14:textId="25687779" w:rsidR="00EA4ADD" w:rsidRPr="00677CC7" w:rsidRDefault="00EA4ADD" w:rsidP="00EA4ADD">
            <w:pPr>
              <w:spacing w:after="0" w:line="240" w:lineRule="auto"/>
              <w:jc w:val="center"/>
              <w:rPr>
                <w:rFonts w:ascii="Arial Narrow" w:hAnsi="Arial Narrow"/>
                <w:color w:val="000000"/>
                <w:sz w:val="20"/>
                <w:szCs w:val="20"/>
                <w:lang w:val="en-US" w:eastAsia="en-US"/>
              </w:rPr>
            </w:pPr>
            <w:r w:rsidRPr="007C4F02">
              <w:rPr>
                <w:rFonts w:ascii="Arial Narrow" w:hAnsi="Arial Narrow"/>
                <w:color w:val="000000"/>
                <w:sz w:val="20"/>
                <w:szCs w:val="20"/>
              </w:rPr>
              <w:t>-</w:t>
            </w:r>
          </w:p>
        </w:tc>
        <w:tc>
          <w:tcPr>
            <w:tcW w:w="625" w:type="dxa"/>
            <w:tcBorders>
              <w:top w:val="nil"/>
              <w:left w:val="nil"/>
              <w:bottom w:val="nil"/>
              <w:right w:val="nil"/>
            </w:tcBorders>
            <w:shd w:val="clear" w:color="auto" w:fill="auto"/>
            <w:vAlign w:val="center"/>
            <w:hideMark/>
          </w:tcPr>
          <w:p w14:paraId="15A6FE79" w14:textId="33BC329A"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w:t>
            </w:r>
          </w:p>
        </w:tc>
        <w:tc>
          <w:tcPr>
            <w:tcW w:w="625" w:type="dxa"/>
            <w:tcBorders>
              <w:top w:val="nil"/>
              <w:left w:val="nil"/>
              <w:bottom w:val="single" w:sz="4" w:space="0" w:color="auto"/>
              <w:right w:val="nil"/>
            </w:tcBorders>
            <w:vAlign w:val="center"/>
          </w:tcPr>
          <w:p w14:paraId="6D1ACBC7" w14:textId="77777777" w:rsidR="00EA4ADD" w:rsidRPr="00677CC7" w:rsidRDefault="00EA4ADD" w:rsidP="00EA4ADD">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hideMark/>
          </w:tcPr>
          <w:p w14:paraId="427D29E5" w14:textId="48367B08" w:rsidR="00EA4ADD" w:rsidRPr="00677CC7" w:rsidRDefault="00EA4ADD" w:rsidP="00EA4ADD">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-10</w:t>
            </w:r>
          </w:p>
        </w:tc>
      </w:tr>
      <w:tr w:rsidR="00EA4ADD" w:rsidRPr="00677CC7" w14:paraId="297003FB" w14:textId="77777777" w:rsidTr="00EA4ADD">
        <w:trPr>
          <w:gridAfter w:val="1"/>
          <w:wAfter w:w="10" w:type="dxa"/>
          <w:trHeight w:val="188"/>
          <w:jc w:val="center"/>
        </w:trPr>
        <w:tc>
          <w:tcPr>
            <w:tcW w:w="426" w:type="dxa"/>
            <w:vMerge w:val="restart"/>
            <w:tcBorders>
              <w:top w:val="nil"/>
              <w:left w:val="nil"/>
              <w:bottom w:val="single" w:sz="4" w:space="0" w:color="000000"/>
              <w:right w:val="nil"/>
            </w:tcBorders>
            <w:shd w:val="clear" w:color="auto" w:fill="auto"/>
            <w:textDirection w:val="btLr"/>
            <w:vAlign w:val="center"/>
            <w:hideMark/>
          </w:tcPr>
          <w:p w14:paraId="2D36DEED"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425" w:type="dxa"/>
            <w:gridSpan w:val="2"/>
            <w:vMerge w:val="restart"/>
            <w:tcBorders>
              <w:top w:val="nil"/>
              <w:left w:val="nil"/>
              <w:bottom w:val="single" w:sz="4" w:space="0" w:color="000000"/>
              <w:right w:val="nil"/>
            </w:tcBorders>
            <w:shd w:val="clear" w:color="auto" w:fill="auto"/>
            <w:noWrap/>
            <w:vAlign w:val="center"/>
            <w:hideMark/>
          </w:tcPr>
          <w:p w14:paraId="2D12F3E7"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22</w:t>
            </w:r>
          </w:p>
        </w:tc>
        <w:tc>
          <w:tcPr>
            <w:tcW w:w="2221" w:type="dxa"/>
            <w:tcBorders>
              <w:top w:val="nil"/>
              <w:left w:val="nil"/>
              <w:bottom w:val="nil"/>
              <w:right w:val="nil"/>
            </w:tcBorders>
            <w:shd w:val="clear" w:color="auto" w:fill="auto"/>
            <w:noWrap/>
            <w:vAlign w:val="center"/>
            <w:hideMark/>
          </w:tcPr>
          <w:p w14:paraId="4B23BB89" w14:textId="77777777" w:rsidR="00EA4ADD" w:rsidRPr="00677CC7" w:rsidRDefault="00EA4ADD" w:rsidP="00EA4ADD">
            <w:pPr>
              <w:spacing w:after="0" w:line="240" w:lineRule="auto"/>
              <w:rPr>
                <w:rFonts w:ascii="Arial Narrow" w:hAnsi="Arial Narrow"/>
                <w:b/>
                <w:bCs/>
                <w:color w:val="000000"/>
                <w:sz w:val="20"/>
                <w:szCs w:val="20"/>
                <w:lang w:val="en-US" w:eastAsia="en-US"/>
              </w:rPr>
            </w:pPr>
            <w:proofErr w:type="spellStart"/>
            <w:r w:rsidRPr="00677CC7">
              <w:rPr>
                <w:rFonts w:ascii="Arial Narrow" w:hAnsi="Arial Narrow"/>
                <w:b/>
                <w:bCs/>
                <w:color w:val="000000"/>
                <w:sz w:val="20"/>
                <w:szCs w:val="20"/>
                <w:lang w:val="en-US" w:eastAsia="en-US"/>
              </w:rPr>
              <w:t>Podiel</w:t>
            </w:r>
            <w:proofErr w:type="spellEnd"/>
            <w:r w:rsidRPr="00677CC7">
              <w:rPr>
                <w:rFonts w:ascii="Arial Narrow" w:hAnsi="Arial Narrow"/>
                <w:b/>
                <w:bCs/>
                <w:color w:val="000000"/>
                <w:sz w:val="20"/>
                <w:szCs w:val="20"/>
                <w:lang w:val="en-US" w:eastAsia="en-US"/>
              </w:rPr>
              <w:t xml:space="preserve"> OZE </w:t>
            </w:r>
            <w:proofErr w:type="spellStart"/>
            <w:r w:rsidRPr="00677CC7">
              <w:rPr>
                <w:rFonts w:ascii="Arial Narrow" w:hAnsi="Arial Narrow"/>
                <w:b/>
                <w:bCs/>
                <w:color w:val="000000"/>
                <w:sz w:val="20"/>
                <w:szCs w:val="20"/>
                <w:lang w:val="en-US" w:eastAsia="en-US"/>
              </w:rPr>
              <w:t>na</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hrubej</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konečnej</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spotrebe</w:t>
            </w:r>
            <w:proofErr w:type="spellEnd"/>
          </w:p>
        </w:tc>
        <w:tc>
          <w:tcPr>
            <w:tcW w:w="756" w:type="dxa"/>
            <w:tcBorders>
              <w:top w:val="nil"/>
              <w:left w:val="nil"/>
              <w:bottom w:val="nil"/>
              <w:right w:val="nil"/>
            </w:tcBorders>
            <w:shd w:val="clear" w:color="auto" w:fill="auto"/>
            <w:vAlign w:val="center"/>
            <w:hideMark/>
          </w:tcPr>
          <w:p w14:paraId="34DE4FB6"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vAlign w:val="center"/>
            <w:hideMark/>
          </w:tcPr>
          <w:p w14:paraId="4FA4C3E5" w14:textId="77777777" w:rsidR="00EA4ADD" w:rsidRPr="00677CC7" w:rsidRDefault="00EA4ADD" w:rsidP="00EA4ADD">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7,5</w:t>
            </w:r>
          </w:p>
        </w:tc>
        <w:tc>
          <w:tcPr>
            <w:tcW w:w="625" w:type="dxa"/>
            <w:tcBorders>
              <w:top w:val="single" w:sz="4" w:space="0" w:color="auto"/>
              <w:left w:val="nil"/>
              <w:bottom w:val="nil"/>
              <w:right w:val="nil"/>
            </w:tcBorders>
            <w:shd w:val="clear" w:color="auto" w:fill="auto"/>
            <w:vAlign w:val="center"/>
            <w:hideMark/>
          </w:tcPr>
          <w:p w14:paraId="7EFC0CAB" w14:textId="27DD052C"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9,4</w:t>
            </w:r>
          </w:p>
        </w:tc>
        <w:tc>
          <w:tcPr>
            <w:tcW w:w="625" w:type="dxa"/>
            <w:tcBorders>
              <w:top w:val="single" w:sz="4" w:space="0" w:color="auto"/>
              <w:left w:val="nil"/>
              <w:bottom w:val="nil"/>
              <w:right w:val="nil"/>
            </w:tcBorders>
            <w:shd w:val="clear" w:color="auto" w:fill="auto"/>
            <w:vAlign w:val="center"/>
            <w:hideMark/>
          </w:tcPr>
          <w:p w14:paraId="267EEC37" w14:textId="035A0296"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9,1</w:t>
            </w:r>
          </w:p>
        </w:tc>
        <w:tc>
          <w:tcPr>
            <w:tcW w:w="625" w:type="dxa"/>
            <w:tcBorders>
              <w:top w:val="single" w:sz="4" w:space="0" w:color="auto"/>
              <w:left w:val="nil"/>
              <w:bottom w:val="nil"/>
              <w:right w:val="nil"/>
            </w:tcBorders>
            <w:shd w:val="clear" w:color="auto" w:fill="auto"/>
            <w:vAlign w:val="center"/>
            <w:hideMark/>
          </w:tcPr>
          <w:p w14:paraId="6E38C9A0" w14:textId="412C1985" w:rsidR="00EA4ADD" w:rsidRPr="00677CC7" w:rsidRDefault="00EA4ADD" w:rsidP="00EA4ADD">
            <w:pPr>
              <w:spacing w:after="0" w:line="240" w:lineRule="auto"/>
              <w:jc w:val="center"/>
              <w:rPr>
                <w:rFonts w:ascii="Arial Narrow" w:hAnsi="Arial Narrow"/>
                <w:color w:val="000000"/>
                <w:sz w:val="20"/>
                <w:szCs w:val="20"/>
                <w:lang w:val="en-US" w:eastAsia="en-US"/>
              </w:rPr>
            </w:pPr>
            <w:r w:rsidRPr="007C4F02">
              <w:rPr>
                <w:rFonts w:ascii="Arial Narrow" w:hAnsi="Arial Narrow"/>
                <w:color w:val="000000"/>
                <w:sz w:val="20"/>
                <w:szCs w:val="20"/>
              </w:rPr>
              <w:t>10,3</w:t>
            </w:r>
          </w:p>
        </w:tc>
        <w:tc>
          <w:tcPr>
            <w:tcW w:w="625" w:type="dxa"/>
            <w:tcBorders>
              <w:top w:val="single" w:sz="4" w:space="0" w:color="auto"/>
              <w:left w:val="nil"/>
              <w:bottom w:val="nil"/>
              <w:right w:val="nil"/>
            </w:tcBorders>
            <w:shd w:val="clear" w:color="auto" w:fill="auto"/>
            <w:vAlign w:val="center"/>
            <w:hideMark/>
          </w:tcPr>
          <w:p w14:paraId="139C028D" w14:textId="323F160B" w:rsidR="00EA4ADD" w:rsidRPr="00677CC7" w:rsidRDefault="00EA4ADD" w:rsidP="00EA4ADD">
            <w:pPr>
              <w:spacing w:after="0" w:line="240" w:lineRule="auto"/>
              <w:jc w:val="center"/>
              <w:rPr>
                <w:rFonts w:ascii="Arial Narrow" w:hAnsi="Arial Narrow"/>
                <w:color w:val="000000"/>
                <w:sz w:val="20"/>
                <w:szCs w:val="20"/>
                <w:lang w:val="en-US" w:eastAsia="en-US"/>
              </w:rPr>
            </w:pPr>
            <w:r w:rsidRPr="007C4F02">
              <w:rPr>
                <w:rFonts w:ascii="Arial Narrow" w:hAnsi="Arial Narrow"/>
                <w:color w:val="000000"/>
                <w:sz w:val="20"/>
                <w:szCs w:val="20"/>
              </w:rPr>
              <w:t>10,4</w:t>
            </w:r>
          </w:p>
        </w:tc>
        <w:tc>
          <w:tcPr>
            <w:tcW w:w="625" w:type="dxa"/>
            <w:tcBorders>
              <w:top w:val="single" w:sz="4" w:space="0" w:color="auto"/>
              <w:left w:val="nil"/>
              <w:bottom w:val="nil"/>
              <w:right w:val="nil"/>
            </w:tcBorders>
            <w:shd w:val="clear" w:color="auto" w:fill="auto"/>
            <w:vAlign w:val="center"/>
            <w:hideMark/>
          </w:tcPr>
          <w:p w14:paraId="631AA5C6" w14:textId="06BDF02B" w:rsidR="00EA4ADD" w:rsidRPr="00677CC7" w:rsidRDefault="00EA4ADD" w:rsidP="00EA4ADD">
            <w:pPr>
              <w:spacing w:after="0" w:line="240" w:lineRule="auto"/>
              <w:jc w:val="center"/>
              <w:rPr>
                <w:rFonts w:ascii="Arial Narrow" w:hAnsi="Arial Narrow"/>
                <w:color w:val="000000"/>
                <w:sz w:val="20"/>
                <w:szCs w:val="20"/>
                <w:lang w:val="en-US" w:eastAsia="en-US"/>
              </w:rPr>
            </w:pPr>
            <w:r w:rsidRPr="007C4F02">
              <w:rPr>
                <w:rFonts w:ascii="Arial Narrow" w:hAnsi="Arial Narrow"/>
                <w:color w:val="000000"/>
                <w:sz w:val="20"/>
                <w:szCs w:val="20"/>
              </w:rPr>
              <w:t>10,1</w:t>
            </w:r>
          </w:p>
        </w:tc>
        <w:tc>
          <w:tcPr>
            <w:tcW w:w="625" w:type="dxa"/>
            <w:tcBorders>
              <w:top w:val="single" w:sz="4" w:space="0" w:color="auto"/>
              <w:left w:val="nil"/>
              <w:bottom w:val="nil"/>
              <w:right w:val="nil"/>
            </w:tcBorders>
            <w:shd w:val="clear" w:color="auto" w:fill="auto"/>
            <w:vAlign w:val="center"/>
            <w:hideMark/>
          </w:tcPr>
          <w:p w14:paraId="105692DF" w14:textId="5E6CCAE6"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11,7</w:t>
            </w:r>
          </w:p>
        </w:tc>
        <w:tc>
          <w:tcPr>
            <w:tcW w:w="625" w:type="dxa"/>
            <w:tcBorders>
              <w:top w:val="single" w:sz="4" w:space="0" w:color="auto"/>
              <w:left w:val="nil"/>
              <w:bottom w:val="nil"/>
              <w:right w:val="nil"/>
            </w:tcBorders>
            <w:shd w:val="clear" w:color="auto" w:fill="auto"/>
            <w:vAlign w:val="center"/>
            <w:hideMark/>
          </w:tcPr>
          <w:p w14:paraId="644D24BD" w14:textId="2D9107D6"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12,9</w:t>
            </w:r>
          </w:p>
        </w:tc>
        <w:tc>
          <w:tcPr>
            <w:tcW w:w="625" w:type="dxa"/>
            <w:tcBorders>
              <w:top w:val="single" w:sz="4" w:space="0" w:color="auto"/>
              <w:left w:val="nil"/>
              <w:bottom w:val="nil"/>
              <w:right w:val="nil"/>
            </w:tcBorders>
            <w:shd w:val="clear" w:color="auto" w:fill="auto"/>
            <w:vAlign w:val="center"/>
            <w:hideMark/>
          </w:tcPr>
          <w:p w14:paraId="7E875B8B" w14:textId="2FE66DAB"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12,0</w:t>
            </w:r>
          </w:p>
        </w:tc>
        <w:tc>
          <w:tcPr>
            <w:tcW w:w="625" w:type="dxa"/>
            <w:tcBorders>
              <w:top w:val="nil"/>
              <w:left w:val="nil"/>
              <w:bottom w:val="nil"/>
              <w:right w:val="nil"/>
            </w:tcBorders>
            <w:vAlign w:val="center"/>
          </w:tcPr>
          <w:p w14:paraId="39CB7D71" w14:textId="77777777" w:rsidR="00EA4ADD" w:rsidRPr="00677CC7" w:rsidRDefault="00EA4ADD" w:rsidP="00EA4ADD">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29CFF17D" w14:textId="38088462" w:rsidR="00EA4ADD" w:rsidRPr="00677CC7" w:rsidRDefault="00EA4ADD" w:rsidP="00EA4ADD">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14</w:t>
            </w:r>
          </w:p>
        </w:tc>
      </w:tr>
      <w:tr w:rsidR="00EA4ADD" w:rsidRPr="00677CC7" w14:paraId="2043D23D" w14:textId="77777777" w:rsidTr="00EA4ADD">
        <w:trPr>
          <w:gridAfter w:val="1"/>
          <w:wAfter w:w="10" w:type="dxa"/>
          <w:trHeight w:val="188"/>
          <w:jc w:val="center"/>
        </w:trPr>
        <w:tc>
          <w:tcPr>
            <w:tcW w:w="426" w:type="dxa"/>
            <w:vMerge/>
            <w:tcBorders>
              <w:top w:val="nil"/>
              <w:left w:val="nil"/>
              <w:bottom w:val="single" w:sz="4" w:space="0" w:color="000000"/>
              <w:right w:val="nil"/>
            </w:tcBorders>
            <w:vAlign w:val="center"/>
            <w:hideMark/>
          </w:tcPr>
          <w:p w14:paraId="4955772B" w14:textId="77777777" w:rsidR="00EA4ADD" w:rsidRPr="00677CC7" w:rsidRDefault="00EA4ADD" w:rsidP="00EA4ADD">
            <w:pPr>
              <w:spacing w:after="0" w:line="240" w:lineRule="auto"/>
              <w:rPr>
                <w:rFonts w:ascii="Arial Narrow" w:hAnsi="Arial Narrow"/>
                <w:b/>
                <w:bCs/>
                <w:color w:val="000000"/>
                <w:sz w:val="20"/>
                <w:szCs w:val="20"/>
                <w:lang w:val="en-US" w:eastAsia="en-US"/>
              </w:rPr>
            </w:pPr>
          </w:p>
        </w:tc>
        <w:tc>
          <w:tcPr>
            <w:tcW w:w="425" w:type="dxa"/>
            <w:gridSpan w:val="2"/>
            <w:vMerge/>
            <w:tcBorders>
              <w:top w:val="nil"/>
              <w:left w:val="nil"/>
              <w:bottom w:val="single" w:sz="4" w:space="0" w:color="000000"/>
              <w:right w:val="nil"/>
            </w:tcBorders>
            <w:vAlign w:val="center"/>
            <w:hideMark/>
          </w:tcPr>
          <w:p w14:paraId="6EC9954B"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467154EF" w14:textId="77777777" w:rsidR="00EA4ADD" w:rsidRPr="00677CC7" w:rsidRDefault="00EA4ADD" w:rsidP="00EA4ADD">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p>
        </w:tc>
        <w:tc>
          <w:tcPr>
            <w:tcW w:w="756" w:type="dxa"/>
            <w:tcBorders>
              <w:top w:val="nil"/>
              <w:left w:val="nil"/>
              <w:bottom w:val="single" w:sz="4" w:space="0" w:color="auto"/>
              <w:right w:val="nil"/>
            </w:tcBorders>
            <w:shd w:val="clear" w:color="auto" w:fill="auto"/>
            <w:vAlign w:val="center"/>
            <w:hideMark/>
          </w:tcPr>
          <w:p w14:paraId="04D423E1"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shd w:val="clear" w:color="auto" w:fill="auto"/>
            <w:vAlign w:val="center"/>
            <w:hideMark/>
          </w:tcPr>
          <w:p w14:paraId="5971140D" w14:textId="77777777" w:rsidR="00EA4ADD" w:rsidRPr="00677CC7" w:rsidRDefault="00EA4ADD" w:rsidP="00EA4ADD">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eastAsia="en-US"/>
              </w:rPr>
              <w:t>11</w:t>
            </w:r>
          </w:p>
        </w:tc>
        <w:tc>
          <w:tcPr>
            <w:tcW w:w="625" w:type="dxa"/>
            <w:tcBorders>
              <w:top w:val="nil"/>
              <w:left w:val="nil"/>
              <w:bottom w:val="single" w:sz="4" w:space="0" w:color="auto"/>
              <w:right w:val="nil"/>
            </w:tcBorders>
            <w:shd w:val="clear" w:color="auto" w:fill="auto"/>
            <w:vAlign w:val="center"/>
            <w:hideMark/>
          </w:tcPr>
          <w:p w14:paraId="621B2218" w14:textId="36C36FE0" w:rsidR="00EA4ADD" w:rsidRPr="00677CC7" w:rsidRDefault="00EA4ADD" w:rsidP="00EA4ADD">
            <w:pPr>
              <w:spacing w:after="0" w:line="240" w:lineRule="auto"/>
              <w:jc w:val="center"/>
              <w:rPr>
                <w:rFonts w:ascii="Arial Narrow" w:hAnsi="Arial Narrow"/>
                <w:color w:val="000000"/>
                <w:sz w:val="20"/>
                <w:szCs w:val="20"/>
                <w:lang w:val="en-US" w:eastAsia="en-US"/>
              </w:rPr>
            </w:pPr>
            <w:r w:rsidRPr="007C4F02">
              <w:rPr>
                <w:rFonts w:ascii="Arial Narrow" w:hAnsi="Arial Narrow"/>
                <w:color w:val="000000"/>
                <w:sz w:val="20"/>
                <w:szCs w:val="20"/>
              </w:rPr>
              <w:t>12,4</w:t>
            </w:r>
          </w:p>
        </w:tc>
        <w:tc>
          <w:tcPr>
            <w:tcW w:w="625" w:type="dxa"/>
            <w:tcBorders>
              <w:top w:val="nil"/>
              <w:left w:val="nil"/>
              <w:bottom w:val="single" w:sz="4" w:space="0" w:color="auto"/>
              <w:right w:val="nil"/>
            </w:tcBorders>
            <w:shd w:val="clear" w:color="auto" w:fill="auto"/>
            <w:vAlign w:val="center"/>
            <w:hideMark/>
          </w:tcPr>
          <w:p w14:paraId="45F7D7B9" w14:textId="758CF46E"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12,9</w:t>
            </w:r>
          </w:p>
        </w:tc>
        <w:tc>
          <w:tcPr>
            <w:tcW w:w="625" w:type="dxa"/>
            <w:tcBorders>
              <w:top w:val="nil"/>
              <w:left w:val="nil"/>
              <w:bottom w:val="single" w:sz="4" w:space="0" w:color="auto"/>
              <w:right w:val="nil"/>
            </w:tcBorders>
            <w:shd w:val="clear" w:color="auto" w:fill="auto"/>
            <w:vAlign w:val="center"/>
            <w:hideMark/>
          </w:tcPr>
          <w:p w14:paraId="501BA85A" w14:textId="3A71716B"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13,2</w:t>
            </w:r>
          </w:p>
        </w:tc>
        <w:tc>
          <w:tcPr>
            <w:tcW w:w="625" w:type="dxa"/>
            <w:tcBorders>
              <w:top w:val="nil"/>
              <w:left w:val="nil"/>
              <w:bottom w:val="single" w:sz="4" w:space="0" w:color="auto"/>
              <w:right w:val="nil"/>
            </w:tcBorders>
            <w:shd w:val="clear" w:color="auto" w:fill="auto"/>
            <w:vAlign w:val="center"/>
            <w:hideMark/>
          </w:tcPr>
          <w:p w14:paraId="50165DDC" w14:textId="32183AA0"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14,4</w:t>
            </w:r>
          </w:p>
        </w:tc>
        <w:tc>
          <w:tcPr>
            <w:tcW w:w="625" w:type="dxa"/>
            <w:tcBorders>
              <w:top w:val="nil"/>
              <w:left w:val="nil"/>
              <w:bottom w:val="single" w:sz="4" w:space="0" w:color="auto"/>
              <w:right w:val="nil"/>
            </w:tcBorders>
            <w:shd w:val="clear" w:color="auto" w:fill="auto"/>
            <w:vAlign w:val="center"/>
            <w:hideMark/>
          </w:tcPr>
          <w:p w14:paraId="051BA09C" w14:textId="6A354380"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15,2</w:t>
            </w:r>
          </w:p>
        </w:tc>
        <w:tc>
          <w:tcPr>
            <w:tcW w:w="625" w:type="dxa"/>
            <w:tcBorders>
              <w:top w:val="nil"/>
              <w:left w:val="nil"/>
              <w:bottom w:val="single" w:sz="4" w:space="0" w:color="auto"/>
              <w:right w:val="nil"/>
            </w:tcBorders>
            <w:shd w:val="clear" w:color="auto" w:fill="auto"/>
            <w:vAlign w:val="center"/>
            <w:hideMark/>
          </w:tcPr>
          <w:p w14:paraId="0FED326D" w14:textId="6B1E33CD"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16,1</w:t>
            </w:r>
          </w:p>
        </w:tc>
        <w:tc>
          <w:tcPr>
            <w:tcW w:w="625" w:type="dxa"/>
            <w:tcBorders>
              <w:top w:val="nil"/>
              <w:left w:val="nil"/>
              <w:bottom w:val="single" w:sz="4" w:space="0" w:color="auto"/>
              <w:right w:val="nil"/>
            </w:tcBorders>
            <w:shd w:val="clear" w:color="auto" w:fill="auto"/>
            <w:vAlign w:val="center"/>
            <w:hideMark/>
          </w:tcPr>
          <w:p w14:paraId="19B44A74" w14:textId="669C70DF"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16,7</w:t>
            </w:r>
          </w:p>
        </w:tc>
        <w:tc>
          <w:tcPr>
            <w:tcW w:w="625" w:type="dxa"/>
            <w:tcBorders>
              <w:top w:val="nil"/>
              <w:left w:val="nil"/>
              <w:bottom w:val="single" w:sz="4" w:space="0" w:color="auto"/>
              <w:right w:val="nil"/>
            </w:tcBorders>
            <w:shd w:val="clear" w:color="auto" w:fill="auto"/>
            <w:vAlign w:val="center"/>
            <w:hideMark/>
          </w:tcPr>
          <w:p w14:paraId="3499093A" w14:textId="1AA30A5C"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17,0</w:t>
            </w:r>
          </w:p>
        </w:tc>
        <w:tc>
          <w:tcPr>
            <w:tcW w:w="625" w:type="dxa"/>
            <w:tcBorders>
              <w:top w:val="nil"/>
              <w:left w:val="nil"/>
              <w:bottom w:val="single" w:sz="4" w:space="0" w:color="auto"/>
              <w:right w:val="nil"/>
            </w:tcBorders>
            <w:vAlign w:val="center"/>
          </w:tcPr>
          <w:p w14:paraId="3E857799" w14:textId="77777777" w:rsidR="00EA4ADD" w:rsidRPr="00677CC7" w:rsidRDefault="00EA4ADD" w:rsidP="00EA4ADD">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hideMark/>
          </w:tcPr>
          <w:p w14:paraId="6E03BBAD" w14:textId="4E9829B9" w:rsidR="00EA4ADD" w:rsidRPr="00677CC7" w:rsidRDefault="00EA4ADD" w:rsidP="00EA4ADD">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20</w:t>
            </w:r>
          </w:p>
        </w:tc>
      </w:tr>
      <w:tr w:rsidR="00EA4ADD" w:rsidRPr="00677CC7" w14:paraId="7197EA01" w14:textId="77777777" w:rsidTr="00EA4ADD">
        <w:trPr>
          <w:gridAfter w:val="1"/>
          <w:wAfter w:w="10" w:type="dxa"/>
          <w:trHeight w:val="277"/>
          <w:jc w:val="center"/>
        </w:trPr>
        <w:tc>
          <w:tcPr>
            <w:tcW w:w="426" w:type="dxa"/>
            <w:vMerge w:val="restart"/>
            <w:tcBorders>
              <w:top w:val="nil"/>
              <w:left w:val="nil"/>
              <w:bottom w:val="single" w:sz="4" w:space="0" w:color="000000"/>
              <w:right w:val="nil"/>
            </w:tcBorders>
            <w:shd w:val="clear" w:color="auto" w:fill="auto"/>
            <w:textDirection w:val="btLr"/>
            <w:vAlign w:val="center"/>
            <w:hideMark/>
          </w:tcPr>
          <w:p w14:paraId="64E52156"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425" w:type="dxa"/>
            <w:gridSpan w:val="2"/>
            <w:vMerge w:val="restart"/>
            <w:tcBorders>
              <w:top w:val="nil"/>
              <w:left w:val="nil"/>
              <w:bottom w:val="single" w:sz="4" w:space="0" w:color="000000"/>
              <w:right w:val="nil"/>
            </w:tcBorders>
            <w:shd w:val="clear" w:color="auto" w:fill="auto"/>
            <w:noWrap/>
            <w:vAlign w:val="center"/>
            <w:hideMark/>
          </w:tcPr>
          <w:p w14:paraId="453CBC67"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r>
              <w:rPr>
                <w:rFonts w:ascii="Arial Narrow" w:hAnsi="Arial Narrow"/>
                <w:b/>
                <w:bCs/>
                <w:color w:val="000000"/>
                <w:sz w:val="20"/>
                <w:szCs w:val="20"/>
                <w:lang w:val="en-US" w:eastAsia="en-US"/>
              </w:rPr>
              <w:t>23</w:t>
            </w:r>
          </w:p>
        </w:tc>
        <w:tc>
          <w:tcPr>
            <w:tcW w:w="2221" w:type="dxa"/>
            <w:tcBorders>
              <w:top w:val="nil"/>
              <w:left w:val="nil"/>
              <w:bottom w:val="nil"/>
              <w:right w:val="nil"/>
            </w:tcBorders>
            <w:shd w:val="clear" w:color="auto" w:fill="auto"/>
            <w:noWrap/>
            <w:vAlign w:val="center"/>
            <w:hideMark/>
          </w:tcPr>
          <w:p w14:paraId="4614A54B" w14:textId="77777777" w:rsidR="00EA4ADD" w:rsidRPr="00677CC7" w:rsidRDefault="00EA4ADD" w:rsidP="00EA4ADD">
            <w:pPr>
              <w:spacing w:after="0" w:line="240" w:lineRule="auto"/>
              <w:rPr>
                <w:rFonts w:ascii="Arial Narrow" w:hAnsi="Arial Narrow"/>
                <w:b/>
                <w:bCs/>
                <w:color w:val="000000"/>
                <w:sz w:val="20"/>
                <w:szCs w:val="20"/>
                <w:lang w:val="en-US" w:eastAsia="en-US"/>
              </w:rPr>
            </w:pPr>
            <w:proofErr w:type="spellStart"/>
            <w:r w:rsidRPr="00677CC7">
              <w:rPr>
                <w:rFonts w:ascii="Arial Narrow" w:hAnsi="Arial Narrow"/>
                <w:b/>
                <w:bCs/>
                <w:color w:val="000000"/>
                <w:sz w:val="20"/>
                <w:szCs w:val="20"/>
                <w:lang w:val="en-US" w:eastAsia="en-US"/>
              </w:rPr>
              <w:t>Konečná</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energetická</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spotreba</w:t>
            </w:r>
            <w:proofErr w:type="spellEnd"/>
          </w:p>
        </w:tc>
        <w:tc>
          <w:tcPr>
            <w:tcW w:w="756" w:type="dxa"/>
            <w:tcBorders>
              <w:top w:val="nil"/>
              <w:left w:val="nil"/>
              <w:bottom w:val="nil"/>
              <w:right w:val="nil"/>
            </w:tcBorders>
            <w:shd w:val="clear" w:color="auto" w:fill="auto"/>
            <w:vAlign w:val="center"/>
            <w:hideMark/>
          </w:tcPr>
          <w:p w14:paraId="2115FAFA"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SK</w:t>
            </w:r>
          </w:p>
        </w:tc>
        <w:tc>
          <w:tcPr>
            <w:tcW w:w="743" w:type="dxa"/>
            <w:tcBorders>
              <w:top w:val="nil"/>
              <w:left w:val="nil"/>
              <w:bottom w:val="nil"/>
              <w:right w:val="nil"/>
            </w:tcBorders>
            <w:shd w:val="clear" w:color="auto" w:fill="auto"/>
            <w:vAlign w:val="center"/>
            <w:hideMark/>
          </w:tcPr>
          <w:p w14:paraId="6349FC4B" w14:textId="77777777" w:rsidR="00EA4ADD" w:rsidRPr="00677CC7" w:rsidRDefault="00EA4ADD" w:rsidP="00EA4ADD">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0,8</w:t>
            </w:r>
          </w:p>
        </w:tc>
        <w:tc>
          <w:tcPr>
            <w:tcW w:w="625" w:type="dxa"/>
            <w:tcBorders>
              <w:top w:val="nil"/>
              <w:left w:val="nil"/>
              <w:bottom w:val="nil"/>
              <w:right w:val="nil"/>
            </w:tcBorders>
            <w:shd w:val="clear" w:color="auto" w:fill="auto"/>
            <w:vAlign w:val="center"/>
            <w:hideMark/>
          </w:tcPr>
          <w:p w14:paraId="2860C148" w14:textId="21DA40E0"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-7,0</w:t>
            </w:r>
          </w:p>
        </w:tc>
        <w:tc>
          <w:tcPr>
            <w:tcW w:w="625" w:type="dxa"/>
            <w:tcBorders>
              <w:top w:val="nil"/>
              <w:left w:val="nil"/>
              <w:bottom w:val="nil"/>
              <w:right w:val="nil"/>
            </w:tcBorders>
            <w:shd w:val="clear" w:color="auto" w:fill="auto"/>
            <w:vAlign w:val="center"/>
            <w:hideMark/>
          </w:tcPr>
          <w:p w14:paraId="22E3C08C" w14:textId="4F122C78"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0,9</w:t>
            </w:r>
          </w:p>
        </w:tc>
        <w:tc>
          <w:tcPr>
            <w:tcW w:w="625" w:type="dxa"/>
            <w:tcBorders>
              <w:top w:val="nil"/>
              <w:left w:val="nil"/>
              <w:bottom w:val="nil"/>
              <w:right w:val="nil"/>
            </w:tcBorders>
            <w:shd w:val="clear" w:color="auto" w:fill="auto"/>
            <w:vAlign w:val="center"/>
            <w:hideMark/>
          </w:tcPr>
          <w:p w14:paraId="165E8916" w14:textId="5E9DCAC0"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-5,3</w:t>
            </w:r>
          </w:p>
        </w:tc>
        <w:tc>
          <w:tcPr>
            <w:tcW w:w="625" w:type="dxa"/>
            <w:tcBorders>
              <w:top w:val="nil"/>
              <w:left w:val="nil"/>
              <w:bottom w:val="nil"/>
              <w:right w:val="nil"/>
            </w:tcBorders>
            <w:shd w:val="clear" w:color="auto" w:fill="auto"/>
            <w:vAlign w:val="center"/>
            <w:hideMark/>
          </w:tcPr>
          <w:p w14:paraId="43BDDCBF" w14:textId="27D2EDA5"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-9,6</w:t>
            </w:r>
          </w:p>
        </w:tc>
        <w:tc>
          <w:tcPr>
            <w:tcW w:w="625" w:type="dxa"/>
            <w:tcBorders>
              <w:top w:val="nil"/>
              <w:left w:val="nil"/>
              <w:bottom w:val="nil"/>
              <w:right w:val="nil"/>
            </w:tcBorders>
            <w:shd w:val="clear" w:color="auto" w:fill="auto"/>
            <w:vAlign w:val="center"/>
            <w:hideMark/>
          </w:tcPr>
          <w:p w14:paraId="65CA575D" w14:textId="5B5250AC"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-7,0</w:t>
            </w:r>
          </w:p>
        </w:tc>
        <w:tc>
          <w:tcPr>
            <w:tcW w:w="625" w:type="dxa"/>
            <w:tcBorders>
              <w:top w:val="nil"/>
              <w:left w:val="nil"/>
              <w:bottom w:val="nil"/>
              <w:right w:val="nil"/>
            </w:tcBorders>
            <w:shd w:val="clear" w:color="auto" w:fill="auto"/>
            <w:vAlign w:val="center"/>
            <w:hideMark/>
          </w:tcPr>
          <w:p w14:paraId="1E866BAB" w14:textId="5FEACB49"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-12,3</w:t>
            </w:r>
          </w:p>
        </w:tc>
        <w:tc>
          <w:tcPr>
            <w:tcW w:w="625" w:type="dxa"/>
            <w:tcBorders>
              <w:top w:val="nil"/>
              <w:left w:val="nil"/>
              <w:bottom w:val="nil"/>
              <w:right w:val="nil"/>
            </w:tcBorders>
            <w:shd w:val="clear" w:color="auto" w:fill="auto"/>
            <w:vAlign w:val="center"/>
            <w:hideMark/>
          </w:tcPr>
          <w:p w14:paraId="25DD53A4" w14:textId="16D0E1A6"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-11,4</w:t>
            </w:r>
          </w:p>
        </w:tc>
        <w:tc>
          <w:tcPr>
            <w:tcW w:w="625" w:type="dxa"/>
            <w:tcBorders>
              <w:top w:val="nil"/>
              <w:left w:val="nil"/>
              <w:bottom w:val="nil"/>
              <w:right w:val="nil"/>
            </w:tcBorders>
            <w:shd w:val="clear" w:color="auto" w:fill="auto"/>
            <w:vAlign w:val="center"/>
            <w:hideMark/>
          </w:tcPr>
          <w:p w14:paraId="36DE9039" w14:textId="666D5B6B"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-8,8</w:t>
            </w:r>
          </w:p>
        </w:tc>
        <w:tc>
          <w:tcPr>
            <w:tcW w:w="625" w:type="dxa"/>
            <w:tcBorders>
              <w:top w:val="nil"/>
              <w:left w:val="nil"/>
              <w:bottom w:val="nil"/>
              <w:right w:val="nil"/>
            </w:tcBorders>
            <w:vAlign w:val="center"/>
          </w:tcPr>
          <w:p w14:paraId="2D8E2EF4" w14:textId="77777777" w:rsidR="00EA4ADD" w:rsidRPr="00677CC7" w:rsidRDefault="00EA4ADD" w:rsidP="00EA4ADD">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nil"/>
              <w:right w:val="nil"/>
            </w:tcBorders>
            <w:shd w:val="clear" w:color="auto" w:fill="auto"/>
            <w:vAlign w:val="center"/>
            <w:hideMark/>
          </w:tcPr>
          <w:p w14:paraId="134FA5CA" w14:textId="2149F6CF" w:rsidR="00EA4ADD" w:rsidRPr="00677CC7" w:rsidRDefault="00EA4ADD" w:rsidP="00EA4ADD">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-11</w:t>
            </w:r>
          </w:p>
        </w:tc>
      </w:tr>
      <w:tr w:rsidR="00EA4ADD" w:rsidRPr="00677CC7" w14:paraId="739A4803" w14:textId="77777777" w:rsidTr="00EA4ADD">
        <w:trPr>
          <w:gridAfter w:val="1"/>
          <w:wAfter w:w="10" w:type="dxa"/>
          <w:trHeight w:val="59"/>
          <w:jc w:val="center"/>
        </w:trPr>
        <w:tc>
          <w:tcPr>
            <w:tcW w:w="426" w:type="dxa"/>
            <w:vMerge/>
            <w:tcBorders>
              <w:top w:val="nil"/>
              <w:left w:val="nil"/>
              <w:bottom w:val="single" w:sz="4" w:space="0" w:color="000000"/>
              <w:right w:val="nil"/>
            </w:tcBorders>
            <w:vAlign w:val="center"/>
            <w:hideMark/>
          </w:tcPr>
          <w:p w14:paraId="6BF92E55" w14:textId="77777777" w:rsidR="00EA4ADD" w:rsidRPr="00677CC7" w:rsidRDefault="00EA4ADD" w:rsidP="00EA4ADD">
            <w:pPr>
              <w:spacing w:after="0" w:line="240" w:lineRule="auto"/>
              <w:rPr>
                <w:rFonts w:ascii="Arial Narrow" w:hAnsi="Arial Narrow"/>
                <w:b/>
                <w:bCs/>
                <w:color w:val="000000"/>
                <w:sz w:val="20"/>
                <w:szCs w:val="20"/>
                <w:lang w:val="en-US" w:eastAsia="en-US"/>
              </w:rPr>
            </w:pPr>
          </w:p>
        </w:tc>
        <w:tc>
          <w:tcPr>
            <w:tcW w:w="425" w:type="dxa"/>
            <w:gridSpan w:val="2"/>
            <w:vMerge/>
            <w:tcBorders>
              <w:top w:val="nil"/>
              <w:left w:val="nil"/>
              <w:bottom w:val="single" w:sz="4" w:space="0" w:color="000000"/>
              <w:right w:val="nil"/>
            </w:tcBorders>
            <w:vAlign w:val="center"/>
            <w:hideMark/>
          </w:tcPr>
          <w:p w14:paraId="51736A64" w14:textId="77777777" w:rsidR="00EA4ADD" w:rsidRPr="00677CC7" w:rsidRDefault="00EA4ADD" w:rsidP="00EA4ADD">
            <w:pPr>
              <w:spacing w:after="0" w:line="240" w:lineRule="auto"/>
              <w:rPr>
                <w:rFonts w:ascii="Arial Narrow" w:hAnsi="Arial Narrow"/>
                <w:b/>
                <w:bCs/>
                <w:color w:val="000000"/>
                <w:sz w:val="20"/>
                <w:szCs w:val="20"/>
                <w:lang w:val="en-US" w:eastAsia="en-US"/>
              </w:rPr>
            </w:pPr>
          </w:p>
        </w:tc>
        <w:tc>
          <w:tcPr>
            <w:tcW w:w="2221" w:type="dxa"/>
            <w:tcBorders>
              <w:top w:val="nil"/>
              <w:left w:val="nil"/>
              <w:bottom w:val="single" w:sz="4" w:space="0" w:color="auto"/>
              <w:right w:val="nil"/>
            </w:tcBorders>
            <w:shd w:val="clear" w:color="auto" w:fill="auto"/>
            <w:noWrap/>
            <w:vAlign w:val="center"/>
            <w:hideMark/>
          </w:tcPr>
          <w:p w14:paraId="53C54D60" w14:textId="77777777" w:rsidR="00EA4ADD" w:rsidRPr="00677CC7" w:rsidRDefault="00EA4ADD" w:rsidP="00EA4ADD">
            <w:pPr>
              <w:spacing w:after="0" w:line="240" w:lineRule="auto"/>
              <w:jc w:val="both"/>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zmena</w:t>
            </w:r>
            <w:proofErr w:type="spellEnd"/>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voči</w:t>
            </w:r>
            <w:proofErr w:type="spellEnd"/>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priemeru</w:t>
            </w:r>
            <w:proofErr w:type="spellEnd"/>
            <w:r w:rsidRPr="00677CC7">
              <w:rPr>
                <w:rFonts w:ascii="Arial Narrow" w:hAnsi="Arial Narrow"/>
                <w:color w:val="000000"/>
                <w:sz w:val="20"/>
                <w:szCs w:val="20"/>
                <w:lang w:val="en-US" w:eastAsia="en-US"/>
              </w:rPr>
              <w:t xml:space="preserve"> </w:t>
            </w:r>
            <w:proofErr w:type="spellStart"/>
            <w:r w:rsidRPr="00677CC7">
              <w:rPr>
                <w:rFonts w:ascii="Arial Narrow" w:hAnsi="Arial Narrow"/>
                <w:color w:val="000000"/>
                <w:sz w:val="20"/>
                <w:szCs w:val="20"/>
                <w:lang w:val="en-US" w:eastAsia="en-US"/>
              </w:rPr>
              <w:t>rokov</w:t>
            </w:r>
            <w:proofErr w:type="spellEnd"/>
            <w:r w:rsidRPr="00677CC7">
              <w:rPr>
                <w:rFonts w:ascii="Arial Narrow" w:hAnsi="Arial Narrow"/>
                <w:color w:val="000000"/>
                <w:sz w:val="20"/>
                <w:szCs w:val="20"/>
                <w:lang w:val="en-US" w:eastAsia="en-US"/>
              </w:rPr>
              <w:t xml:space="preserve"> 2001- 2005)</w:t>
            </w:r>
          </w:p>
        </w:tc>
        <w:tc>
          <w:tcPr>
            <w:tcW w:w="756" w:type="dxa"/>
            <w:tcBorders>
              <w:top w:val="nil"/>
              <w:left w:val="nil"/>
              <w:bottom w:val="single" w:sz="4" w:space="0" w:color="auto"/>
              <w:right w:val="nil"/>
            </w:tcBorders>
            <w:shd w:val="clear" w:color="auto" w:fill="auto"/>
            <w:vAlign w:val="center"/>
            <w:hideMark/>
          </w:tcPr>
          <w:p w14:paraId="53364DEA" w14:textId="77777777" w:rsidR="00EA4ADD" w:rsidRPr="00677CC7" w:rsidRDefault="00EA4ADD" w:rsidP="00EA4ADD">
            <w:pPr>
              <w:spacing w:after="0" w:line="240" w:lineRule="auto"/>
              <w:jc w:val="center"/>
              <w:rPr>
                <w:rFonts w:ascii="Arial Narrow" w:hAnsi="Arial Narrow"/>
                <w:b/>
                <w:bCs/>
                <w:color w:val="000000"/>
                <w:sz w:val="20"/>
                <w:szCs w:val="20"/>
                <w:lang w:val="en-US" w:eastAsia="en-US"/>
              </w:rPr>
            </w:pPr>
            <w:r w:rsidRPr="00677CC7">
              <w:rPr>
                <w:rFonts w:ascii="Arial Narrow" w:hAnsi="Arial Narrow"/>
                <w:b/>
                <w:bCs/>
                <w:color w:val="000000"/>
                <w:sz w:val="20"/>
                <w:szCs w:val="20"/>
                <w:lang w:val="en-US" w:eastAsia="en-US"/>
              </w:rPr>
              <w:t>EÚ</w:t>
            </w:r>
          </w:p>
        </w:tc>
        <w:tc>
          <w:tcPr>
            <w:tcW w:w="743" w:type="dxa"/>
            <w:tcBorders>
              <w:top w:val="nil"/>
              <w:left w:val="nil"/>
              <w:bottom w:val="single" w:sz="4" w:space="0" w:color="auto"/>
              <w:right w:val="nil"/>
            </w:tcBorders>
            <w:shd w:val="clear" w:color="auto" w:fill="auto"/>
            <w:vAlign w:val="center"/>
            <w:hideMark/>
          </w:tcPr>
          <w:p w14:paraId="6557F561" w14:textId="77777777" w:rsidR="00EA4ADD" w:rsidRPr="00677CC7" w:rsidRDefault="00EA4ADD" w:rsidP="00EA4ADD">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1,0</w:t>
            </w:r>
          </w:p>
        </w:tc>
        <w:tc>
          <w:tcPr>
            <w:tcW w:w="625" w:type="dxa"/>
            <w:tcBorders>
              <w:top w:val="nil"/>
              <w:left w:val="nil"/>
              <w:bottom w:val="single" w:sz="4" w:space="0" w:color="auto"/>
              <w:right w:val="nil"/>
            </w:tcBorders>
            <w:shd w:val="clear" w:color="auto" w:fill="auto"/>
            <w:vAlign w:val="center"/>
            <w:hideMark/>
          </w:tcPr>
          <w:p w14:paraId="7A6D6F3D" w14:textId="4E935E61"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-4,8</w:t>
            </w:r>
          </w:p>
        </w:tc>
        <w:tc>
          <w:tcPr>
            <w:tcW w:w="625" w:type="dxa"/>
            <w:tcBorders>
              <w:top w:val="nil"/>
              <w:left w:val="nil"/>
              <w:bottom w:val="single" w:sz="4" w:space="0" w:color="auto"/>
              <w:right w:val="nil"/>
            </w:tcBorders>
            <w:shd w:val="clear" w:color="auto" w:fill="auto"/>
            <w:vAlign w:val="center"/>
            <w:hideMark/>
          </w:tcPr>
          <w:p w14:paraId="535171AB" w14:textId="254B3061"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-0,7</w:t>
            </w:r>
          </w:p>
        </w:tc>
        <w:tc>
          <w:tcPr>
            <w:tcW w:w="625" w:type="dxa"/>
            <w:tcBorders>
              <w:top w:val="nil"/>
              <w:left w:val="nil"/>
              <w:bottom w:val="single" w:sz="4" w:space="0" w:color="auto"/>
              <w:right w:val="nil"/>
            </w:tcBorders>
            <w:shd w:val="clear" w:color="auto" w:fill="auto"/>
            <w:vAlign w:val="center"/>
            <w:hideMark/>
          </w:tcPr>
          <w:p w14:paraId="7682865C" w14:textId="1B8D01B6"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-5,3</w:t>
            </w:r>
          </w:p>
        </w:tc>
        <w:tc>
          <w:tcPr>
            <w:tcW w:w="625" w:type="dxa"/>
            <w:tcBorders>
              <w:top w:val="nil"/>
              <w:left w:val="nil"/>
              <w:bottom w:val="single" w:sz="4" w:space="0" w:color="auto"/>
              <w:right w:val="nil"/>
            </w:tcBorders>
            <w:shd w:val="clear" w:color="auto" w:fill="auto"/>
            <w:vAlign w:val="center"/>
            <w:hideMark/>
          </w:tcPr>
          <w:p w14:paraId="08695E14" w14:textId="6602C97F"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-5,4</w:t>
            </w:r>
          </w:p>
        </w:tc>
        <w:tc>
          <w:tcPr>
            <w:tcW w:w="625" w:type="dxa"/>
            <w:tcBorders>
              <w:top w:val="nil"/>
              <w:left w:val="nil"/>
              <w:bottom w:val="single" w:sz="4" w:space="0" w:color="auto"/>
              <w:right w:val="nil"/>
            </w:tcBorders>
            <w:shd w:val="clear" w:color="auto" w:fill="auto"/>
            <w:vAlign w:val="center"/>
            <w:hideMark/>
          </w:tcPr>
          <w:p w14:paraId="4D4AD30C" w14:textId="5062A3BD"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-5,4</w:t>
            </w:r>
          </w:p>
        </w:tc>
        <w:tc>
          <w:tcPr>
            <w:tcW w:w="625" w:type="dxa"/>
            <w:tcBorders>
              <w:top w:val="nil"/>
              <w:left w:val="nil"/>
              <w:bottom w:val="single" w:sz="4" w:space="0" w:color="auto"/>
              <w:right w:val="nil"/>
            </w:tcBorders>
            <w:shd w:val="clear" w:color="auto" w:fill="auto"/>
            <w:vAlign w:val="center"/>
            <w:hideMark/>
          </w:tcPr>
          <w:p w14:paraId="4A8F4C86" w14:textId="24C47BE3"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-9,3</w:t>
            </w:r>
          </w:p>
        </w:tc>
        <w:tc>
          <w:tcPr>
            <w:tcW w:w="625" w:type="dxa"/>
            <w:tcBorders>
              <w:top w:val="nil"/>
              <w:left w:val="nil"/>
              <w:bottom w:val="single" w:sz="4" w:space="0" w:color="auto"/>
              <w:right w:val="nil"/>
            </w:tcBorders>
            <w:shd w:val="clear" w:color="auto" w:fill="auto"/>
            <w:vAlign w:val="center"/>
            <w:hideMark/>
          </w:tcPr>
          <w:p w14:paraId="7677905C" w14:textId="1E4427C2"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-7,3</w:t>
            </w:r>
          </w:p>
        </w:tc>
        <w:tc>
          <w:tcPr>
            <w:tcW w:w="625" w:type="dxa"/>
            <w:tcBorders>
              <w:top w:val="nil"/>
              <w:left w:val="nil"/>
              <w:bottom w:val="single" w:sz="4" w:space="0" w:color="auto"/>
              <w:right w:val="nil"/>
            </w:tcBorders>
            <w:shd w:val="clear" w:color="auto" w:fill="auto"/>
            <w:vAlign w:val="center"/>
            <w:hideMark/>
          </w:tcPr>
          <w:p w14:paraId="63EA17E6" w14:textId="5ACF87F7" w:rsidR="00EA4ADD" w:rsidRPr="00677CC7" w:rsidRDefault="00EA4ADD" w:rsidP="00EA4ADD">
            <w:pPr>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rPr>
              <w:t>-5,5</w:t>
            </w:r>
          </w:p>
        </w:tc>
        <w:tc>
          <w:tcPr>
            <w:tcW w:w="625" w:type="dxa"/>
            <w:tcBorders>
              <w:top w:val="nil"/>
              <w:left w:val="nil"/>
              <w:bottom w:val="single" w:sz="4" w:space="0" w:color="auto"/>
              <w:right w:val="nil"/>
            </w:tcBorders>
            <w:vAlign w:val="center"/>
          </w:tcPr>
          <w:p w14:paraId="5E531847" w14:textId="77777777" w:rsidR="00EA4ADD" w:rsidRPr="00677CC7" w:rsidRDefault="00EA4ADD" w:rsidP="00EA4ADD">
            <w:pPr>
              <w:spacing w:after="0" w:line="240" w:lineRule="auto"/>
              <w:jc w:val="center"/>
              <w:rPr>
                <w:rFonts w:ascii="Arial Narrow" w:hAnsi="Arial Narrow"/>
                <w:color w:val="000000"/>
                <w:sz w:val="20"/>
                <w:szCs w:val="20"/>
                <w:lang w:val="en-US" w:eastAsia="en-US"/>
              </w:rPr>
            </w:pPr>
          </w:p>
        </w:tc>
        <w:tc>
          <w:tcPr>
            <w:tcW w:w="625" w:type="dxa"/>
            <w:tcBorders>
              <w:top w:val="nil"/>
              <w:left w:val="nil"/>
              <w:bottom w:val="single" w:sz="4" w:space="0" w:color="auto"/>
              <w:right w:val="nil"/>
            </w:tcBorders>
            <w:shd w:val="clear" w:color="auto" w:fill="auto"/>
            <w:vAlign w:val="center"/>
            <w:hideMark/>
          </w:tcPr>
          <w:p w14:paraId="26A3C3C6" w14:textId="21EEA097" w:rsidR="00EA4ADD" w:rsidRPr="00677CC7" w:rsidRDefault="00EA4ADD" w:rsidP="00EA4ADD">
            <w:pPr>
              <w:spacing w:after="0" w:line="240" w:lineRule="auto"/>
              <w:jc w:val="center"/>
              <w:rPr>
                <w:rFonts w:ascii="Arial Narrow" w:hAnsi="Arial Narrow"/>
                <w:color w:val="000000"/>
                <w:sz w:val="20"/>
                <w:szCs w:val="20"/>
                <w:lang w:val="en-US" w:eastAsia="en-US"/>
              </w:rPr>
            </w:pPr>
            <w:r w:rsidRPr="00677CC7">
              <w:rPr>
                <w:rFonts w:ascii="Arial Narrow" w:hAnsi="Arial Narrow"/>
                <w:color w:val="000000"/>
                <w:sz w:val="20"/>
                <w:szCs w:val="20"/>
                <w:lang w:val="en-US" w:eastAsia="en-US"/>
              </w:rPr>
              <w:t>-</w:t>
            </w:r>
            <w:r>
              <w:rPr>
                <w:rFonts w:ascii="Arial Narrow" w:hAnsi="Arial Narrow"/>
                <w:color w:val="000000"/>
                <w:sz w:val="20"/>
                <w:szCs w:val="20"/>
                <w:lang w:val="en-US" w:eastAsia="en-US"/>
              </w:rPr>
              <w:t>7,3</w:t>
            </w:r>
          </w:p>
        </w:tc>
      </w:tr>
    </w:tbl>
    <w:p w14:paraId="00C98711" w14:textId="77777777" w:rsidR="007D2366" w:rsidRPr="00256D89" w:rsidRDefault="007D2366" w:rsidP="007D2366">
      <w:pPr>
        <w:spacing w:after="0" w:line="240" w:lineRule="auto"/>
        <w:jc w:val="both"/>
        <w:rPr>
          <w:rFonts w:ascii="Arial Narrow" w:hAnsi="Arial Narrow" w:cs="Arial Narrow"/>
          <w:bCs/>
        </w:rPr>
      </w:pPr>
    </w:p>
    <w:p w14:paraId="4E4F40E9" w14:textId="77777777" w:rsidR="007D2366" w:rsidRDefault="007D2366" w:rsidP="007D2366">
      <w:r>
        <w:br w:type="page"/>
      </w:r>
    </w:p>
    <w:tbl>
      <w:tblPr>
        <w:tblW w:w="10206" w:type="dxa"/>
        <w:jc w:val="center"/>
        <w:tblLook w:val="04A0" w:firstRow="1" w:lastRow="0" w:firstColumn="1" w:lastColumn="0" w:noHBand="0" w:noVBand="1"/>
      </w:tblPr>
      <w:tblGrid>
        <w:gridCol w:w="1826"/>
        <w:gridCol w:w="8380"/>
      </w:tblGrid>
      <w:tr w:rsidR="007D2366" w:rsidRPr="00D50DB8" w14:paraId="520ABAAC" w14:textId="77777777" w:rsidTr="00342E82">
        <w:trPr>
          <w:trHeight w:val="300"/>
          <w:jc w:val="center"/>
        </w:trPr>
        <w:tc>
          <w:tcPr>
            <w:tcW w:w="10206" w:type="dxa"/>
            <w:gridSpan w:val="2"/>
            <w:tcBorders>
              <w:top w:val="nil"/>
              <w:left w:val="nil"/>
              <w:bottom w:val="single" w:sz="4" w:space="0" w:color="auto"/>
              <w:right w:val="nil"/>
            </w:tcBorders>
            <w:shd w:val="clear" w:color="auto" w:fill="auto"/>
            <w:vAlign w:val="center"/>
            <w:hideMark/>
          </w:tcPr>
          <w:p w14:paraId="517A0B27" w14:textId="77777777" w:rsidR="007D2366" w:rsidRPr="00E24676" w:rsidRDefault="007D2366" w:rsidP="00342E82">
            <w:pPr>
              <w:spacing w:after="0" w:line="240" w:lineRule="auto"/>
              <w:rPr>
                <w:rFonts w:ascii="Arial Narrow" w:hAnsi="Arial Narrow"/>
                <w:b/>
                <w:bCs/>
                <w:color w:val="2C9ADC"/>
                <w:sz w:val="20"/>
                <w:szCs w:val="20"/>
                <w:lang w:eastAsia="en-US"/>
              </w:rPr>
            </w:pPr>
            <w:r w:rsidRPr="00E24676">
              <w:rPr>
                <w:rFonts w:ascii="Arial Narrow" w:hAnsi="Arial Narrow"/>
                <w:b/>
                <w:bCs/>
                <w:color w:val="2C9ADC"/>
                <w:sz w:val="20"/>
                <w:szCs w:val="20"/>
                <w:lang w:eastAsia="en-US"/>
              </w:rPr>
              <w:lastRenderedPageBreak/>
              <w:t>Popis výsledkových ukazovateľov stratégie Európa 2020</w:t>
            </w:r>
            <w:r>
              <w:rPr>
                <w:rFonts w:ascii="Arial Narrow" w:hAnsi="Arial Narrow"/>
                <w:b/>
                <w:bCs/>
                <w:color w:val="2C9ADC"/>
                <w:sz w:val="20"/>
                <w:szCs w:val="20"/>
                <w:lang w:eastAsia="en-US"/>
              </w:rPr>
              <w:t xml:space="preserve"> a iných oblastí</w:t>
            </w:r>
          </w:p>
        </w:tc>
      </w:tr>
      <w:tr w:rsidR="007D2366" w:rsidRPr="00D50DB8" w14:paraId="70C6AACB" w14:textId="77777777" w:rsidTr="00342E82">
        <w:trPr>
          <w:trHeight w:val="300"/>
          <w:jc w:val="center"/>
        </w:trPr>
        <w:tc>
          <w:tcPr>
            <w:tcW w:w="1826" w:type="dxa"/>
            <w:tcBorders>
              <w:top w:val="nil"/>
              <w:left w:val="nil"/>
              <w:bottom w:val="single" w:sz="4" w:space="0" w:color="auto"/>
              <w:right w:val="nil"/>
            </w:tcBorders>
            <w:shd w:val="clear" w:color="auto" w:fill="auto"/>
            <w:vAlign w:val="center"/>
            <w:hideMark/>
          </w:tcPr>
          <w:p w14:paraId="00A83AB8" w14:textId="77777777" w:rsidR="007D2366" w:rsidRPr="00D50DB8" w:rsidRDefault="007D2366" w:rsidP="00342E82">
            <w:pPr>
              <w:spacing w:after="0" w:line="240" w:lineRule="auto"/>
              <w:rPr>
                <w:rFonts w:ascii="Arial Narrow" w:hAnsi="Arial Narrow"/>
                <w:b/>
                <w:bCs/>
                <w:color w:val="000000"/>
                <w:sz w:val="20"/>
                <w:szCs w:val="20"/>
                <w:lang w:val="en-US" w:eastAsia="en-US"/>
              </w:rPr>
            </w:pPr>
            <w:proofErr w:type="spellStart"/>
            <w:r w:rsidRPr="00D50DB8">
              <w:rPr>
                <w:rFonts w:ascii="Arial Narrow" w:hAnsi="Arial Narrow"/>
                <w:b/>
                <w:bCs/>
                <w:color w:val="000000"/>
                <w:sz w:val="20"/>
                <w:szCs w:val="20"/>
                <w:lang w:val="en-US" w:eastAsia="en-US"/>
              </w:rPr>
              <w:t>Názov</w:t>
            </w:r>
            <w:proofErr w:type="spellEnd"/>
            <w:r w:rsidRPr="00D50DB8">
              <w:rPr>
                <w:rFonts w:ascii="Arial Narrow" w:hAnsi="Arial Narrow"/>
                <w:b/>
                <w:bCs/>
                <w:color w:val="000000"/>
                <w:sz w:val="20"/>
                <w:szCs w:val="20"/>
                <w:lang w:val="en-US" w:eastAsia="en-US"/>
              </w:rPr>
              <w:t xml:space="preserve"> </w:t>
            </w:r>
            <w:proofErr w:type="spellStart"/>
            <w:r w:rsidRPr="00D50DB8">
              <w:rPr>
                <w:rFonts w:ascii="Arial Narrow" w:hAnsi="Arial Narrow"/>
                <w:b/>
                <w:bCs/>
                <w:color w:val="000000"/>
                <w:sz w:val="20"/>
                <w:szCs w:val="20"/>
                <w:lang w:val="en-US" w:eastAsia="en-US"/>
              </w:rPr>
              <w:t>ukazovateľa</w:t>
            </w:r>
            <w:proofErr w:type="spellEnd"/>
          </w:p>
        </w:tc>
        <w:tc>
          <w:tcPr>
            <w:tcW w:w="8380" w:type="dxa"/>
            <w:tcBorders>
              <w:top w:val="nil"/>
              <w:left w:val="nil"/>
              <w:bottom w:val="single" w:sz="4" w:space="0" w:color="auto"/>
              <w:right w:val="nil"/>
            </w:tcBorders>
            <w:shd w:val="clear" w:color="auto" w:fill="auto"/>
            <w:vAlign w:val="center"/>
            <w:hideMark/>
          </w:tcPr>
          <w:p w14:paraId="50E15D57" w14:textId="77777777" w:rsidR="007D2366" w:rsidRPr="00D50DB8" w:rsidRDefault="007D2366" w:rsidP="00342E82">
            <w:pPr>
              <w:spacing w:after="0" w:line="240" w:lineRule="auto"/>
              <w:jc w:val="both"/>
              <w:rPr>
                <w:rFonts w:ascii="Arial Narrow" w:hAnsi="Arial Narrow"/>
                <w:b/>
                <w:bCs/>
                <w:color w:val="000000"/>
                <w:sz w:val="20"/>
                <w:szCs w:val="20"/>
                <w:lang w:val="en-US" w:eastAsia="en-US"/>
              </w:rPr>
            </w:pPr>
            <w:proofErr w:type="spellStart"/>
            <w:r w:rsidRPr="00D50DB8">
              <w:rPr>
                <w:rFonts w:ascii="Arial Narrow" w:hAnsi="Arial Narrow"/>
                <w:b/>
                <w:bCs/>
                <w:color w:val="000000"/>
                <w:sz w:val="20"/>
                <w:szCs w:val="20"/>
                <w:lang w:val="en-US" w:eastAsia="en-US"/>
              </w:rPr>
              <w:t>Definícia</w:t>
            </w:r>
            <w:proofErr w:type="spellEnd"/>
            <w:r w:rsidRPr="00D50DB8">
              <w:rPr>
                <w:rFonts w:ascii="Arial Narrow" w:hAnsi="Arial Narrow"/>
                <w:b/>
                <w:bCs/>
                <w:color w:val="000000"/>
                <w:sz w:val="20"/>
                <w:szCs w:val="20"/>
                <w:lang w:val="en-US" w:eastAsia="en-US"/>
              </w:rPr>
              <w:t xml:space="preserve"> a </w:t>
            </w:r>
            <w:proofErr w:type="spellStart"/>
            <w:r w:rsidRPr="00D50DB8">
              <w:rPr>
                <w:rFonts w:ascii="Arial Narrow" w:hAnsi="Arial Narrow"/>
                <w:b/>
                <w:bCs/>
                <w:color w:val="000000"/>
                <w:sz w:val="20"/>
                <w:szCs w:val="20"/>
                <w:lang w:val="en-US" w:eastAsia="en-US"/>
              </w:rPr>
              <w:t>zdroj</w:t>
            </w:r>
            <w:proofErr w:type="spellEnd"/>
          </w:p>
        </w:tc>
      </w:tr>
      <w:tr w:rsidR="007D2366" w:rsidRPr="00D50DB8" w14:paraId="5A46EE82" w14:textId="77777777" w:rsidTr="00342E82">
        <w:trPr>
          <w:trHeight w:val="1020"/>
          <w:jc w:val="center"/>
        </w:trPr>
        <w:tc>
          <w:tcPr>
            <w:tcW w:w="1826" w:type="dxa"/>
            <w:vMerge w:val="restart"/>
            <w:tcBorders>
              <w:top w:val="nil"/>
              <w:left w:val="nil"/>
              <w:bottom w:val="nil"/>
              <w:right w:val="nil"/>
            </w:tcBorders>
            <w:shd w:val="clear" w:color="auto" w:fill="auto"/>
            <w:vAlign w:val="center"/>
            <w:hideMark/>
          </w:tcPr>
          <w:p w14:paraId="10933166" w14:textId="77777777" w:rsidR="007D2366" w:rsidRPr="00D50DB8" w:rsidRDefault="007D2366" w:rsidP="00342E82">
            <w:pPr>
              <w:spacing w:after="0" w:line="240" w:lineRule="auto"/>
              <w:rPr>
                <w:rFonts w:ascii="Arial Narrow" w:hAnsi="Arial Narrow"/>
                <w:b/>
                <w:bCs/>
                <w:color w:val="000000"/>
                <w:sz w:val="20"/>
                <w:szCs w:val="20"/>
                <w:lang w:val="en-US" w:eastAsia="en-US"/>
              </w:rPr>
            </w:pPr>
            <w:proofErr w:type="spellStart"/>
            <w:r w:rsidRPr="00D50DB8">
              <w:rPr>
                <w:rFonts w:ascii="Arial Narrow" w:hAnsi="Arial Narrow"/>
                <w:b/>
                <w:bCs/>
                <w:color w:val="000000"/>
                <w:sz w:val="20"/>
                <w:szCs w:val="20"/>
                <w:lang w:val="en-US" w:eastAsia="en-US"/>
              </w:rPr>
              <w:t>Ukazovateľ</w:t>
            </w:r>
            <w:proofErr w:type="spellEnd"/>
            <w:r w:rsidRPr="00D50DB8">
              <w:rPr>
                <w:rFonts w:ascii="Arial Narrow" w:hAnsi="Arial Narrow"/>
                <w:b/>
                <w:bCs/>
                <w:color w:val="000000"/>
                <w:sz w:val="20"/>
                <w:szCs w:val="20"/>
                <w:lang w:val="en-US" w:eastAsia="en-US"/>
              </w:rPr>
              <w:t xml:space="preserve"> </w:t>
            </w:r>
            <w:proofErr w:type="spellStart"/>
            <w:r w:rsidRPr="00D50DB8">
              <w:rPr>
                <w:rFonts w:ascii="Arial Narrow" w:hAnsi="Arial Narrow"/>
                <w:b/>
                <w:bCs/>
                <w:color w:val="000000"/>
                <w:sz w:val="20"/>
                <w:szCs w:val="20"/>
                <w:lang w:val="en-US" w:eastAsia="en-US"/>
              </w:rPr>
              <w:t>dlhodobej</w:t>
            </w:r>
            <w:proofErr w:type="spellEnd"/>
            <w:r w:rsidRPr="00D50DB8">
              <w:rPr>
                <w:rFonts w:ascii="Arial Narrow" w:hAnsi="Arial Narrow"/>
                <w:b/>
                <w:bCs/>
                <w:color w:val="000000"/>
                <w:sz w:val="20"/>
                <w:szCs w:val="20"/>
                <w:lang w:val="en-US" w:eastAsia="en-US"/>
              </w:rPr>
              <w:t xml:space="preserve"> </w:t>
            </w:r>
            <w:proofErr w:type="spellStart"/>
            <w:r w:rsidRPr="00D50DB8">
              <w:rPr>
                <w:rFonts w:ascii="Arial Narrow" w:hAnsi="Arial Narrow"/>
                <w:b/>
                <w:bCs/>
                <w:color w:val="000000"/>
                <w:sz w:val="20"/>
                <w:szCs w:val="20"/>
                <w:lang w:val="en-US" w:eastAsia="en-US"/>
              </w:rPr>
              <w:t>udržateľnosti</w:t>
            </w:r>
            <w:proofErr w:type="spellEnd"/>
            <w:r w:rsidRPr="00D50DB8">
              <w:rPr>
                <w:rFonts w:ascii="Arial Narrow" w:hAnsi="Arial Narrow"/>
                <w:b/>
                <w:bCs/>
                <w:color w:val="000000"/>
                <w:sz w:val="20"/>
                <w:szCs w:val="20"/>
                <w:lang w:val="en-US" w:eastAsia="en-US"/>
              </w:rPr>
              <w:t xml:space="preserve"> (GAP)</w:t>
            </w:r>
          </w:p>
        </w:tc>
        <w:tc>
          <w:tcPr>
            <w:tcW w:w="8380" w:type="dxa"/>
            <w:tcBorders>
              <w:top w:val="nil"/>
              <w:left w:val="nil"/>
              <w:bottom w:val="nil"/>
              <w:right w:val="nil"/>
            </w:tcBorders>
            <w:shd w:val="clear" w:color="auto" w:fill="auto"/>
            <w:vAlign w:val="center"/>
            <w:hideMark/>
          </w:tcPr>
          <w:p w14:paraId="79DACF12" w14:textId="77777777" w:rsidR="007D2366" w:rsidRPr="00D50DB8" w:rsidRDefault="007D2366" w:rsidP="00342E82">
            <w:pPr>
              <w:spacing w:after="0" w:line="240" w:lineRule="auto"/>
              <w:jc w:val="both"/>
              <w:rPr>
                <w:rFonts w:ascii="Arial Narrow" w:hAnsi="Arial Narrow"/>
                <w:color w:val="000000"/>
                <w:sz w:val="20"/>
                <w:szCs w:val="20"/>
                <w:lang w:val="en-US" w:eastAsia="en-US"/>
              </w:rPr>
            </w:pPr>
            <w:proofErr w:type="spellStart"/>
            <w:r w:rsidRPr="00D50DB8">
              <w:rPr>
                <w:rFonts w:ascii="Arial Narrow" w:hAnsi="Arial Narrow"/>
                <w:color w:val="000000"/>
                <w:sz w:val="20"/>
                <w:szCs w:val="20"/>
                <w:lang w:val="en-US" w:eastAsia="en-US"/>
              </w:rPr>
              <w:t>Ukazovateľ</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dlhodobej</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udržateľnosti</w:t>
            </w:r>
            <w:proofErr w:type="spellEnd"/>
            <w:r w:rsidRPr="00D50DB8">
              <w:rPr>
                <w:rFonts w:ascii="Arial Narrow" w:hAnsi="Arial Narrow"/>
                <w:color w:val="000000"/>
                <w:sz w:val="20"/>
                <w:szCs w:val="20"/>
                <w:lang w:val="en-US" w:eastAsia="en-US"/>
              </w:rPr>
              <w:t xml:space="preserve"> je </w:t>
            </w:r>
            <w:proofErr w:type="spellStart"/>
            <w:r w:rsidRPr="00D50DB8">
              <w:rPr>
                <w:rFonts w:ascii="Arial Narrow" w:hAnsi="Arial Narrow"/>
                <w:color w:val="000000"/>
                <w:sz w:val="20"/>
                <w:szCs w:val="20"/>
                <w:lang w:val="en-US" w:eastAsia="en-US"/>
              </w:rPr>
              <w:t>rozdiel</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medzi</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aktuálnou</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hodnotou</w:t>
            </w:r>
            <w:proofErr w:type="spellEnd"/>
            <w:r w:rsidRPr="00D50DB8">
              <w:rPr>
                <w:rFonts w:ascii="Arial Narrow" w:hAnsi="Arial Narrow"/>
                <w:color w:val="000000"/>
                <w:sz w:val="20"/>
                <w:szCs w:val="20"/>
                <w:lang w:val="en-US" w:eastAsia="en-US"/>
              </w:rPr>
              <w:t xml:space="preserve"> a </w:t>
            </w:r>
            <w:proofErr w:type="spellStart"/>
            <w:r w:rsidRPr="00D50DB8">
              <w:rPr>
                <w:rFonts w:ascii="Arial Narrow" w:hAnsi="Arial Narrow"/>
                <w:color w:val="000000"/>
                <w:sz w:val="20"/>
                <w:szCs w:val="20"/>
                <w:lang w:val="en-US" w:eastAsia="en-US"/>
              </w:rPr>
              <w:t>dlhodobo</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udržateľnou</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hodnotou</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štrukturálneho</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primárneho</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salda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Dlhodobo</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udržateľná</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hodnota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sa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určuje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na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základe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aktuálnej</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legislatívy</w:t>
            </w:r>
            <w:proofErr w:type="spellEnd"/>
            <w:r w:rsidRPr="00D50DB8">
              <w:rPr>
                <w:rFonts w:ascii="Arial Narrow" w:hAnsi="Arial Narrow"/>
                <w:color w:val="000000"/>
                <w:sz w:val="20"/>
                <w:szCs w:val="20"/>
                <w:lang w:val="en-US" w:eastAsia="en-US"/>
              </w:rPr>
              <w:t xml:space="preserve"> a </w:t>
            </w:r>
            <w:proofErr w:type="spellStart"/>
            <w:r w:rsidRPr="00D50DB8">
              <w:rPr>
                <w:rFonts w:ascii="Arial Narrow" w:hAnsi="Arial Narrow"/>
                <w:color w:val="000000"/>
                <w:sz w:val="20"/>
                <w:szCs w:val="20"/>
                <w:lang w:val="en-US" w:eastAsia="en-US"/>
              </w:rPr>
              <w:t>dlhodobých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demografických</w:t>
            </w:r>
            <w:proofErr w:type="spellEnd"/>
            <w:r w:rsidRPr="00D50DB8">
              <w:rPr>
                <w:rFonts w:ascii="Arial Narrow" w:hAnsi="Arial Narrow"/>
                <w:color w:val="000000"/>
                <w:sz w:val="20"/>
                <w:szCs w:val="20"/>
                <w:lang w:val="en-US" w:eastAsia="en-US"/>
              </w:rPr>
              <w:t xml:space="preserve"> a </w:t>
            </w:r>
            <w:proofErr w:type="spellStart"/>
            <w:r w:rsidRPr="00D50DB8">
              <w:rPr>
                <w:rFonts w:ascii="Arial Narrow" w:hAnsi="Arial Narrow"/>
                <w:color w:val="000000"/>
                <w:sz w:val="20"/>
                <w:szCs w:val="20"/>
                <w:lang w:val="en-US" w:eastAsia="en-US"/>
              </w:rPr>
              <w:t>ekonomických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prognóz</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ovplyvňujúcich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príjmy</w:t>
            </w:r>
            <w:proofErr w:type="spellEnd"/>
            <w:r w:rsidRPr="00D50DB8">
              <w:rPr>
                <w:rFonts w:ascii="Arial Narrow" w:hAnsi="Arial Narrow"/>
                <w:color w:val="000000"/>
                <w:sz w:val="20"/>
                <w:szCs w:val="20"/>
                <w:lang w:val="en-US" w:eastAsia="en-US"/>
              </w:rPr>
              <w:t xml:space="preserve"> a </w:t>
            </w:r>
            <w:proofErr w:type="spellStart"/>
            <w:r w:rsidRPr="00D50DB8">
              <w:rPr>
                <w:rFonts w:ascii="Arial Narrow" w:hAnsi="Arial Narrow"/>
                <w:color w:val="000000"/>
                <w:sz w:val="20"/>
                <w:szCs w:val="20"/>
                <w:lang w:val="en-US" w:eastAsia="en-US"/>
              </w:rPr>
              <w:t>výdavky</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verejnej</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správy</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implicitné</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záväzky</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pričom</w:t>
            </w:r>
            <w:proofErr w:type="spellEnd"/>
            <w:r w:rsidRPr="00D50DB8">
              <w:rPr>
                <w:rFonts w:ascii="Arial Narrow" w:hAnsi="Arial Narrow"/>
                <w:color w:val="000000"/>
                <w:sz w:val="20"/>
                <w:szCs w:val="20"/>
                <w:lang w:val="en-US" w:eastAsia="en-US"/>
              </w:rPr>
              <w:t xml:space="preserve"> do </w:t>
            </w:r>
            <w:proofErr w:type="spellStart"/>
            <w:r w:rsidRPr="00D50DB8">
              <w:rPr>
                <w:rFonts w:ascii="Arial Narrow" w:hAnsi="Arial Narrow"/>
                <w:color w:val="000000"/>
                <w:sz w:val="20"/>
                <w:szCs w:val="20"/>
                <w:lang w:val="en-US" w:eastAsia="en-US"/>
              </w:rPr>
              <w:t>úvahy</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sa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berú</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aj</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podmienené</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záväzky</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napr</w:t>
            </w:r>
            <w:proofErr w:type="spellEnd"/>
            <w:r w:rsidRPr="00D50DB8">
              <w:rPr>
                <w:rFonts w:ascii="Arial Narrow" w:hAnsi="Arial Narrow"/>
                <w:color w:val="000000"/>
                <w:sz w:val="20"/>
                <w:szCs w:val="20"/>
                <w:lang w:val="en-US" w:eastAsia="en-US"/>
              </w:rPr>
              <w:t xml:space="preserve">. PPP </w:t>
            </w:r>
            <w:proofErr w:type="spellStart"/>
            <w:r w:rsidRPr="00D50DB8">
              <w:rPr>
                <w:rFonts w:ascii="Arial Narrow" w:hAnsi="Arial Narrow"/>
                <w:color w:val="000000"/>
                <w:sz w:val="20"/>
                <w:szCs w:val="20"/>
                <w:lang w:val="en-US" w:eastAsia="en-US"/>
              </w:rPr>
              <w:t>projekty</w:t>
            </w:r>
            <w:proofErr w:type="spellEnd"/>
            <w:r w:rsidRPr="00D50DB8">
              <w:rPr>
                <w:rFonts w:ascii="Arial Narrow" w:hAnsi="Arial Narrow"/>
                <w:color w:val="000000"/>
                <w:sz w:val="20"/>
                <w:szCs w:val="20"/>
                <w:lang w:val="en-US" w:eastAsia="en-US"/>
              </w:rPr>
              <w:t>)</w:t>
            </w:r>
          </w:p>
        </w:tc>
      </w:tr>
      <w:tr w:rsidR="007D2366" w:rsidRPr="00D50DB8" w14:paraId="4286D02F" w14:textId="77777777" w:rsidTr="00342E82">
        <w:trPr>
          <w:trHeight w:val="300"/>
          <w:jc w:val="center"/>
        </w:trPr>
        <w:tc>
          <w:tcPr>
            <w:tcW w:w="1826" w:type="dxa"/>
            <w:vMerge/>
            <w:tcBorders>
              <w:top w:val="nil"/>
              <w:left w:val="nil"/>
              <w:bottom w:val="nil"/>
              <w:right w:val="nil"/>
            </w:tcBorders>
            <w:vAlign w:val="center"/>
            <w:hideMark/>
          </w:tcPr>
          <w:p w14:paraId="6E38CC90" w14:textId="77777777" w:rsidR="007D2366" w:rsidRPr="00D50DB8" w:rsidRDefault="007D2366" w:rsidP="00342E82">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140C9A44" w14:textId="77777777" w:rsidR="007D2366" w:rsidRPr="00E9605F" w:rsidRDefault="007D2366" w:rsidP="00342E82">
            <w:pPr>
              <w:spacing w:after="0" w:line="240" w:lineRule="auto"/>
              <w:jc w:val="both"/>
              <w:rPr>
                <w:rFonts w:ascii="Arial Narrow" w:hAnsi="Arial Narrow"/>
                <w:color w:val="000000"/>
                <w:sz w:val="20"/>
                <w:szCs w:val="20"/>
                <w:lang w:val="en-US" w:eastAsia="en-US"/>
              </w:rPr>
            </w:pPr>
            <w:proofErr w:type="spellStart"/>
            <w:r w:rsidRPr="00E9605F">
              <w:rPr>
                <w:rFonts w:ascii="Arial Narrow" w:hAnsi="Arial Narrow"/>
                <w:color w:val="000000"/>
                <w:sz w:val="20"/>
                <w:szCs w:val="20"/>
                <w:lang w:val="en-US" w:eastAsia="en-US"/>
              </w:rPr>
              <w:t>Zdroj</w:t>
            </w:r>
            <w:proofErr w:type="spellEnd"/>
            <w:r w:rsidRPr="00E9605F">
              <w:rPr>
                <w:rFonts w:ascii="Arial Narrow" w:hAnsi="Arial Narrow"/>
                <w:color w:val="000000"/>
                <w:sz w:val="20"/>
                <w:szCs w:val="20"/>
                <w:lang w:val="en-US" w:eastAsia="en-US"/>
              </w:rPr>
              <w:t xml:space="preserve">: OECD / Eurostat, </w:t>
            </w:r>
            <w:proofErr w:type="spellStart"/>
            <w:r w:rsidRPr="00E9605F">
              <w:rPr>
                <w:rFonts w:ascii="Arial Narrow" w:hAnsi="Arial Narrow"/>
                <w:color w:val="000000"/>
                <w:sz w:val="20"/>
                <w:szCs w:val="20"/>
                <w:lang w:val="en-US" w:eastAsia="en-US"/>
              </w:rPr>
              <w:t>výpočet</w:t>
            </w:r>
            <w:proofErr w:type="spellEnd"/>
            <w:r w:rsidRPr="00E9605F">
              <w:rPr>
                <w:rFonts w:ascii="Arial Narrow" w:hAnsi="Arial Narrow"/>
                <w:color w:val="000000"/>
                <w:sz w:val="20"/>
                <w:szCs w:val="20"/>
                <w:lang w:val="en-US" w:eastAsia="en-US"/>
              </w:rPr>
              <w:t xml:space="preserve"> Rada pre </w:t>
            </w:r>
            <w:proofErr w:type="spellStart"/>
            <w:r w:rsidRPr="00E9605F">
              <w:rPr>
                <w:rFonts w:ascii="Arial Narrow" w:hAnsi="Arial Narrow"/>
                <w:color w:val="000000"/>
                <w:sz w:val="20"/>
                <w:szCs w:val="20"/>
                <w:lang w:val="en-US" w:eastAsia="en-US"/>
              </w:rPr>
              <w:t>rozpočtovú</w:t>
            </w:r>
            <w:proofErr w:type="spellEnd"/>
            <w:r w:rsidRPr="00E9605F">
              <w:rPr>
                <w:rFonts w:ascii="Arial Narrow" w:hAnsi="Arial Narrow"/>
                <w:color w:val="000000"/>
                <w:sz w:val="20"/>
                <w:szCs w:val="20"/>
                <w:lang w:val="en-US" w:eastAsia="en-US"/>
              </w:rPr>
              <w:t xml:space="preserve"> </w:t>
            </w:r>
            <w:proofErr w:type="spellStart"/>
            <w:r w:rsidRPr="00E9605F">
              <w:rPr>
                <w:rFonts w:ascii="Arial Narrow" w:hAnsi="Arial Narrow"/>
                <w:color w:val="000000"/>
                <w:sz w:val="20"/>
                <w:szCs w:val="20"/>
                <w:lang w:val="en-US" w:eastAsia="en-US"/>
              </w:rPr>
              <w:t>zodpovednosť</w:t>
            </w:r>
            <w:proofErr w:type="spellEnd"/>
          </w:p>
        </w:tc>
      </w:tr>
      <w:tr w:rsidR="007D2366" w:rsidRPr="00D50DB8" w14:paraId="22344A48" w14:textId="77777777" w:rsidTr="00342E82">
        <w:trPr>
          <w:trHeight w:val="510"/>
          <w:jc w:val="center"/>
        </w:trPr>
        <w:tc>
          <w:tcPr>
            <w:tcW w:w="1826" w:type="dxa"/>
            <w:vMerge w:val="restart"/>
            <w:tcBorders>
              <w:top w:val="dotted" w:sz="4" w:space="0" w:color="auto"/>
              <w:left w:val="nil"/>
              <w:bottom w:val="dotted" w:sz="4" w:space="0" w:color="000000"/>
              <w:right w:val="nil"/>
            </w:tcBorders>
            <w:shd w:val="clear" w:color="auto" w:fill="auto"/>
            <w:vAlign w:val="center"/>
            <w:hideMark/>
          </w:tcPr>
          <w:p w14:paraId="48ED7EBB" w14:textId="77777777" w:rsidR="007D2366" w:rsidRPr="00D50DB8" w:rsidRDefault="007D2366" w:rsidP="00342E82">
            <w:pPr>
              <w:spacing w:after="0" w:line="240" w:lineRule="auto"/>
              <w:rPr>
                <w:rFonts w:ascii="Arial Narrow" w:hAnsi="Arial Narrow"/>
                <w:b/>
                <w:bCs/>
                <w:color w:val="000000"/>
                <w:sz w:val="20"/>
                <w:szCs w:val="20"/>
                <w:lang w:val="en-US" w:eastAsia="en-US"/>
              </w:rPr>
            </w:pPr>
            <w:proofErr w:type="spellStart"/>
            <w:r w:rsidRPr="00D50DB8">
              <w:rPr>
                <w:rFonts w:ascii="Arial Narrow" w:hAnsi="Arial Narrow"/>
                <w:b/>
                <w:bCs/>
                <w:color w:val="000000"/>
                <w:sz w:val="20"/>
                <w:szCs w:val="20"/>
                <w:lang w:val="en-US" w:eastAsia="en-US"/>
              </w:rPr>
              <w:t>Efektívnosť</w:t>
            </w:r>
            <w:proofErr w:type="spellEnd"/>
            <w:r w:rsidRPr="00D50DB8">
              <w:rPr>
                <w:rFonts w:ascii="Arial Narrow" w:hAnsi="Arial Narrow"/>
                <w:b/>
                <w:bCs/>
                <w:color w:val="000000"/>
                <w:sz w:val="20"/>
                <w:szCs w:val="20"/>
                <w:lang w:val="en-US" w:eastAsia="en-US"/>
              </w:rPr>
              <w:t xml:space="preserve"> </w:t>
            </w:r>
            <w:proofErr w:type="spellStart"/>
            <w:r w:rsidRPr="00D50DB8">
              <w:rPr>
                <w:rFonts w:ascii="Arial Narrow" w:hAnsi="Arial Narrow"/>
                <w:b/>
                <w:bCs/>
                <w:color w:val="000000"/>
                <w:sz w:val="20"/>
                <w:szCs w:val="20"/>
                <w:lang w:val="en-US" w:eastAsia="en-US"/>
              </w:rPr>
              <w:t>výberu</w:t>
            </w:r>
            <w:proofErr w:type="spellEnd"/>
            <w:r w:rsidRPr="00D50DB8">
              <w:rPr>
                <w:rFonts w:ascii="Arial Narrow" w:hAnsi="Arial Narrow"/>
                <w:b/>
                <w:bCs/>
                <w:color w:val="000000"/>
                <w:sz w:val="20"/>
                <w:szCs w:val="20"/>
                <w:lang w:val="en-US" w:eastAsia="en-US"/>
              </w:rPr>
              <w:t xml:space="preserve"> DPH</w:t>
            </w:r>
          </w:p>
        </w:tc>
        <w:tc>
          <w:tcPr>
            <w:tcW w:w="8380" w:type="dxa"/>
            <w:tcBorders>
              <w:top w:val="nil"/>
              <w:left w:val="nil"/>
              <w:bottom w:val="nil"/>
              <w:right w:val="nil"/>
            </w:tcBorders>
            <w:shd w:val="clear" w:color="auto" w:fill="auto"/>
            <w:vAlign w:val="center"/>
            <w:hideMark/>
          </w:tcPr>
          <w:p w14:paraId="5A2395BD" w14:textId="77777777" w:rsidR="007D2366" w:rsidRPr="00D50DB8" w:rsidRDefault="007D2366" w:rsidP="00342E82">
            <w:pPr>
              <w:spacing w:after="0" w:line="240" w:lineRule="auto"/>
              <w:jc w:val="both"/>
              <w:rPr>
                <w:rFonts w:ascii="Arial Narrow" w:hAnsi="Arial Narrow"/>
                <w:color w:val="000000"/>
                <w:sz w:val="20"/>
                <w:szCs w:val="20"/>
                <w:lang w:val="en-US" w:eastAsia="en-US"/>
              </w:rPr>
            </w:pPr>
            <w:proofErr w:type="spellStart"/>
            <w:r w:rsidRPr="00D50DB8">
              <w:rPr>
                <w:rFonts w:ascii="Arial Narrow" w:hAnsi="Arial Narrow"/>
                <w:color w:val="000000"/>
                <w:sz w:val="20"/>
                <w:szCs w:val="20"/>
                <w:lang w:val="en-US" w:eastAsia="en-US"/>
              </w:rPr>
              <w:t>Efektívnosť</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výberu</w:t>
            </w:r>
            <w:proofErr w:type="spellEnd"/>
            <w:r w:rsidRPr="00D50DB8">
              <w:rPr>
                <w:rFonts w:ascii="Arial Narrow" w:hAnsi="Arial Narrow"/>
                <w:color w:val="000000"/>
                <w:sz w:val="20"/>
                <w:szCs w:val="20"/>
                <w:lang w:val="en-US" w:eastAsia="en-US"/>
              </w:rPr>
              <w:t xml:space="preserve"> DPH = </w:t>
            </w:r>
            <w:proofErr w:type="spellStart"/>
            <w:r w:rsidRPr="00D50DB8">
              <w:rPr>
                <w:rFonts w:ascii="Arial Narrow" w:hAnsi="Arial Narrow"/>
                <w:color w:val="000000"/>
                <w:sz w:val="20"/>
                <w:szCs w:val="20"/>
                <w:lang w:val="en-US" w:eastAsia="en-US"/>
              </w:rPr>
              <w:t>výber</w:t>
            </w:r>
            <w:proofErr w:type="spellEnd"/>
            <w:r w:rsidRPr="00D50DB8">
              <w:rPr>
                <w:rFonts w:ascii="Arial Narrow" w:hAnsi="Arial Narrow"/>
                <w:color w:val="000000"/>
                <w:sz w:val="20"/>
                <w:szCs w:val="20"/>
                <w:lang w:val="en-US" w:eastAsia="en-US"/>
              </w:rPr>
              <w:t xml:space="preserve"> DPH / [(</w:t>
            </w:r>
            <w:proofErr w:type="spellStart"/>
            <w:r w:rsidRPr="00D50DB8">
              <w:rPr>
                <w:rFonts w:ascii="Arial Narrow" w:hAnsi="Arial Narrow"/>
                <w:color w:val="000000"/>
                <w:sz w:val="20"/>
                <w:szCs w:val="20"/>
                <w:lang w:val="en-US" w:eastAsia="en-US"/>
              </w:rPr>
              <w:t>konečná</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spotreba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domácností</w:t>
            </w:r>
            <w:proofErr w:type="spellEnd"/>
            <w:r w:rsidRPr="00D50DB8">
              <w:rPr>
                <w:rFonts w:ascii="Arial Narrow" w:hAnsi="Arial Narrow"/>
                <w:color w:val="000000"/>
                <w:sz w:val="20"/>
                <w:szCs w:val="20"/>
                <w:lang w:val="en-US" w:eastAsia="en-US"/>
              </w:rPr>
              <w:t xml:space="preserve"> + </w:t>
            </w:r>
            <w:proofErr w:type="spellStart"/>
            <w:r w:rsidRPr="00D50DB8">
              <w:rPr>
                <w:rFonts w:ascii="Arial Narrow" w:hAnsi="Arial Narrow"/>
                <w:color w:val="000000"/>
                <w:sz w:val="20"/>
                <w:szCs w:val="20"/>
                <w:lang w:val="en-US" w:eastAsia="en-US"/>
              </w:rPr>
              <w:t>tvorba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hrubého</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fixného</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kapitálu</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verejnej</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správy</w:t>
            </w:r>
            <w:proofErr w:type="spellEnd"/>
            <w:r w:rsidRPr="00D50DB8">
              <w:rPr>
                <w:rFonts w:ascii="Arial Narrow" w:hAnsi="Arial Narrow"/>
                <w:color w:val="000000"/>
                <w:sz w:val="20"/>
                <w:szCs w:val="20"/>
                <w:lang w:val="en-US" w:eastAsia="en-US"/>
              </w:rPr>
              <w:t xml:space="preserve"> + </w:t>
            </w:r>
            <w:proofErr w:type="spellStart"/>
            <w:r w:rsidRPr="00D50DB8">
              <w:rPr>
                <w:rFonts w:ascii="Arial Narrow" w:hAnsi="Arial Narrow"/>
                <w:color w:val="000000"/>
                <w:sz w:val="20"/>
                <w:szCs w:val="20"/>
                <w:lang w:val="en-US" w:eastAsia="en-US"/>
              </w:rPr>
              <w:t>medzispotreba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verejnej</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správy</w:t>
            </w:r>
            <w:proofErr w:type="spellEnd"/>
            <w:r w:rsidRPr="00D50DB8">
              <w:rPr>
                <w:rFonts w:ascii="Arial Narrow" w:hAnsi="Arial Narrow"/>
                <w:color w:val="000000"/>
                <w:sz w:val="20"/>
                <w:szCs w:val="20"/>
                <w:lang w:val="en-US" w:eastAsia="en-US"/>
              </w:rPr>
              <w:t xml:space="preserve"> – </w:t>
            </w:r>
            <w:proofErr w:type="spellStart"/>
            <w:r w:rsidRPr="00D50DB8">
              <w:rPr>
                <w:rFonts w:ascii="Arial Narrow" w:hAnsi="Arial Narrow"/>
                <w:color w:val="000000"/>
                <w:sz w:val="20"/>
                <w:szCs w:val="20"/>
                <w:lang w:val="en-US" w:eastAsia="en-US"/>
              </w:rPr>
              <w:t>výber</w:t>
            </w:r>
            <w:proofErr w:type="spellEnd"/>
            <w:r w:rsidRPr="00D50DB8">
              <w:rPr>
                <w:rFonts w:ascii="Arial Narrow" w:hAnsi="Arial Narrow"/>
                <w:color w:val="000000"/>
                <w:sz w:val="20"/>
                <w:szCs w:val="20"/>
                <w:lang w:val="en-US" w:eastAsia="en-US"/>
              </w:rPr>
              <w:t xml:space="preserve"> DPH) * (</w:t>
            </w:r>
            <w:proofErr w:type="spellStart"/>
            <w:r w:rsidRPr="00D50DB8">
              <w:rPr>
                <w:rFonts w:ascii="Arial Narrow" w:hAnsi="Arial Narrow"/>
                <w:color w:val="000000"/>
                <w:sz w:val="20"/>
                <w:szCs w:val="20"/>
                <w:lang w:val="en-US" w:eastAsia="en-US"/>
              </w:rPr>
              <w:t>základná</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sadzba</w:t>
            </w:r>
            <w:proofErr w:type="spellEnd"/>
            <w:r w:rsidRPr="00D50DB8">
              <w:rPr>
                <w:rFonts w:ascii="Arial Narrow" w:hAnsi="Arial Narrow"/>
                <w:color w:val="000000"/>
                <w:sz w:val="20"/>
                <w:szCs w:val="20"/>
                <w:lang w:val="en-US" w:eastAsia="en-US"/>
              </w:rPr>
              <w:t xml:space="preserve"> DPH / 100)]</w:t>
            </w:r>
          </w:p>
        </w:tc>
      </w:tr>
      <w:tr w:rsidR="007D2366" w:rsidRPr="00D50DB8" w14:paraId="306D4662" w14:textId="77777777" w:rsidTr="00342E82">
        <w:trPr>
          <w:trHeight w:val="765"/>
          <w:jc w:val="center"/>
        </w:trPr>
        <w:tc>
          <w:tcPr>
            <w:tcW w:w="1826" w:type="dxa"/>
            <w:vMerge/>
            <w:tcBorders>
              <w:top w:val="dotted" w:sz="4" w:space="0" w:color="auto"/>
              <w:left w:val="nil"/>
              <w:bottom w:val="dotted" w:sz="4" w:space="0" w:color="000000"/>
              <w:right w:val="nil"/>
            </w:tcBorders>
            <w:vAlign w:val="center"/>
            <w:hideMark/>
          </w:tcPr>
          <w:p w14:paraId="4B125EBC" w14:textId="77777777" w:rsidR="007D2366" w:rsidRPr="00D50DB8" w:rsidRDefault="007D2366" w:rsidP="00342E82">
            <w:pPr>
              <w:spacing w:after="0" w:line="240" w:lineRule="auto"/>
              <w:rPr>
                <w:rFonts w:ascii="Arial Narrow" w:hAnsi="Arial Narrow"/>
                <w:b/>
                <w:bCs/>
                <w:color w:val="000000"/>
                <w:sz w:val="20"/>
                <w:szCs w:val="20"/>
                <w:lang w:val="en-US" w:eastAsia="en-US"/>
              </w:rPr>
            </w:pPr>
          </w:p>
        </w:tc>
        <w:tc>
          <w:tcPr>
            <w:tcW w:w="8380" w:type="dxa"/>
            <w:tcBorders>
              <w:top w:val="nil"/>
              <w:left w:val="nil"/>
              <w:bottom w:val="nil"/>
              <w:right w:val="nil"/>
            </w:tcBorders>
            <w:shd w:val="clear" w:color="auto" w:fill="auto"/>
            <w:vAlign w:val="center"/>
            <w:hideMark/>
          </w:tcPr>
          <w:p w14:paraId="1AC91D14" w14:textId="77777777" w:rsidR="007D2366" w:rsidRPr="00D50DB8" w:rsidRDefault="007D2366" w:rsidP="00342E82">
            <w:pPr>
              <w:spacing w:after="0" w:line="240" w:lineRule="auto"/>
              <w:jc w:val="both"/>
              <w:rPr>
                <w:rFonts w:ascii="Arial Narrow" w:hAnsi="Arial Narrow"/>
                <w:color w:val="000000"/>
                <w:sz w:val="20"/>
                <w:szCs w:val="20"/>
                <w:lang w:val="en-US" w:eastAsia="en-US"/>
              </w:rPr>
            </w:pPr>
            <w:proofErr w:type="spellStart"/>
            <w:r w:rsidRPr="00D50DB8">
              <w:rPr>
                <w:rFonts w:ascii="Arial Narrow" w:hAnsi="Arial Narrow"/>
                <w:color w:val="000000"/>
                <w:sz w:val="20"/>
                <w:szCs w:val="20"/>
                <w:lang w:val="en-US" w:eastAsia="en-US"/>
              </w:rPr>
              <w:t>Tento</w:t>
            </w:r>
            <w:proofErr w:type="spellEnd"/>
            <w:r w:rsidRPr="00D50DB8">
              <w:rPr>
                <w:rFonts w:ascii="Arial Narrow" w:hAnsi="Arial Narrow"/>
                <w:color w:val="000000"/>
                <w:sz w:val="20"/>
                <w:szCs w:val="20"/>
                <w:lang w:val="en-US" w:eastAsia="en-US"/>
              </w:rPr>
              <w:t xml:space="preserve"> index </w:t>
            </w:r>
            <w:proofErr w:type="spellStart"/>
            <w:r w:rsidRPr="00D50DB8">
              <w:rPr>
                <w:rFonts w:ascii="Arial Narrow" w:hAnsi="Arial Narrow"/>
                <w:color w:val="000000"/>
                <w:sz w:val="20"/>
                <w:szCs w:val="20"/>
                <w:lang w:val="en-US" w:eastAsia="en-US"/>
              </w:rPr>
              <w:t>porovnáva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skutočný</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výber</w:t>
            </w:r>
            <w:proofErr w:type="spellEnd"/>
            <w:r w:rsidRPr="00D50DB8">
              <w:rPr>
                <w:rFonts w:ascii="Arial Narrow" w:hAnsi="Arial Narrow"/>
                <w:color w:val="000000"/>
                <w:sz w:val="20"/>
                <w:szCs w:val="20"/>
                <w:lang w:val="en-US" w:eastAsia="en-US"/>
              </w:rPr>
              <w:t xml:space="preserve"> DPH s </w:t>
            </w:r>
            <w:proofErr w:type="spellStart"/>
            <w:r w:rsidRPr="00D50DB8">
              <w:rPr>
                <w:rFonts w:ascii="Arial Narrow" w:hAnsi="Arial Narrow"/>
                <w:color w:val="000000"/>
                <w:sz w:val="20"/>
                <w:szCs w:val="20"/>
                <w:lang w:val="en-US" w:eastAsia="en-US"/>
              </w:rPr>
              <w:t>potenciálnym</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výberom</w:t>
            </w:r>
            <w:proofErr w:type="spellEnd"/>
            <w:r w:rsidRPr="00D50DB8">
              <w:rPr>
                <w:rFonts w:ascii="Arial Narrow" w:hAnsi="Arial Narrow"/>
                <w:color w:val="000000"/>
                <w:sz w:val="20"/>
                <w:szCs w:val="20"/>
                <w:lang w:val="en-US" w:eastAsia="en-US"/>
              </w:rPr>
              <w:t xml:space="preserve"> DPH. </w:t>
            </w:r>
            <w:proofErr w:type="spellStart"/>
            <w:r w:rsidRPr="00D50DB8">
              <w:rPr>
                <w:rFonts w:ascii="Arial Narrow" w:hAnsi="Arial Narrow"/>
                <w:color w:val="000000"/>
                <w:sz w:val="20"/>
                <w:szCs w:val="20"/>
                <w:lang w:val="en-US" w:eastAsia="en-US"/>
              </w:rPr>
              <w:t>Čím</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väčšia</w:t>
            </w:r>
            <w:proofErr w:type="spellEnd"/>
            <w:r w:rsidRPr="00D50DB8">
              <w:rPr>
                <w:rFonts w:ascii="Arial Narrow" w:hAnsi="Arial Narrow"/>
                <w:color w:val="000000"/>
                <w:sz w:val="20"/>
                <w:szCs w:val="20"/>
                <w:lang w:val="en-US" w:eastAsia="en-US"/>
              </w:rPr>
              <w:t xml:space="preserve"> je </w:t>
            </w:r>
            <w:proofErr w:type="spellStart"/>
            <w:r w:rsidRPr="00D50DB8">
              <w:rPr>
                <w:rFonts w:ascii="Arial Narrow" w:hAnsi="Arial Narrow"/>
                <w:color w:val="000000"/>
                <w:sz w:val="20"/>
                <w:szCs w:val="20"/>
                <w:lang w:val="en-US" w:eastAsia="en-US"/>
              </w:rPr>
              <w:t>hodnota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indikátora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tým</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efektívnejší</w:t>
            </w:r>
            <w:proofErr w:type="spellEnd"/>
            <w:r w:rsidRPr="00D50DB8">
              <w:rPr>
                <w:rFonts w:ascii="Arial Narrow" w:hAnsi="Arial Narrow"/>
                <w:color w:val="000000"/>
                <w:sz w:val="20"/>
                <w:szCs w:val="20"/>
                <w:lang w:val="en-US" w:eastAsia="en-US"/>
              </w:rPr>
              <w:t xml:space="preserve"> je </w:t>
            </w:r>
            <w:proofErr w:type="spellStart"/>
            <w:r w:rsidRPr="00D50DB8">
              <w:rPr>
                <w:rFonts w:ascii="Arial Narrow" w:hAnsi="Arial Narrow"/>
                <w:color w:val="000000"/>
                <w:sz w:val="20"/>
                <w:szCs w:val="20"/>
                <w:lang w:val="en-US" w:eastAsia="en-US"/>
              </w:rPr>
              <w:t>výber</w:t>
            </w:r>
            <w:proofErr w:type="spellEnd"/>
            <w:r w:rsidRPr="00D50DB8">
              <w:rPr>
                <w:rFonts w:ascii="Arial Narrow" w:hAnsi="Arial Narrow"/>
                <w:color w:val="000000"/>
                <w:sz w:val="20"/>
                <w:szCs w:val="20"/>
                <w:lang w:val="en-US" w:eastAsia="en-US"/>
              </w:rPr>
              <w:t xml:space="preserve"> DPH. </w:t>
            </w:r>
            <w:proofErr w:type="spellStart"/>
            <w:r w:rsidRPr="00D50DB8">
              <w:rPr>
                <w:rFonts w:ascii="Arial Narrow" w:hAnsi="Arial Narrow"/>
                <w:color w:val="000000"/>
                <w:sz w:val="20"/>
                <w:szCs w:val="20"/>
                <w:lang w:val="en-US" w:eastAsia="en-US"/>
              </w:rPr>
              <w:t>Potenciálny</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výber</w:t>
            </w:r>
            <w:proofErr w:type="spellEnd"/>
            <w:r w:rsidRPr="00D50DB8">
              <w:rPr>
                <w:rFonts w:ascii="Arial Narrow" w:hAnsi="Arial Narrow"/>
                <w:color w:val="000000"/>
                <w:sz w:val="20"/>
                <w:szCs w:val="20"/>
                <w:lang w:val="en-US" w:eastAsia="en-US"/>
              </w:rPr>
              <w:t xml:space="preserve"> DPH </w:t>
            </w:r>
            <w:proofErr w:type="spellStart"/>
            <w:r w:rsidRPr="00D50DB8">
              <w:rPr>
                <w:rFonts w:ascii="Arial Narrow" w:hAnsi="Arial Narrow"/>
                <w:color w:val="000000"/>
                <w:sz w:val="20"/>
                <w:szCs w:val="20"/>
                <w:lang w:val="en-US" w:eastAsia="en-US"/>
              </w:rPr>
              <w:t>ukazuje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koľko</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sa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dokáže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vybrať</w:t>
            </w:r>
            <w:proofErr w:type="spellEnd"/>
            <w:r w:rsidRPr="00D50DB8">
              <w:rPr>
                <w:rFonts w:ascii="Arial Narrow" w:hAnsi="Arial Narrow"/>
                <w:color w:val="000000"/>
                <w:sz w:val="20"/>
                <w:szCs w:val="20"/>
                <w:lang w:val="en-US" w:eastAsia="en-US"/>
              </w:rPr>
              <w:t xml:space="preserve"> DPH z </w:t>
            </w:r>
            <w:proofErr w:type="spellStart"/>
            <w:r w:rsidRPr="00D50DB8">
              <w:rPr>
                <w:rFonts w:ascii="Arial Narrow" w:hAnsi="Arial Narrow"/>
                <w:color w:val="000000"/>
                <w:sz w:val="20"/>
                <w:szCs w:val="20"/>
                <w:lang w:val="en-US" w:eastAsia="en-US"/>
              </w:rPr>
              <w:t>makroekonomickej</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základne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pri</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zdanení</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základnou</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sadzbou</w:t>
            </w:r>
            <w:proofErr w:type="spellEnd"/>
            <w:r w:rsidRPr="00D50DB8">
              <w:rPr>
                <w:rFonts w:ascii="Arial Narrow" w:hAnsi="Arial Narrow"/>
                <w:color w:val="000000"/>
                <w:sz w:val="20"/>
                <w:szCs w:val="20"/>
                <w:lang w:val="en-US" w:eastAsia="en-US"/>
              </w:rPr>
              <w:t xml:space="preserve"> DPH. </w:t>
            </w:r>
          </w:p>
        </w:tc>
      </w:tr>
      <w:tr w:rsidR="007D2366" w:rsidRPr="00D50DB8" w14:paraId="18EA532E" w14:textId="77777777" w:rsidTr="00342E82">
        <w:trPr>
          <w:trHeight w:val="300"/>
          <w:jc w:val="center"/>
        </w:trPr>
        <w:tc>
          <w:tcPr>
            <w:tcW w:w="1826" w:type="dxa"/>
            <w:vMerge/>
            <w:tcBorders>
              <w:top w:val="dotted" w:sz="4" w:space="0" w:color="auto"/>
              <w:left w:val="nil"/>
              <w:bottom w:val="dotted" w:sz="4" w:space="0" w:color="000000"/>
              <w:right w:val="nil"/>
            </w:tcBorders>
            <w:vAlign w:val="center"/>
            <w:hideMark/>
          </w:tcPr>
          <w:p w14:paraId="6B31E754" w14:textId="77777777" w:rsidR="007D2366" w:rsidRPr="00D50DB8" w:rsidRDefault="007D2366" w:rsidP="00342E82">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74847786" w14:textId="77777777" w:rsidR="007D2366" w:rsidRPr="00E24676" w:rsidRDefault="007D2366" w:rsidP="00342E82">
            <w:pPr>
              <w:spacing w:after="0" w:line="240" w:lineRule="auto"/>
              <w:jc w:val="both"/>
              <w:rPr>
                <w:rFonts w:ascii="Arial Narrow" w:hAnsi="Arial Narrow"/>
                <w:color w:val="000000"/>
                <w:sz w:val="20"/>
                <w:szCs w:val="20"/>
                <w:lang w:val="de-DE" w:eastAsia="en-US"/>
              </w:rPr>
            </w:pPr>
            <w:proofErr w:type="spellStart"/>
            <w:r w:rsidRPr="00E24676">
              <w:rPr>
                <w:rFonts w:ascii="Arial Narrow" w:hAnsi="Arial Narrow"/>
                <w:color w:val="000000"/>
                <w:sz w:val="20"/>
                <w:szCs w:val="20"/>
                <w:lang w:val="de-DE" w:eastAsia="en-US"/>
              </w:rPr>
              <w:t>Zdroj</w:t>
            </w:r>
            <w:proofErr w:type="spellEnd"/>
            <w:r w:rsidRPr="00E24676">
              <w:rPr>
                <w:rFonts w:ascii="Arial Narrow" w:hAnsi="Arial Narrow"/>
                <w:color w:val="000000"/>
                <w:sz w:val="20"/>
                <w:szCs w:val="20"/>
                <w:lang w:val="de-DE" w:eastAsia="en-US"/>
              </w:rPr>
              <w:t xml:space="preserve">: OECD / </w:t>
            </w:r>
            <w:proofErr w:type="spellStart"/>
            <w:r w:rsidRPr="00E24676">
              <w:rPr>
                <w:rFonts w:ascii="Arial Narrow" w:hAnsi="Arial Narrow"/>
                <w:color w:val="000000"/>
                <w:sz w:val="20"/>
                <w:szCs w:val="20"/>
                <w:lang w:val="de-DE" w:eastAsia="en-US"/>
              </w:rPr>
              <w:t>Eurostat</w:t>
            </w:r>
            <w:proofErr w:type="spellEnd"/>
            <w:r w:rsidRPr="00E24676">
              <w:rPr>
                <w:rFonts w:ascii="Arial Narrow" w:hAnsi="Arial Narrow"/>
                <w:color w:val="000000"/>
                <w:sz w:val="20"/>
                <w:szCs w:val="20"/>
                <w:lang w:val="de-DE" w:eastAsia="en-US"/>
              </w:rPr>
              <w:t xml:space="preserve">, </w:t>
            </w:r>
            <w:proofErr w:type="spellStart"/>
            <w:r w:rsidRPr="00E24676">
              <w:rPr>
                <w:rFonts w:ascii="Arial Narrow" w:hAnsi="Arial Narrow"/>
                <w:color w:val="000000"/>
                <w:sz w:val="20"/>
                <w:szCs w:val="20"/>
                <w:lang w:val="de-DE" w:eastAsia="en-US"/>
              </w:rPr>
              <w:t>výpočt</w:t>
            </w:r>
            <w:r>
              <w:rPr>
                <w:rFonts w:ascii="Arial Narrow" w:hAnsi="Arial Narrow"/>
                <w:color w:val="000000"/>
                <w:sz w:val="20"/>
                <w:szCs w:val="20"/>
                <w:lang w:val="de-DE" w:eastAsia="en-US"/>
              </w:rPr>
              <w:t>y</w:t>
            </w:r>
            <w:proofErr w:type="spellEnd"/>
            <w:r w:rsidRPr="00E24676">
              <w:rPr>
                <w:rFonts w:ascii="Arial Narrow" w:hAnsi="Arial Narrow"/>
                <w:color w:val="000000"/>
                <w:sz w:val="20"/>
                <w:szCs w:val="20"/>
                <w:lang w:val="de-DE" w:eastAsia="en-US"/>
              </w:rPr>
              <w:t xml:space="preserve"> MF SR</w:t>
            </w:r>
          </w:p>
        </w:tc>
      </w:tr>
      <w:tr w:rsidR="007D2366" w:rsidRPr="00D50DB8" w14:paraId="01FA8864" w14:textId="77777777" w:rsidTr="00342E82">
        <w:trPr>
          <w:trHeight w:val="699"/>
          <w:jc w:val="center"/>
        </w:trPr>
        <w:tc>
          <w:tcPr>
            <w:tcW w:w="1826" w:type="dxa"/>
            <w:vMerge w:val="restart"/>
            <w:tcBorders>
              <w:top w:val="nil"/>
              <w:left w:val="nil"/>
              <w:bottom w:val="dotted" w:sz="4" w:space="0" w:color="000000"/>
              <w:right w:val="nil"/>
            </w:tcBorders>
            <w:shd w:val="clear" w:color="auto" w:fill="auto"/>
            <w:vAlign w:val="center"/>
            <w:hideMark/>
          </w:tcPr>
          <w:p w14:paraId="7085DD28" w14:textId="77777777" w:rsidR="007D2366" w:rsidRPr="00D50DB8" w:rsidRDefault="007D2366" w:rsidP="00342E82">
            <w:pPr>
              <w:spacing w:after="0" w:line="240" w:lineRule="auto"/>
              <w:rPr>
                <w:rFonts w:ascii="Arial Narrow" w:hAnsi="Arial Narrow"/>
                <w:b/>
                <w:bCs/>
                <w:color w:val="000000"/>
                <w:sz w:val="20"/>
                <w:szCs w:val="20"/>
                <w:lang w:val="en-US" w:eastAsia="en-US"/>
              </w:rPr>
            </w:pPr>
            <w:proofErr w:type="spellStart"/>
            <w:r w:rsidRPr="00D50DB8">
              <w:rPr>
                <w:rFonts w:ascii="Arial Narrow" w:hAnsi="Arial Narrow"/>
                <w:b/>
                <w:bCs/>
                <w:color w:val="000000"/>
                <w:sz w:val="20"/>
                <w:szCs w:val="20"/>
                <w:lang w:val="en-US" w:eastAsia="en-US"/>
              </w:rPr>
              <w:t>Medzera</w:t>
            </w:r>
            <w:proofErr w:type="spellEnd"/>
            <w:r w:rsidRPr="00D50DB8">
              <w:rPr>
                <w:rFonts w:ascii="Arial Narrow" w:hAnsi="Arial Narrow"/>
                <w:b/>
                <w:bCs/>
                <w:color w:val="000000"/>
                <w:sz w:val="20"/>
                <w:szCs w:val="20"/>
                <w:lang w:val="en-US" w:eastAsia="en-US"/>
              </w:rPr>
              <w:t xml:space="preserve"> DPH</w:t>
            </w:r>
          </w:p>
        </w:tc>
        <w:tc>
          <w:tcPr>
            <w:tcW w:w="8380" w:type="dxa"/>
            <w:tcBorders>
              <w:top w:val="nil"/>
              <w:left w:val="nil"/>
              <w:bottom w:val="nil"/>
              <w:right w:val="nil"/>
            </w:tcBorders>
            <w:shd w:val="clear" w:color="auto" w:fill="auto"/>
            <w:vAlign w:val="center"/>
            <w:hideMark/>
          </w:tcPr>
          <w:p w14:paraId="5A823261" w14:textId="77777777" w:rsidR="007D2366" w:rsidRPr="000471E5" w:rsidRDefault="007D2366" w:rsidP="00342E82">
            <w:pPr>
              <w:pStyle w:val="Default"/>
              <w:spacing w:after="80"/>
              <w:jc w:val="both"/>
              <w:rPr>
                <w:rFonts w:ascii="Arial Narrow" w:hAnsi="Arial Narrow"/>
                <w:sz w:val="20"/>
                <w:szCs w:val="20"/>
              </w:rPr>
            </w:pPr>
            <w:r w:rsidRPr="000471E5">
              <w:rPr>
                <w:rFonts w:ascii="Arial Narrow" w:hAnsi="Arial Narrow"/>
                <w:sz w:val="20"/>
                <w:szCs w:val="20"/>
              </w:rPr>
              <w:t xml:space="preserve">Rozdiel medzi potenciálnym výberom DPH, ktorý by štát získal, ak by sa všetky ekonomické subjekty správali v súlade so zákonom a jeho výkladom vo forme v akej bol prijatý, a skutočne vybranou daňou. </w:t>
            </w:r>
          </w:p>
          <w:p w14:paraId="4FD38DFA" w14:textId="77777777" w:rsidR="007D2366" w:rsidRPr="00E9605F" w:rsidRDefault="003900B5" w:rsidP="00342E82">
            <w:pPr>
              <w:spacing w:after="80" w:line="240" w:lineRule="auto"/>
              <w:rPr>
                <w:rFonts w:ascii="Arial Narrow" w:hAnsi="Arial Narrow"/>
                <w:bCs/>
                <w:color w:val="000000"/>
                <w:sz w:val="20"/>
                <w:szCs w:val="20"/>
                <w:lang w:eastAsia="en-US"/>
              </w:rPr>
            </w:pPr>
            <w:r w:rsidRPr="003900B5">
              <w:rPr>
                <w:rFonts w:ascii="Arial Narrow" w:hAnsi="Arial Narrow"/>
                <w:bCs/>
                <w:color w:val="000000"/>
                <w:sz w:val="20"/>
                <w:szCs w:val="20"/>
                <w:lang w:eastAsia="en-US"/>
              </w:rPr>
              <w:t>Medzera DPH = [teoretická (potenciálna DPH) – aktuálne vybraná DPH)] / teoretická (potenciálna DPH)</w:t>
            </w:r>
          </w:p>
        </w:tc>
      </w:tr>
      <w:tr w:rsidR="007D2366" w:rsidRPr="00D50DB8" w14:paraId="45D7B774" w14:textId="77777777" w:rsidTr="00342E82">
        <w:trPr>
          <w:trHeight w:val="300"/>
          <w:jc w:val="center"/>
        </w:trPr>
        <w:tc>
          <w:tcPr>
            <w:tcW w:w="1826" w:type="dxa"/>
            <w:vMerge/>
            <w:tcBorders>
              <w:top w:val="nil"/>
              <w:left w:val="nil"/>
              <w:bottom w:val="dotted" w:sz="4" w:space="0" w:color="000000"/>
              <w:right w:val="nil"/>
            </w:tcBorders>
            <w:vAlign w:val="center"/>
            <w:hideMark/>
          </w:tcPr>
          <w:p w14:paraId="034F0C45" w14:textId="77777777" w:rsidR="007D2366" w:rsidRPr="00E9605F" w:rsidRDefault="007D2366" w:rsidP="00342E82">
            <w:pPr>
              <w:spacing w:after="0" w:line="240" w:lineRule="auto"/>
              <w:rPr>
                <w:rFonts w:ascii="Arial Narrow" w:hAnsi="Arial Narrow"/>
                <w:b/>
                <w:bCs/>
                <w:color w:val="000000"/>
                <w:sz w:val="20"/>
                <w:szCs w:val="20"/>
                <w:lang w:eastAsia="en-US"/>
              </w:rPr>
            </w:pPr>
          </w:p>
        </w:tc>
        <w:tc>
          <w:tcPr>
            <w:tcW w:w="8380" w:type="dxa"/>
            <w:tcBorders>
              <w:top w:val="nil"/>
              <w:left w:val="nil"/>
              <w:bottom w:val="dotted" w:sz="4" w:space="0" w:color="auto"/>
              <w:right w:val="nil"/>
            </w:tcBorders>
            <w:shd w:val="clear" w:color="auto" w:fill="auto"/>
            <w:noWrap/>
            <w:vAlign w:val="center"/>
            <w:hideMark/>
          </w:tcPr>
          <w:p w14:paraId="0A965F6E" w14:textId="77777777" w:rsidR="007D2366" w:rsidRPr="00E9605F" w:rsidRDefault="007D2366" w:rsidP="00342E82">
            <w:pPr>
              <w:spacing w:after="0" w:line="240" w:lineRule="auto"/>
              <w:rPr>
                <w:rFonts w:ascii="Arial Narrow" w:hAnsi="Arial Narrow"/>
                <w:color w:val="000000"/>
                <w:sz w:val="20"/>
                <w:szCs w:val="20"/>
                <w:lang w:eastAsia="en-US"/>
              </w:rPr>
            </w:pPr>
            <w:r w:rsidRPr="00E9605F">
              <w:rPr>
                <w:rFonts w:ascii="Arial Narrow" w:hAnsi="Arial Narrow"/>
                <w:color w:val="000000"/>
                <w:sz w:val="20"/>
                <w:szCs w:val="20"/>
                <w:lang w:eastAsia="en-US"/>
              </w:rPr>
              <w:t> Zdroj: Európska komisia / CASE, výpočt</w:t>
            </w:r>
            <w:r>
              <w:rPr>
                <w:rFonts w:ascii="Arial Narrow" w:hAnsi="Arial Narrow"/>
                <w:color w:val="000000"/>
                <w:sz w:val="20"/>
                <w:szCs w:val="20"/>
                <w:lang w:eastAsia="en-US"/>
              </w:rPr>
              <w:t>y</w:t>
            </w:r>
            <w:r w:rsidRPr="00E9605F">
              <w:rPr>
                <w:rFonts w:ascii="Arial Narrow" w:hAnsi="Arial Narrow"/>
                <w:color w:val="000000"/>
                <w:sz w:val="20"/>
                <w:szCs w:val="20"/>
                <w:lang w:eastAsia="en-US"/>
              </w:rPr>
              <w:t xml:space="preserve"> MF SR</w:t>
            </w:r>
          </w:p>
        </w:tc>
      </w:tr>
      <w:tr w:rsidR="007D2366" w:rsidRPr="00D50DB8" w14:paraId="04C31F17" w14:textId="77777777" w:rsidTr="00342E82">
        <w:trPr>
          <w:trHeight w:val="1020"/>
          <w:jc w:val="center"/>
        </w:trPr>
        <w:tc>
          <w:tcPr>
            <w:tcW w:w="1826" w:type="dxa"/>
            <w:vMerge w:val="restart"/>
            <w:tcBorders>
              <w:top w:val="nil"/>
              <w:left w:val="nil"/>
              <w:bottom w:val="dotted" w:sz="4" w:space="0" w:color="000000"/>
              <w:right w:val="nil"/>
            </w:tcBorders>
            <w:shd w:val="clear" w:color="auto" w:fill="auto"/>
            <w:vAlign w:val="center"/>
            <w:hideMark/>
          </w:tcPr>
          <w:p w14:paraId="7FA5ADB4" w14:textId="77777777" w:rsidR="007D2366" w:rsidRPr="00D50DB8" w:rsidRDefault="007D2366" w:rsidP="00342E82">
            <w:pPr>
              <w:spacing w:after="0" w:line="240" w:lineRule="auto"/>
              <w:rPr>
                <w:rFonts w:ascii="Arial Narrow" w:hAnsi="Arial Narrow"/>
                <w:b/>
                <w:bCs/>
                <w:color w:val="000000"/>
                <w:sz w:val="20"/>
                <w:szCs w:val="20"/>
                <w:lang w:val="en-US" w:eastAsia="en-US"/>
              </w:rPr>
            </w:pPr>
            <w:proofErr w:type="spellStart"/>
            <w:r w:rsidRPr="00D50DB8">
              <w:rPr>
                <w:rFonts w:ascii="Arial Narrow" w:hAnsi="Arial Narrow"/>
                <w:b/>
                <w:bCs/>
                <w:color w:val="000000"/>
                <w:sz w:val="20"/>
                <w:szCs w:val="20"/>
                <w:lang w:val="en-US" w:eastAsia="en-US"/>
              </w:rPr>
              <w:t>Predčasné</w:t>
            </w:r>
            <w:proofErr w:type="spellEnd"/>
            <w:r w:rsidRPr="00D50DB8">
              <w:rPr>
                <w:rFonts w:ascii="Arial Narrow" w:hAnsi="Arial Narrow"/>
                <w:b/>
                <w:bCs/>
                <w:color w:val="000000"/>
                <w:sz w:val="20"/>
                <w:szCs w:val="20"/>
                <w:lang w:val="en-US" w:eastAsia="en-US"/>
              </w:rPr>
              <w:t xml:space="preserve"> </w:t>
            </w:r>
            <w:proofErr w:type="spellStart"/>
            <w:r w:rsidRPr="00D50DB8">
              <w:rPr>
                <w:rFonts w:ascii="Arial Narrow" w:hAnsi="Arial Narrow"/>
                <w:b/>
                <w:bCs/>
                <w:color w:val="000000"/>
                <w:sz w:val="20"/>
                <w:szCs w:val="20"/>
                <w:lang w:val="en-US" w:eastAsia="en-US"/>
              </w:rPr>
              <w:t>ukončenie</w:t>
            </w:r>
            <w:proofErr w:type="spellEnd"/>
            <w:r w:rsidRPr="00D50DB8">
              <w:rPr>
                <w:rFonts w:ascii="Arial Narrow" w:hAnsi="Arial Narrow"/>
                <w:b/>
                <w:bCs/>
                <w:color w:val="000000"/>
                <w:sz w:val="20"/>
                <w:szCs w:val="20"/>
                <w:lang w:val="en-US" w:eastAsia="en-US"/>
              </w:rPr>
              <w:t xml:space="preserve"> </w:t>
            </w:r>
            <w:proofErr w:type="spellStart"/>
            <w:r w:rsidRPr="00D50DB8">
              <w:rPr>
                <w:rFonts w:ascii="Arial Narrow" w:hAnsi="Arial Narrow"/>
                <w:b/>
                <w:bCs/>
                <w:color w:val="000000"/>
                <w:sz w:val="20"/>
                <w:szCs w:val="20"/>
                <w:lang w:val="en-US" w:eastAsia="en-US"/>
              </w:rPr>
              <w:t>školskej</w:t>
            </w:r>
            <w:proofErr w:type="spellEnd"/>
            <w:r w:rsidRPr="00D50DB8">
              <w:rPr>
                <w:rFonts w:ascii="Arial Narrow" w:hAnsi="Arial Narrow"/>
                <w:b/>
                <w:bCs/>
                <w:color w:val="000000"/>
                <w:sz w:val="20"/>
                <w:szCs w:val="20"/>
                <w:lang w:val="en-US" w:eastAsia="en-US"/>
              </w:rPr>
              <w:t xml:space="preserve"> </w:t>
            </w:r>
            <w:proofErr w:type="spellStart"/>
            <w:r w:rsidRPr="00D50DB8">
              <w:rPr>
                <w:rFonts w:ascii="Arial Narrow" w:hAnsi="Arial Narrow"/>
                <w:b/>
                <w:bCs/>
                <w:color w:val="000000"/>
                <w:sz w:val="20"/>
                <w:szCs w:val="20"/>
                <w:lang w:val="en-US" w:eastAsia="en-US"/>
              </w:rPr>
              <w:t>dochádzky</w:t>
            </w:r>
            <w:proofErr w:type="spellEnd"/>
            <w:r w:rsidRPr="00D50DB8">
              <w:rPr>
                <w:rFonts w:ascii="Arial Narrow" w:hAnsi="Arial Narrow"/>
                <w:b/>
                <w:bCs/>
                <w:color w:val="000000"/>
                <w:sz w:val="20"/>
                <w:szCs w:val="20"/>
                <w:lang w:val="en-US" w:eastAsia="en-US"/>
              </w:rPr>
              <w:t xml:space="preserve"> </w:t>
            </w:r>
          </w:p>
        </w:tc>
        <w:tc>
          <w:tcPr>
            <w:tcW w:w="8380" w:type="dxa"/>
            <w:tcBorders>
              <w:top w:val="nil"/>
              <w:left w:val="nil"/>
              <w:bottom w:val="nil"/>
              <w:right w:val="nil"/>
            </w:tcBorders>
            <w:shd w:val="clear" w:color="auto" w:fill="auto"/>
            <w:vAlign w:val="center"/>
            <w:hideMark/>
          </w:tcPr>
          <w:p w14:paraId="1205D4D8" w14:textId="77777777" w:rsidR="007D2366" w:rsidRPr="00D50DB8" w:rsidRDefault="007D2366" w:rsidP="00342E82">
            <w:pPr>
              <w:spacing w:after="0" w:line="240" w:lineRule="auto"/>
              <w:jc w:val="both"/>
              <w:rPr>
                <w:rFonts w:ascii="Arial Narrow" w:hAnsi="Arial Narrow"/>
                <w:color w:val="000000"/>
                <w:sz w:val="20"/>
                <w:szCs w:val="20"/>
                <w:lang w:val="en-US" w:eastAsia="en-US"/>
              </w:rPr>
            </w:pPr>
            <w:proofErr w:type="spellStart"/>
            <w:r w:rsidRPr="00D50DB8">
              <w:rPr>
                <w:rFonts w:ascii="Arial Narrow" w:hAnsi="Arial Narrow"/>
                <w:color w:val="000000"/>
                <w:sz w:val="20"/>
                <w:szCs w:val="20"/>
                <w:lang w:val="en-US" w:eastAsia="en-US"/>
              </w:rPr>
              <w:t>Podiel</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populácie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vo</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veku</w:t>
            </w:r>
            <w:proofErr w:type="spellEnd"/>
            <w:r w:rsidRPr="00D50DB8">
              <w:rPr>
                <w:rFonts w:ascii="Arial Narrow" w:hAnsi="Arial Narrow"/>
                <w:color w:val="000000"/>
                <w:sz w:val="20"/>
                <w:szCs w:val="20"/>
                <w:lang w:val="en-US" w:eastAsia="en-US"/>
              </w:rPr>
              <w:t xml:space="preserve"> 18-24 </w:t>
            </w:r>
            <w:proofErr w:type="spellStart"/>
            <w:r w:rsidRPr="00D50DB8">
              <w:rPr>
                <w:rFonts w:ascii="Arial Narrow" w:hAnsi="Arial Narrow"/>
                <w:color w:val="000000"/>
                <w:sz w:val="20"/>
                <w:szCs w:val="20"/>
                <w:lang w:val="en-US" w:eastAsia="en-US"/>
              </w:rPr>
              <w:t>rokov</w:t>
            </w:r>
            <w:proofErr w:type="spellEnd"/>
            <w:r w:rsidRPr="00D50DB8">
              <w:rPr>
                <w:rFonts w:ascii="Arial Narrow" w:hAnsi="Arial Narrow"/>
                <w:color w:val="000000"/>
                <w:sz w:val="20"/>
                <w:szCs w:val="20"/>
                <w:lang w:val="en-US" w:eastAsia="en-US"/>
              </w:rPr>
              <w:t xml:space="preserve"> s </w:t>
            </w:r>
            <w:proofErr w:type="spellStart"/>
            <w:r w:rsidRPr="00D50DB8">
              <w:rPr>
                <w:rFonts w:ascii="Arial Narrow" w:hAnsi="Arial Narrow"/>
                <w:color w:val="000000"/>
                <w:sz w:val="20"/>
                <w:szCs w:val="20"/>
                <w:lang w:val="en-US" w:eastAsia="en-US"/>
              </w:rPr>
              <w:t>najnižším</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vzdelaním</w:t>
            </w:r>
            <w:proofErr w:type="spellEnd"/>
            <w:r w:rsidRPr="00D50DB8">
              <w:rPr>
                <w:rFonts w:ascii="Arial Narrow" w:hAnsi="Arial Narrow"/>
                <w:color w:val="000000"/>
                <w:sz w:val="20"/>
                <w:szCs w:val="20"/>
                <w:lang w:val="en-US" w:eastAsia="en-US"/>
              </w:rPr>
              <w:t xml:space="preserve"> (ISCED 0, 1, 2, 3C), </w:t>
            </w:r>
            <w:proofErr w:type="spellStart"/>
            <w:r w:rsidRPr="00D50DB8">
              <w:rPr>
                <w:rFonts w:ascii="Arial Narrow" w:hAnsi="Arial Narrow"/>
                <w:color w:val="000000"/>
                <w:sz w:val="20"/>
                <w:szCs w:val="20"/>
                <w:lang w:val="en-US" w:eastAsia="en-US"/>
              </w:rPr>
              <w:t>ktorá</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nepokračuje</w:t>
            </w:r>
            <w:proofErr w:type="spellEnd"/>
            <w:r w:rsidRPr="00D50DB8">
              <w:rPr>
                <w:rFonts w:ascii="Arial Narrow" w:hAnsi="Arial Narrow"/>
                <w:color w:val="000000"/>
                <w:sz w:val="20"/>
                <w:szCs w:val="20"/>
                <w:lang w:val="en-US" w:eastAsia="en-US"/>
              </w:rPr>
              <w:t xml:space="preserve"> v </w:t>
            </w:r>
            <w:proofErr w:type="spellStart"/>
            <w:r w:rsidRPr="00D50DB8">
              <w:rPr>
                <w:rFonts w:ascii="Arial Narrow" w:hAnsi="Arial Narrow"/>
                <w:color w:val="000000"/>
                <w:sz w:val="20"/>
                <w:szCs w:val="20"/>
                <w:lang w:val="en-US" w:eastAsia="en-US"/>
              </w:rPr>
              <w:t>ďalšom</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vzdelávaní</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Žiak</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nepokračuje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vo</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vzdelávaní</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ak</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sa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počas</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posledných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štyroch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týždňov</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pred</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uskutočnením</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prieskumu</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nezúčastnil</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žiadneho</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typu</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vzdelávania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pričom</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sa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nezohľadňuje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relevantnosť</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vzdelávania</w:t>
            </w:r>
            <w:proofErr w:type="spellEnd"/>
            <w:r w:rsidRPr="00D50DB8">
              <w:rPr>
                <w:rFonts w:ascii="Arial Narrow" w:hAnsi="Arial Narrow"/>
                <w:color w:val="000000"/>
                <w:sz w:val="20"/>
                <w:szCs w:val="20"/>
                <w:lang w:val="en-US" w:eastAsia="en-US"/>
              </w:rPr>
              <w:t xml:space="preserve"> pre </w:t>
            </w:r>
            <w:proofErr w:type="spellStart"/>
            <w:r w:rsidRPr="00D50DB8">
              <w:rPr>
                <w:rFonts w:ascii="Arial Narrow" w:hAnsi="Arial Narrow"/>
                <w:color w:val="000000"/>
                <w:sz w:val="20"/>
                <w:szCs w:val="20"/>
                <w:lang w:val="en-US" w:eastAsia="en-US"/>
              </w:rPr>
              <w:t>súčasnú</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alebo</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budúcu</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prácu</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respondenta</w:t>
            </w:r>
            <w:proofErr w:type="spellEnd"/>
            <w:r w:rsidRPr="00D50DB8">
              <w:rPr>
                <w:rFonts w:ascii="Arial Narrow" w:hAnsi="Arial Narrow"/>
                <w:color w:val="000000"/>
                <w:sz w:val="20"/>
                <w:szCs w:val="20"/>
                <w:lang w:val="en-US" w:eastAsia="en-US"/>
              </w:rPr>
              <w:t>.</w:t>
            </w:r>
          </w:p>
        </w:tc>
      </w:tr>
      <w:tr w:rsidR="007D2366" w:rsidRPr="00D50DB8" w14:paraId="57F5F210" w14:textId="77777777" w:rsidTr="00342E82">
        <w:trPr>
          <w:trHeight w:val="300"/>
          <w:jc w:val="center"/>
        </w:trPr>
        <w:tc>
          <w:tcPr>
            <w:tcW w:w="1826" w:type="dxa"/>
            <w:vMerge/>
            <w:tcBorders>
              <w:top w:val="nil"/>
              <w:left w:val="nil"/>
              <w:bottom w:val="dotted" w:sz="4" w:space="0" w:color="000000"/>
              <w:right w:val="nil"/>
            </w:tcBorders>
            <w:vAlign w:val="center"/>
            <w:hideMark/>
          </w:tcPr>
          <w:p w14:paraId="4C8C66CF" w14:textId="77777777" w:rsidR="007D2366" w:rsidRPr="00D50DB8" w:rsidRDefault="007D2366" w:rsidP="00342E82">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4150E88B" w14:textId="77777777" w:rsidR="007D2366" w:rsidRPr="00D50DB8" w:rsidRDefault="007D2366" w:rsidP="00342E82">
            <w:pPr>
              <w:spacing w:after="0" w:line="240" w:lineRule="auto"/>
              <w:jc w:val="both"/>
              <w:rPr>
                <w:rFonts w:ascii="Arial Narrow" w:hAnsi="Arial Narrow"/>
                <w:color w:val="000000"/>
                <w:sz w:val="20"/>
                <w:szCs w:val="20"/>
                <w:lang w:val="en-US" w:eastAsia="en-US"/>
              </w:rPr>
            </w:pPr>
            <w:proofErr w:type="spellStart"/>
            <w:r w:rsidRPr="00D50DB8">
              <w:rPr>
                <w:rFonts w:ascii="Arial Narrow" w:hAnsi="Arial Narrow"/>
                <w:color w:val="000000"/>
                <w:sz w:val="20"/>
                <w:szCs w:val="20"/>
                <w:lang w:val="en-US" w:eastAsia="en-US"/>
              </w:rPr>
              <w:t>Zdroj</w:t>
            </w:r>
            <w:proofErr w:type="spellEnd"/>
            <w:r w:rsidRPr="00D50DB8">
              <w:rPr>
                <w:rFonts w:ascii="Arial Narrow" w:hAnsi="Arial Narrow"/>
                <w:color w:val="000000"/>
                <w:sz w:val="20"/>
                <w:szCs w:val="20"/>
                <w:lang w:val="en-US" w:eastAsia="en-US"/>
              </w:rPr>
              <w:t xml:space="preserve">: </w:t>
            </w:r>
            <w:r w:rsidR="006F45F5" w:rsidRPr="006F45F5">
              <w:rPr>
                <w:rFonts w:ascii="Arial Narrow" w:hAnsi="Arial Narrow"/>
                <w:color w:val="000000"/>
                <w:sz w:val="20"/>
                <w:szCs w:val="20"/>
                <w:lang w:val="en-US" w:eastAsia="en-US"/>
              </w:rPr>
              <w:t xml:space="preserve">Eurostat </w:t>
            </w:r>
            <w:r w:rsidR="00010B97">
              <w:rPr>
                <w:rFonts w:ascii="Arial Narrow" w:hAnsi="Arial Narrow"/>
                <w:color w:val="000000"/>
                <w:sz w:val="20"/>
                <w:szCs w:val="20"/>
                <w:lang w:val="en-US" w:eastAsia="en-US"/>
              </w:rPr>
              <w:t>(</w:t>
            </w:r>
            <w:r w:rsidR="006F45F5" w:rsidRPr="006F45F5">
              <w:rPr>
                <w:rFonts w:ascii="Arial Narrow" w:hAnsi="Arial Narrow"/>
                <w:color w:val="000000"/>
                <w:sz w:val="20"/>
                <w:szCs w:val="20"/>
                <w:lang w:val="en-US" w:eastAsia="en-US"/>
              </w:rPr>
              <w:t>edat_lfse_14</w:t>
            </w:r>
            <w:r w:rsidR="00010B97">
              <w:rPr>
                <w:rFonts w:ascii="Arial Narrow" w:hAnsi="Arial Narrow"/>
                <w:color w:val="000000"/>
                <w:sz w:val="20"/>
                <w:szCs w:val="20"/>
                <w:lang w:val="en-US" w:eastAsia="en-US"/>
              </w:rPr>
              <w:t>)</w:t>
            </w:r>
          </w:p>
        </w:tc>
      </w:tr>
      <w:tr w:rsidR="007D2366" w:rsidRPr="00D50DB8" w14:paraId="0B525FBA" w14:textId="77777777" w:rsidTr="00342E82">
        <w:trPr>
          <w:trHeight w:val="765"/>
          <w:jc w:val="center"/>
        </w:trPr>
        <w:tc>
          <w:tcPr>
            <w:tcW w:w="1826" w:type="dxa"/>
            <w:vMerge w:val="restart"/>
            <w:tcBorders>
              <w:top w:val="nil"/>
              <w:left w:val="nil"/>
              <w:bottom w:val="dotted" w:sz="4" w:space="0" w:color="000000"/>
              <w:right w:val="nil"/>
            </w:tcBorders>
            <w:shd w:val="clear" w:color="auto" w:fill="auto"/>
            <w:vAlign w:val="center"/>
            <w:hideMark/>
          </w:tcPr>
          <w:p w14:paraId="11543A4A" w14:textId="77777777" w:rsidR="007D2366" w:rsidRPr="00D50DB8" w:rsidRDefault="007D2366" w:rsidP="00342E82">
            <w:pPr>
              <w:spacing w:after="0" w:line="240" w:lineRule="auto"/>
              <w:jc w:val="both"/>
              <w:rPr>
                <w:rFonts w:ascii="Arial Narrow" w:hAnsi="Arial Narrow"/>
                <w:b/>
                <w:bCs/>
                <w:color w:val="000000"/>
                <w:sz w:val="20"/>
                <w:szCs w:val="20"/>
                <w:lang w:val="en-US" w:eastAsia="en-US"/>
              </w:rPr>
            </w:pPr>
            <w:r w:rsidRPr="00D50DB8">
              <w:rPr>
                <w:rFonts w:ascii="Arial Narrow" w:hAnsi="Arial Narrow"/>
                <w:b/>
                <w:bCs/>
                <w:color w:val="000000"/>
                <w:sz w:val="20"/>
                <w:szCs w:val="20"/>
                <w:lang w:val="en-US" w:eastAsia="en-US"/>
              </w:rPr>
              <w:t>PISA</w:t>
            </w:r>
          </w:p>
        </w:tc>
        <w:tc>
          <w:tcPr>
            <w:tcW w:w="8380" w:type="dxa"/>
            <w:tcBorders>
              <w:top w:val="nil"/>
              <w:left w:val="nil"/>
              <w:bottom w:val="nil"/>
              <w:right w:val="nil"/>
            </w:tcBorders>
            <w:shd w:val="clear" w:color="auto" w:fill="auto"/>
            <w:vAlign w:val="center"/>
            <w:hideMark/>
          </w:tcPr>
          <w:p w14:paraId="674CE0A1" w14:textId="77777777" w:rsidR="007D2366" w:rsidRPr="00D50DB8" w:rsidRDefault="007D2366" w:rsidP="00342E82">
            <w:pPr>
              <w:spacing w:after="0" w:line="240" w:lineRule="auto"/>
              <w:jc w:val="both"/>
              <w:rPr>
                <w:rFonts w:ascii="Arial Narrow" w:hAnsi="Arial Narrow"/>
                <w:color w:val="000000"/>
                <w:sz w:val="20"/>
                <w:szCs w:val="20"/>
                <w:lang w:val="en-US" w:eastAsia="en-US"/>
              </w:rPr>
            </w:pPr>
            <w:proofErr w:type="spellStart"/>
            <w:r w:rsidRPr="00D50DB8">
              <w:rPr>
                <w:rFonts w:ascii="Arial Narrow" w:hAnsi="Arial Narrow"/>
                <w:color w:val="000000"/>
                <w:sz w:val="20"/>
                <w:szCs w:val="20"/>
                <w:lang w:val="en-US" w:eastAsia="en-US"/>
              </w:rPr>
              <w:t>Medzinárodné</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štandardizované</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hodnotenie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vedomostí</w:t>
            </w:r>
            <w:proofErr w:type="spellEnd"/>
            <w:r w:rsidRPr="00D50DB8">
              <w:rPr>
                <w:rFonts w:ascii="Arial Narrow" w:hAnsi="Arial Narrow"/>
                <w:color w:val="000000"/>
                <w:sz w:val="20"/>
                <w:szCs w:val="20"/>
                <w:lang w:val="en-US" w:eastAsia="en-US"/>
              </w:rPr>
              <w:t xml:space="preserve"> a </w:t>
            </w:r>
            <w:proofErr w:type="spellStart"/>
            <w:r w:rsidRPr="00D50DB8">
              <w:rPr>
                <w:rFonts w:ascii="Arial Narrow" w:hAnsi="Arial Narrow"/>
                <w:color w:val="000000"/>
                <w:sz w:val="20"/>
                <w:szCs w:val="20"/>
                <w:lang w:val="en-US" w:eastAsia="en-US"/>
              </w:rPr>
              <w:t>zručností</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pätnásťročných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žiakov</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Hodnotí</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žiakov</w:t>
            </w:r>
            <w:proofErr w:type="spellEnd"/>
            <w:r w:rsidRPr="00D50DB8">
              <w:rPr>
                <w:rFonts w:ascii="Arial Narrow" w:hAnsi="Arial Narrow"/>
                <w:color w:val="000000"/>
                <w:sz w:val="20"/>
                <w:szCs w:val="20"/>
                <w:lang w:val="en-US" w:eastAsia="en-US"/>
              </w:rPr>
              <w:t xml:space="preserve"> v troch </w:t>
            </w:r>
            <w:proofErr w:type="spellStart"/>
            <w:r w:rsidRPr="00D50DB8">
              <w:rPr>
                <w:rFonts w:ascii="Arial Narrow" w:hAnsi="Arial Narrow"/>
                <w:color w:val="000000"/>
                <w:sz w:val="20"/>
                <w:szCs w:val="20"/>
                <w:lang w:val="en-US" w:eastAsia="en-US"/>
              </w:rPr>
              <w:t>oblastiach</w:t>
            </w:r>
            <w:proofErr w:type="spellEnd"/>
            <w:r w:rsidRPr="00D50DB8">
              <w:rPr>
                <w:rFonts w:ascii="Arial Narrow" w:hAnsi="Arial Narrow"/>
                <w:color w:val="000000"/>
                <w:sz w:val="20"/>
                <w:szCs w:val="20"/>
                <w:lang w:val="en-US" w:eastAsia="en-US"/>
              </w:rPr>
              <w:t xml:space="preserve">: v </w:t>
            </w:r>
            <w:proofErr w:type="spellStart"/>
            <w:r w:rsidRPr="00D50DB8">
              <w:rPr>
                <w:rFonts w:ascii="Arial Narrow" w:hAnsi="Arial Narrow"/>
                <w:color w:val="000000"/>
                <w:sz w:val="20"/>
                <w:szCs w:val="20"/>
                <w:lang w:val="en-US" w:eastAsia="en-US"/>
              </w:rPr>
              <w:t>matematike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čítaní</w:t>
            </w:r>
            <w:proofErr w:type="spellEnd"/>
            <w:r w:rsidRPr="00D50DB8">
              <w:rPr>
                <w:rFonts w:ascii="Arial Narrow" w:hAnsi="Arial Narrow"/>
                <w:color w:val="000000"/>
                <w:sz w:val="20"/>
                <w:szCs w:val="20"/>
                <w:lang w:val="en-US" w:eastAsia="en-US"/>
              </w:rPr>
              <w:t xml:space="preserve"> a </w:t>
            </w:r>
            <w:proofErr w:type="spellStart"/>
            <w:r w:rsidRPr="00D50DB8">
              <w:rPr>
                <w:rFonts w:ascii="Arial Narrow" w:hAnsi="Arial Narrow"/>
                <w:color w:val="000000"/>
                <w:sz w:val="20"/>
                <w:szCs w:val="20"/>
                <w:lang w:val="en-US" w:eastAsia="en-US"/>
              </w:rPr>
              <w:t>prírodných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vedách</w:t>
            </w:r>
            <w:proofErr w:type="spellEnd"/>
            <w:r w:rsidRPr="00D50DB8">
              <w:rPr>
                <w:rFonts w:ascii="Arial Narrow" w:hAnsi="Arial Narrow"/>
                <w:color w:val="000000"/>
                <w:sz w:val="20"/>
                <w:szCs w:val="20"/>
                <w:lang w:val="en-US" w:eastAsia="en-US"/>
              </w:rPr>
              <w:t xml:space="preserve">. Index je </w:t>
            </w:r>
            <w:proofErr w:type="spellStart"/>
            <w:r w:rsidRPr="00D50DB8">
              <w:rPr>
                <w:rFonts w:ascii="Arial Narrow" w:hAnsi="Arial Narrow"/>
                <w:color w:val="000000"/>
                <w:sz w:val="20"/>
                <w:szCs w:val="20"/>
                <w:lang w:val="en-US" w:eastAsia="en-US"/>
              </w:rPr>
              <w:t>aritmetickým</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priemerom</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hodnotení</w:t>
            </w:r>
            <w:proofErr w:type="spellEnd"/>
            <w:r w:rsidRPr="00D50DB8">
              <w:rPr>
                <w:rFonts w:ascii="Arial Narrow" w:hAnsi="Arial Narrow"/>
                <w:color w:val="000000"/>
                <w:sz w:val="20"/>
                <w:szCs w:val="20"/>
                <w:lang w:val="en-US" w:eastAsia="en-US"/>
              </w:rPr>
              <w:t xml:space="preserve"> v </w:t>
            </w:r>
            <w:proofErr w:type="spellStart"/>
            <w:r w:rsidRPr="00D50DB8">
              <w:rPr>
                <w:rFonts w:ascii="Arial Narrow" w:hAnsi="Arial Narrow"/>
                <w:color w:val="000000"/>
                <w:sz w:val="20"/>
                <w:szCs w:val="20"/>
                <w:lang w:val="en-US" w:eastAsia="en-US"/>
              </w:rPr>
              <w:t>jednotlivých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oblastiach</w:t>
            </w:r>
            <w:proofErr w:type="spellEnd"/>
            <w:r w:rsidRPr="00D50DB8">
              <w:rPr>
                <w:rFonts w:ascii="Arial Narrow" w:hAnsi="Arial Narrow"/>
                <w:color w:val="000000"/>
                <w:sz w:val="20"/>
                <w:szCs w:val="20"/>
                <w:lang w:val="en-US" w:eastAsia="en-US"/>
              </w:rPr>
              <w:t>.</w:t>
            </w:r>
          </w:p>
        </w:tc>
      </w:tr>
      <w:tr w:rsidR="007D2366" w:rsidRPr="00D50DB8" w14:paraId="360D2DEA" w14:textId="77777777" w:rsidTr="00342E82">
        <w:trPr>
          <w:trHeight w:val="300"/>
          <w:jc w:val="center"/>
        </w:trPr>
        <w:tc>
          <w:tcPr>
            <w:tcW w:w="1826" w:type="dxa"/>
            <w:vMerge/>
            <w:tcBorders>
              <w:top w:val="nil"/>
              <w:left w:val="nil"/>
              <w:bottom w:val="dotted" w:sz="4" w:space="0" w:color="000000"/>
              <w:right w:val="nil"/>
            </w:tcBorders>
            <w:vAlign w:val="center"/>
            <w:hideMark/>
          </w:tcPr>
          <w:p w14:paraId="722F10E0" w14:textId="77777777" w:rsidR="007D2366" w:rsidRPr="00D50DB8" w:rsidRDefault="007D2366" w:rsidP="00342E82">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12A744F5" w14:textId="77777777" w:rsidR="007D2366" w:rsidRPr="00D50DB8" w:rsidRDefault="007D2366" w:rsidP="00342E82">
            <w:pPr>
              <w:spacing w:after="0" w:line="240" w:lineRule="auto"/>
              <w:jc w:val="both"/>
              <w:rPr>
                <w:rFonts w:ascii="Arial Narrow" w:hAnsi="Arial Narrow"/>
                <w:color w:val="000000"/>
                <w:sz w:val="20"/>
                <w:szCs w:val="20"/>
                <w:lang w:val="en-US" w:eastAsia="en-US"/>
              </w:rPr>
            </w:pPr>
            <w:proofErr w:type="spellStart"/>
            <w:r w:rsidRPr="00D50DB8">
              <w:rPr>
                <w:rFonts w:ascii="Arial Narrow" w:hAnsi="Arial Narrow"/>
                <w:color w:val="000000"/>
                <w:sz w:val="20"/>
                <w:szCs w:val="20"/>
                <w:lang w:val="en-US" w:eastAsia="en-US"/>
              </w:rPr>
              <w:t>Zdroj</w:t>
            </w:r>
            <w:proofErr w:type="spellEnd"/>
            <w:r w:rsidRPr="00D50DB8">
              <w:rPr>
                <w:rFonts w:ascii="Arial Narrow" w:hAnsi="Arial Narrow"/>
                <w:color w:val="000000"/>
                <w:sz w:val="20"/>
                <w:szCs w:val="20"/>
                <w:lang w:val="en-US" w:eastAsia="en-US"/>
              </w:rPr>
              <w:t>: OECD</w:t>
            </w:r>
            <w:r w:rsidR="00704C5B">
              <w:rPr>
                <w:rFonts w:ascii="Arial Narrow" w:hAnsi="Arial Narrow"/>
                <w:color w:val="000000"/>
                <w:sz w:val="20"/>
                <w:szCs w:val="20"/>
                <w:lang w:val="en-US" w:eastAsia="en-US"/>
              </w:rPr>
              <w:t xml:space="preserve"> - </w:t>
            </w:r>
            <w:r w:rsidR="00704C5B" w:rsidRPr="00704C5B">
              <w:rPr>
                <w:rFonts w:ascii="Arial Narrow" w:hAnsi="Arial Narrow"/>
                <w:color w:val="000000"/>
                <w:sz w:val="20"/>
                <w:szCs w:val="20"/>
                <w:lang w:val="en-US" w:eastAsia="en-US"/>
              </w:rPr>
              <w:t>PISA 2015 Results (Volume I) [Tab I.2.3; I.4.3; I.5.3]</w:t>
            </w:r>
          </w:p>
        </w:tc>
      </w:tr>
      <w:tr w:rsidR="007D2366" w:rsidRPr="00D50DB8" w14:paraId="2F0875C6" w14:textId="77777777" w:rsidTr="00342E82">
        <w:trPr>
          <w:trHeight w:val="510"/>
          <w:jc w:val="center"/>
        </w:trPr>
        <w:tc>
          <w:tcPr>
            <w:tcW w:w="1826" w:type="dxa"/>
            <w:vMerge w:val="restart"/>
            <w:tcBorders>
              <w:top w:val="nil"/>
              <w:left w:val="nil"/>
              <w:bottom w:val="dotted" w:sz="4" w:space="0" w:color="000000"/>
              <w:right w:val="nil"/>
            </w:tcBorders>
            <w:shd w:val="clear" w:color="auto" w:fill="auto"/>
            <w:vAlign w:val="center"/>
            <w:hideMark/>
          </w:tcPr>
          <w:p w14:paraId="32A74BB7" w14:textId="77777777" w:rsidR="007D2366" w:rsidRPr="00D50DB8" w:rsidRDefault="007D2366" w:rsidP="00342E82">
            <w:pPr>
              <w:spacing w:after="0" w:line="240" w:lineRule="auto"/>
              <w:rPr>
                <w:rFonts w:ascii="Arial Narrow" w:hAnsi="Arial Narrow"/>
                <w:b/>
                <w:bCs/>
                <w:color w:val="000000"/>
                <w:sz w:val="20"/>
                <w:szCs w:val="20"/>
                <w:lang w:val="en-US" w:eastAsia="en-US"/>
              </w:rPr>
            </w:pPr>
            <w:proofErr w:type="spellStart"/>
            <w:r w:rsidRPr="00D50DB8">
              <w:rPr>
                <w:rFonts w:ascii="Arial Narrow" w:hAnsi="Arial Narrow"/>
                <w:b/>
                <w:bCs/>
                <w:color w:val="000000"/>
                <w:sz w:val="20"/>
                <w:szCs w:val="20"/>
                <w:lang w:val="en-US" w:eastAsia="en-US"/>
              </w:rPr>
              <w:t>Miera</w:t>
            </w:r>
            <w:proofErr w:type="spellEnd"/>
            <w:r w:rsidRPr="00D50DB8">
              <w:rPr>
                <w:rFonts w:ascii="Arial Narrow" w:hAnsi="Arial Narrow"/>
                <w:b/>
                <w:bCs/>
                <w:color w:val="000000"/>
                <w:sz w:val="20"/>
                <w:szCs w:val="20"/>
                <w:lang w:val="en-US" w:eastAsia="en-US"/>
              </w:rPr>
              <w:t xml:space="preserve"> </w:t>
            </w:r>
            <w:proofErr w:type="spellStart"/>
            <w:r w:rsidRPr="00D50DB8">
              <w:rPr>
                <w:rFonts w:ascii="Arial Narrow" w:hAnsi="Arial Narrow"/>
                <w:b/>
                <w:bCs/>
                <w:color w:val="000000"/>
                <w:sz w:val="20"/>
                <w:szCs w:val="20"/>
                <w:lang w:val="en-US" w:eastAsia="en-US"/>
              </w:rPr>
              <w:t>vysokoškolsky</w:t>
            </w:r>
            <w:proofErr w:type="spellEnd"/>
            <w:r w:rsidRPr="00D50DB8">
              <w:rPr>
                <w:rFonts w:ascii="Arial Narrow" w:hAnsi="Arial Narrow"/>
                <w:b/>
                <w:bCs/>
                <w:color w:val="000000"/>
                <w:sz w:val="20"/>
                <w:szCs w:val="20"/>
                <w:lang w:val="en-US" w:eastAsia="en-US"/>
              </w:rPr>
              <w:t xml:space="preserve"> </w:t>
            </w:r>
            <w:proofErr w:type="spellStart"/>
            <w:r w:rsidRPr="00D50DB8">
              <w:rPr>
                <w:rFonts w:ascii="Arial Narrow" w:hAnsi="Arial Narrow"/>
                <w:b/>
                <w:bCs/>
                <w:color w:val="000000"/>
                <w:sz w:val="20"/>
                <w:szCs w:val="20"/>
                <w:lang w:val="en-US" w:eastAsia="en-US"/>
              </w:rPr>
              <w:t>vzdelanej</w:t>
            </w:r>
            <w:proofErr w:type="spellEnd"/>
            <w:r w:rsidRPr="00D50DB8">
              <w:rPr>
                <w:rFonts w:ascii="Arial Narrow" w:hAnsi="Arial Narrow"/>
                <w:b/>
                <w:bCs/>
                <w:color w:val="000000"/>
                <w:sz w:val="20"/>
                <w:szCs w:val="20"/>
                <w:lang w:val="en-US" w:eastAsia="en-US"/>
              </w:rPr>
              <w:t xml:space="preserve"> </w:t>
            </w:r>
            <w:proofErr w:type="spellStart"/>
            <w:r w:rsidRPr="00D50DB8">
              <w:rPr>
                <w:rFonts w:ascii="Arial Narrow" w:hAnsi="Arial Narrow"/>
                <w:b/>
                <w:bCs/>
                <w:color w:val="000000"/>
                <w:sz w:val="20"/>
                <w:szCs w:val="20"/>
                <w:lang w:val="en-US" w:eastAsia="en-US"/>
              </w:rPr>
              <w:t>populácie</w:t>
            </w:r>
            <w:proofErr w:type="spellEnd"/>
          </w:p>
        </w:tc>
        <w:tc>
          <w:tcPr>
            <w:tcW w:w="8380" w:type="dxa"/>
            <w:tcBorders>
              <w:top w:val="nil"/>
              <w:left w:val="nil"/>
              <w:bottom w:val="nil"/>
              <w:right w:val="nil"/>
            </w:tcBorders>
            <w:shd w:val="clear" w:color="auto" w:fill="auto"/>
            <w:vAlign w:val="center"/>
            <w:hideMark/>
          </w:tcPr>
          <w:p w14:paraId="57107FEC" w14:textId="77777777" w:rsidR="007D2366" w:rsidRPr="00D50DB8" w:rsidRDefault="007D2366" w:rsidP="00342E82">
            <w:pPr>
              <w:spacing w:after="0" w:line="240" w:lineRule="auto"/>
              <w:jc w:val="both"/>
              <w:rPr>
                <w:rFonts w:ascii="Arial Narrow" w:hAnsi="Arial Narrow"/>
                <w:color w:val="000000"/>
                <w:sz w:val="20"/>
                <w:szCs w:val="20"/>
                <w:lang w:val="en-US" w:eastAsia="en-US"/>
              </w:rPr>
            </w:pPr>
            <w:proofErr w:type="spellStart"/>
            <w:r w:rsidRPr="00D50DB8">
              <w:rPr>
                <w:rFonts w:ascii="Arial Narrow" w:hAnsi="Arial Narrow"/>
                <w:color w:val="000000"/>
                <w:sz w:val="20"/>
                <w:szCs w:val="20"/>
                <w:lang w:val="en-US" w:eastAsia="en-US"/>
              </w:rPr>
              <w:t>Podiel</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absolventov</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vysokoškolského</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štúdia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vo</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veku</w:t>
            </w:r>
            <w:proofErr w:type="spellEnd"/>
            <w:r w:rsidRPr="00D50DB8">
              <w:rPr>
                <w:rFonts w:ascii="Arial Narrow" w:hAnsi="Arial Narrow"/>
                <w:color w:val="000000"/>
                <w:sz w:val="20"/>
                <w:szCs w:val="20"/>
                <w:lang w:val="en-US" w:eastAsia="en-US"/>
              </w:rPr>
              <w:t xml:space="preserve"> 30-34 </w:t>
            </w:r>
            <w:proofErr w:type="spellStart"/>
            <w:r w:rsidRPr="00D50DB8">
              <w:rPr>
                <w:rFonts w:ascii="Arial Narrow" w:hAnsi="Arial Narrow"/>
                <w:color w:val="000000"/>
                <w:sz w:val="20"/>
                <w:szCs w:val="20"/>
                <w:lang w:val="en-US" w:eastAsia="en-US"/>
              </w:rPr>
              <w:t>rokov</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pripadajúci</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na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celkový</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počet</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obyvateľov</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rovnakej</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vekovej</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skupiny</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Stupeň</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vysokoškolského</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alebo</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doktorandského</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štúdia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zodpovedá</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úrovni</w:t>
            </w:r>
            <w:proofErr w:type="spellEnd"/>
            <w:r w:rsidRPr="00D50DB8">
              <w:rPr>
                <w:rFonts w:ascii="Arial Narrow" w:hAnsi="Arial Narrow"/>
                <w:color w:val="000000"/>
                <w:sz w:val="20"/>
                <w:szCs w:val="20"/>
                <w:lang w:val="en-US" w:eastAsia="en-US"/>
              </w:rPr>
              <w:t xml:space="preserve"> ISCED 5-6.</w:t>
            </w:r>
          </w:p>
        </w:tc>
      </w:tr>
      <w:tr w:rsidR="007D2366" w:rsidRPr="00D50DB8" w14:paraId="00789214" w14:textId="77777777" w:rsidTr="00342E82">
        <w:trPr>
          <w:trHeight w:val="300"/>
          <w:jc w:val="center"/>
        </w:trPr>
        <w:tc>
          <w:tcPr>
            <w:tcW w:w="1826" w:type="dxa"/>
            <w:vMerge/>
            <w:tcBorders>
              <w:top w:val="nil"/>
              <w:left w:val="nil"/>
              <w:bottom w:val="dotted" w:sz="4" w:space="0" w:color="000000"/>
              <w:right w:val="nil"/>
            </w:tcBorders>
            <w:vAlign w:val="center"/>
            <w:hideMark/>
          </w:tcPr>
          <w:p w14:paraId="729AFC20" w14:textId="77777777" w:rsidR="007D2366" w:rsidRPr="00D50DB8" w:rsidRDefault="007D2366" w:rsidP="00342E82">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3EC7579A" w14:textId="77777777" w:rsidR="007D2366" w:rsidRPr="00D50DB8" w:rsidRDefault="007D2366">
            <w:pPr>
              <w:spacing w:after="0" w:line="240" w:lineRule="auto"/>
              <w:jc w:val="both"/>
              <w:rPr>
                <w:rFonts w:ascii="Arial Narrow" w:hAnsi="Arial Narrow"/>
                <w:color w:val="000000"/>
                <w:sz w:val="20"/>
                <w:szCs w:val="20"/>
                <w:lang w:val="en-US" w:eastAsia="en-US"/>
              </w:rPr>
            </w:pPr>
            <w:proofErr w:type="spellStart"/>
            <w:r w:rsidRPr="00D50DB8">
              <w:rPr>
                <w:rFonts w:ascii="Arial Narrow" w:hAnsi="Arial Narrow"/>
                <w:color w:val="000000"/>
                <w:sz w:val="20"/>
                <w:szCs w:val="20"/>
                <w:lang w:val="en-US" w:eastAsia="en-US"/>
              </w:rPr>
              <w:t>Zdroj</w:t>
            </w:r>
            <w:proofErr w:type="spellEnd"/>
            <w:r w:rsidRPr="00D50DB8">
              <w:rPr>
                <w:rFonts w:ascii="Arial Narrow" w:hAnsi="Arial Narrow"/>
                <w:color w:val="000000"/>
                <w:sz w:val="20"/>
                <w:szCs w:val="20"/>
                <w:lang w:val="en-US" w:eastAsia="en-US"/>
              </w:rPr>
              <w:t>:</w:t>
            </w:r>
            <w:r w:rsidR="006F45F5">
              <w:t xml:space="preserve"> </w:t>
            </w:r>
            <w:r w:rsidR="006F45F5" w:rsidRPr="006F45F5">
              <w:rPr>
                <w:rFonts w:ascii="Arial Narrow" w:hAnsi="Arial Narrow"/>
                <w:color w:val="000000"/>
                <w:sz w:val="20"/>
                <w:szCs w:val="20"/>
                <w:lang w:val="en-US" w:eastAsia="en-US"/>
              </w:rPr>
              <w:t xml:space="preserve">Eurostat </w:t>
            </w:r>
            <w:r w:rsidR="00010B97">
              <w:rPr>
                <w:rFonts w:ascii="Arial Narrow" w:hAnsi="Arial Narrow"/>
                <w:color w:val="000000"/>
                <w:sz w:val="20"/>
                <w:szCs w:val="20"/>
                <w:lang w:val="en-US" w:eastAsia="en-US"/>
              </w:rPr>
              <w:t>(</w:t>
            </w:r>
            <w:r w:rsidR="006F45F5" w:rsidRPr="006F45F5">
              <w:rPr>
                <w:rFonts w:ascii="Arial Narrow" w:hAnsi="Arial Narrow"/>
                <w:color w:val="000000"/>
                <w:sz w:val="20"/>
                <w:szCs w:val="20"/>
                <w:lang w:val="en-US" w:eastAsia="en-US"/>
              </w:rPr>
              <w:t>edat_lfse_03</w:t>
            </w:r>
            <w:r w:rsidR="00010B97">
              <w:rPr>
                <w:rFonts w:ascii="Arial Narrow" w:hAnsi="Arial Narrow"/>
                <w:color w:val="000000"/>
                <w:sz w:val="20"/>
                <w:szCs w:val="20"/>
                <w:lang w:val="en-US" w:eastAsia="en-US"/>
              </w:rPr>
              <w:t>)</w:t>
            </w:r>
          </w:p>
        </w:tc>
      </w:tr>
      <w:tr w:rsidR="007D2366" w:rsidRPr="00D50DB8" w14:paraId="4606D42C" w14:textId="77777777" w:rsidTr="00342E82">
        <w:trPr>
          <w:trHeight w:val="510"/>
          <w:jc w:val="center"/>
        </w:trPr>
        <w:tc>
          <w:tcPr>
            <w:tcW w:w="1826" w:type="dxa"/>
            <w:vMerge w:val="restart"/>
            <w:tcBorders>
              <w:top w:val="nil"/>
              <w:left w:val="nil"/>
              <w:bottom w:val="dotted" w:sz="4" w:space="0" w:color="000000"/>
              <w:right w:val="nil"/>
            </w:tcBorders>
            <w:shd w:val="clear" w:color="auto" w:fill="auto"/>
            <w:vAlign w:val="center"/>
            <w:hideMark/>
          </w:tcPr>
          <w:p w14:paraId="2C88C8A8" w14:textId="77777777" w:rsidR="007D2366" w:rsidRPr="00D50DB8" w:rsidRDefault="007D2366" w:rsidP="00342E82">
            <w:pPr>
              <w:spacing w:after="0" w:line="240" w:lineRule="auto"/>
              <w:rPr>
                <w:rFonts w:ascii="Arial Narrow" w:hAnsi="Arial Narrow"/>
                <w:b/>
                <w:bCs/>
                <w:color w:val="000000"/>
                <w:sz w:val="20"/>
                <w:szCs w:val="20"/>
                <w:lang w:val="en-US" w:eastAsia="en-US"/>
              </w:rPr>
            </w:pPr>
            <w:proofErr w:type="spellStart"/>
            <w:r w:rsidRPr="00D50DB8">
              <w:rPr>
                <w:rFonts w:ascii="Arial Narrow" w:hAnsi="Arial Narrow"/>
                <w:b/>
                <w:bCs/>
                <w:color w:val="000000"/>
                <w:sz w:val="20"/>
                <w:szCs w:val="20"/>
                <w:lang w:val="en-US" w:eastAsia="en-US"/>
              </w:rPr>
              <w:t>Citácie</w:t>
            </w:r>
            <w:proofErr w:type="spellEnd"/>
            <w:r w:rsidRPr="00D50DB8">
              <w:rPr>
                <w:rFonts w:ascii="Arial Narrow" w:hAnsi="Arial Narrow"/>
                <w:b/>
                <w:bCs/>
                <w:color w:val="000000"/>
                <w:sz w:val="20"/>
                <w:szCs w:val="20"/>
                <w:lang w:val="en-US" w:eastAsia="en-US"/>
              </w:rPr>
              <w:t xml:space="preserve"> </w:t>
            </w:r>
            <w:proofErr w:type="spellStart"/>
            <w:r w:rsidRPr="00D50DB8">
              <w:rPr>
                <w:rFonts w:ascii="Arial Narrow" w:hAnsi="Arial Narrow"/>
                <w:b/>
                <w:bCs/>
                <w:color w:val="000000"/>
                <w:sz w:val="20"/>
                <w:szCs w:val="20"/>
                <w:lang w:val="en-US" w:eastAsia="en-US"/>
              </w:rPr>
              <w:t>na</w:t>
            </w:r>
            <w:proofErr w:type="spellEnd"/>
            <w:r w:rsidRPr="00D50DB8">
              <w:rPr>
                <w:rFonts w:ascii="Arial Narrow" w:hAnsi="Arial Narrow"/>
                <w:b/>
                <w:bCs/>
                <w:color w:val="000000"/>
                <w:sz w:val="20"/>
                <w:szCs w:val="20"/>
                <w:lang w:val="en-US" w:eastAsia="en-US"/>
              </w:rPr>
              <w:t xml:space="preserve"> </w:t>
            </w:r>
            <w:proofErr w:type="spellStart"/>
            <w:r w:rsidRPr="00D50DB8">
              <w:rPr>
                <w:rFonts w:ascii="Arial Narrow" w:hAnsi="Arial Narrow"/>
                <w:b/>
                <w:bCs/>
                <w:color w:val="000000"/>
                <w:sz w:val="20"/>
                <w:szCs w:val="20"/>
                <w:lang w:val="en-US" w:eastAsia="en-US"/>
              </w:rPr>
              <w:t>výskumníka</w:t>
            </w:r>
            <w:proofErr w:type="spellEnd"/>
          </w:p>
        </w:tc>
        <w:tc>
          <w:tcPr>
            <w:tcW w:w="8380" w:type="dxa"/>
            <w:tcBorders>
              <w:top w:val="nil"/>
              <w:left w:val="nil"/>
              <w:bottom w:val="nil"/>
              <w:right w:val="nil"/>
            </w:tcBorders>
            <w:shd w:val="clear" w:color="auto" w:fill="auto"/>
            <w:vAlign w:val="center"/>
            <w:hideMark/>
          </w:tcPr>
          <w:p w14:paraId="1686A223" w14:textId="77777777" w:rsidR="007D2366" w:rsidRPr="00D50DB8" w:rsidRDefault="007D2366" w:rsidP="00342E82">
            <w:pPr>
              <w:spacing w:after="0" w:line="240" w:lineRule="auto"/>
              <w:jc w:val="both"/>
              <w:rPr>
                <w:rFonts w:ascii="Arial Narrow" w:hAnsi="Arial Narrow"/>
                <w:color w:val="000000"/>
                <w:sz w:val="20"/>
                <w:szCs w:val="20"/>
                <w:lang w:val="en-US" w:eastAsia="en-US"/>
              </w:rPr>
            </w:pPr>
            <w:proofErr w:type="spellStart"/>
            <w:r w:rsidRPr="00D50DB8">
              <w:rPr>
                <w:rFonts w:ascii="Arial Narrow" w:hAnsi="Arial Narrow"/>
                <w:color w:val="000000"/>
                <w:sz w:val="20"/>
                <w:szCs w:val="20"/>
                <w:lang w:val="en-US" w:eastAsia="en-US"/>
              </w:rPr>
              <w:t>Podiel</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počtu</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citácií</w:t>
            </w:r>
            <w:proofErr w:type="spellEnd"/>
            <w:r w:rsidRPr="00D50DB8">
              <w:rPr>
                <w:rFonts w:ascii="Arial Narrow" w:hAnsi="Arial Narrow"/>
                <w:color w:val="000000"/>
                <w:sz w:val="20"/>
                <w:szCs w:val="20"/>
                <w:lang w:val="en-US" w:eastAsia="en-US"/>
              </w:rPr>
              <w:t xml:space="preserve"> v </w:t>
            </w:r>
            <w:proofErr w:type="spellStart"/>
            <w:r w:rsidRPr="00D50DB8">
              <w:rPr>
                <w:rFonts w:ascii="Arial Narrow" w:hAnsi="Arial Narrow"/>
                <w:color w:val="000000"/>
                <w:sz w:val="20"/>
                <w:szCs w:val="20"/>
                <w:lang w:val="en-US" w:eastAsia="en-US"/>
              </w:rPr>
              <w:t>renomovaných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medzinárodných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časopisoch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Scimago</w:t>
            </w:r>
            <w:proofErr w:type="spellEnd"/>
            <w:r w:rsidRPr="00D50DB8">
              <w:rPr>
                <w:rFonts w:ascii="Arial Narrow" w:hAnsi="Arial Narrow"/>
                <w:color w:val="000000"/>
                <w:sz w:val="20"/>
                <w:szCs w:val="20"/>
                <w:lang w:val="en-US" w:eastAsia="en-US"/>
              </w:rPr>
              <w:t xml:space="preserve"> Journal &amp; Country Rank) </w:t>
            </w:r>
            <w:proofErr w:type="spellStart"/>
            <w:r w:rsidRPr="00D50DB8">
              <w:rPr>
                <w:rFonts w:ascii="Arial Narrow" w:hAnsi="Arial Narrow"/>
                <w:color w:val="000000"/>
                <w:sz w:val="20"/>
                <w:szCs w:val="20"/>
                <w:lang w:val="en-US" w:eastAsia="en-US"/>
              </w:rPr>
              <w:t>na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počet</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výskumníkov</w:t>
            </w:r>
            <w:proofErr w:type="spellEnd"/>
            <w:r w:rsidRPr="00D50DB8">
              <w:rPr>
                <w:rFonts w:ascii="Arial Narrow" w:hAnsi="Arial Narrow"/>
                <w:color w:val="000000"/>
                <w:sz w:val="20"/>
                <w:szCs w:val="20"/>
                <w:lang w:val="en-US" w:eastAsia="en-US"/>
              </w:rPr>
              <w:t xml:space="preserve"> v </w:t>
            </w:r>
            <w:proofErr w:type="spellStart"/>
            <w:r w:rsidRPr="00D50DB8">
              <w:rPr>
                <w:rFonts w:ascii="Arial Narrow" w:hAnsi="Arial Narrow"/>
                <w:color w:val="000000"/>
                <w:sz w:val="20"/>
                <w:szCs w:val="20"/>
                <w:lang w:val="en-US" w:eastAsia="en-US"/>
              </w:rPr>
              <w:t>krajine</w:t>
            </w:r>
            <w:proofErr w:type="spellEnd"/>
            <w:r w:rsidRPr="00D50DB8">
              <w:rPr>
                <w:rFonts w:ascii="Arial Narrow" w:hAnsi="Arial Narrow"/>
                <w:color w:val="000000"/>
                <w:sz w:val="20"/>
                <w:szCs w:val="20"/>
                <w:lang w:val="en-US" w:eastAsia="en-US"/>
              </w:rPr>
              <w:t xml:space="preserve"> (Eurostat). </w:t>
            </w:r>
            <w:proofErr w:type="spellStart"/>
            <w:r w:rsidRPr="00D50DB8">
              <w:rPr>
                <w:rFonts w:ascii="Arial Narrow" w:hAnsi="Arial Narrow"/>
                <w:color w:val="000000"/>
                <w:sz w:val="20"/>
                <w:szCs w:val="20"/>
                <w:lang w:val="en-US" w:eastAsia="en-US"/>
              </w:rPr>
              <w:t>Ukazovateľ</w:t>
            </w:r>
            <w:proofErr w:type="spellEnd"/>
            <w:r w:rsidRPr="00D50DB8">
              <w:rPr>
                <w:rFonts w:ascii="Arial Narrow" w:hAnsi="Arial Narrow"/>
                <w:color w:val="000000"/>
                <w:sz w:val="20"/>
                <w:szCs w:val="20"/>
                <w:lang w:val="en-US" w:eastAsia="en-US"/>
              </w:rPr>
              <w:t xml:space="preserve"> je </w:t>
            </w:r>
            <w:proofErr w:type="spellStart"/>
            <w:r w:rsidRPr="00D50DB8">
              <w:rPr>
                <w:rFonts w:ascii="Arial Narrow" w:hAnsi="Arial Narrow"/>
                <w:color w:val="000000"/>
                <w:sz w:val="20"/>
                <w:szCs w:val="20"/>
                <w:lang w:val="en-US" w:eastAsia="en-US"/>
              </w:rPr>
              <w:t>vyjadrený</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relatívne</w:t>
            </w:r>
            <w:proofErr w:type="spellEnd"/>
            <w:r w:rsidRPr="00D50DB8">
              <w:rPr>
                <w:rFonts w:ascii="Arial Narrow" w:hAnsi="Arial Narrow"/>
                <w:color w:val="000000"/>
                <w:sz w:val="20"/>
                <w:szCs w:val="20"/>
                <w:lang w:val="en-US" w:eastAsia="en-US"/>
              </w:rPr>
              <w:t xml:space="preserve"> k </w:t>
            </w:r>
            <w:proofErr w:type="spellStart"/>
            <w:r w:rsidRPr="00D50DB8">
              <w:rPr>
                <w:rFonts w:ascii="Arial Narrow" w:hAnsi="Arial Narrow"/>
                <w:color w:val="000000"/>
                <w:sz w:val="20"/>
                <w:szCs w:val="20"/>
                <w:lang w:val="en-US" w:eastAsia="en-US"/>
              </w:rPr>
              <w:t>priemernej</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hodnote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krajín</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Európskej</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únie</w:t>
            </w:r>
            <w:proofErr w:type="spellEnd"/>
            <w:r w:rsidRPr="00D50DB8">
              <w:rPr>
                <w:rFonts w:ascii="Arial Narrow" w:hAnsi="Arial Narrow"/>
                <w:color w:val="000000"/>
                <w:sz w:val="20"/>
                <w:szCs w:val="20"/>
                <w:lang w:val="en-US" w:eastAsia="en-US"/>
              </w:rPr>
              <w:t>.</w:t>
            </w:r>
          </w:p>
        </w:tc>
      </w:tr>
      <w:tr w:rsidR="007D2366" w:rsidRPr="00D50DB8" w14:paraId="3B794E16" w14:textId="77777777" w:rsidTr="00342E82">
        <w:trPr>
          <w:trHeight w:val="300"/>
          <w:jc w:val="center"/>
        </w:trPr>
        <w:tc>
          <w:tcPr>
            <w:tcW w:w="1826" w:type="dxa"/>
            <w:vMerge/>
            <w:tcBorders>
              <w:top w:val="nil"/>
              <w:left w:val="nil"/>
              <w:bottom w:val="dotted" w:sz="4" w:space="0" w:color="000000"/>
              <w:right w:val="nil"/>
            </w:tcBorders>
            <w:vAlign w:val="center"/>
            <w:hideMark/>
          </w:tcPr>
          <w:p w14:paraId="0F0667B4" w14:textId="77777777" w:rsidR="007D2366" w:rsidRPr="00D50DB8" w:rsidRDefault="007D2366" w:rsidP="00342E82">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03C519BE" w14:textId="77777777" w:rsidR="007D2366" w:rsidRPr="00E9605F" w:rsidRDefault="007D2366">
            <w:pPr>
              <w:spacing w:after="0" w:line="240" w:lineRule="auto"/>
              <w:jc w:val="both"/>
              <w:rPr>
                <w:rFonts w:ascii="Arial Narrow" w:hAnsi="Arial Narrow"/>
                <w:color w:val="000000"/>
                <w:sz w:val="20"/>
                <w:szCs w:val="20"/>
                <w:lang w:val="de-DE" w:eastAsia="en-US"/>
              </w:rPr>
            </w:pPr>
            <w:proofErr w:type="spellStart"/>
            <w:r w:rsidRPr="00E9605F">
              <w:rPr>
                <w:rFonts w:ascii="Arial Narrow" w:hAnsi="Arial Narrow"/>
                <w:color w:val="000000"/>
                <w:sz w:val="20"/>
                <w:szCs w:val="20"/>
                <w:lang w:val="de-DE" w:eastAsia="en-US"/>
              </w:rPr>
              <w:t>Zdroj</w:t>
            </w:r>
            <w:proofErr w:type="spellEnd"/>
            <w:r w:rsidRPr="00E9605F">
              <w:rPr>
                <w:rFonts w:ascii="Arial Narrow" w:hAnsi="Arial Narrow"/>
                <w:color w:val="000000"/>
                <w:sz w:val="20"/>
                <w:szCs w:val="20"/>
                <w:lang w:val="de-DE" w:eastAsia="en-US"/>
              </w:rPr>
              <w:t xml:space="preserve">: http://www.scimagojr.com/, </w:t>
            </w:r>
            <w:proofErr w:type="spellStart"/>
            <w:r w:rsidR="006F45F5" w:rsidRPr="006F45F5">
              <w:rPr>
                <w:rFonts w:ascii="Arial Narrow" w:hAnsi="Arial Narrow"/>
                <w:color w:val="000000"/>
                <w:sz w:val="20"/>
                <w:szCs w:val="20"/>
                <w:lang w:val="de-DE" w:eastAsia="en-US"/>
              </w:rPr>
              <w:t>Eurostat</w:t>
            </w:r>
            <w:proofErr w:type="spellEnd"/>
            <w:r w:rsidR="006F45F5" w:rsidRPr="006F45F5">
              <w:rPr>
                <w:rFonts w:ascii="Arial Narrow" w:hAnsi="Arial Narrow"/>
                <w:color w:val="000000"/>
                <w:sz w:val="20"/>
                <w:szCs w:val="20"/>
                <w:lang w:val="de-DE" w:eastAsia="en-US"/>
              </w:rPr>
              <w:t xml:space="preserve"> </w:t>
            </w:r>
            <w:r w:rsidR="00010B97">
              <w:rPr>
                <w:rFonts w:ascii="Arial Narrow" w:hAnsi="Arial Narrow"/>
                <w:color w:val="000000"/>
                <w:sz w:val="20"/>
                <w:szCs w:val="20"/>
                <w:lang w:val="de-DE" w:eastAsia="en-US"/>
              </w:rPr>
              <w:t>(</w:t>
            </w:r>
            <w:proofErr w:type="spellStart"/>
            <w:r w:rsidR="006F45F5" w:rsidRPr="006F45F5">
              <w:rPr>
                <w:rFonts w:ascii="Arial Narrow" w:hAnsi="Arial Narrow"/>
                <w:color w:val="000000"/>
                <w:sz w:val="20"/>
                <w:szCs w:val="20"/>
                <w:lang w:val="de-DE" w:eastAsia="en-US"/>
              </w:rPr>
              <w:t>rd_p_persocc</w:t>
            </w:r>
            <w:proofErr w:type="spellEnd"/>
            <w:r w:rsidR="00010B97">
              <w:rPr>
                <w:rFonts w:ascii="Arial Narrow" w:hAnsi="Arial Narrow"/>
                <w:color w:val="000000"/>
                <w:sz w:val="20"/>
                <w:szCs w:val="20"/>
                <w:lang w:val="de-DE" w:eastAsia="en-US"/>
              </w:rPr>
              <w:t>)</w:t>
            </w:r>
            <w:r w:rsidRPr="00E9605F">
              <w:rPr>
                <w:rFonts w:ascii="Arial Narrow" w:hAnsi="Arial Narrow"/>
                <w:color w:val="000000"/>
                <w:sz w:val="20"/>
                <w:szCs w:val="20"/>
                <w:lang w:val="de-DE" w:eastAsia="en-US"/>
              </w:rPr>
              <w:t xml:space="preserve">, </w:t>
            </w:r>
            <w:proofErr w:type="spellStart"/>
            <w:r w:rsidRPr="00E9605F">
              <w:rPr>
                <w:rFonts w:ascii="Arial Narrow" w:hAnsi="Arial Narrow"/>
                <w:color w:val="000000"/>
                <w:sz w:val="20"/>
                <w:szCs w:val="20"/>
                <w:lang w:val="de-DE" w:eastAsia="en-US"/>
              </w:rPr>
              <w:t>výpočty</w:t>
            </w:r>
            <w:proofErr w:type="spellEnd"/>
            <w:r w:rsidRPr="00E9605F">
              <w:rPr>
                <w:rFonts w:ascii="Arial Narrow" w:hAnsi="Arial Narrow"/>
                <w:color w:val="000000"/>
                <w:sz w:val="20"/>
                <w:szCs w:val="20"/>
                <w:lang w:val="de-DE" w:eastAsia="en-US"/>
              </w:rPr>
              <w:t xml:space="preserve"> MF SR </w:t>
            </w:r>
          </w:p>
        </w:tc>
      </w:tr>
      <w:tr w:rsidR="007D2366" w:rsidRPr="00D50DB8" w14:paraId="614C252A" w14:textId="77777777" w:rsidTr="00342E82">
        <w:trPr>
          <w:trHeight w:val="300"/>
          <w:jc w:val="center"/>
        </w:trPr>
        <w:tc>
          <w:tcPr>
            <w:tcW w:w="1826" w:type="dxa"/>
            <w:vMerge w:val="restart"/>
            <w:tcBorders>
              <w:top w:val="nil"/>
              <w:left w:val="nil"/>
              <w:bottom w:val="dotted" w:sz="4" w:space="0" w:color="000000"/>
              <w:right w:val="nil"/>
            </w:tcBorders>
            <w:shd w:val="clear" w:color="auto" w:fill="auto"/>
            <w:vAlign w:val="center"/>
            <w:hideMark/>
          </w:tcPr>
          <w:p w14:paraId="37B58772" w14:textId="77777777" w:rsidR="007D2366" w:rsidRPr="00D50DB8" w:rsidRDefault="007D2366" w:rsidP="00342E82">
            <w:pPr>
              <w:spacing w:after="0" w:line="240" w:lineRule="auto"/>
              <w:rPr>
                <w:rFonts w:ascii="Arial Narrow" w:hAnsi="Arial Narrow"/>
                <w:b/>
                <w:bCs/>
                <w:color w:val="000000"/>
                <w:sz w:val="20"/>
                <w:szCs w:val="20"/>
                <w:lang w:val="en-US" w:eastAsia="en-US"/>
              </w:rPr>
            </w:pPr>
            <w:proofErr w:type="spellStart"/>
            <w:r w:rsidRPr="00D50DB8">
              <w:rPr>
                <w:rFonts w:ascii="Arial Narrow" w:hAnsi="Arial Narrow"/>
                <w:b/>
                <w:bCs/>
                <w:color w:val="000000"/>
                <w:sz w:val="20"/>
                <w:szCs w:val="20"/>
                <w:lang w:val="en-US" w:eastAsia="en-US"/>
              </w:rPr>
              <w:t>Výdavky</w:t>
            </w:r>
            <w:proofErr w:type="spellEnd"/>
            <w:r w:rsidRPr="00D50DB8">
              <w:rPr>
                <w:rFonts w:ascii="Arial Narrow" w:hAnsi="Arial Narrow"/>
                <w:b/>
                <w:bCs/>
                <w:color w:val="000000"/>
                <w:sz w:val="20"/>
                <w:szCs w:val="20"/>
                <w:lang w:val="en-US" w:eastAsia="en-US"/>
              </w:rPr>
              <w:t xml:space="preserve"> </w:t>
            </w:r>
            <w:proofErr w:type="spellStart"/>
            <w:r w:rsidRPr="00D50DB8">
              <w:rPr>
                <w:rFonts w:ascii="Arial Narrow" w:hAnsi="Arial Narrow"/>
                <w:b/>
                <w:bCs/>
                <w:color w:val="000000"/>
                <w:sz w:val="20"/>
                <w:szCs w:val="20"/>
                <w:lang w:val="en-US" w:eastAsia="en-US"/>
              </w:rPr>
              <w:t>na</w:t>
            </w:r>
            <w:proofErr w:type="spellEnd"/>
            <w:r w:rsidRPr="00D50DB8">
              <w:rPr>
                <w:rFonts w:ascii="Arial Narrow" w:hAnsi="Arial Narrow"/>
                <w:b/>
                <w:bCs/>
                <w:color w:val="000000"/>
                <w:sz w:val="20"/>
                <w:szCs w:val="20"/>
                <w:lang w:val="en-US" w:eastAsia="en-US"/>
              </w:rPr>
              <w:t xml:space="preserve"> </w:t>
            </w:r>
            <w:proofErr w:type="spellStart"/>
            <w:r w:rsidRPr="00D50DB8">
              <w:rPr>
                <w:rFonts w:ascii="Arial Narrow" w:hAnsi="Arial Narrow"/>
                <w:b/>
                <w:bCs/>
                <w:color w:val="000000"/>
                <w:sz w:val="20"/>
                <w:szCs w:val="20"/>
                <w:lang w:val="en-US" w:eastAsia="en-US"/>
              </w:rPr>
              <w:t>výskum</w:t>
            </w:r>
            <w:proofErr w:type="spellEnd"/>
            <w:r w:rsidRPr="00D50DB8">
              <w:rPr>
                <w:rFonts w:ascii="Arial Narrow" w:hAnsi="Arial Narrow"/>
                <w:b/>
                <w:bCs/>
                <w:color w:val="000000"/>
                <w:sz w:val="20"/>
                <w:szCs w:val="20"/>
                <w:lang w:val="en-US" w:eastAsia="en-US"/>
              </w:rPr>
              <w:t xml:space="preserve"> a </w:t>
            </w:r>
            <w:proofErr w:type="spellStart"/>
            <w:r w:rsidRPr="00D50DB8">
              <w:rPr>
                <w:rFonts w:ascii="Arial Narrow" w:hAnsi="Arial Narrow"/>
                <w:b/>
                <w:bCs/>
                <w:color w:val="000000"/>
                <w:sz w:val="20"/>
                <w:szCs w:val="20"/>
                <w:lang w:val="en-US" w:eastAsia="en-US"/>
              </w:rPr>
              <w:t>vývoj</w:t>
            </w:r>
            <w:proofErr w:type="spellEnd"/>
            <w:r w:rsidRPr="00D50DB8">
              <w:rPr>
                <w:rFonts w:ascii="Arial Narrow" w:hAnsi="Arial Narrow"/>
                <w:b/>
                <w:bCs/>
                <w:color w:val="000000"/>
                <w:sz w:val="20"/>
                <w:szCs w:val="20"/>
                <w:lang w:val="en-US" w:eastAsia="en-US"/>
              </w:rPr>
              <w:t xml:space="preserve"> </w:t>
            </w:r>
          </w:p>
        </w:tc>
        <w:tc>
          <w:tcPr>
            <w:tcW w:w="8380" w:type="dxa"/>
            <w:tcBorders>
              <w:top w:val="nil"/>
              <w:left w:val="nil"/>
              <w:bottom w:val="nil"/>
              <w:right w:val="nil"/>
            </w:tcBorders>
            <w:shd w:val="clear" w:color="auto" w:fill="auto"/>
            <w:vAlign w:val="center"/>
            <w:hideMark/>
          </w:tcPr>
          <w:p w14:paraId="4A19F801" w14:textId="77777777" w:rsidR="007D2366" w:rsidRPr="00D50DB8" w:rsidRDefault="007D2366" w:rsidP="00342E82">
            <w:pPr>
              <w:spacing w:after="0" w:line="240" w:lineRule="auto"/>
              <w:jc w:val="both"/>
              <w:rPr>
                <w:rFonts w:ascii="Arial Narrow" w:hAnsi="Arial Narrow"/>
                <w:color w:val="000000"/>
                <w:sz w:val="20"/>
                <w:szCs w:val="20"/>
                <w:lang w:val="en-US" w:eastAsia="en-US"/>
              </w:rPr>
            </w:pPr>
            <w:proofErr w:type="spellStart"/>
            <w:r w:rsidRPr="00D50DB8">
              <w:rPr>
                <w:rFonts w:ascii="Arial Narrow" w:hAnsi="Arial Narrow"/>
                <w:color w:val="000000"/>
                <w:sz w:val="20"/>
                <w:szCs w:val="20"/>
                <w:lang w:val="en-US" w:eastAsia="en-US"/>
              </w:rPr>
              <w:t>Percentuálny</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podiel</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celkových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výdavkov</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na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výskum</w:t>
            </w:r>
            <w:proofErr w:type="spellEnd"/>
            <w:r w:rsidRPr="00D50DB8">
              <w:rPr>
                <w:rFonts w:ascii="Arial Narrow" w:hAnsi="Arial Narrow"/>
                <w:color w:val="000000"/>
                <w:sz w:val="20"/>
                <w:szCs w:val="20"/>
                <w:lang w:val="en-US" w:eastAsia="en-US"/>
              </w:rPr>
              <w:t xml:space="preserve"> a </w:t>
            </w:r>
            <w:proofErr w:type="spellStart"/>
            <w:r w:rsidRPr="00D50DB8">
              <w:rPr>
                <w:rFonts w:ascii="Arial Narrow" w:hAnsi="Arial Narrow"/>
                <w:color w:val="000000"/>
                <w:sz w:val="20"/>
                <w:szCs w:val="20"/>
                <w:lang w:val="en-US" w:eastAsia="en-US"/>
              </w:rPr>
              <w:t>vývoj</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na</w:t>
            </w:r>
            <w:proofErr w:type="spellEnd"/>
            <w:r w:rsidRPr="00D50DB8">
              <w:rPr>
                <w:rFonts w:ascii="Arial Narrow" w:hAnsi="Arial Narrow"/>
                <w:color w:val="000000"/>
                <w:sz w:val="20"/>
                <w:szCs w:val="20"/>
                <w:lang w:val="en-US" w:eastAsia="en-US"/>
              </w:rPr>
              <w:t xml:space="preserve"> HDP.</w:t>
            </w:r>
          </w:p>
        </w:tc>
      </w:tr>
      <w:tr w:rsidR="007D2366" w:rsidRPr="00D50DB8" w14:paraId="4D0087B2" w14:textId="77777777" w:rsidTr="00342E82">
        <w:trPr>
          <w:trHeight w:val="300"/>
          <w:jc w:val="center"/>
        </w:trPr>
        <w:tc>
          <w:tcPr>
            <w:tcW w:w="1826" w:type="dxa"/>
            <w:vMerge/>
            <w:tcBorders>
              <w:top w:val="nil"/>
              <w:left w:val="nil"/>
              <w:bottom w:val="dotted" w:sz="4" w:space="0" w:color="000000"/>
              <w:right w:val="nil"/>
            </w:tcBorders>
            <w:vAlign w:val="center"/>
            <w:hideMark/>
          </w:tcPr>
          <w:p w14:paraId="413A9E30" w14:textId="77777777" w:rsidR="007D2366" w:rsidRPr="00D50DB8" w:rsidRDefault="007D2366" w:rsidP="00342E82">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00D380CA" w14:textId="77777777" w:rsidR="007D2366" w:rsidRPr="00D50DB8" w:rsidRDefault="007D2366">
            <w:pPr>
              <w:spacing w:after="0" w:line="240" w:lineRule="auto"/>
              <w:jc w:val="both"/>
              <w:rPr>
                <w:rFonts w:ascii="Arial Narrow" w:hAnsi="Arial Narrow"/>
                <w:color w:val="000000"/>
                <w:sz w:val="20"/>
                <w:szCs w:val="20"/>
                <w:lang w:val="en-US" w:eastAsia="en-US"/>
              </w:rPr>
            </w:pPr>
            <w:proofErr w:type="spellStart"/>
            <w:r w:rsidRPr="00D50DB8">
              <w:rPr>
                <w:rFonts w:ascii="Arial Narrow" w:hAnsi="Arial Narrow"/>
                <w:color w:val="000000"/>
                <w:sz w:val="20"/>
                <w:szCs w:val="20"/>
                <w:lang w:val="en-US" w:eastAsia="en-US"/>
              </w:rPr>
              <w:t>Zdroj</w:t>
            </w:r>
            <w:proofErr w:type="spellEnd"/>
            <w:r w:rsidRPr="00D50DB8">
              <w:rPr>
                <w:rFonts w:ascii="Arial Narrow" w:hAnsi="Arial Narrow"/>
                <w:color w:val="000000"/>
                <w:sz w:val="20"/>
                <w:szCs w:val="20"/>
                <w:lang w:val="en-US" w:eastAsia="en-US"/>
              </w:rPr>
              <w:t xml:space="preserve">: </w:t>
            </w:r>
            <w:r w:rsidR="006F45F5" w:rsidRPr="006F45F5">
              <w:rPr>
                <w:rFonts w:ascii="Arial Narrow" w:hAnsi="Arial Narrow"/>
                <w:color w:val="000000"/>
                <w:sz w:val="20"/>
                <w:szCs w:val="20"/>
                <w:lang w:val="en-US" w:eastAsia="en-US"/>
              </w:rPr>
              <w:t xml:space="preserve">Eurostat </w:t>
            </w:r>
            <w:r w:rsidR="00010B97">
              <w:rPr>
                <w:rFonts w:ascii="Arial Narrow" w:hAnsi="Arial Narrow"/>
                <w:color w:val="000000"/>
                <w:sz w:val="20"/>
                <w:szCs w:val="20"/>
                <w:lang w:val="en-US" w:eastAsia="en-US"/>
              </w:rPr>
              <w:t>(</w:t>
            </w:r>
            <w:proofErr w:type="spellStart"/>
            <w:r w:rsidR="006F45F5" w:rsidRPr="006F45F5">
              <w:rPr>
                <w:rFonts w:ascii="Arial Narrow" w:hAnsi="Arial Narrow"/>
                <w:color w:val="000000"/>
                <w:sz w:val="20"/>
                <w:szCs w:val="20"/>
                <w:lang w:val="en-US" w:eastAsia="en-US"/>
              </w:rPr>
              <w:t>rd_e_gerdsc</w:t>
            </w:r>
            <w:proofErr w:type="spellEnd"/>
            <w:r w:rsidR="00010B97">
              <w:rPr>
                <w:rFonts w:ascii="Arial Narrow" w:hAnsi="Arial Narrow"/>
                <w:color w:val="000000"/>
                <w:sz w:val="20"/>
                <w:szCs w:val="20"/>
                <w:lang w:val="en-US" w:eastAsia="en-US"/>
              </w:rPr>
              <w:t>)</w:t>
            </w:r>
          </w:p>
        </w:tc>
      </w:tr>
      <w:tr w:rsidR="007D2366" w:rsidRPr="00D50DB8" w14:paraId="31AD4C42" w14:textId="77777777" w:rsidTr="00342E82">
        <w:trPr>
          <w:trHeight w:val="765"/>
          <w:jc w:val="center"/>
        </w:trPr>
        <w:tc>
          <w:tcPr>
            <w:tcW w:w="1826" w:type="dxa"/>
            <w:vMerge w:val="restart"/>
            <w:tcBorders>
              <w:top w:val="nil"/>
              <w:left w:val="nil"/>
              <w:bottom w:val="dotted" w:sz="4" w:space="0" w:color="000000"/>
              <w:right w:val="nil"/>
            </w:tcBorders>
            <w:shd w:val="clear" w:color="auto" w:fill="auto"/>
            <w:vAlign w:val="center"/>
            <w:hideMark/>
          </w:tcPr>
          <w:p w14:paraId="286287FD" w14:textId="77777777" w:rsidR="007D2366" w:rsidRPr="00D50DB8" w:rsidRDefault="007D2366" w:rsidP="00342E82">
            <w:pPr>
              <w:spacing w:after="0" w:line="240" w:lineRule="auto"/>
              <w:rPr>
                <w:rFonts w:ascii="Arial Narrow" w:hAnsi="Arial Narrow"/>
                <w:b/>
                <w:bCs/>
                <w:color w:val="000000"/>
                <w:sz w:val="20"/>
                <w:szCs w:val="20"/>
                <w:lang w:val="en-US" w:eastAsia="en-US"/>
              </w:rPr>
            </w:pPr>
            <w:r w:rsidRPr="00D50DB8">
              <w:rPr>
                <w:rFonts w:ascii="Arial Narrow" w:hAnsi="Arial Narrow"/>
                <w:b/>
                <w:bCs/>
                <w:color w:val="000000"/>
                <w:sz w:val="20"/>
                <w:szCs w:val="20"/>
                <w:lang w:val="en-US" w:eastAsia="en-US"/>
              </w:rPr>
              <w:t>High-tech export</w:t>
            </w:r>
          </w:p>
        </w:tc>
        <w:tc>
          <w:tcPr>
            <w:tcW w:w="8380" w:type="dxa"/>
            <w:tcBorders>
              <w:top w:val="nil"/>
              <w:left w:val="nil"/>
              <w:bottom w:val="nil"/>
              <w:right w:val="nil"/>
            </w:tcBorders>
            <w:shd w:val="clear" w:color="auto" w:fill="auto"/>
            <w:vAlign w:val="center"/>
            <w:hideMark/>
          </w:tcPr>
          <w:p w14:paraId="6707CF6C" w14:textId="77777777" w:rsidR="007D2366" w:rsidRPr="00D50DB8" w:rsidRDefault="007D2366" w:rsidP="00342E82">
            <w:pPr>
              <w:spacing w:after="0" w:line="240" w:lineRule="auto"/>
              <w:jc w:val="both"/>
              <w:rPr>
                <w:rFonts w:ascii="Arial Narrow" w:hAnsi="Arial Narrow"/>
                <w:color w:val="000000"/>
                <w:sz w:val="20"/>
                <w:szCs w:val="20"/>
                <w:lang w:val="en-US" w:eastAsia="en-US"/>
              </w:rPr>
            </w:pPr>
            <w:proofErr w:type="spellStart"/>
            <w:r w:rsidRPr="00D50DB8">
              <w:rPr>
                <w:rFonts w:ascii="Arial Narrow" w:hAnsi="Arial Narrow"/>
                <w:color w:val="000000"/>
                <w:sz w:val="20"/>
                <w:szCs w:val="20"/>
                <w:lang w:val="en-US" w:eastAsia="en-US"/>
              </w:rPr>
              <w:t>Podiel</w:t>
            </w:r>
            <w:proofErr w:type="spellEnd"/>
            <w:r w:rsidRPr="00D50DB8">
              <w:rPr>
                <w:rFonts w:ascii="Arial Narrow" w:hAnsi="Arial Narrow"/>
                <w:color w:val="000000"/>
                <w:sz w:val="20"/>
                <w:szCs w:val="20"/>
                <w:lang w:val="en-US" w:eastAsia="en-US"/>
              </w:rPr>
              <w:t xml:space="preserve"> high-tech </w:t>
            </w:r>
            <w:proofErr w:type="spellStart"/>
            <w:r w:rsidRPr="00D50DB8">
              <w:rPr>
                <w:rFonts w:ascii="Arial Narrow" w:hAnsi="Arial Narrow"/>
                <w:color w:val="000000"/>
                <w:sz w:val="20"/>
                <w:szCs w:val="20"/>
                <w:lang w:val="en-US" w:eastAsia="en-US"/>
              </w:rPr>
              <w:t>exportov</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na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celkovom</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vývoze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krajiny</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Produkty</w:t>
            </w:r>
            <w:proofErr w:type="spellEnd"/>
            <w:r w:rsidRPr="00D50DB8">
              <w:rPr>
                <w:rFonts w:ascii="Arial Narrow" w:hAnsi="Arial Narrow"/>
                <w:color w:val="000000"/>
                <w:sz w:val="20"/>
                <w:szCs w:val="20"/>
                <w:lang w:val="en-US" w:eastAsia="en-US"/>
              </w:rPr>
              <w:t xml:space="preserve"> high-tech </w:t>
            </w:r>
            <w:proofErr w:type="spellStart"/>
            <w:r w:rsidRPr="00D50DB8">
              <w:rPr>
                <w:rFonts w:ascii="Arial Narrow" w:hAnsi="Arial Narrow"/>
                <w:color w:val="000000"/>
                <w:sz w:val="20"/>
                <w:szCs w:val="20"/>
                <w:lang w:val="en-US" w:eastAsia="en-US"/>
              </w:rPr>
              <w:t>sú</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vybrané</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produkty</w:t>
            </w:r>
            <w:proofErr w:type="spellEnd"/>
            <w:r w:rsidRPr="00D50DB8">
              <w:rPr>
                <w:rFonts w:ascii="Arial Narrow" w:hAnsi="Arial Narrow"/>
                <w:color w:val="000000"/>
                <w:sz w:val="20"/>
                <w:szCs w:val="20"/>
                <w:lang w:val="en-US" w:eastAsia="en-US"/>
              </w:rPr>
              <w:t> </w:t>
            </w:r>
            <w:proofErr w:type="spellStart"/>
            <w:r w:rsidRPr="00D50DB8">
              <w:rPr>
                <w:rFonts w:ascii="Arial Narrow" w:hAnsi="Arial Narrow"/>
                <w:color w:val="000000"/>
                <w:sz w:val="20"/>
                <w:szCs w:val="20"/>
                <w:lang w:val="en-US" w:eastAsia="en-US"/>
              </w:rPr>
              <w:t>nasledovných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odvetví</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letecký</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priemysel</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počítače</w:t>
            </w:r>
            <w:proofErr w:type="spellEnd"/>
            <w:r w:rsidRPr="00D50DB8">
              <w:rPr>
                <w:rFonts w:ascii="Arial Narrow" w:hAnsi="Arial Narrow"/>
                <w:color w:val="000000"/>
                <w:sz w:val="20"/>
                <w:szCs w:val="20"/>
                <w:lang w:val="en-US" w:eastAsia="en-US"/>
              </w:rPr>
              <w:t xml:space="preserve"> a </w:t>
            </w:r>
            <w:proofErr w:type="spellStart"/>
            <w:r w:rsidRPr="00D50DB8">
              <w:rPr>
                <w:rFonts w:ascii="Arial Narrow" w:hAnsi="Arial Narrow"/>
                <w:color w:val="000000"/>
                <w:sz w:val="20"/>
                <w:szCs w:val="20"/>
                <w:lang w:val="en-US" w:eastAsia="en-US"/>
              </w:rPr>
              <w:t>kancelárske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stroje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elektronické</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telekomunikačné</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zariadenia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farmaceutický</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priemysel</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vedecké</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prístroje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elektrické</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stroje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chemický</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priemysel</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neelekronické</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prístroje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zbrojný</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priemysel</w:t>
            </w:r>
            <w:proofErr w:type="spellEnd"/>
            <w:r w:rsidRPr="00D50DB8">
              <w:rPr>
                <w:rFonts w:ascii="Arial Narrow" w:hAnsi="Arial Narrow"/>
                <w:color w:val="000000"/>
                <w:sz w:val="20"/>
                <w:szCs w:val="20"/>
                <w:lang w:val="en-US" w:eastAsia="en-US"/>
              </w:rPr>
              <w:t>.</w:t>
            </w:r>
          </w:p>
        </w:tc>
      </w:tr>
      <w:tr w:rsidR="007D2366" w:rsidRPr="00D50DB8" w14:paraId="558AEBC5" w14:textId="77777777" w:rsidTr="00342E82">
        <w:trPr>
          <w:trHeight w:val="300"/>
          <w:jc w:val="center"/>
        </w:trPr>
        <w:tc>
          <w:tcPr>
            <w:tcW w:w="1826" w:type="dxa"/>
            <w:vMerge/>
            <w:tcBorders>
              <w:top w:val="nil"/>
              <w:left w:val="nil"/>
              <w:bottom w:val="dotted" w:sz="4" w:space="0" w:color="000000"/>
              <w:right w:val="nil"/>
            </w:tcBorders>
            <w:vAlign w:val="center"/>
            <w:hideMark/>
          </w:tcPr>
          <w:p w14:paraId="60535AA3" w14:textId="77777777" w:rsidR="007D2366" w:rsidRPr="00D50DB8" w:rsidRDefault="007D2366" w:rsidP="00342E82">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78C9172C" w14:textId="77777777" w:rsidR="007D2366" w:rsidRPr="00D50DB8" w:rsidRDefault="007D2366" w:rsidP="00342E82">
            <w:pPr>
              <w:spacing w:after="0" w:line="240" w:lineRule="auto"/>
              <w:jc w:val="both"/>
              <w:rPr>
                <w:rFonts w:ascii="Arial Narrow" w:hAnsi="Arial Narrow"/>
                <w:color w:val="000000"/>
                <w:sz w:val="20"/>
                <w:szCs w:val="20"/>
                <w:lang w:val="en-US" w:eastAsia="en-US"/>
              </w:rPr>
            </w:pPr>
            <w:proofErr w:type="spellStart"/>
            <w:r w:rsidRPr="00D50DB8">
              <w:rPr>
                <w:rFonts w:ascii="Arial Narrow" w:hAnsi="Arial Narrow"/>
                <w:color w:val="000000"/>
                <w:sz w:val="20"/>
                <w:szCs w:val="20"/>
                <w:lang w:val="en-US" w:eastAsia="en-US"/>
              </w:rPr>
              <w:t>Zdroj</w:t>
            </w:r>
            <w:proofErr w:type="spellEnd"/>
            <w:r w:rsidRPr="00D50DB8">
              <w:rPr>
                <w:rFonts w:ascii="Arial Narrow" w:hAnsi="Arial Narrow"/>
                <w:color w:val="000000"/>
                <w:sz w:val="20"/>
                <w:szCs w:val="20"/>
                <w:lang w:val="en-US" w:eastAsia="en-US"/>
              </w:rPr>
              <w:t xml:space="preserve">: </w:t>
            </w:r>
            <w:r w:rsidR="006F45F5" w:rsidRPr="006F45F5">
              <w:rPr>
                <w:rFonts w:ascii="Arial Narrow" w:hAnsi="Arial Narrow"/>
                <w:color w:val="000000"/>
                <w:sz w:val="20"/>
                <w:szCs w:val="20"/>
                <w:lang w:val="en-US" w:eastAsia="en-US"/>
              </w:rPr>
              <w:t>Eurostat [htec_si_exp4]</w:t>
            </w:r>
          </w:p>
        </w:tc>
      </w:tr>
      <w:tr w:rsidR="007D2366" w:rsidRPr="00D50DB8" w14:paraId="79EE7776" w14:textId="77777777" w:rsidTr="00342E82">
        <w:trPr>
          <w:trHeight w:val="1275"/>
          <w:jc w:val="center"/>
        </w:trPr>
        <w:tc>
          <w:tcPr>
            <w:tcW w:w="1826" w:type="dxa"/>
            <w:vMerge w:val="restart"/>
            <w:tcBorders>
              <w:top w:val="nil"/>
              <w:left w:val="nil"/>
              <w:bottom w:val="dotted" w:sz="4" w:space="0" w:color="000000"/>
              <w:right w:val="nil"/>
            </w:tcBorders>
            <w:shd w:val="clear" w:color="auto" w:fill="auto"/>
            <w:vAlign w:val="center"/>
            <w:hideMark/>
          </w:tcPr>
          <w:p w14:paraId="4D83B6E9" w14:textId="77777777" w:rsidR="007D2366" w:rsidRPr="00D50DB8" w:rsidRDefault="007D2366" w:rsidP="00342E82">
            <w:pPr>
              <w:spacing w:after="0" w:line="240" w:lineRule="auto"/>
              <w:rPr>
                <w:rFonts w:ascii="Arial Narrow" w:hAnsi="Arial Narrow"/>
                <w:b/>
                <w:bCs/>
                <w:color w:val="000000"/>
                <w:sz w:val="20"/>
                <w:szCs w:val="20"/>
                <w:lang w:val="en-US" w:eastAsia="en-US"/>
              </w:rPr>
            </w:pPr>
            <w:proofErr w:type="spellStart"/>
            <w:r w:rsidRPr="00D50DB8">
              <w:rPr>
                <w:rFonts w:ascii="Arial Narrow" w:hAnsi="Arial Narrow"/>
                <w:b/>
                <w:bCs/>
                <w:color w:val="000000"/>
                <w:sz w:val="20"/>
                <w:szCs w:val="20"/>
                <w:lang w:val="en-US" w:eastAsia="en-US"/>
              </w:rPr>
              <w:t>Miera</w:t>
            </w:r>
            <w:proofErr w:type="spellEnd"/>
            <w:r w:rsidRPr="00D50DB8">
              <w:rPr>
                <w:rFonts w:ascii="Arial Narrow" w:hAnsi="Arial Narrow"/>
                <w:b/>
                <w:bCs/>
                <w:color w:val="000000"/>
                <w:sz w:val="20"/>
                <w:szCs w:val="20"/>
                <w:lang w:val="en-US" w:eastAsia="en-US"/>
              </w:rPr>
              <w:t xml:space="preserve"> </w:t>
            </w:r>
            <w:proofErr w:type="spellStart"/>
            <w:r w:rsidRPr="00D50DB8">
              <w:rPr>
                <w:rFonts w:ascii="Arial Narrow" w:hAnsi="Arial Narrow"/>
                <w:b/>
                <w:bCs/>
                <w:color w:val="000000"/>
                <w:sz w:val="20"/>
                <w:szCs w:val="20"/>
                <w:lang w:val="en-US" w:eastAsia="en-US"/>
              </w:rPr>
              <w:t>zamestnanosti</w:t>
            </w:r>
            <w:proofErr w:type="spellEnd"/>
          </w:p>
        </w:tc>
        <w:tc>
          <w:tcPr>
            <w:tcW w:w="8380" w:type="dxa"/>
            <w:tcBorders>
              <w:top w:val="nil"/>
              <w:left w:val="nil"/>
              <w:bottom w:val="nil"/>
              <w:right w:val="nil"/>
            </w:tcBorders>
            <w:shd w:val="clear" w:color="auto" w:fill="auto"/>
            <w:vAlign w:val="center"/>
            <w:hideMark/>
          </w:tcPr>
          <w:p w14:paraId="510CFA63" w14:textId="77777777" w:rsidR="007D2366" w:rsidRPr="00D50DB8" w:rsidRDefault="007D2366" w:rsidP="00342E82">
            <w:pPr>
              <w:spacing w:after="0" w:line="240" w:lineRule="auto"/>
              <w:jc w:val="both"/>
              <w:rPr>
                <w:rFonts w:ascii="Arial Narrow" w:hAnsi="Arial Narrow"/>
                <w:color w:val="000000"/>
                <w:sz w:val="20"/>
                <w:szCs w:val="20"/>
                <w:lang w:val="en-US" w:eastAsia="en-US"/>
              </w:rPr>
            </w:pPr>
            <w:proofErr w:type="spellStart"/>
            <w:r w:rsidRPr="00D50DB8">
              <w:rPr>
                <w:rFonts w:ascii="Arial Narrow" w:hAnsi="Arial Narrow"/>
                <w:color w:val="000000"/>
                <w:sz w:val="20"/>
                <w:szCs w:val="20"/>
                <w:lang w:val="en-US" w:eastAsia="en-US"/>
              </w:rPr>
              <w:t>Podiel</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zamestnanej</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populácie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vo</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veku</w:t>
            </w:r>
            <w:proofErr w:type="spellEnd"/>
            <w:r w:rsidRPr="00D50DB8">
              <w:rPr>
                <w:rFonts w:ascii="Arial Narrow" w:hAnsi="Arial Narrow"/>
                <w:color w:val="000000"/>
                <w:sz w:val="20"/>
                <w:szCs w:val="20"/>
                <w:lang w:val="en-US" w:eastAsia="en-US"/>
              </w:rPr>
              <w:t xml:space="preserve"> 20-64 </w:t>
            </w:r>
            <w:proofErr w:type="spellStart"/>
            <w:r w:rsidRPr="00D50DB8">
              <w:rPr>
                <w:rFonts w:ascii="Arial Narrow" w:hAnsi="Arial Narrow"/>
                <w:color w:val="000000"/>
                <w:sz w:val="20"/>
                <w:szCs w:val="20"/>
                <w:lang w:val="en-US" w:eastAsia="en-US"/>
              </w:rPr>
              <w:t>rokov</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na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celkovej</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populácii</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rovnakej</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vekovej</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skupiny</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Ukazovateľ</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zahŕňa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celkovú</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populáciu</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žijúcu</w:t>
            </w:r>
            <w:proofErr w:type="spellEnd"/>
            <w:r w:rsidRPr="00D50DB8">
              <w:rPr>
                <w:rFonts w:ascii="Arial Narrow" w:hAnsi="Arial Narrow"/>
                <w:color w:val="000000"/>
                <w:sz w:val="20"/>
                <w:szCs w:val="20"/>
                <w:lang w:val="en-US" w:eastAsia="en-US"/>
              </w:rPr>
              <w:t xml:space="preserve"> v </w:t>
            </w:r>
            <w:proofErr w:type="spellStart"/>
            <w:r w:rsidRPr="00D50DB8">
              <w:rPr>
                <w:rFonts w:ascii="Arial Narrow" w:hAnsi="Arial Narrow"/>
                <w:color w:val="000000"/>
                <w:sz w:val="20"/>
                <w:szCs w:val="20"/>
                <w:lang w:val="en-US" w:eastAsia="en-US"/>
              </w:rPr>
              <w:t>samostatných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domácnostiach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nezahŕňa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kolektívne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domácnosti</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ani</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obyvateľov</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penziónov</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či</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ubytovní</w:t>
            </w:r>
            <w:proofErr w:type="spellEnd"/>
            <w:r w:rsidRPr="00D50DB8">
              <w:rPr>
                <w:rFonts w:ascii="Arial Narrow" w:hAnsi="Arial Narrow"/>
                <w:color w:val="000000"/>
                <w:sz w:val="20"/>
                <w:szCs w:val="20"/>
                <w:lang w:val="en-US" w:eastAsia="en-US"/>
              </w:rPr>
              <w:t xml:space="preserve"> a </w:t>
            </w:r>
            <w:proofErr w:type="spellStart"/>
            <w:r w:rsidRPr="00D50DB8">
              <w:rPr>
                <w:rFonts w:ascii="Arial Narrow" w:hAnsi="Arial Narrow"/>
                <w:color w:val="000000"/>
                <w:sz w:val="20"/>
                <w:szCs w:val="20"/>
                <w:lang w:val="en-US" w:eastAsia="en-US"/>
              </w:rPr>
              <w:t>internátov</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ani</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hospitalizovaných</w:t>
            </w:r>
            <w:proofErr w:type="spellEnd"/>
            <w:r w:rsidRPr="00D50DB8">
              <w:rPr>
                <w:rFonts w:ascii="Arial Narrow" w:hAnsi="Arial Narrow"/>
                <w:color w:val="000000"/>
                <w:sz w:val="20"/>
                <w:szCs w:val="20"/>
                <w:lang w:val="en-US" w:eastAsia="en-US"/>
              </w:rPr>
              <w:t xml:space="preserve"> v </w:t>
            </w:r>
            <w:proofErr w:type="spellStart"/>
            <w:r w:rsidRPr="00D50DB8">
              <w:rPr>
                <w:rFonts w:ascii="Arial Narrow" w:hAnsi="Arial Narrow"/>
                <w:color w:val="000000"/>
                <w:sz w:val="20"/>
                <w:szCs w:val="20"/>
                <w:lang w:val="en-US" w:eastAsia="en-US"/>
              </w:rPr>
              <w:t>zdravotníckych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zariadeniach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Zamestnaná</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populácia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pozostáva</w:t>
            </w:r>
            <w:proofErr w:type="spellEnd"/>
            <w:r w:rsidRPr="00D50DB8">
              <w:rPr>
                <w:rFonts w:ascii="Arial Narrow" w:hAnsi="Arial Narrow"/>
                <w:color w:val="000000"/>
                <w:sz w:val="20"/>
                <w:szCs w:val="20"/>
                <w:lang w:val="en-US" w:eastAsia="en-US"/>
              </w:rPr>
              <w:t xml:space="preserve"> z </w:t>
            </w:r>
            <w:proofErr w:type="spellStart"/>
            <w:r w:rsidRPr="00D50DB8">
              <w:rPr>
                <w:rFonts w:ascii="Arial Narrow" w:hAnsi="Arial Narrow"/>
                <w:color w:val="000000"/>
                <w:sz w:val="20"/>
                <w:szCs w:val="20"/>
                <w:lang w:val="en-US" w:eastAsia="en-US"/>
              </w:rPr>
              <w:t>tých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osôb</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ktoré</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počas</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daného</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týždňa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vykonávali</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hocijakú</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prácu</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za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mzdu</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alebo</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zárobok</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po</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dobu</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aspoň</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jednej</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hodiny</w:t>
            </w:r>
            <w:proofErr w:type="spellEnd"/>
            <w:r w:rsidRPr="00D50DB8">
              <w:rPr>
                <w:rFonts w:ascii="Arial Narrow" w:hAnsi="Arial Narrow"/>
                <w:color w:val="000000"/>
                <w:sz w:val="20"/>
                <w:szCs w:val="20"/>
                <w:lang w:val="en-US" w:eastAsia="en-US"/>
              </w:rPr>
              <w:t xml:space="preserve">, resp. </w:t>
            </w:r>
            <w:proofErr w:type="spellStart"/>
            <w:r w:rsidRPr="00D50DB8">
              <w:rPr>
                <w:rFonts w:ascii="Arial Narrow" w:hAnsi="Arial Narrow"/>
                <w:color w:val="000000"/>
                <w:sz w:val="20"/>
                <w:szCs w:val="20"/>
                <w:lang w:val="en-US" w:eastAsia="en-US"/>
              </w:rPr>
              <w:t>nepracovali</w:t>
            </w:r>
            <w:proofErr w:type="spellEnd"/>
            <w:r w:rsidRPr="00D50DB8">
              <w:rPr>
                <w:rFonts w:ascii="Arial Narrow" w:hAnsi="Arial Narrow"/>
                <w:color w:val="000000"/>
                <w:sz w:val="20"/>
                <w:szCs w:val="20"/>
                <w:lang w:val="en-US" w:eastAsia="en-US"/>
              </w:rPr>
              <w:t xml:space="preserve">, ale </w:t>
            </w:r>
            <w:proofErr w:type="spellStart"/>
            <w:r w:rsidRPr="00D50DB8">
              <w:rPr>
                <w:rFonts w:ascii="Arial Narrow" w:hAnsi="Arial Narrow"/>
                <w:color w:val="000000"/>
                <w:sz w:val="20"/>
                <w:szCs w:val="20"/>
                <w:lang w:val="en-US" w:eastAsia="en-US"/>
              </w:rPr>
              <w:t>mali</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zamestnanie</w:t>
            </w:r>
            <w:proofErr w:type="spellEnd"/>
            <w:r w:rsidRPr="00D50DB8">
              <w:rPr>
                <w:rFonts w:ascii="Arial Narrow" w:hAnsi="Arial Narrow"/>
                <w:color w:val="000000"/>
                <w:sz w:val="20"/>
                <w:szCs w:val="20"/>
                <w:lang w:val="en-US" w:eastAsia="en-US"/>
              </w:rPr>
              <w:t xml:space="preserve">, v </w:t>
            </w:r>
            <w:proofErr w:type="spellStart"/>
            <w:r w:rsidRPr="00D50DB8">
              <w:rPr>
                <w:rFonts w:ascii="Arial Narrow" w:hAnsi="Arial Narrow"/>
                <w:color w:val="000000"/>
                <w:sz w:val="20"/>
                <w:szCs w:val="20"/>
                <w:lang w:val="en-US" w:eastAsia="en-US"/>
              </w:rPr>
              <w:t>ktorom</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boli</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dočasne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neprítomní</w:t>
            </w:r>
            <w:proofErr w:type="spellEnd"/>
            <w:r w:rsidRPr="00D50DB8">
              <w:rPr>
                <w:rFonts w:ascii="Arial Narrow" w:hAnsi="Arial Narrow"/>
                <w:color w:val="000000"/>
                <w:sz w:val="20"/>
                <w:szCs w:val="20"/>
                <w:lang w:val="en-US" w:eastAsia="en-US"/>
              </w:rPr>
              <w:t>.</w:t>
            </w:r>
          </w:p>
        </w:tc>
      </w:tr>
      <w:tr w:rsidR="007D2366" w:rsidRPr="00D50DB8" w14:paraId="6AE578A4" w14:textId="77777777" w:rsidTr="00342E82">
        <w:trPr>
          <w:trHeight w:val="300"/>
          <w:jc w:val="center"/>
        </w:trPr>
        <w:tc>
          <w:tcPr>
            <w:tcW w:w="1826" w:type="dxa"/>
            <w:vMerge/>
            <w:tcBorders>
              <w:top w:val="nil"/>
              <w:left w:val="nil"/>
              <w:bottom w:val="dotted" w:sz="4" w:space="0" w:color="000000"/>
              <w:right w:val="nil"/>
            </w:tcBorders>
            <w:vAlign w:val="center"/>
            <w:hideMark/>
          </w:tcPr>
          <w:p w14:paraId="4C69DF5B" w14:textId="77777777" w:rsidR="007D2366" w:rsidRPr="00D50DB8" w:rsidRDefault="007D2366" w:rsidP="00342E82">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14AA78B5" w14:textId="77777777" w:rsidR="007D2366" w:rsidRPr="002549AE" w:rsidRDefault="007D2366" w:rsidP="00342E82">
            <w:pPr>
              <w:spacing w:after="0" w:line="240" w:lineRule="auto"/>
              <w:jc w:val="both"/>
              <w:rPr>
                <w:rFonts w:ascii="Arial Narrow" w:hAnsi="Arial Narrow"/>
                <w:color w:val="000000"/>
                <w:lang w:val="en-US" w:eastAsia="en-US"/>
              </w:rPr>
            </w:pPr>
            <w:proofErr w:type="spellStart"/>
            <w:r w:rsidRPr="002549AE">
              <w:rPr>
                <w:rFonts w:ascii="Arial Narrow" w:hAnsi="Arial Narrow"/>
                <w:color w:val="000000"/>
                <w:sz w:val="20"/>
                <w:lang w:val="en-US" w:eastAsia="en-US"/>
              </w:rPr>
              <w:t>Zdroj</w:t>
            </w:r>
            <w:proofErr w:type="spellEnd"/>
            <w:r w:rsidRPr="002549AE">
              <w:rPr>
                <w:rFonts w:ascii="Arial Narrow" w:hAnsi="Arial Narrow"/>
                <w:color w:val="000000"/>
                <w:sz w:val="20"/>
                <w:lang w:val="en-US" w:eastAsia="en-US"/>
              </w:rPr>
              <w:t xml:space="preserve">: </w:t>
            </w:r>
            <w:r w:rsidR="002549AE" w:rsidRPr="002549AE">
              <w:rPr>
                <w:rFonts w:ascii="Arial Narrow" w:hAnsi="Arial Narrow"/>
                <w:color w:val="000000"/>
                <w:sz w:val="20"/>
                <w:lang w:val="en-US" w:eastAsia="en-US"/>
              </w:rPr>
              <w:t>Eurostat (</w:t>
            </w:r>
            <w:r w:rsidR="002549AE" w:rsidRPr="002549AE">
              <w:rPr>
                <w:rStyle w:val="leaf"/>
                <w:rFonts w:ascii="Arial Narrow" w:hAnsi="Arial Narrow"/>
                <w:sz w:val="20"/>
              </w:rPr>
              <w:t>t2020_10)</w:t>
            </w:r>
            <w:r w:rsidRPr="002549AE">
              <w:rPr>
                <w:rFonts w:ascii="Arial Narrow" w:hAnsi="Arial Narrow"/>
                <w:color w:val="000000"/>
                <w:sz w:val="20"/>
                <w:lang w:val="en-US" w:eastAsia="en-US"/>
              </w:rPr>
              <w:t>, ŠÚ SR</w:t>
            </w:r>
          </w:p>
        </w:tc>
      </w:tr>
      <w:tr w:rsidR="007D2366" w:rsidRPr="00D50DB8" w14:paraId="1C6E5FEC" w14:textId="77777777" w:rsidTr="00342E82">
        <w:trPr>
          <w:trHeight w:val="510"/>
          <w:jc w:val="center"/>
        </w:trPr>
        <w:tc>
          <w:tcPr>
            <w:tcW w:w="1826" w:type="dxa"/>
            <w:vMerge w:val="restart"/>
            <w:tcBorders>
              <w:top w:val="nil"/>
              <w:left w:val="nil"/>
              <w:bottom w:val="dotted" w:sz="4" w:space="0" w:color="000000"/>
              <w:right w:val="nil"/>
            </w:tcBorders>
            <w:shd w:val="clear" w:color="auto" w:fill="auto"/>
            <w:vAlign w:val="center"/>
            <w:hideMark/>
          </w:tcPr>
          <w:p w14:paraId="005210F6" w14:textId="77777777" w:rsidR="007D2366" w:rsidRPr="00D50DB8" w:rsidRDefault="007D2366" w:rsidP="00342E82">
            <w:pPr>
              <w:spacing w:after="0" w:line="240" w:lineRule="auto"/>
              <w:rPr>
                <w:rFonts w:ascii="Arial Narrow" w:hAnsi="Arial Narrow"/>
                <w:b/>
                <w:bCs/>
                <w:color w:val="000000"/>
                <w:sz w:val="20"/>
                <w:szCs w:val="20"/>
                <w:lang w:val="en-US" w:eastAsia="en-US"/>
              </w:rPr>
            </w:pPr>
            <w:proofErr w:type="spellStart"/>
            <w:r w:rsidRPr="00D50DB8">
              <w:rPr>
                <w:rFonts w:ascii="Arial Narrow" w:hAnsi="Arial Narrow"/>
                <w:b/>
                <w:bCs/>
                <w:color w:val="000000"/>
                <w:sz w:val="20"/>
                <w:szCs w:val="20"/>
                <w:lang w:val="en-US" w:eastAsia="en-US"/>
              </w:rPr>
              <w:t>Miera</w:t>
            </w:r>
            <w:proofErr w:type="spellEnd"/>
            <w:r w:rsidRPr="00D50DB8">
              <w:rPr>
                <w:rFonts w:ascii="Arial Narrow" w:hAnsi="Arial Narrow"/>
                <w:b/>
                <w:bCs/>
                <w:color w:val="000000"/>
                <w:sz w:val="20"/>
                <w:szCs w:val="20"/>
                <w:lang w:val="en-US" w:eastAsia="en-US"/>
              </w:rPr>
              <w:t xml:space="preserve"> </w:t>
            </w:r>
            <w:proofErr w:type="spellStart"/>
            <w:r w:rsidRPr="00D50DB8">
              <w:rPr>
                <w:rFonts w:ascii="Arial Narrow" w:hAnsi="Arial Narrow"/>
                <w:b/>
                <w:bCs/>
                <w:color w:val="000000"/>
                <w:sz w:val="20"/>
                <w:szCs w:val="20"/>
                <w:lang w:val="en-US" w:eastAsia="en-US"/>
              </w:rPr>
              <w:t>dlhodobej</w:t>
            </w:r>
            <w:proofErr w:type="spellEnd"/>
            <w:r w:rsidRPr="00D50DB8">
              <w:rPr>
                <w:rFonts w:ascii="Arial Narrow" w:hAnsi="Arial Narrow"/>
                <w:b/>
                <w:bCs/>
                <w:color w:val="000000"/>
                <w:sz w:val="20"/>
                <w:szCs w:val="20"/>
                <w:lang w:val="en-US" w:eastAsia="en-US"/>
              </w:rPr>
              <w:t xml:space="preserve"> </w:t>
            </w:r>
            <w:proofErr w:type="spellStart"/>
            <w:r w:rsidRPr="00D50DB8">
              <w:rPr>
                <w:rFonts w:ascii="Arial Narrow" w:hAnsi="Arial Narrow"/>
                <w:b/>
                <w:bCs/>
                <w:color w:val="000000"/>
                <w:sz w:val="20"/>
                <w:szCs w:val="20"/>
                <w:lang w:val="en-US" w:eastAsia="en-US"/>
              </w:rPr>
              <w:t>nezamestnanosti</w:t>
            </w:r>
            <w:proofErr w:type="spellEnd"/>
          </w:p>
        </w:tc>
        <w:tc>
          <w:tcPr>
            <w:tcW w:w="8380" w:type="dxa"/>
            <w:tcBorders>
              <w:top w:val="nil"/>
              <w:left w:val="nil"/>
              <w:bottom w:val="nil"/>
              <w:right w:val="nil"/>
            </w:tcBorders>
            <w:shd w:val="clear" w:color="auto" w:fill="auto"/>
            <w:vAlign w:val="center"/>
            <w:hideMark/>
          </w:tcPr>
          <w:p w14:paraId="676157B3" w14:textId="77777777" w:rsidR="007D2366" w:rsidRPr="00D50DB8" w:rsidRDefault="007D2366" w:rsidP="00342E82">
            <w:pPr>
              <w:spacing w:after="0" w:line="240" w:lineRule="auto"/>
              <w:jc w:val="both"/>
              <w:rPr>
                <w:rFonts w:ascii="Arial Narrow" w:hAnsi="Arial Narrow"/>
                <w:color w:val="000000"/>
                <w:sz w:val="20"/>
                <w:szCs w:val="20"/>
                <w:lang w:val="en-US" w:eastAsia="en-US"/>
              </w:rPr>
            </w:pPr>
            <w:proofErr w:type="spellStart"/>
            <w:r w:rsidRPr="00D50DB8">
              <w:rPr>
                <w:rFonts w:ascii="Arial Narrow" w:hAnsi="Arial Narrow"/>
                <w:color w:val="000000"/>
                <w:sz w:val="20"/>
                <w:szCs w:val="20"/>
                <w:lang w:val="en-US" w:eastAsia="en-US"/>
              </w:rPr>
              <w:t>Podiel</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populácie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nezamestnanej</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dlhšie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ako</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dvanásť</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mesiacov</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napriek</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tomu</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že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si</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aktívne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hľadá</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prácu</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na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aktívnej</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populácii</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vo</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veku</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nad</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pätnásť</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rokov</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nežijúcej</w:t>
            </w:r>
            <w:proofErr w:type="spellEnd"/>
            <w:r w:rsidRPr="00D50DB8">
              <w:rPr>
                <w:rFonts w:ascii="Arial Narrow" w:hAnsi="Arial Narrow"/>
                <w:color w:val="000000"/>
                <w:sz w:val="20"/>
                <w:szCs w:val="20"/>
                <w:lang w:val="en-US" w:eastAsia="en-US"/>
              </w:rPr>
              <w:t xml:space="preserve"> v </w:t>
            </w:r>
            <w:proofErr w:type="spellStart"/>
            <w:r w:rsidRPr="00D50DB8">
              <w:rPr>
                <w:rFonts w:ascii="Arial Narrow" w:hAnsi="Arial Narrow"/>
                <w:color w:val="000000"/>
                <w:sz w:val="20"/>
                <w:szCs w:val="20"/>
                <w:lang w:val="en-US" w:eastAsia="en-US"/>
              </w:rPr>
              <w:t>kolektívnej</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domácnosti</w:t>
            </w:r>
            <w:proofErr w:type="spellEnd"/>
            <w:r w:rsidRPr="00D50DB8">
              <w:rPr>
                <w:rFonts w:ascii="Arial Narrow" w:hAnsi="Arial Narrow"/>
                <w:color w:val="000000"/>
                <w:sz w:val="20"/>
                <w:szCs w:val="20"/>
                <w:lang w:val="en-US" w:eastAsia="en-US"/>
              </w:rPr>
              <w:t>.</w:t>
            </w:r>
          </w:p>
        </w:tc>
      </w:tr>
      <w:tr w:rsidR="007D2366" w:rsidRPr="00D50DB8" w14:paraId="07F40F09" w14:textId="77777777" w:rsidTr="00342E82">
        <w:trPr>
          <w:trHeight w:val="300"/>
          <w:jc w:val="center"/>
        </w:trPr>
        <w:tc>
          <w:tcPr>
            <w:tcW w:w="1826" w:type="dxa"/>
            <w:vMerge/>
            <w:tcBorders>
              <w:top w:val="nil"/>
              <w:left w:val="nil"/>
              <w:bottom w:val="dotted" w:sz="4" w:space="0" w:color="000000"/>
              <w:right w:val="nil"/>
            </w:tcBorders>
            <w:vAlign w:val="center"/>
            <w:hideMark/>
          </w:tcPr>
          <w:p w14:paraId="5162A631" w14:textId="77777777" w:rsidR="007D2366" w:rsidRPr="00D50DB8" w:rsidRDefault="007D2366" w:rsidP="00342E82">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508E8E40" w14:textId="77777777" w:rsidR="007D2366" w:rsidRPr="00D50DB8" w:rsidRDefault="007D2366" w:rsidP="00342E82">
            <w:pPr>
              <w:spacing w:after="0" w:line="240" w:lineRule="auto"/>
              <w:jc w:val="both"/>
              <w:rPr>
                <w:rFonts w:ascii="Arial Narrow" w:hAnsi="Arial Narrow"/>
                <w:color w:val="000000"/>
                <w:sz w:val="20"/>
                <w:szCs w:val="20"/>
                <w:lang w:val="en-US" w:eastAsia="en-US"/>
              </w:rPr>
            </w:pPr>
            <w:proofErr w:type="spellStart"/>
            <w:r w:rsidRPr="00D50DB8">
              <w:rPr>
                <w:rFonts w:ascii="Arial Narrow" w:hAnsi="Arial Narrow"/>
                <w:color w:val="000000"/>
                <w:sz w:val="20"/>
                <w:szCs w:val="20"/>
                <w:lang w:val="en-US" w:eastAsia="en-US"/>
              </w:rPr>
              <w:t>Zdroj</w:t>
            </w:r>
            <w:proofErr w:type="spellEnd"/>
            <w:r w:rsidRPr="00D50DB8">
              <w:rPr>
                <w:rFonts w:ascii="Arial Narrow" w:hAnsi="Arial Narrow"/>
                <w:color w:val="000000"/>
                <w:sz w:val="20"/>
                <w:szCs w:val="20"/>
                <w:lang w:val="en-US" w:eastAsia="en-US"/>
              </w:rPr>
              <w:t>: Eurostat</w:t>
            </w:r>
            <w:r>
              <w:rPr>
                <w:rFonts w:ascii="Arial Narrow" w:hAnsi="Arial Narrow"/>
                <w:color w:val="000000"/>
                <w:sz w:val="20"/>
                <w:szCs w:val="20"/>
                <w:lang w:val="en-US" w:eastAsia="en-US"/>
              </w:rPr>
              <w:t>, ŠÚ SR</w:t>
            </w:r>
          </w:p>
        </w:tc>
      </w:tr>
      <w:tr w:rsidR="007D2366" w:rsidRPr="00D50DB8" w14:paraId="6D098C8A" w14:textId="77777777" w:rsidTr="00342E82">
        <w:trPr>
          <w:trHeight w:val="2295"/>
          <w:jc w:val="center"/>
        </w:trPr>
        <w:tc>
          <w:tcPr>
            <w:tcW w:w="1826" w:type="dxa"/>
            <w:vMerge w:val="restart"/>
            <w:tcBorders>
              <w:top w:val="nil"/>
              <w:left w:val="nil"/>
              <w:bottom w:val="dotted" w:sz="4" w:space="0" w:color="000000"/>
              <w:right w:val="nil"/>
            </w:tcBorders>
            <w:shd w:val="clear" w:color="auto" w:fill="auto"/>
            <w:vAlign w:val="center"/>
            <w:hideMark/>
          </w:tcPr>
          <w:p w14:paraId="38F18152" w14:textId="77777777" w:rsidR="007D2366" w:rsidRPr="00E9605F" w:rsidRDefault="007D2366" w:rsidP="00342E82">
            <w:pPr>
              <w:spacing w:after="0" w:line="240" w:lineRule="auto"/>
              <w:rPr>
                <w:rFonts w:ascii="Arial Narrow" w:hAnsi="Arial Narrow"/>
                <w:b/>
                <w:bCs/>
                <w:color w:val="000000"/>
                <w:sz w:val="20"/>
                <w:szCs w:val="20"/>
                <w:lang w:eastAsia="en-US"/>
              </w:rPr>
            </w:pPr>
            <w:r w:rsidRPr="00E9605F">
              <w:rPr>
                <w:rFonts w:ascii="Arial Narrow" w:hAnsi="Arial Narrow"/>
                <w:b/>
                <w:bCs/>
                <w:color w:val="000000"/>
                <w:sz w:val="20"/>
                <w:szCs w:val="20"/>
                <w:lang w:eastAsia="en-US"/>
              </w:rPr>
              <w:lastRenderedPageBreak/>
              <w:t>Populácia ohrozená chudobou a sociálnym vylúčením</w:t>
            </w:r>
          </w:p>
        </w:tc>
        <w:tc>
          <w:tcPr>
            <w:tcW w:w="8380" w:type="dxa"/>
            <w:tcBorders>
              <w:top w:val="nil"/>
              <w:left w:val="nil"/>
              <w:bottom w:val="nil"/>
              <w:right w:val="nil"/>
            </w:tcBorders>
            <w:shd w:val="clear" w:color="auto" w:fill="auto"/>
            <w:vAlign w:val="center"/>
            <w:hideMark/>
          </w:tcPr>
          <w:p w14:paraId="23FAF158" w14:textId="77777777" w:rsidR="007D2366" w:rsidRPr="00E9605F" w:rsidRDefault="007D2366" w:rsidP="00342E82">
            <w:pPr>
              <w:spacing w:before="20" w:after="0" w:line="240" w:lineRule="auto"/>
              <w:jc w:val="both"/>
              <w:rPr>
                <w:rFonts w:ascii="Arial Narrow" w:hAnsi="Arial Narrow"/>
                <w:color w:val="000000"/>
                <w:sz w:val="20"/>
                <w:szCs w:val="20"/>
                <w:lang w:eastAsia="en-US"/>
              </w:rPr>
            </w:pPr>
            <w:r w:rsidRPr="00E9605F">
              <w:rPr>
                <w:rFonts w:ascii="Arial Narrow" w:hAnsi="Arial Narrow"/>
                <w:color w:val="000000"/>
                <w:sz w:val="20"/>
                <w:szCs w:val="20"/>
                <w:lang w:eastAsia="en-US"/>
              </w:rPr>
              <w:t xml:space="preserve">Indikátor predstavuje súčet ľudí, ktorí sú v riziku chudoby (po sociálnych transferoch) a/alebo sú materiálne </w:t>
            </w:r>
            <w:proofErr w:type="spellStart"/>
            <w:r w:rsidRPr="00E9605F">
              <w:rPr>
                <w:rFonts w:ascii="Arial Narrow" w:hAnsi="Arial Narrow"/>
                <w:color w:val="000000"/>
                <w:sz w:val="20"/>
                <w:szCs w:val="20"/>
                <w:lang w:eastAsia="en-US"/>
              </w:rPr>
              <w:t>deprivovaní</w:t>
            </w:r>
            <w:proofErr w:type="spellEnd"/>
            <w:r w:rsidRPr="00E9605F">
              <w:rPr>
                <w:rFonts w:ascii="Arial Narrow" w:hAnsi="Arial Narrow"/>
                <w:color w:val="000000"/>
                <w:sz w:val="20"/>
                <w:szCs w:val="20"/>
                <w:lang w:eastAsia="en-US"/>
              </w:rPr>
              <w:t xml:space="preserve"> a/alebo žijú v domácnostiach s veľmi nízkou intenzitou práce vyjadrený percentuálne na celkovej populácii. Riziko chudoby predstavuje počet osôb s ekvivalentným disponibilným príjmom nižším ako 60% mediánu národného ekvivalentného disponibilného príjmu (po sociálnych transferoch). Materiálna deprivácia predstavuje podiel ľudí, ktorí si z nasledujúcich deviatich položiek nemôžu dovoliť aspoň štyri: i) platiť nájom a náklady na bývanie, ii) udržať v dome teplo, iii) čelia neočakávaným výdavkom, iv) jesť mäso, rybu alebo ekvivalentné množstvo bielkovín každý druhý deň, v) týždňovú dovolenku mimo domova, vi) auto, vii) práčku, viii) farebný televízor, alebo ix) telefón. Ľudia v domácnosti bez práce sú osoby vo veku 0 – 59 rokov žijúce v domácnosti, kde dospelí pracujú menej ako 20% z celkového možného času počas predchádzajúceho roku. </w:t>
            </w:r>
          </w:p>
        </w:tc>
      </w:tr>
      <w:tr w:rsidR="007D2366" w:rsidRPr="00D50DB8" w14:paraId="31F7D9BC" w14:textId="77777777" w:rsidTr="00342E82">
        <w:trPr>
          <w:trHeight w:val="300"/>
          <w:jc w:val="center"/>
        </w:trPr>
        <w:tc>
          <w:tcPr>
            <w:tcW w:w="1826" w:type="dxa"/>
            <w:vMerge/>
            <w:tcBorders>
              <w:top w:val="nil"/>
              <w:left w:val="nil"/>
              <w:bottom w:val="dotted" w:sz="4" w:space="0" w:color="000000"/>
              <w:right w:val="nil"/>
            </w:tcBorders>
            <w:vAlign w:val="center"/>
            <w:hideMark/>
          </w:tcPr>
          <w:p w14:paraId="22618697" w14:textId="77777777" w:rsidR="007D2366" w:rsidRPr="00811359" w:rsidRDefault="007D2366" w:rsidP="00342E82">
            <w:pPr>
              <w:spacing w:after="0" w:line="240" w:lineRule="auto"/>
              <w:rPr>
                <w:rFonts w:ascii="Arial Narrow" w:hAnsi="Arial Narrow"/>
                <w:b/>
                <w:bCs/>
                <w:color w:val="000000"/>
                <w:sz w:val="20"/>
                <w:szCs w:val="20"/>
                <w:lang w:eastAsia="en-US"/>
              </w:rPr>
            </w:pPr>
          </w:p>
        </w:tc>
        <w:tc>
          <w:tcPr>
            <w:tcW w:w="8380" w:type="dxa"/>
            <w:tcBorders>
              <w:top w:val="nil"/>
              <w:left w:val="nil"/>
              <w:bottom w:val="dotted" w:sz="4" w:space="0" w:color="auto"/>
              <w:right w:val="nil"/>
            </w:tcBorders>
            <w:shd w:val="clear" w:color="auto" w:fill="auto"/>
            <w:vAlign w:val="center"/>
            <w:hideMark/>
          </w:tcPr>
          <w:p w14:paraId="12751D75" w14:textId="77777777" w:rsidR="007D2366" w:rsidRPr="004F6EF8" w:rsidRDefault="007D2366" w:rsidP="00342E82">
            <w:pPr>
              <w:spacing w:after="0" w:line="240" w:lineRule="auto"/>
              <w:jc w:val="both"/>
              <w:rPr>
                <w:rFonts w:ascii="Arial Narrow" w:hAnsi="Arial Narrow"/>
                <w:color w:val="000000"/>
                <w:sz w:val="20"/>
                <w:szCs w:val="20"/>
                <w:lang w:val="de-DE" w:eastAsia="en-US"/>
              </w:rPr>
            </w:pPr>
            <w:proofErr w:type="spellStart"/>
            <w:r w:rsidRPr="004F6EF8">
              <w:rPr>
                <w:rFonts w:ascii="Arial Narrow" w:hAnsi="Arial Narrow"/>
                <w:color w:val="000000"/>
                <w:sz w:val="20"/>
                <w:szCs w:val="20"/>
                <w:lang w:val="de-DE" w:eastAsia="en-US"/>
              </w:rPr>
              <w:t>Zdroj</w:t>
            </w:r>
            <w:proofErr w:type="spellEnd"/>
            <w:r w:rsidRPr="004F6EF8">
              <w:rPr>
                <w:rFonts w:ascii="Arial Narrow" w:hAnsi="Arial Narrow"/>
                <w:color w:val="000000"/>
                <w:sz w:val="20"/>
                <w:szCs w:val="20"/>
                <w:lang w:val="de-DE" w:eastAsia="en-US"/>
              </w:rPr>
              <w:t xml:space="preserve">: </w:t>
            </w:r>
            <w:proofErr w:type="spellStart"/>
            <w:r w:rsidRPr="004F6EF8">
              <w:rPr>
                <w:rFonts w:ascii="Arial Narrow" w:hAnsi="Arial Narrow"/>
                <w:color w:val="000000"/>
                <w:sz w:val="20"/>
                <w:szCs w:val="20"/>
                <w:lang w:val="de-DE" w:eastAsia="en-US"/>
              </w:rPr>
              <w:t>Eurostat</w:t>
            </w:r>
            <w:proofErr w:type="spellEnd"/>
            <w:r w:rsidR="002549AE">
              <w:rPr>
                <w:rFonts w:ascii="Arial Narrow" w:hAnsi="Arial Narrow"/>
                <w:color w:val="000000"/>
                <w:sz w:val="20"/>
                <w:szCs w:val="20"/>
                <w:lang w:val="de-DE" w:eastAsia="en-US"/>
              </w:rPr>
              <w:t xml:space="preserve"> (EU-SILC, </w:t>
            </w:r>
            <w:r w:rsidR="002549AE" w:rsidRPr="002549AE">
              <w:rPr>
                <w:rFonts w:ascii="Arial Narrow" w:hAnsi="Arial Narrow"/>
                <w:color w:val="000000"/>
                <w:sz w:val="20"/>
                <w:szCs w:val="20"/>
                <w:lang w:val="de-DE" w:eastAsia="en-US"/>
              </w:rPr>
              <w:t>t2020_50</w:t>
            </w:r>
            <w:r w:rsidR="002549AE">
              <w:rPr>
                <w:rFonts w:ascii="Arial Narrow" w:hAnsi="Arial Narrow"/>
                <w:color w:val="000000"/>
                <w:sz w:val="20"/>
                <w:szCs w:val="20"/>
                <w:lang w:val="de-DE" w:eastAsia="en-US"/>
              </w:rPr>
              <w:t>)</w:t>
            </w:r>
            <w:r w:rsidRPr="004F6EF8">
              <w:rPr>
                <w:rFonts w:ascii="Arial Narrow" w:hAnsi="Arial Narrow"/>
                <w:color w:val="000000"/>
                <w:sz w:val="20"/>
                <w:szCs w:val="20"/>
                <w:lang w:val="de-DE" w:eastAsia="en-US"/>
              </w:rPr>
              <w:t>, ŠÚ SR</w:t>
            </w:r>
          </w:p>
        </w:tc>
      </w:tr>
      <w:tr w:rsidR="007D2366" w:rsidRPr="00D50DB8" w14:paraId="125BF4AC" w14:textId="77777777" w:rsidTr="00342E82">
        <w:trPr>
          <w:trHeight w:val="765"/>
          <w:jc w:val="center"/>
        </w:trPr>
        <w:tc>
          <w:tcPr>
            <w:tcW w:w="1826" w:type="dxa"/>
            <w:vMerge w:val="restart"/>
            <w:tcBorders>
              <w:top w:val="nil"/>
              <w:left w:val="nil"/>
              <w:bottom w:val="dotted" w:sz="4" w:space="0" w:color="000000"/>
              <w:right w:val="nil"/>
            </w:tcBorders>
            <w:shd w:val="clear" w:color="auto" w:fill="auto"/>
            <w:vAlign w:val="center"/>
            <w:hideMark/>
          </w:tcPr>
          <w:p w14:paraId="0C68DF09" w14:textId="77777777" w:rsidR="007D2366" w:rsidRPr="00D50DB8" w:rsidRDefault="007D2366" w:rsidP="00342E82">
            <w:pPr>
              <w:spacing w:after="0" w:line="240" w:lineRule="auto"/>
              <w:rPr>
                <w:rFonts w:ascii="Arial Narrow" w:hAnsi="Arial Narrow"/>
                <w:b/>
                <w:bCs/>
                <w:color w:val="000000"/>
                <w:sz w:val="20"/>
                <w:szCs w:val="20"/>
                <w:lang w:val="en-US" w:eastAsia="en-US"/>
              </w:rPr>
            </w:pPr>
            <w:proofErr w:type="spellStart"/>
            <w:r w:rsidRPr="00D50DB8">
              <w:rPr>
                <w:rFonts w:ascii="Arial Narrow" w:hAnsi="Arial Narrow"/>
                <w:b/>
                <w:bCs/>
                <w:color w:val="000000"/>
                <w:sz w:val="20"/>
                <w:szCs w:val="20"/>
                <w:lang w:val="en-US" w:eastAsia="en-US"/>
              </w:rPr>
              <w:t>Miera</w:t>
            </w:r>
            <w:proofErr w:type="spellEnd"/>
            <w:r w:rsidRPr="00D50DB8">
              <w:rPr>
                <w:rFonts w:ascii="Arial Narrow" w:hAnsi="Arial Narrow"/>
                <w:b/>
                <w:bCs/>
                <w:color w:val="000000"/>
                <w:sz w:val="20"/>
                <w:szCs w:val="20"/>
                <w:lang w:val="en-US" w:eastAsia="en-US"/>
              </w:rPr>
              <w:t xml:space="preserve"> </w:t>
            </w:r>
            <w:proofErr w:type="spellStart"/>
            <w:r w:rsidRPr="00D50DB8">
              <w:rPr>
                <w:rFonts w:ascii="Arial Narrow" w:hAnsi="Arial Narrow"/>
                <w:b/>
                <w:bCs/>
                <w:color w:val="000000"/>
                <w:sz w:val="20"/>
                <w:szCs w:val="20"/>
                <w:lang w:val="en-US" w:eastAsia="en-US"/>
              </w:rPr>
              <w:t>náhrady</w:t>
            </w:r>
            <w:proofErr w:type="spellEnd"/>
            <w:r w:rsidRPr="00D50DB8">
              <w:rPr>
                <w:rFonts w:ascii="Arial Narrow" w:hAnsi="Arial Narrow"/>
                <w:b/>
                <w:bCs/>
                <w:color w:val="000000"/>
                <w:sz w:val="20"/>
                <w:szCs w:val="20"/>
                <w:lang w:val="en-US" w:eastAsia="en-US"/>
              </w:rPr>
              <w:t xml:space="preserve"> (Benefit ratio)</w:t>
            </w:r>
          </w:p>
        </w:tc>
        <w:tc>
          <w:tcPr>
            <w:tcW w:w="8380" w:type="dxa"/>
            <w:tcBorders>
              <w:top w:val="nil"/>
              <w:left w:val="nil"/>
              <w:bottom w:val="nil"/>
              <w:right w:val="nil"/>
            </w:tcBorders>
            <w:shd w:val="clear" w:color="auto" w:fill="auto"/>
            <w:vAlign w:val="center"/>
            <w:hideMark/>
          </w:tcPr>
          <w:p w14:paraId="2E4118AA" w14:textId="77777777" w:rsidR="007D2366" w:rsidRPr="009E79EF" w:rsidRDefault="007D2366" w:rsidP="00342E82">
            <w:pPr>
              <w:spacing w:after="0" w:line="240" w:lineRule="auto"/>
              <w:jc w:val="both"/>
              <w:rPr>
                <w:rFonts w:ascii="Arial Narrow" w:hAnsi="Arial Narrow"/>
                <w:color w:val="000000"/>
                <w:lang w:val="en-US" w:eastAsia="en-US"/>
              </w:rPr>
            </w:pPr>
            <w:r w:rsidRPr="009E79EF">
              <w:rPr>
                <w:rFonts w:ascii="Arial Narrow" w:hAnsi="Arial Narrow"/>
                <w:color w:val="000000"/>
                <w:sz w:val="20"/>
                <w:lang w:val="en-US" w:eastAsia="en-US"/>
              </w:rPr>
              <w:t xml:space="preserve">Benefit ratio – </w:t>
            </w:r>
            <w:proofErr w:type="spellStart"/>
            <w:r w:rsidRPr="009E79EF">
              <w:rPr>
                <w:rFonts w:ascii="Arial Narrow" w:hAnsi="Arial Narrow"/>
                <w:color w:val="000000"/>
                <w:sz w:val="20"/>
                <w:lang w:val="en-US" w:eastAsia="en-US"/>
              </w:rPr>
              <w:t>ukazovateľ</w:t>
            </w:r>
            <w:proofErr w:type="spellEnd"/>
            <w:r w:rsidRPr="009E79EF">
              <w:rPr>
                <w:rFonts w:ascii="Arial Narrow" w:hAnsi="Arial Narrow"/>
                <w:color w:val="000000"/>
                <w:sz w:val="20"/>
                <w:lang w:val="en-US" w:eastAsia="en-US"/>
              </w:rPr>
              <w:t xml:space="preserve"> </w:t>
            </w:r>
            <w:proofErr w:type="spellStart"/>
            <w:r w:rsidRPr="009E79EF">
              <w:rPr>
                <w:rFonts w:ascii="Arial Narrow" w:hAnsi="Arial Narrow"/>
                <w:color w:val="000000"/>
                <w:sz w:val="20"/>
                <w:lang w:val="en-US" w:eastAsia="en-US"/>
              </w:rPr>
              <w:t>primeranosti</w:t>
            </w:r>
            <w:proofErr w:type="spellEnd"/>
            <w:r w:rsidRPr="009E79EF">
              <w:rPr>
                <w:rFonts w:ascii="Arial Narrow" w:hAnsi="Arial Narrow"/>
                <w:color w:val="000000"/>
                <w:sz w:val="20"/>
                <w:lang w:val="en-US" w:eastAsia="en-US"/>
              </w:rPr>
              <w:t xml:space="preserve"> </w:t>
            </w:r>
            <w:proofErr w:type="spellStart"/>
            <w:r w:rsidRPr="009E79EF">
              <w:rPr>
                <w:rFonts w:ascii="Arial Narrow" w:hAnsi="Arial Narrow"/>
                <w:color w:val="000000"/>
                <w:sz w:val="20"/>
                <w:lang w:val="en-US" w:eastAsia="en-US"/>
              </w:rPr>
              <w:t>verejných</w:t>
            </w:r>
            <w:proofErr w:type="spellEnd"/>
            <w:r w:rsidRPr="009E79EF">
              <w:rPr>
                <w:rFonts w:ascii="Arial Narrow" w:hAnsi="Arial Narrow"/>
                <w:color w:val="000000"/>
                <w:sz w:val="20"/>
                <w:lang w:val="en-US" w:eastAsia="en-US"/>
              </w:rPr>
              <w:t xml:space="preserve"> </w:t>
            </w:r>
            <w:proofErr w:type="spellStart"/>
            <w:r w:rsidRPr="009E79EF">
              <w:rPr>
                <w:rFonts w:ascii="Arial Narrow" w:hAnsi="Arial Narrow"/>
                <w:color w:val="000000"/>
                <w:sz w:val="20"/>
                <w:lang w:val="en-US" w:eastAsia="en-US"/>
              </w:rPr>
              <w:t>penzií</w:t>
            </w:r>
            <w:proofErr w:type="spellEnd"/>
            <w:r w:rsidRPr="009E79EF">
              <w:rPr>
                <w:rFonts w:ascii="Arial Narrow" w:hAnsi="Arial Narrow"/>
                <w:color w:val="000000"/>
                <w:sz w:val="20"/>
                <w:lang w:val="en-US" w:eastAsia="en-US"/>
              </w:rPr>
              <w:t xml:space="preserve">. </w:t>
            </w:r>
            <w:proofErr w:type="spellStart"/>
            <w:r w:rsidRPr="009E79EF">
              <w:rPr>
                <w:rFonts w:ascii="Arial Narrow" w:hAnsi="Arial Narrow"/>
                <w:color w:val="000000"/>
                <w:sz w:val="20"/>
                <w:lang w:val="en-US" w:eastAsia="en-US"/>
              </w:rPr>
              <w:t>Vypočíta</w:t>
            </w:r>
            <w:proofErr w:type="spellEnd"/>
            <w:r w:rsidRPr="009E79EF">
              <w:rPr>
                <w:rFonts w:ascii="Arial Narrow" w:hAnsi="Arial Narrow"/>
                <w:color w:val="000000"/>
                <w:sz w:val="20"/>
                <w:lang w:val="en-US" w:eastAsia="en-US"/>
              </w:rPr>
              <w:t xml:space="preserve"> </w:t>
            </w:r>
            <w:proofErr w:type="spellStart"/>
            <w:r w:rsidRPr="009E79EF">
              <w:rPr>
                <w:rFonts w:ascii="Arial Narrow" w:hAnsi="Arial Narrow"/>
                <w:color w:val="000000"/>
                <w:sz w:val="20"/>
                <w:lang w:val="en-US" w:eastAsia="en-US"/>
              </w:rPr>
              <w:t>sa</w:t>
            </w:r>
            <w:proofErr w:type="spellEnd"/>
            <w:r w:rsidRPr="009E79EF">
              <w:rPr>
                <w:rFonts w:ascii="Arial Narrow" w:hAnsi="Arial Narrow"/>
                <w:color w:val="000000"/>
                <w:sz w:val="20"/>
                <w:lang w:val="en-US" w:eastAsia="en-US"/>
              </w:rPr>
              <w:t xml:space="preserve"> </w:t>
            </w:r>
            <w:proofErr w:type="spellStart"/>
            <w:r w:rsidRPr="009E79EF">
              <w:rPr>
                <w:rFonts w:ascii="Arial Narrow" w:hAnsi="Arial Narrow"/>
                <w:color w:val="000000"/>
                <w:sz w:val="20"/>
                <w:lang w:val="en-US" w:eastAsia="en-US"/>
              </w:rPr>
              <w:t>ako</w:t>
            </w:r>
            <w:proofErr w:type="spellEnd"/>
            <w:r w:rsidRPr="009E79EF">
              <w:rPr>
                <w:rFonts w:ascii="Arial Narrow" w:hAnsi="Arial Narrow"/>
                <w:color w:val="000000"/>
                <w:sz w:val="20"/>
                <w:lang w:val="en-US" w:eastAsia="en-US"/>
              </w:rPr>
              <w:t xml:space="preserve"> </w:t>
            </w:r>
            <w:proofErr w:type="spellStart"/>
            <w:r w:rsidRPr="009E79EF">
              <w:rPr>
                <w:rFonts w:ascii="Arial Narrow" w:hAnsi="Arial Narrow"/>
                <w:color w:val="000000"/>
                <w:sz w:val="20"/>
                <w:lang w:val="en-US" w:eastAsia="en-US"/>
              </w:rPr>
              <w:t>podiel</w:t>
            </w:r>
            <w:proofErr w:type="spellEnd"/>
            <w:r w:rsidRPr="009E79EF">
              <w:rPr>
                <w:rFonts w:ascii="Arial Narrow" w:hAnsi="Arial Narrow"/>
                <w:color w:val="000000"/>
                <w:sz w:val="20"/>
                <w:lang w:val="en-US" w:eastAsia="en-US"/>
              </w:rPr>
              <w:t xml:space="preserve"> </w:t>
            </w:r>
            <w:proofErr w:type="spellStart"/>
            <w:r w:rsidRPr="009E79EF">
              <w:rPr>
                <w:rFonts w:ascii="Arial Narrow" w:hAnsi="Arial Narrow"/>
                <w:color w:val="000000"/>
                <w:sz w:val="20"/>
                <w:lang w:val="en-US" w:eastAsia="en-US"/>
              </w:rPr>
              <w:t>priemernej</w:t>
            </w:r>
            <w:proofErr w:type="spellEnd"/>
            <w:r w:rsidRPr="009E79EF">
              <w:rPr>
                <w:rFonts w:ascii="Arial Narrow" w:hAnsi="Arial Narrow"/>
                <w:color w:val="000000"/>
                <w:sz w:val="20"/>
                <w:lang w:val="en-US" w:eastAsia="en-US"/>
              </w:rPr>
              <w:t xml:space="preserve"> </w:t>
            </w:r>
            <w:proofErr w:type="spellStart"/>
            <w:r w:rsidRPr="009E79EF">
              <w:rPr>
                <w:rFonts w:ascii="Arial Narrow" w:hAnsi="Arial Narrow"/>
                <w:color w:val="000000"/>
                <w:sz w:val="20"/>
                <w:lang w:val="en-US" w:eastAsia="en-US"/>
              </w:rPr>
              <w:t>penzie</w:t>
            </w:r>
            <w:proofErr w:type="spellEnd"/>
            <w:r w:rsidRPr="009E79EF">
              <w:rPr>
                <w:rFonts w:ascii="Arial Narrow" w:hAnsi="Arial Narrow"/>
                <w:color w:val="000000"/>
                <w:sz w:val="20"/>
                <w:lang w:val="en-US" w:eastAsia="en-US"/>
              </w:rPr>
              <w:t xml:space="preserve"> (</w:t>
            </w:r>
            <w:proofErr w:type="spellStart"/>
            <w:r w:rsidRPr="009E79EF">
              <w:rPr>
                <w:rFonts w:ascii="Arial Narrow" w:hAnsi="Arial Narrow"/>
                <w:color w:val="000000"/>
                <w:sz w:val="20"/>
                <w:lang w:val="en-US" w:eastAsia="en-US"/>
              </w:rPr>
              <w:t>započítané</w:t>
            </w:r>
            <w:proofErr w:type="spellEnd"/>
            <w:r w:rsidRPr="009E79EF">
              <w:rPr>
                <w:rFonts w:ascii="Arial Narrow" w:hAnsi="Arial Narrow"/>
                <w:color w:val="000000"/>
                <w:sz w:val="20"/>
                <w:lang w:val="en-US" w:eastAsia="en-US"/>
              </w:rPr>
              <w:t xml:space="preserve"> </w:t>
            </w:r>
            <w:proofErr w:type="spellStart"/>
            <w:r w:rsidRPr="009E79EF">
              <w:rPr>
                <w:rFonts w:ascii="Arial Narrow" w:hAnsi="Arial Narrow"/>
                <w:color w:val="000000"/>
                <w:sz w:val="20"/>
                <w:lang w:val="en-US" w:eastAsia="en-US"/>
              </w:rPr>
              <w:t>sú</w:t>
            </w:r>
            <w:proofErr w:type="spellEnd"/>
            <w:r w:rsidRPr="009E79EF">
              <w:rPr>
                <w:rFonts w:ascii="Arial Narrow" w:hAnsi="Arial Narrow"/>
                <w:color w:val="000000"/>
                <w:sz w:val="20"/>
                <w:lang w:val="en-US" w:eastAsia="en-US"/>
              </w:rPr>
              <w:t xml:space="preserve"> </w:t>
            </w:r>
            <w:proofErr w:type="spellStart"/>
            <w:r w:rsidRPr="009E79EF">
              <w:rPr>
                <w:rFonts w:ascii="Arial Narrow" w:hAnsi="Arial Narrow"/>
                <w:color w:val="000000"/>
                <w:sz w:val="20"/>
                <w:lang w:val="en-US" w:eastAsia="en-US"/>
              </w:rPr>
              <w:t>všetky</w:t>
            </w:r>
            <w:proofErr w:type="spellEnd"/>
            <w:r w:rsidRPr="009E79EF">
              <w:rPr>
                <w:rFonts w:ascii="Arial Narrow" w:hAnsi="Arial Narrow"/>
                <w:color w:val="000000"/>
                <w:sz w:val="20"/>
                <w:lang w:val="en-US" w:eastAsia="en-US"/>
              </w:rPr>
              <w:t xml:space="preserve"> </w:t>
            </w:r>
            <w:proofErr w:type="spellStart"/>
            <w:r w:rsidRPr="009E79EF">
              <w:rPr>
                <w:rFonts w:ascii="Arial Narrow" w:hAnsi="Arial Narrow"/>
                <w:color w:val="000000"/>
                <w:sz w:val="20"/>
                <w:lang w:val="en-US" w:eastAsia="en-US"/>
              </w:rPr>
              <w:t>druhy</w:t>
            </w:r>
            <w:proofErr w:type="spellEnd"/>
            <w:r w:rsidRPr="009E79EF">
              <w:rPr>
                <w:rFonts w:ascii="Arial Narrow" w:hAnsi="Arial Narrow"/>
                <w:color w:val="000000"/>
                <w:sz w:val="20"/>
                <w:lang w:val="en-US" w:eastAsia="en-US"/>
              </w:rPr>
              <w:t xml:space="preserve"> </w:t>
            </w:r>
            <w:proofErr w:type="spellStart"/>
            <w:r w:rsidRPr="009E79EF">
              <w:rPr>
                <w:rFonts w:ascii="Arial Narrow" w:hAnsi="Arial Narrow"/>
                <w:color w:val="000000"/>
                <w:sz w:val="20"/>
                <w:lang w:val="en-US" w:eastAsia="en-US"/>
              </w:rPr>
              <w:t>penzií</w:t>
            </w:r>
            <w:proofErr w:type="spellEnd"/>
            <w:r w:rsidRPr="009E79EF">
              <w:rPr>
                <w:rFonts w:ascii="Arial Narrow" w:hAnsi="Arial Narrow"/>
                <w:color w:val="000000"/>
                <w:sz w:val="20"/>
                <w:lang w:val="en-US" w:eastAsia="en-US"/>
              </w:rPr>
              <w:t xml:space="preserve"> – </w:t>
            </w:r>
            <w:proofErr w:type="spellStart"/>
            <w:r w:rsidRPr="009E79EF">
              <w:rPr>
                <w:rFonts w:ascii="Arial Narrow" w:hAnsi="Arial Narrow"/>
                <w:color w:val="000000"/>
                <w:sz w:val="20"/>
                <w:lang w:val="en-US" w:eastAsia="en-US"/>
              </w:rPr>
              <w:t>invalidné</w:t>
            </w:r>
            <w:proofErr w:type="spellEnd"/>
            <w:r w:rsidRPr="009E79EF">
              <w:rPr>
                <w:rFonts w:ascii="Arial Narrow" w:hAnsi="Arial Narrow"/>
                <w:color w:val="000000"/>
                <w:sz w:val="20"/>
                <w:lang w:val="en-US" w:eastAsia="en-US"/>
              </w:rPr>
              <w:t xml:space="preserve">, </w:t>
            </w:r>
            <w:proofErr w:type="spellStart"/>
            <w:r w:rsidRPr="009E79EF">
              <w:rPr>
                <w:rFonts w:ascii="Arial Narrow" w:hAnsi="Arial Narrow"/>
                <w:color w:val="000000"/>
                <w:sz w:val="20"/>
                <w:lang w:val="en-US" w:eastAsia="en-US"/>
              </w:rPr>
              <w:t>starobné</w:t>
            </w:r>
            <w:proofErr w:type="spellEnd"/>
            <w:r w:rsidRPr="009E79EF">
              <w:rPr>
                <w:rFonts w:ascii="Arial Narrow" w:hAnsi="Arial Narrow"/>
                <w:color w:val="000000"/>
                <w:sz w:val="20"/>
                <w:lang w:val="en-US" w:eastAsia="en-US"/>
              </w:rPr>
              <w:t xml:space="preserve">, </w:t>
            </w:r>
            <w:proofErr w:type="spellStart"/>
            <w:r w:rsidRPr="009E79EF">
              <w:rPr>
                <w:rFonts w:ascii="Arial Narrow" w:hAnsi="Arial Narrow"/>
                <w:color w:val="000000"/>
                <w:sz w:val="20"/>
                <w:lang w:val="en-US" w:eastAsia="en-US"/>
              </w:rPr>
              <w:t>minimálne</w:t>
            </w:r>
            <w:proofErr w:type="spellEnd"/>
            <w:r w:rsidRPr="009E79EF">
              <w:rPr>
                <w:rFonts w:ascii="Arial Narrow" w:hAnsi="Arial Narrow"/>
                <w:color w:val="000000"/>
                <w:sz w:val="20"/>
                <w:lang w:val="en-US" w:eastAsia="en-US"/>
              </w:rPr>
              <w:t xml:space="preserve">) </w:t>
            </w:r>
            <w:proofErr w:type="spellStart"/>
            <w:r w:rsidRPr="009E79EF">
              <w:rPr>
                <w:rFonts w:ascii="Arial Narrow" w:hAnsi="Arial Narrow"/>
                <w:color w:val="000000"/>
                <w:sz w:val="20"/>
                <w:lang w:val="en-US" w:eastAsia="en-US"/>
              </w:rPr>
              <w:t>ku</w:t>
            </w:r>
            <w:proofErr w:type="spellEnd"/>
            <w:r w:rsidRPr="009E79EF">
              <w:rPr>
                <w:rFonts w:ascii="Arial Narrow" w:hAnsi="Arial Narrow"/>
                <w:color w:val="000000"/>
                <w:sz w:val="20"/>
                <w:lang w:val="en-US" w:eastAsia="en-US"/>
              </w:rPr>
              <w:t xml:space="preserve"> </w:t>
            </w:r>
            <w:proofErr w:type="spellStart"/>
            <w:r w:rsidRPr="009E79EF">
              <w:rPr>
                <w:rFonts w:ascii="Arial Narrow" w:hAnsi="Arial Narrow"/>
                <w:color w:val="000000"/>
                <w:sz w:val="20"/>
                <w:lang w:val="en-US" w:eastAsia="en-US"/>
              </w:rPr>
              <w:t>priemernej</w:t>
            </w:r>
            <w:proofErr w:type="spellEnd"/>
            <w:r w:rsidRPr="009E79EF">
              <w:rPr>
                <w:rFonts w:ascii="Arial Narrow" w:hAnsi="Arial Narrow"/>
                <w:color w:val="000000"/>
                <w:sz w:val="20"/>
                <w:lang w:val="en-US" w:eastAsia="en-US"/>
              </w:rPr>
              <w:t xml:space="preserve"> </w:t>
            </w:r>
            <w:proofErr w:type="spellStart"/>
            <w:r w:rsidRPr="009E79EF">
              <w:rPr>
                <w:rFonts w:ascii="Arial Narrow" w:hAnsi="Arial Narrow"/>
                <w:color w:val="000000"/>
                <w:sz w:val="20"/>
                <w:lang w:val="en-US" w:eastAsia="en-US"/>
              </w:rPr>
              <w:t>hrubej</w:t>
            </w:r>
            <w:proofErr w:type="spellEnd"/>
            <w:r w:rsidRPr="009E79EF">
              <w:rPr>
                <w:rFonts w:ascii="Arial Narrow" w:hAnsi="Arial Narrow"/>
                <w:color w:val="000000"/>
                <w:sz w:val="20"/>
                <w:lang w:val="en-US" w:eastAsia="en-US"/>
              </w:rPr>
              <w:t xml:space="preserve"> </w:t>
            </w:r>
            <w:proofErr w:type="spellStart"/>
            <w:r w:rsidRPr="009E79EF">
              <w:rPr>
                <w:rFonts w:ascii="Arial Narrow" w:hAnsi="Arial Narrow"/>
                <w:color w:val="000000"/>
                <w:sz w:val="20"/>
                <w:lang w:val="en-US" w:eastAsia="en-US"/>
              </w:rPr>
              <w:t>mzde</w:t>
            </w:r>
            <w:proofErr w:type="spellEnd"/>
            <w:r w:rsidRPr="009E79EF">
              <w:rPr>
                <w:rFonts w:ascii="Arial Narrow" w:hAnsi="Arial Narrow"/>
                <w:color w:val="000000"/>
                <w:sz w:val="20"/>
                <w:lang w:val="en-US" w:eastAsia="en-US"/>
              </w:rPr>
              <w:t xml:space="preserve"> v </w:t>
            </w:r>
            <w:proofErr w:type="spellStart"/>
            <w:r w:rsidRPr="009E79EF">
              <w:rPr>
                <w:rFonts w:ascii="Arial Narrow" w:hAnsi="Arial Narrow"/>
                <w:color w:val="000000"/>
                <w:sz w:val="20"/>
                <w:lang w:val="en-US" w:eastAsia="en-US"/>
              </w:rPr>
              <w:t>ekonomike</w:t>
            </w:r>
            <w:proofErr w:type="spellEnd"/>
            <w:r w:rsidRPr="009E79EF">
              <w:rPr>
                <w:rFonts w:ascii="Arial Narrow" w:hAnsi="Arial Narrow"/>
                <w:color w:val="000000"/>
                <w:sz w:val="20"/>
                <w:lang w:val="en-US" w:eastAsia="en-US"/>
              </w:rPr>
              <w:t xml:space="preserve">. </w:t>
            </w:r>
            <w:proofErr w:type="spellStart"/>
            <w:r w:rsidRPr="009E79EF">
              <w:rPr>
                <w:rFonts w:ascii="Arial Narrow" w:hAnsi="Arial Narrow"/>
                <w:color w:val="000000"/>
                <w:sz w:val="20"/>
                <w:lang w:val="en-US" w:eastAsia="en-US"/>
              </w:rPr>
              <w:t>Ukazovateľ</w:t>
            </w:r>
            <w:proofErr w:type="spellEnd"/>
            <w:r w:rsidRPr="009E79EF">
              <w:rPr>
                <w:rFonts w:ascii="Arial Narrow" w:hAnsi="Arial Narrow"/>
                <w:color w:val="000000"/>
                <w:sz w:val="20"/>
                <w:lang w:val="en-US" w:eastAsia="en-US"/>
              </w:rPr>
              <w:t xml:space="preserve"> </w:t>
            </w:r>
            <w:r w:rsidRPr="009E79EF">
              <w:rPr>
                <w:rFonts w:ascii="Arial Narrow" w:hAnsi="Arial Narrow"/>
                <w:sz w:val="20"/>
              </w:rPr>
              <w:t>udáva jednoduchý priemer za krajiny EÚ.</w:t>
            </w:r>
            <w:proofErr w:type="spellStart"/>
            <w:r w:rsidRPr="009E79EF">
              <w:rPr>
                <w:rFonts w:ascii="Arial Narrow" w:hAnsi="Arial Narrow"/>
                <w:color w:val="000000"/>
                <w:sz w:val="20"/>
                <w:lang w:val="en-US" w:eastAsia="en-US"/>
              </w:rPr>
              <w:t>Medzinárodne</w:t>
            </w:r>
            <w:proofErr w:type="spellEnd"/>
            <w:r w:rsidRPr="009E79EF">
              <w:rPr>
                <w:rFonts w:ascii="Arial Narrow" w:hAnsi="Arial Narrow"/>
                <w:color w:val="000000"/>
                <w:sz w:val="20"/>
                <w:lang w:val="en-US" w:eastAsia="en-US"/>
              </w:rPr>
              <w:t xml:space="preserve"> </w:t>
            </w:r>
            <w:proofErr w:type="spellStart"/>
            <w:r w:rsidRPr="009E79EF">
              <w:rPr>
                <w:rFonts w:ascii="Arial Narrow" w:hAnsi="Arial Narrow"/>
                <w:color w:val="000000"/>
                <w:sz w:val="20"/>
                <w:lang w:val="en-US" w:eastAsia="en-US"/>
              </w:rPr>
              <w:t>porovnateľné</w:t>
            </w:r>
            <w:proofErr w:type="spellEnd"/>
            <w:r w:rsidRPr="009E79EF">
              <w:rPr>
                <w:rFonts w:ascii="Arial Narrow" w:hAnsi="Arial Narrow"/>
                <w:color w:val="000000"/>
                <w:sz w:val="20"/>
                <w:lang w:val="en-US" w:eastAsia="en-US"/>
              </w:rPr>
              <w:t xml:space="preserve"> </w:t>
            </w:r>
            <w:proofErr w:type="spellStart"/>
            <w:r w:rsidRPr="009E79EF">
              <w:rPr>
                <w:rFonts w:ascii="Arial Narrow" w:hAnsi="Arial Narrow"/>
                <w:color w:val="000000"/>
                <w:sz w:val="20"/>
                <w:lang w:val="en-US" w:eastAsia="en-US"/>
              </w:rPr>
              <w:t>hodnoty</w:t>
            </w:r>
            <w:proofErr w:type="spellEnd"/>
            <w:r w:rsidRPr="009E79EF">
              <w:rPr>
                <w:rFonts w:ascii="Arial Narrow" w:hAnsi="Arial Narrow"/>
                <w:color w:val="000000"/>
                <w:sz w:val="20"/>
                <w:lang w:val="en-US" w:eastAsia="en-US"/>
              </w:rPr>
              <w:t xml:space="preserve"> </w:t>
            </w:r>
            <w:proofErr w:type="spellStart"/>
            <w:r w:rsidRPr="009E79EF">
              <w:rPr>
                <w:rFonts w:ascii="Arial Narrow" w:hAnsi="Arial Narrow"/>
                <w:color w:val="000000"/>
                <w:sz w:val="20"/>
                <w:lang w:val="en-US" w:eastAsia="en-US"/>
              </w:rPr>
              <w:t>sú</w:t>
            </w:r>
            <w:proofErr w:type="spellEnd"/>
            <w:r w:rsidRPr="009E79EF">
              <w:rPr>
                <w:rFonts w:ascii="Arial Narrow" w:hAnsi="Arial Narrow"/>
                <w:color w:val="000000"/>
                <w:sz w:val="20"/>
                <w:lang w:val="en-US" w:eastAsia="en-US"/>
              </w:rPr>
              <w:t xml:space="preserve"> </w:t>
            </w:r>
            <w:proofErr w:type="spellStart"/>
            <w:r w:rsidRPr="009E79EF">
              <w:rPr>
                <w:rFonts w:ascii="Arial Narrow" w:hAnsi="Arial Narrow"/>
                <w:color w:val="000000"/>
                <w:sz w:val="20"/>
                <w:lang w:val="en-US" w:eastAsia="en-US"/>
              </w:rPr>
              <w:t>publikované</w:t>
            </w:r>
            <w:proofErr w:type="spellEnd"/>
            <w:r w:rsidRPr="009E79EF">
              <w:rPr>
                <w:rFonts w:ascii="Arial Narrow" w:hAnsi="Arial Narrow"/>
                <w:color w:val="000000"/>
                <w:sz w:val="20"/>
                <w:lang w:val="en-US" w:eastAsia="en-US"/>
              </w:rPr>
              <w:t xml:space="preserve"> v </w:t>
            </w:r>
            <w:proofErr w:type="spellStart"/>
            <w:r w:rsidRPr="009E79EF">
              <w:rPr>
                <w:rFonts w:ascii="Arial Narrow" w:hAnsi="Arial Narrow"/>
                <w:color w:val="000000"/>
                <w:sz w:val="20"/>
                <w:lang w:val="en-US" w:eastAsia="en-US"/>
              </w:rPr>
              <w:t>pravidelne</w:t>
            </w:r>
            <w:proofErr w:type="spellEnd"/>
            <w:r w:rsidRPr="009E79EF">
              <w:rPr>
                <w:rFonts w:ascii="Arial Narrow" w:hAnsi="Arial Narrow"/>
                <w:color w:val="000000"/>
                <w:sz w:val="20"/>
                <w:lang w:val="en-US" w:eastAsia="en-US"/>
              </w:rPr>
              <w:t xml:space="preserve"> </w:t>
            </w:r>
            <w:proofErr w:type="spellStart"/>
            <w:r w:rsidRPr="009E79EF">
              <w:rPr>
                <w:rFonts w:ascii="Arial Narrow" w:hAnsi="Arial Narrow"/>
                <w:color w:val="000000"/>
                <w:sz w:val="20"/>
                <w:lang w:val="en-US" w:eastAsia="en-US"/>
              </w:rPr>
              <w:t>aktualizovanej</w:t>
            </w:r>
            <w:proofErr w:type="spellEnd"/>
            <w:r w:rsidRPr="009E79EF">
              <w:rPr>
                <w:rFonts w:ascii="Arial Narrow" w:hAnsi="Arial Narrow"/>
                <w:color w:val="000000"/>
                <w:sz w:val="20"/>
                <w:lang w:val="en-US" w:eastAsia="en-US"/>
              </w:rPr>
              <w:t xml:space="preserve"> </w:t>
            </w:r>
            <w:proofErr w:type="spellStart"/>
            <w:r w:rsidRPr="009E79EF">
              <w:rPr>
                <w:rFonts w:ascii="Arial Narrow" w:hAnsi="Arial Narrow"/>
                <w:color w:val="000000"/>
                <w:sz w:val="20"/>
                <w:lang w:val="en-US" w:eastAsia="en-US"/>
              </w:rPr>
              <w:t>správe</w:t>
            </w:r>
            <w:proofErr w:type="spellEnd"/>
            <w:r w:rsidRPr="009E79EF">
              <w:rPr>
                <w:rFonts w:ascii="Arial Narrow" w:hAnsi="Arial Narrow"/>
                <w:color w:val="000000"/>
                <w:sz w:val="20"/>
                <w:lang w:val="en-US" w:eastAsia="en-US"/>
              </w:rPr>
              <w:t xml:space="preserve"> </w:t>
            </w:r>
            <w:proofErr w:type="spellStart"/>
            <w:r w:rsidRPr="009E79EF">
              <w:rPr>
                <w:rFonts w:ascii="Arial Narrow" w:hAnsi="Arial Narrow"/>
                <w:color w:val="000000"/>
                <w:sz w:val="20"/>
                <w:lang w:val="en-US" w:eastAsia="en-US"/>
              </w:rPr>
              <w:t>Európskej</w:t>
            </w:r>
            <w:proofErr w:type="spellEnd"/>
            <w:r w:rsidRPr="009E79EF">
              <w:rPr>
                <w:rFonts w:ascii="Arial Narrow" w:hAnsi="Arial Narrow"/>
                <w:color w:val="000000"/>
                <w:sz w:val="20"/>
                <w:lang w:val="en-US" w:eastAsia="en-US"/>
              </w:rPr>
              <w:t xml:space="preserve"> </w:t>
            </w:r>
            <w:proofErr w:type="spellStart"/>
            <w:r w:rsidRPr="009E79EF">
              <w:rPr>
                <w:rFonts w:ascii="Arial Narrow" w:hAnsi="Arial Narrow"/>
                <w:color w:val="000000"/>
                <w:sz w:val="20"/>
                <w:lang w:val="en-US" w:eastAsia="en-US"/>
              </w:rPr>
              <w:t>komisie</w:t>
            </w:r>
            <w:proofErr w:type="spellEnd"/>
            <w:r w:rsidRPr="009E79EF">
              <w:rPr>
                <w:rFonts w:ascii="Arial Narrow" w:hAnsi="Arial Narrow"/>
                <w:color w:val="000000"/>
                <w:sz w:val="20"/>
                <w:lang w:val="en-US" w:eastAsia="en-US"/>
              </w:rPr>
              <w:t xml:space="preserve"> - Ageing report.  </w:t>
            </w:r>
          </w:p>
        </w:tc>
      </w:tr>
      <w:tr w:rsidR="007D2366" w:rsidRPr="00D50DB8" w14:paraId="64EC1F9D" w14:textId="77777777" w:rsidTr="00342E82">
        <w:trPr>
          <w:trHeight w:val="300"/>
          <w:jc w:val="center"/>
        </w:trPr>
        <w:tc>
          <w:tcPr>
            <w:tcW w:w="1826" w:type="dxa"/>
            <w:vMerge/>
            <w:tcBorders>
              <w:top w:val="nil"/>
              <w:left w:val="nil"/>
              <w:bottom w:val="dotted" w:sz="4" w:space="0" w:color="000000"/>
              <w:right w:val="nil"/>
            </w:tcBorders>
            <w:vAlign w:val="center"/>
            <w:hideMark/>
          </w:tcPr>
          <w:p w14:paraId="6CC625D3" w14:textId="77777777" w:rsidR="007D2366" w:rsidRPr="00D50DB8" w:rsidRDefault="007D2366" w:rsidP="00342E82">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08A60A77" w14:textId="77777777" w:rsidR="007D2366" w:rsidRPr="00E9605F" w:rsidRDefault="007D2366" w:rsidP="00342E82">
            <w:pPr>
              <w:spacing w:after="0" w:line="240" w:lineRule="auto"/>
              <w:jc w:val="both"/>
              <w:rPr>
                <w:rFonts w:ascii="Arial Narrow" w:hAnsi="Arial Narrow"/>
                <w:color w:val="000000"/>
                <w:sz w:val="20"/>
                <w:szCs w:val="20"/>
                <w:lang w:val="de-DE" w:eastAsia="en-US"/>
              </w:rPr>
            </w:pPr>
            <w:proofErr w:type="spellStart"/>
            <w:r w:rsidRPr="00E9605F">
              <w:rPr>
                <w:rFonts w:ascii="Arial Narrow" w:hAnsi="Arial Narrow"/>
                <w:color w:val="000000"/>
                <w:sz w:val="20"/>
                <w:szCs w:val="20"/>
                <w:lang w:val="de-DE" w:eastAsia="en-US"/>
              </w:rPr>
              <w:t>Zdroj</w:t>
            </w:r>
            <w:proofErr w:type="spellEnd"/>
            <w:r w:rsidRPr="00E9605F">
              <w:rPr>
                <w:rFonts w:ascii="Arial Narrow" w:hAnsi="Arial Narrow"/>
                <w:color w:val="000000"/>
                <w:sz w:val="20"/>
                <w:szCs w:val="20"/>
                <w:lang w:val="de-DE" w:eastAsia="en-US"/>
              </w:rPr>
              <w:t xml:space="preserve">: </w:t>
            </w:r>
            <w:hyperlink r:id="rId52" w:history="1">
              <w:proofErr w:type="spellStart"/>
              <w:r w:rsidRPr="003C7E7E">
                <w:rPr>
                  <w:rStyle w:val="Hypertextovprepojenie"/>
                  <w:rFonts w:ascii="Arial Narrow" w:hAnsi="Arial Narrow"/>
                  <w:color w:val="2C9ADC"/>
                  <w:sz w:val="20"/>
                  <w:szCs w:val="20"/>
                  <w:lang w:val="de-DE" w:eastAsia="en-US"/>
                </w:rPr>
                <w:t>Ageing</w:t>
              </w:r>
              <w:proofErr w:type="spellEnd"/>
              <w:r w:rsidRPr="003C7E7E">
                <w:rPr>
                  <w:rStyle w:val="Hypertextovprepojenie"/>
                  <w:rFonts w:ascii="Arial Narrow" w:hAnsi="Arial Narrow"/>
                  <w:color w:val="2C9ADC"/>
                  <w:sz w:val="20"/>
                  <w:szCs w:val="20"/>
                  <w:lang w:val="de-DE" w:eastAsia="en-US"/>
                </w:rPr>
                <w:t xml:space="preserve"> </w:t>
              </w:r>
              <w:proofErr w:type="spellStart"/>
              <w:r w:rsidRPr="003C7E7E">
                <w:rPr>
                  <w:rStyle w:val="Hypertextovprepojenie"/>
                  <w:rFonts w:ascii="Arial Narrow" w:hAnsi="Arial Narrow"/>
                  <w:color w:val="2C9ADC"/>
                  <w:sz w:val="20"/>
                  <w:szCs w:val="20"/>
                  <w:lang w:val="de-DE" w:eastAsia="en-US"/>
                </w:rPr>
                <w:t>report</w:t>
              </w:r>
              <w:proofErr w:type="spellEnd"/>
            </w:hyperlink>
            <w:r w:rsidRPr="00E9605F">
              <w:rPr>
                <w:rFonts w:ascii="Arial Narrow" w:hAnsi="Arial Narrow"/>
                <w:color w:val="000000"/>
                <w:sz w:val="20"/>
                <w:szCs w:val="20"/>
                <w:lang w:val="de-DE" w:eastAsia="en-US"/>
              </w:rPr>
              <w:t xml:space="preserve">, </w:t>
            </w:r>
            <w:proofErr w:type="spellStart"/>
            <w:r w:rsidRPr="00E9605F">
              <w:rPr>
                <w:rFonts w:ascii="Arial Narrow" w:hAnsi="Arial Narrow"/>
                <w:color w:val="000000"/>
                <w:sz w:val="20"/>
                <w:szCs w:val="20"/>
                <w:lang w:val="de-DE" w:eastAsia="en-US"/>
              </w:rPr>
              <w:t>Európska</w:t>
            </w:r>
            <w:proofErr w:type="spellEnd"/>
            <w:r w:rsidRPr="00E9605F">
              <w:rPr>
                <w:rFonts w:ascii="Arial Narrow" w:hAnsi="Arial Narrow"/>
                <w:color w:val="000000"/>
                <w:sz w:val="20"/>
                <w:szCs w:val="20"/>
                <w:lang w:val="de-DE" w:eastAsia="en-US"/>
              </w:rPr>
              <w:t xml:space="preserve"> </w:t>
            </w:r>
            <w:proofErr w:type="spellStart"/>
            <w:r w:rsidRPr="00E9605F">
              <w:rPr>
                <w:rFonts w:ascii="Arial Narrow" w:hAnsi="Arial Narrow"/>
                <w:color w:val="000000"/>
                <w:sz w:val="20"/>
                <w:szCs w:val="20"/>
                <w:lang w:val="de-DE" w:eastAsia="en-US"/>
              </w:rPr>
              <w:t>komisia</w:t>
            </w:r>
            <w:proofErr w:type="spellEnd"/>
          </w:p>
        </w:tc>
      </w:tr>
      <w:tr w:rsidR="007D2366" w:rsidRPr="00D50DB8" w14:paraId="17381B21" w14:textId="77777777" w:rsidTr="00342E82">
        <w:trPr>
          <w:trHeight w:val="1275"/>
          <w:jc w:val="center"/>
        </w:trPr>
        <w:tc>
          <w:tcPr>
            <w:tcW w:w="1826" w:type="dxa"/>
            <w:vMerge w:val="restart"/>
            <w:tcBorders>
              <w:top w:val="nil"/>
              <w:left w:val="nil"/>
              <w:bottom w:val="dotted" w:sz="4" w:space="0" w:color="000000"/>
              <w:right w:val="nil"/>
            </w:tcBorders>
            <w:shd w:val="clear" w:color="auto" w:fill="auto"/>
            <w:vAlign w:val="center"/>
            <w:hideMark/>
          </w:tcPr>
          <w:p w14:paraId="5185C691" w14:textId="77777777" w:rsidR="007D2366" w:rsidRPr="00D50DB8" w:rsidRDefault="007D2366" w:rsidP="00342E82">
            <w:pPr>
              <w:spacing w:after="0" w:line="240" w:lineRule="auto"/>
              <w:rPr>
                <w:rFonts w:ascii="Arial Narrow" w:hAnsi="Arial Narrow"/>
                <w:b/>
                <w:bCs/>
                <w:color w:val="000000"/>
                <w:sz w:val="20"/>
                <w:szCs w:val="20"/>
                <w:lang w:val="en-US" w:eastAsia="en-US"/>
              </w:rPr>
            </w:pPr>
            <w:r w:rsidRPr="00D50DB8">
              <w:rPr>
                <w:rFonts w:ascii="Arial Narrow" w:hAnsi="Arial Narrow"/>
                <w:b/>
                <w:bCs/>
                <w:color w:val="000000"/>
                <w:sz w:val="20"/>
                <w:szCs w:val="20"/>
                <w:lang w:val="en-US" w:eastAsia="en-US"/>
              </w:rPr>
              <w:t>Doing Business</w:t>
            </w:r>
          </w:p>
        </w:tc>
        <w:tc>
          <w:tcPr>
            <w:tcW w:w="8380" w:type="dxa"/>
            <w:tcBorders>
              <w:top w:val="nil"/>
              <w:left w:val="nil"/>
              <w:bottom w:val="nil"/>
              <w:right w:val="nil"/>
            </w:tcBorders>
            <w:shd w:val="clear" w:color="auto" w:fill="auto"/>
            <w:vAlign w:val="center"/>
            <w:hideMark/>
          </w:tcPr>
          <w:p w14:paraId="141F7E2C" w14:textId="77777777" w:rsidR="007D2366" w:rsidRPr="00D50DB8" w:rsidRDefault="007D2366" w:rsidP="00342E82">
            <w:pPr>
              <w:spacing w:after="0" w:line="240" w:lineRule="auto"/>
              <w:jc w:val="both"/>
              <w:rPr>
                <w:rFonts w:ascii="Arial Narrow" w:hAnsi="Arial Narrow"/>
                <w:color w:val="000000"/>
                <w:sz w:val="20"/>
                <w:szCs w:val="20"/>
                <w:lang w:val="en-US" w:eastAsia="en-US"/>
              </w:rPr>
            </w:pPr>
            <w:proofErr w:type="spellStart"/>
            <w:r w:rsidRPr="00D50DB8">
              <w:rPr>
                <w:rFonts w:ascii="Arial Narrow" w:hAnsi="Arial Narrow"/>
                <w:color w:val="000000"/>
                <w:sz w:val="20"/>
                <w:szCs w:val="20"/>
                <w:lang w:val="en-US" w:eastAsia="en-US"/>
              </w:rPr>
              <w:t>Poradie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krajiny</w:t>
            </w:r>
            <w:proofErr w:type="spellEnd"/>
            <w:r w:rsidRPr="00D50DB8">
              <w:rPr>
                <w:rFonts w:ascii="Arial Narrow" w:hAnsi="Arial Narrow"/>
                <w:color w:val="000000"/>
                <w:sz w:val="20"/>
                <w:szCs w:val="20"/>
                <w:lang w:val="en-US" w:eastAsia="en-US"/>
              </w:rPr>
              <w:t xml:space="preserve"> v </w:t>
            </w:r>
            <w:proofErr w:type="spellStart"/>
            <w:r w:rsidRPr="00D50DB8">
              <w:rPr>
                <w:rFonts w:ascii="Arial Narrow" w:hAnsi="Arial Narrow"/>
                <w:color w:val="000000"/>
                <w:sz w:val="20"/>
                <w:szCs w:val="20"/>
                <w:lang w:val="en-US" w:eastAsia="en-US"/>
              </w:rPr>
              <w:t>rebríčku</w:t>
            </w:r>
            <w:proofErr w:type="spellEnd"/>
            <w:r w:rsidRPr="00D50DB8">
              <w:rPr>
                <w:rFonts w:ascii="Arial Narrow" w:hAnsi="Arial Narrow"/>
                <w:color w:val="000000"/>
                <w:sz w:val="20"/>
                <w:szCs w:val="20"/>
                <w:lang w:val="en-US" w:eastAsia="en-US"/>
              </w:rPr>
              <w:t xml:space="preserve"> Doing Business, </w:t>
            </w:r>
            <w:proofErr w:type="spellStart"/>
            <w:r w:rsidRPr="00D50DB8">
              <w:rPr>
                <w:rFonts w:ascii="Arial Narrow" w:hAnsi="Arial Narrow"/>
                <w:color w:val="000000"/>
                <w:sz w:val="20"/>
                <w:szCs w:val="20"/>
                <w:lang w:val="en-US" w:eastAsia="en-US"/>
              </w:rPr>
              <w:t>ktorý</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meria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reguláciu</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domácich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malých</w:t>
            </w:r>
            <w:proofErr w:type="spellEnd"/>
            <w:r w:rsidRPr="00D50DB8">
              <w:rPr>
                <w:rFonts w:ascii="Arial Narrow" w:hAnsi="Arial Narrow"/>
                <w:color w:val="000000"/>
                <w:sz w:val="20"/>
                <w:szCs w:val="20"/>
                <w:lang w:val="en-US" w:eastAsia="en-US"/>
              </w:rPr>
              <w:t xml:space="preserve"> a </w:t>
            </w:r>
            <w:proofErr w:type="spellStart"/>
            <w:r w:rsidRPr="00D50DB8">
              <w:rPr>
                <w:rFonts w:ascii="Arial Narrow" w:hAnsi="Arial Narrow"/>
                <w:color w:val="000000"/>
                <w:sz w:val="20"/>
                <w:szCs w:val="20"/>
                <w:lang w:val="en-US" w:eastAsia="en-US"/>
              </w:rPr>
              <w:t>stredných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firiem</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počas</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deviatich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fáz</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ich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životného</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cyklu</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začiatok</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podnikania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vybavovanie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stavebného</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povolenia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registrácia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vlastníctva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získanie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úveru</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ochrana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investorov</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platenie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daní</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obchodovanie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za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hranicami</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vymáhanie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zmlúv</w:t>
            </w:r>
            <w:proofErr w:type="spellEnd"/>
            <w:r w:rsidRPr="00D50DB8">
              <w:rPr>
                <w:rFonts w:ascii="Arial Narrow" w:hAnsi="Arial Narrow"/>
                <w:color w:val="000000"/>
                <w:sz w:val="20"/>
                <w:szCs w:val="20"/>
                <w:lang w:val="en-US" w:eastAsia="en-US"/>
              </w:rPr>
              <w:t xml:space="preserve"> a </w:t>
            </w:r>
            <w:proofErr w:type="spellStart"/>
            <w:r w:rsidRPr="00D50DB8">
              <w:rPr>
                <w:rFonts w:ascii="Arial Narrow" w:hAnsi="Arial Narrow"/>
                <w:color w:val="000000"/>
                <w:sz w:val="20"/>
                <w:szCs w:val="20"/>
                <w:lang w:val="en-US" w:eastAsia="en-US"/>
              </w:rPr>
              <w:t>ukončenie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podnikania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Dáta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sú</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založené</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prevažne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na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domácich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zákonoch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rôznych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iných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reguláciách</w:t>
            </w:r>
            <w:proofErr w:type="spellEnd"/>
            <w:r w:rsidRPr="00D50DB8">
              <w:rPr>
                <w:rFonts w:ascii="Arial Narrow" w:hAnsi="Arial Narrow"/>
                <w:color w:val="000000"/>
                <w:sz w:val="20"/>
                <w:szCs w:val="20"/>
                <w:lang w:val="en-US" w:eastAsia="en-US"/>
              </w:rPr>
              <w:t xml:space="preserve"> a </w:t>
            </w:r>
            <w:proofErr w:type="spellStart"/>
            <w:r w:rsidRPr="00D50DB8">
              <w:rPr>
                <w:rFonts w:ascii="Arial Narrow" w:hAnsi="Arial Narrow"/>
                <w:color w:val="000000"/>
                <w:sz w:val="20"/>
                <w:szCs w:val="20"/>
                <w:lang w:val="en-US" w:eastAsia="en-US"/>
              </w:rPr>
              <w:t>administratívnych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požiadavkách</w:t>
            </w:r>
            <w:proofErr w:type="spellEnd"/>
            <w:r w:rsidRPr="00D50DB8">
              <w:rPr>
                <w:rFonts w:ascii="Arial Narrow" w:hAnsi="Arial Narrow"/>
                <w:color w:val="000000"/>
                <w:sz w:val="20"/>
                <w:szCs w:val="20"/>
                <w:lang w:val="en-US" w:eastAsia="en-US"/>
              </w:rPr>
              <w:t xml:space="preserve">. </w:t>
            </w:r>
          </w:p>
        </w:tc>
      </w:tr>
      <w:tr w:rsidR="007D2366" w:rsidRPr="00D50DB8" w14:paraId="2DA02D10" w14:textId="77777777" w:rsidTr="00342E82">
        <w:trPr>
          <w:trHeight w:val="300"/>
          <w:jc w:val="center"/>
        </w:trPr>
        <w:tc>
          <w:tcPr>
            <w:tcW w:w="1826" w:type="dxa"/>
            <w:vMerge/>
            <w:tcBorders>
              <w:top w:val="nil"/>
              <w:left w:val="nil"/>
              <w:bottom w:val="dotted" w:sz="4" w:space="0" w:color="000000"/>
              <w:right w:val="nil"/>
            </w:tcBorders>
            <w:vAlign w:val="center"/>
            <w:hideMark/>
          </w:tcPr>
          <w:p w14:paraId="5E757CDB" w14:textId="77777777" w:rsidR="007D2366" w:rsidRPr="00D50DB8" w:rsidRDefault="007D2366" w:rsidP="00342E82">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5C43BC6B" w14:textId="77777777" w:rsidR="007D2366" w:rsidRPr="00D50DB8" w:rsidRDefault="007D2366" w:rsidP="00342E82">
            <w:pPr>
              <w:spacing w:after="0" w:line="240" w:lineRule="auto"/>
              <w:jc w:val="both"/>
              <w:rPr>
                <w:rFonts w:ascii="Arial Narrow" w:hAnsi="Arial Narrow"/>
                <w:color w:val="000000"/>
                <w:sz w:val="20"/>
                <w:szCs w:val="20"/>
                <w:lang w:val="en-US" w:eastAsia="en-US"/>
              </w:rPr>
            </w:pPr>
            <w:proofErr w:type="spellStart"/>
            <w:r w:rsidRPr="00D50DB8">
              <w:rPr>
                <w:rFonts w:ascii="Arial Narrow" w:hAnsi="Arial Narrow"/>
                <w:color w:val="000000"/>
                <w:sz w:val="20"/>
                <w:szCs w:val="20"/>
                <w:lang w:val="en-US" w:eastAsia="en-US"/>
              </w:rPr>
              <w:t>Zdroj</w:t>
            </w:r>
            <w:proofErr w:type="spellEnd"/>
            <w:r w:rsidRPr="00D50DB8">
              <w:rPr>
                <w:rFonts w:ascii="Arial Narrow" w:hAnsi="Arial Narrow"/>
                <w:color w:val="000000"/>
                <w:sz w:val="20"/>
                <w:szCs w:val="20"/>
                <w:lang w:val="en-US" w:eastAsia="en-US"/>
              </w:rPr>
              <w:t>:</w:t>
            </w:r>
            <w:r w:rsidRPr="003C7E7E">
              <w:rPr>
                <w:rFonts w:ascii="Arial Narrow" w:hAnsi="Arial Narrow"/>
                <w:color w:val="2C9ADC"/>
                <w:sz w:val="20"/>
                <w:szCs w:val="20"/>
                <w:lang w:val="en-US" w:eastAsia="en-US"/>
              </w:rPr>
              <w:t xml:space="preserve"> </w:t>
            </w:r>
            <w:hyperlink r:id="rId53" w:history="1">
              <w:proofErr w:type="spellStart"/>
              <w:r w:rsidRPr="003C7E7E">
                <w:rPr>
                  <w:rStyle w:val="Hypertextovprepojenie"/>
                  <w:rFonts w:ascii="Arial Narrow" w:hAnsi="Arial Narrow"/>
                  <w:color w:val="2C9ADC"/>
                  <w:sz w:val="20"/>
                  <w:szCs w:val="20"/>
                  <w:lang w:val="en-US" w:eastAsia="en-US"/>
                </w:rPr>
                <w:t>Svetová</w:t>
              </w:r>
              <w:proofErr w:type="spellEnd"/>
              <w:r w:rsidRPr="003C7E7E">
                <w:rPr>
                  <w:rStyle w:val="Hypertextovprepojenie"/>
                  <w:rFonts w:ascii="Arial Narrow" w:hAnsi="Arial Narrow"/>
                  <w:color w:val="2C9ADC"/>
                  <w:sz w:val="20"/>
                  <w:szCs w:val="20"/>
                  <w:lang w:val="en-US" w:eastAsia="en-US"/>
                </w:rPr>
                <w:t xml:space="preserve"> </w:t>
              </w:r>
              <w:proofErr w:type="spellStart"/>
              <w:r w:rsidRPr="003C7E7E">
                <w:rPr>
                  <w:rStyle w:val="Hypertextovprepojenie"/>
                  <w:rFonts w:ascii="Arial Narrow" w:hAnsi="Arial Narrow"/>
                  <w:color w:val="2C9ADC"/>
                  <w:sz w:val="20"/>
                  <w:szCs w:val="20"/>
                  <w:lang w:val="en-US" w:eastAsia="en-US"/>
                </w:rPr>
                <w:t>banka</w:t>
              </w:r>
              <w:proofErr w:type="spellEnd"/>
            </w:hyperlink>
          </w:p>
        </w:tc>
      </w:tr>
      <w:tr w:rsidR="007D2366" w:rsidRPr="00D50DB8" w14:paraId="1E3F70C5" w14:textId="77777777" w:rsidTr="00342E82">
        <w:trPr>
          <w:trHeight w:val="1020"/>
          <w:jc w:val="center"/>
        </w:trPr>
        <w:tc>
          <w:tcPr>
            <w:tcW w:w="1826" w:type="dxa"/>
            <w:vMerge w:val="restart"/>
            <w:tcBorders>
              <w:top w:val="nil"/>
              <w:left w:val="nil"/>
              <w:bottom w:val="dotted" w:sz="4" w:space="0" w:color="000000"/>
              <w:right w:val="nil"/>
            </w:tcBorders>
            <w:shd w:val="clear" w:color="auto" w:fill="auto"/>
            <w:vAlign w:val="center"/>
            <w:hideMark/>
          </w:tcPr>
          <w:p w14:paraId="74ED90A2" w14:textId="77777777" w:rsidR="007D2366" w:rsidRPr="00D50DB8" w:rsidRDefault="007D2366" w:rsidP="00342E82">
            <w:pPr>
              <w:spacing w:after="0" w:line="240" w:lineRule="auto"/>
              <w:rPr>
                <w:rFonts w:ascii="Arial Narrow" w:hAnsi="Arial Narrow"/>
                <w:b/>
                <w:bCs/>
                <w:color w:val="000000"/>
                <w:sz w:val="20"/>
                <w:szCs w:val="20"/>
                <w:lang w:val="en-US" w:eastAsia="en-US"/>
              </w:rPr>
            </w:pPr>
            <w:r w:rsidRPr="00D50DB8">
              <w:rPr>
                <w:rFonts w:ascii="Arial Narrow" w:hAnsi="Arial Narrow"/>
                <w:b/>
                <w:bCs/>
                <w:color w:val="000000"/>
                <w:sz w:val="20"/>
                <w:szCs w:val="20"/>
                <w:lang w:val="en-US" w:eastAsia="en-US"/>
              </w:rPr>
              <w:t xml:space="preserve">Index </w:t>
            </w:r>
            <w:proofErr w:type="spellStart"/>
            <w:r w:rsidRPr="00D50DB8">
              <w:rPr>
                <w:rFonts w:ascii="Arial Narrow" w:hAnsi="Arial Narrow"/>
                <w:b/>
                <w:bCs/>
                <w:color w:val="000000"/>
                <w:sz w:val="20"/>
                <w:szCs w:val="20"/>
                <w:lang w:val="en-US" w:eastAsia="en-US"/>
              </w:rPr>
              <w:t>regulácie</w:t>
            </w:r>
            <w:proofErr w:type="spellEnd"/>
            <w:r w:rsidRPr="00D50DB8">
              <w:rPr>
                <w:rFonts w:ascii="Arial Narrow" w:hAnsi="Arial Narrow"/>
                <w:b/>
                <w:bCs/>
                <w:color w:val="000000"/>
                <w:sz w:val="20"/>
                <w:szCs w:val="20"/>
                <w:lang w:val="en-US" w:eastAsia="en-US"/>
              </w:rPr>
              <w:t xml:space="preserve"> </w:t>
            </w:r>
            <w:proofErr w:type="spellStart"/>
            <w:r w:rsidRPr="00D50DB8">
              <w:rPr>
                <w:rFonts w:ascii="Arial Narrow" w:hAnsi="Arial Narrow"/>
                <w:b/>
                <w:bCs/>
                <w:color w:val="000000"/>
                <w:sz w:val="20"/>
                <w:szCs w:val="20"/>
                <w:lang w:val="en-US" w:eastAsia="en-US"/>
              </w:rPr>
              <w:t>trhu</w:t>
            </w:r>
            <w:proofErr w:type="spellEnd"/>
            <w:r w:rsidRPr="00D50DB8">
              <w:rPr>
                <w:rFonts w:ascii="Arial Narrow" w:hAnsi="Arial Narrow"/>
                <w:b/>
                <w:bCs/>
                <w:color w:val="000000"/>
                <w:sz w:val="20"/>
                <w:szCs w:val="20"/>
                <w:lang w:val="en-US" w:eastAsia="en-US"/>
              </w:rPr>
              <w:t xml:space="preserve"> </w:t>
            </w:r>
            <w:proofErr w:type="spellStart"/>
            <w:r w:rsidRPr="00D50DB8">
              <w:rPr>
                <w:rFonts w:ascii="Arial Narrow" w:hAnsi="Arial Narrow"/>
                <w:b/>
                <w:bCs/>
                <w:color w:val="000000"/>
                <w:sz w:val="20"/>
                <w:szCs w:val="20"/>
                <w:lang w:val="en-US" w:eastAsia="en-US"/>
              </w:rPr>
              <w:t>produktov</w:t>
            </w:r>
            <w:proofErr w:type="spellEnd"/>
          </w:p>
        </w:tc>
        <w:tc>
          <w:tcPr>
            <w:tcW w:w="8380" w:type="dxa"/>
            <w:tcBorders>
              <w:top w:val="nil"/>
              <w:left w:val="nil"/>
              <w:bottom w:val="nil"/>
              <w:right w:val="nil"/>
            </w:tcBorders>
            <w:shd w:val="clear" w:color="auto" w:fill="auto"/>
            <w:vAlign w:val="center"/>
            <w:hideMark/>
          </w:tcPr>
          <w:p w14:paraId="58D27E2D" w14:textId="77777777" w:rsidR="007D2366" w:rsidRPr="00D50DB8" w:rsidRDefault="007D2366" w:rsidP="00342E82">
            <w:pPr>
              <w:spacing w:after="0" w:line="240" w:lineRule="auto"/>
              <w:jc w:val="both"/>
              <w:rPr>
                <w:rFonts w:ascii="Arial Narrow" w:hAnsi="Arial Narrow"/>
                <w:color w:val="000000"/>
                <w:sz w:val="20"/>
                <w:szCs w:val="20"/>
                <w:lang w:val="en-US" w:eastAsia="en-US"/>
              </w:rPr>
            </w:pPr>
            <w:proofErr w:type="spellStart"/>
            <w:r w:rsidRPr="00D50DB8">
              <w:rPr>
                <w:rFonts w:ascii="Arial Narrow" w:hAnsi="Arial Narrow"/>
                <w:color w:val="000000"/>
                <w:sz w:val="20"/>
                <w:szCs w:val="20"/>
                <w:lang w:val="en-US" w:eastAsia="en-US"/>
              </w:rPr>
              <w:t>Hodnotenie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krajiny</w:t>
            </w:r>
            <w:proofErr w:type="spellEnd"/>
            <w:r w:rsidRPr="00D50DB8">
              <w:rPr>
                <w:rFonts w:ascii="Arial Narrow" w:hAnsi="Arial Narrow"/>
                <w:color w:val="000000"/>
                <w:sz w:val="20"/>
                <w:szCs w:val="20"/>
                <w:lang w:val="en-US" w:eastAsia="en-US"/>
              </w:rPr>
              <w:t xml:space="preserve"> v </w:t>
            </w:r>
            <w:proofErr w:type="spellStart"/>
            <w:r w:rsidRPr="00D50DB8">
              <w:rPr>
                <w:rFonts w:ascii="Arial Narrow" w:hAnsi="Arial Narrow"/>
                <w:color w:val="000000"/>
                <w:sz w:val="20"/>
                <w:szCs w:val="20"/>
                <w:lang w:val="en-US" w:eastAsia="en-US"/>
              </w:rPr>
              <w:t>Indexe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regulácie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trhu</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produktov</w:t>
            </w:r>
            <w:proofErr w:type="spellEnd"/>
            <w:r w:rsidRPr="00D50DB8">
              <w:rPr>
                <w:rFonts w:ascii="Arial Narrow" w:hAnsi="Arial Narrow"/>
                <w:color w:val="000000"/>
                <w:sz w:val="20"/>
                <w:szCs w:val="20"/>
                <w:lang w:val="en-US" w:eastAsia="en-US"/>
              </w:rPr>
              <w:t xml:space="preserve"> (Product Market Regulation Index). </w:t>
            </w:r>
            <w:proofErr w:type="spellStart"/>
            <w:r w:rsidRPr="00D50DB8">
              <w:rPr>
                <w:rFonts w:ascii="Arial Narrow" w:hAnsi="Arial Narrow"/>
                <w:color w:val="000000"/>
                <w:sz w:val="20"/>
                <w:szCs w:val="20"/>
                <w:lang w:val="en-US" w:eastAsia="en-US"/>
              </w:rPr>
              <w:t>Meria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reguláciu</w:t>
            </w:r>
            <w:proofErr w:type="spellEnd"/>
            <w:r w:rsidRPr="00D50DB8">
              <w:rPr>
                <w:rFonts w:ascii="Arial Narrow" w:hAnsi="Arial Narrow"/>
                <w:color w:val="000000"/>
                <w:sz w:val="20"/>
                <w:szCs w:val="20"/>
                <w:lang w:val="en-US" w:eastAsia="en-US"/>
              </w:rPr>
              <w:t xml:space="preserve"> a </w:t>
            </w:r>
            <w:proofErr w:type="spellStart"/>
            <w:r w:rsidRPr="00D50DB8">
              <w:rPr>
                <w:rFonts w:ascii="Arial Narrow" w:hAnsi="Arial Narrow"/>
                <w:color w:val="000000"/>
                <w:sz w:val="20"/>
                <w:szCs w:val="20"/>
                <w:lang w:val="en-US" w:eastAsia="en-US"/>
              </w:rPr>
              <w:t>bariéry</w:t>
            </w:r>
            <w:proofErr w:type="spellEnd"/>
            <w:r w:rsidRPr="00D50DB8">
              <w:rPr>
                <w:rFonts w:ascii="Arial Narrow" w:hAnsi="Arial Narrow"/>
                <w:color w:val="000000"/>
                <w:sz w:val="20"/>
                <w:szCs w:val="20"/>
                <w:lang w:val="en-US" w:eastAsia="en-US"/>
              </w:rPr>
              <w:t xml:space="preserve"> v troch </w:t>
            </w:r>
            <w:proofErr w:type="spellStart"/>
            <w:r w:rsidRPr="00D50DB8">
              <w:rPr>
                <w:rFonts w:ascii="Arial Narrow" w:hAnsi="Arial Narrow"/>
                <w:color w:val="000000"/>
                <w:sz w:val="20"/>
                <w:szCs w:val="20"/>
                <w:lang w:val="en-US" w:eastAsia="en-US"/>
              </w:rPr>
              <w:t>oblastiach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štátna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kontrola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bariéry</w:t>
            </w:r>
            <w:proofErr w:type="spellEnd"/>
            <w:r w:rsidRPr="00D50DB8">
              <w:rPr>
                <w:rFonts w:ascii="Arial Narrow" w:hAnsi="Arial Narrow"/>
                <w:color w:val="000000"/>
                <w:sz w:val="20"/>
                <w:szCs w:val="20"/>
                <w:lang w:val="en-US" w:eastAsia="en-US"/>
              </w:rPr>
              <w:t xml:space="preserve"> v </w:t>
            </w:r>
            <w:proofErr w:type="spellStart"/>
            <w:r w:rsidRPr="00D50DB8">
              <w:rPr>
                <w:rFonts w:ascii="Arial Narrow" w:hAnsi="Arial Narrow"/>
                <w:color w:val="000000"/>
                <w:sz w:val="20"/>
                <w:szCs w:val="20"/>
                <w:lang w:val="en-US" w:eastAsia="en-US"/>
              </w:rPr>
              <w:t>podnikaní</w:t>
            </w:r>
            <w:proofErr w:type="spellEnd"/>
            <w:r w:rsidRPr="00D50DB8">
              <w:rPr>
                <w:rFonts w:ascii="Arial Narrow" w:hAnsi="Arial Narrow"/>
                <w:color w:val="000000"/>
                <w:sz w:val="20"/>
                <w:szCs w:val="20"/>
                <w:lang w:val="en-US" w:eastAsia="en-US"/>
              </w:rPr>
              <w:t xml:space="preserve"> a </w:t>
            </w:r>
            <w:proofErr w:type="spellStart"/>
            <w:r w:rsidRPr="00D50DB8">
              <w:rPr>
                <w:rFonts w:ascii="Arial Narrow" w:hAnsi="Arial Narrow"/>
                <w:color w:val="000000"/>
                <w:sz w:val="20"/>
                <w:szCs w:val="20"/>
                <w:lang w:val="en-US" w:eastAsia="en-US"/>
              </w:rPr>
              <w:t>bariéry</w:t>
            </w:r>
            <w:proofErr w:type="spellEnd"/>
            <w:r w:rsidRPr="00D50DB8">
              <w:rPr>
                <w:rFonts w:ascii="Arial Narrow" w:hAnsi="Arial Narrow"/>
                <w:color w:val="000000"/>
                <w:sz w:val="20"/>
                <w:szCs w:val="20"/>
                <w:lang w:val="en-US" w:eastAsia="en-US"/>
              </w:rPr>
              <w:t xml:space="preserve"> pre </w:t>
            </w:r>
            <w:proofErr w:type="spellStart"/>
            <w:r w:rsidRPr="00D50DB8">
              <w:rPr>
                <w:rFonts w:ascii="Arial Narrow" w:hAnsi="Arial Narrow"/>
                <w:color w:val="000000"/>
                <w:sz w:val="20"/>
                <w:szCs w:val="20"/>
                <w:lang w:val="en-US" w:eastAsia="en-US"/>
              </w:rPr>
              <w:t>obchod</w:t>
            </w:r>
            <w:proofErr w:type="spellEnd"/>
            <w:r w:rsidRPr="00D50DB8">
              <w:rPr>
                <w:rFonts w:ascii="Arial Narrow" w:hAnsi="Arial Narrow"/>
                <w:color w:val="000000"/>
                <w:sz w:val="20"/>
                <w:szCs w:val="20"/>
                <w:lang w:val="en-US" w:eastAsia="en-US"/>
              </w:rPr>
              <w:t xml:space="preserve"> a </w:t>
            </w:r>
            <w:proofErr w:type="spellStart"/>
            <w:r w:rsidRPr="00D50DB8">
              <w:rPr>
                <w:rFonts w:ascii="Arial Narrow" w:hAnsi="Arial Narrow"/>
                <w:color w:val="000000"/>
                <w:sz w:val="20"/>
                <w:szCs w:val="20"/>
                <w:lang w:val="en-US" w:eastAsia="en-US"/>
              </w:rPr>
              <w:t>investície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každá</w:t>
            </w:r>
            <w:proofErr w:type="spellEnd"/>
            <w:r w:rsidRPr="00D50DB8">
              <w:rPr>
                <w:rFonts w:ascii="Arial Narrow" w:hAnsi="Arial Narrow"/>
                <w:color w:val="000000"/>
                <w:sz w:val="20"/>
                <w:szCs w:val="20"/>
                <w:lang w:val="en-US" w:eastAsia="en-US"/>
              </w:rPr>
              <w:t xml:space="preserve"> s </w:t>
            </w:r>
            <w:proofErr w:type="spellStart"/>
            <w:r w:rsidRPr="00D50DB8">
              <w:rPr>
                <w:rFonts w:ascii="Arial Narrow" w:hAnsi="Arial Narrow"/>
                <w:color w:val="000000"/>
                <w:sz w:val="20"/>
                <w:szCs w:val="20"/>
                <w:lang w:val="en-US" w:eastAsia="en-US"/>
              </w:rPr>
              <w:t>tretinovou</w:t>
            </w:r>
            <w:proofErr w:type="spellEnd"/>
            <w:r w:rsidRPr="00D50DB8">
              <w:rPr>
                <w:rFonts w:ascii="Arial Narrow" w:hAnsi="Arial Narrow"/>
                <w:color w:val="000000"/>
                <w:sz w:val="20"/>
                <w:szCs w:val="20"/>
                <w:lang w:val="en-US" w:eastAsia="en-US"/>
              </w:rPr>
              <w:t> </w:t>
            </w:r>
            <w:proofErr w:type="spellStart"/>
            <w:r w:rsidRPr="00D50DB8">
              <w:rPr>
                <w:rFonts w:ascii="Arial Narrow" w:hAnsi="Arial Narrow"/>
                <w:color w:val="000000"/>
                <w:sz w:val="20"/>
                <w:szCs w:val="20"/>
                <w:lang w:val="en-US" w:eastAsia="en-US"/>
              </w:rPr>
              <w:t>váhou</w:t>
            </w:r>
            <w:proofErr w:type="spellEnd"/>
            <w:r w:rsidRPr="00D50DB8">
              <w:rPr>
                <w:rFonts w:ascii="Arial Narrow" w:hAnsi="Arial Narrow"/>
                <w:color w:val="000000"/>
                <w:sz w:val="20"/>
                <w:szCs w:val="20"/>
                <w:lang w:val="en-US" w:eastAsia="en-US"/>
              </w:rPr>
              <w:t xml:space="preserve">). Index </w:t>
            </w:r>
            <w:proofErr w:type="spellStart"/>
            <w:r w:rsidRPr="00D50DB8">
              <w:rPr>
                <w:rFonts w:ascii="Arial Narrow" w:hAnsi="Arial Narrow"/>
                <w:color w:val="000000"/>
                <w:sz w:val="20"/>
                <w:szCs w:val="20"/>
                <w:lang w:val="en-US" w:eastAsia="en-US"/>
              </w:rPr>
              <w:t>regulácie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trhu</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produktov</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sa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nezameriava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len</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na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podnikateľskú</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činnosť</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bežných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podnikov</w:t>
            </w:r>
            <w:proofErr w:type="spellEnd"/>
            <w:r w:rsidRPr="00D50DB8">
              <w:rPr>
                <w:rFonts w:ascii="Arial Narrow" w:hAnsi="Arial Narrow"/>
                <w:color w:val="000000"/>
                <w:sz w:val="20"/>
                <w:szCs w:val="20"/>
                <w:lang w:val="en-US" w:eastAsia="en-US"/>
              </w:rPr>
              <w:t xml:space="preserve">, ale </w:t>
            </w:r>
            <w:proofErr w:type="spellStart"/>
            <w:r w:rsidRPr="00D50DB8">
              <w:rPr>
                <w:rFonts w:ascii="Arial Narrow" w:hAnsi="Arial Narrow"/>
                <w:color w:val="000000"/>
                <w:sz w:val="20"/>
                <w:szCs w:val="20"/>
                <w:lang w:val="en-US" w:eastAsia="en-US"/>
              </w:rPr>
              <w:t>meria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širšiu</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reguláciu</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napr</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regulácia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sieťových</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odvetví</w:t>
            </w:r>
            <w:proofErr w:type="spellEnd"/>
            <w:r w:rsidRPr="00D50DB8">
              <w:rPr>
                <w:rFonts w:ascii="Arial Narrow" w:hAnsi="Arial Narrow"/>
                <w:color w:val="000000"/>
                <w:sz w:val="20"/>
                <w:szCs w:val="20"/>
                <w:lang w:val="en-US" w:eastAsia="en-US"/>
              </w:rPr>
              <w:t>).</w:t>
            </w:r>
          </w:p>
        </w:tc>
      </w:tr>
      <w:tr w:rsidR="007D2366" w:rsidRPr="00D50DB8" w14:paraId="027D44D5" w14:textId="77777777" w:rsidTr="00342E82">
        <w:trPr>
          <w:trHeight w:val="300"/>
          <w:jc w:val="center"/>
        </w:trPr>
        <w:tc>
          <w:tcPr>
            <w:tcW w:w="1826" w:type="dxa"/>
            <w:vMerge/>
            <w:tcBorders>
              <w:top w:val="nil"/>
              <w:left w:val="nil"/>
              <w:bottom w:val="dotted" w:sz="4" w:space="0" w:color="000000"/>
              <w:right w:val="nil"/>
            </w:tcBorders>
            <w:vAlign w:val="center"/>
            <w:hideMark/>
          </w:tcPr>
          <w:p w14:paraId="02D6090A" w14:textId="77777777" w:rsidR="007D2366" w:rsidRPr="00D50DB8" w:rsidRDefault="007D2366" w:rsidP="00342E82">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68258572" w14:textId="77777777" w:rsidR="007D2366" w:rsidRPr="00D50DB8" w:rsidRDefault="007D2366" w:rsidP="00342E82">
            <w:pPr>
              <w:spacing w:after="0" w:line="240" w:lineRule="auto"/>
              <w:jc w:val="both"/>
              <w:rPr>
                <w:rFonts w:ascii="Arial Narrow" w:hAnsi="Arial Narrow"/>
                <w:color w:val="000000"/>
                <w:sz w:val="20"/>
                <w:szCs w:val="20"/>
                <w:lang w:val="en-US" w:eastAsia="en-US"/>
              </w:rPr>
            </w:pPr>
            <w:proofErr w:type="spellStart"/>
            <w:r w:rsidRPr="00D50DB8">
              <w:rPr>
                <w:rFonts w:ascii="Arial Narrow" w:hAnsi="Arial Narrow"/>
                <w:color w:val="000000"/>
                <w:sz w:val="20"/>
                <w:szCs w:val="20"/>
                <w:lang w:val="en-US" w:eastAsia="en-US"/>
              </w:rPr>
              <w:t>Zdroj</w:t>
            </w:r>
            <w:proofErr w:type="spellEnd"/>
            <w:r w:rsidRPr="00D50DB8">
              <w:rPr>
                <w:rFonts w:ascii="Arial Narrow" w:hAnsi="Arial Narrow"/>
                <w:color w:val="000000"/>
                <w:sz w:val="20"/>
                <w:szCs w:val="20"/>
                <w:lang w:val="en-US" w:eastAsia="en-US"/>
              </w:rPr>
              <w:t>: OECD</w:t>
            </w:r>
          </w:p>
        </w:tc>
      </w:tr>
      <w:tr w:rsidR="007D2366" w:rsidRPr="00D50DB8" w14:paraId="460574AD" w14:textId="77777777" w:rsidTr="00342E82">
        <w:trPr>
          <w:trHeight w:val="300"/>
          <w:jc w:val="center"/>
        </w:trPr>
        <w:tc>
          <w:tcPr>
            <w:tcW w:w="1826" w:type="dxa"/>
            <w:vMerge w:val="restart"/>
            <w:tcBorders>
              <w:top w:val="nil"/>
              <w:left w:val="nil"/>
              <w:bottom w:val="dotted" w:sz="4" w:space="0" w:color="000000"/>
              <w:right w:val="nil"/>
            </w:tcBorders>
            <w:shd w:val="clear" w:color="auto" w:fill="auto"/>
            <w:vAlign w:val="center"/>
            <w:hideMark/>
          </w:tcPr>
          <w:p w14:paraId="1AC63E67" w14:textId="77777777" w:rsidR="007D2366" w:rsidRPr="00D50DB8" w:rsidRDefault="007D2366" w:rsidP="00342E82">
            <w:pPr>
              <w:spacing w:after="0" w:line="240" w:lineRule="auto"/>
              <w:rPr>
                <w:rFonts w:ascii="Arial Narrow" w:hAnsi="Arial Narrow"/>
                <w:b/>
                <w:bCs/>
                <w:color w:val="000000"/>
                <w:sz w:val="20"/>
                <w:szCs w:val="20"/>
                <w:lang w:val="en-US" w:eastAsia="en-US"/>
              </w:rPr>
            </w:pPr>
            <w:r w:rsidRPr="00D50DB8">
              <w:rPr>
                <w:rFonts w:ascii="Arial Narrow" w:hAnsi="Arial Narrow"/>
                <w:b/>
                <w:bCs/>
                <w:color w:val="000000"/>
                <w:sz w:val="20"/>
                <w:szCs w:val="20"/>
                <w:lang w:val="en-US" w:eastAsia="en-US"/>
              </w:rPr>
              <w:t>E-Government</w:t>
            </w:r>
          </w:p>
        </w:tc>
        <w:tc>
          <w:tcPr>
            <w:tcW w:w="8380" w:type="dxa"/>
            <w:tcBorders>
              <w:top w:val="nil"/>
              <w:left w:val="nil"/>
              <w:bottom w:val="nil"/>
              <w:right w:val="nil"/>
            </w:tcBorders>
            <w:shd w:val="clear" w:color="auto" w:fill="auto"/>
            <w:vAlign w:val="center"/>
            <w:hideMark/>
          </w:tcPr>
          <w:p w14:paraId="4254B08A" w14:textId="77777777" w:rsidR="007D2366" w:rsidRPr="00D50DB8" w:rsidRDefault="007D2366" w:rsidP="00342E82">
            <w:pPr>
              <w:spacing w:after="0" w:line="240" w:lineRule="auto"/>
              <w:jc w:val="both"/>
              <w:rPr>
                <w:rFonts w:ascii="Arial Narrow" w:hAnsi="Arial Narrow"/>
                <w:color w:val="000000"/>
                <w:sz w:val="20"/>
                <w:szCs w:val="20"/>
                <w:lang w:val="en-US" w:eastAsia="en-US"/>
              </w:rPr>
            </w:pPr>
            <w:proofErr w:type="spellStart"/>
            <w:r w:rsidRPr="00D50DB8">
              <w:rPr>
                <w:rFonts w:ascii="Arial Narrow" w:hAnsi="Arial Narrow"/>
                <w:color w:val="000000"/>
                <w:sz w:val="20"/>
                <w:szCs w:val="20"/>
                <w:lang w:val="en-US" w:eastAsia="en-US"/>
              </w:rPr>
              <w:t>Percento</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jednotlivcov</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vo</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veku</w:t>
            </w:r>
            <w:proofErr w:type="spellEnd"/>
            <w:r w:rsidRPr="00D50DB8">
              <w:rPr>
                <w:rFonts w:ascii="Arial Narrow" w:hAnsi="Arial Narrow"/>
                <w:color w:val="000000"/>
                <w:sz w:val="20"/>
                <w:szCs w:val="20"/>
                <w:lang w:val="en-US" w:eastAsia="en-US"/>
              </w:rPr>
              <w:t xml:space="preserve"> 16 - 74, </w:t>
            </w:r>
            <w:proofErr w:type="spellStart"/>
            <w:r w:rsidRPr="00D50DB8">
              <w:rPr>
                <w:rFonts w:ascii="Arial Narrow" w:hAnsi="Arial Narrow"/>
                <w:color w:val="000000"/>
                <w:sz w:val="20"/>
                <w:szCs w:val="20"/>
                <w:lang w:val="en-US" w:eastAsia="en-US"/>
              </w:rPr>
              <w:t>ktorý</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používajú</w:t>
            </w:r>
            <w:proofErr w:type="spellEnd"/>
            <w:r w:rsidRPr="00D50DB8">
              <w:rPr>
                <w:rFonts w:ascii="Arial Narrow" w:hAnsi="Arial Narrow"/>
                <w:color w:val="000000"/>
                <w:sz w:val="20"/>
                <w:szCs w:val="20"/>
                <w:lang w:val="en-US" w:eastAsia="en-US"/>
              </w:rPr>
              <w:t xml:space="preserve"> internet </w:t>
            </w:r>
            <w:proofErr w:type="spellStart"/>
            <w:r w:rsidRPr="00D50DB8">
              <w:rPr>
                <w:rFonts w:ascii="Arial Narrow" w:hAnsi="Arial Narrow"/>
                <w:color w:val="000000"/>
                <w:sz w:val="20"/>
                <w:szCs w:val="20"/>
                <w:lang w:val="en-US" w:eastAsia="en-US"/>
              </w:rPr>
              <w:t>na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komunikáciu</w:t>
            </w:r>
            <w:proofErr w:type="spellEnd"/>
            <w:r w:rsidRPr="00D50DB8">
              <w:rPr>
                <w:rFonts w:ascii="Arial Narrow" w:hAnsi="Arial Narrow"/>
                <w:color w:val="000000"/>
                <w:sz w:val="20"/>
                <w:szCs w:val="20"/>
                <w:lang w:val="en-US" w:eastAsia="en-US"/>
              </w:rPr>
              <w:t xml:space="preserve"> s </w:t>
            </w:r>
            <w:proofErr w:type="spellStart"/>
            <w:r w:rsidRPr="00D50DB8">
              <w:rPr>
                <w:rFonts w:ascii="Arial Narrow" w:hAnsi="Arial Narrow"/>
                <w:color w:val="000000"/>
                <w:sz w:val="20"/>
                <w:szCs w:val="20"/>
                <w:lang w:val="en-US" w:eastAsia="en-US"/>
              </w:rPr>
              <w:t>verejnou</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správou</w:t>
            </w:r>
            <w:proofErr w:type="spellEnd"/>
          </w:p>
        </w:tc>
      </w:tr>
      <w:tr w:rsidR="007D2366" w:rsidRPr="00D50DB8" w14:paraId="7720528A" w14:textId="77777777" w:rsidTr="00342E82">
        <w:trPr>
          <w:trHeight w:val="300"/>
          <w:jc w:val="center"/>
        </w:trPr>
        <w:tc>
          <w:tcPr>
            <w:tcW w:w="1826" w:type="dxa"/>
            <w:vMerge/>
            <w:tcBorders>
              <w:top w:val="nil"/>
              <w:left w:val="nil"/>
              <w:bottom w:val="dotted" w:sz="4" w:space="0" w:color="000000"/>
              <w:right w:val="nil"/>
            </w:tcBorders>
            <w:vAlign w:val="center"/>
            <w:hideMark/>
          </w:tcPr>
          <w:p w14:paraId="5A59E2D1" w14:textId="77777777" w:rsidR="007D2366" w:rsidRPr="00D50DB8" w:rsidRDefault="007D2366" w:rsidP="00342E82">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455F6130" w14:textId="77777777" w:rsidR="007D2366" w:rsidRPr="002549AE" w:rsidRDefault="007D2366" w:rsidP="00342E82">
            <w:pPr>
              <w:spacing w:after="0" w:line="240" w:lineRule="auto"/>
              <w:jc w:val="both"/>
              <w:rPr>
                <w:rFonts w:ascii="Arial Narrow" w:hAnsi="Arial Narrow"/>
                <w:color w:val="000000"/>
                <w:sz w:val="20"/>
                <w:szCs w:val="20"/>
                <w:lang w:val="en-US" w:eastAsia="en-US"/>
              </w:rPr>
            </w:pPr>
            <w:proofErr w:type="spellStart"/>
            <w:r w:rsidRPr="002549AE">
              <w:rPr>
                <w:rFonts w:ascii="Arial Narrow" w:hAnsi="Arial Narrow"/>
                <w:color w:val="000000"/>
                <w:sz w:val="20"/>
                <w:szCs w:val="20"/>
                <w:lang w:val="en-US" w:eastAsia="en-US"/>
              </w:rPr>
              <w:t>Zdroj</w:t>
            </w:r>
            <w:proofErr w:type="spellEnd"/>
            <w:r w:rsidRPr="002549AE">
              <w:rPr>
                <w:rFonts w:ascii="Arial Narrow" w:hAnsi="Arial Narrow"/>
                <w:color w:val="000000"/>
                <w:sz w:val="20"/>
                <w:szCs w:val="20"/>
                <w:lang w:val="en-US" w:eastAsia="en-US"/>
              </w:rPr>
              <w:t>: Eurostat</w:t>
            </w:r>
            <w:r w:rsidR="002549AE" w:rsidRPr="002549AE">
              <w:rPr>
                <w:rFonts w:ascii="Arial Narrow" w:hAnsi="Arial Narrow"/>
                <w:color w:val="000000"/>
                <w:sz w:val="20"/>
                <w:szCs w:val="20"/>
                <w:lang w:val="en-US" w:eastAsia="en-US"/>
              </w:rPr>
              <w:t xml:space="preserve"> (</w:t>
            </w:r>
            <w:r w:rsidR="002549AE" w:rsidRPr="002549AE">
              <w:rPr>
                <w:rFonts w:ascii="Arial Narrow" w:hAnsi="Arial Narrow" w:cs="Arial"/>
                <w:sz w:val="20"/>
                <w:szCs w:val="20"/>
              </w:rPr>
              <w:t>tin00012</w:t>
            </w:r>
            <w:r w:rsidR="002549AE" w:rsidRPr="002549AE">
              <w:rPr>
                <w:rFonts w:ascii="Arial Narrow" w:hAnsi="Arial Narrow"/>
                <w:color w:val="000000"/>
                <w:sz w:val="20"/>
                <w:szCs w:val="20"/>
                <w:lang w:val="en-US" w:eastAsia="en-US"/>
              </w:rPr>
              <w:t>)</w:t>
            </w:r>
          </w:p>
        </w:tc>
      </w:tr>
      <w:tr w:rsidR="007D2366" w:rsidRPr="00D50DB8" w14:paraId="0CA4E8A4" w14:textId="77777777" w:rsidTr="00342E82">
        <w:trPr>
          <w:trHeight w:val="1785"/>
          <w:jc w:val="center"/>
        </w:trPr>
        <w:tc>
          <w:tcPr>
            <w:tcW w:w="1826" w:type="dxa"/>
            <w:vMerge w:val="restart"/>
            <w:tcBorders>
              <w:top w:val="nil"/>
              <w:left w:val="nil"/>
              <w:bottom w:val="dotted" w:sz="4" w:space="0" w:color="000000"/>
              <w:right w:val="nil"/>
            </w:tcBorders>
            <w:shd w:val="clear" w:color="auto" w:fill="auto"/>
            <w:vAlign w:val="center"/>
            <w:hideMark/>
          </w:tcPr>
          <w:p w14:paraId="2E0B6BC0" w14:textId="77777777" w:rsidR="007D2366" w:rsidRPr="00D50DB8" w:rsidRDefault="007D2366" w:rsidP="00342E82">
            <w:pPr>
              <w:spacing w:after="0" w:line="240" w:lineRule="auto"/>
              <w:rPr>
                <w:rFonts w:ascii="Arial Narrow" w:hAnsi="Arial Narrow"/>
                <w:b/>
                <w:bCs/>
                <w:color w:val="000000"/>
                <w:sz w:val="20"/>
                <w:szCs w:val="20"/>
                <w:lang w:val="en-US" w:eastAsia="en-US"/>
              </w:rPr>
            </w:pPr>
            <w:proofErr w:type="spellStart"/>
            <w:r w:rsidRPr="00D50DB8">
              <w:rPr>
                <w:rFonts w:ascii="Arial Narrow" w:hAnsi="Arial Narrow"/>
                <w:b/>
                <w:bCs/>
                <w:color w:val="000000"/>
                <w:sz w:val="20"/>
                <w:szCs w:val="20"/>
                <w:lang w:val="en-US" w:eastAsia="en-US"/>
              </w:rPr>
              <w:t>Korupcia</w:t>
            </w:r>
            <w:proofErr w:type="spellEnd"/>
          </w:p>
        </w:tc>
        <w:tc>
          <w:tcPr>
            <w:tcW w:w="8380" w:type="dxa"/>
            <w:tcBorders>
              <w:top w:val="nil"/>
              <w:left w:val="nil"/>
              <w:bottom w:val="nil"/>
              <w:right w:val="nil"/>
            </w:tcBorders>
            <w:shd w:val="clear" w:color="auto" w:fill="auto"/>
            <w:vAlign w:val="center"/>
            <w:hideMark/>
          </w:tcPr>
          <w:p w14:paraId="073162B8" w14:textId="77777777" w:rsidR="007D2366" w:rsidRPr="00D50DB8" w:rsidRDefault="00541523" w:rsidP="00342E82">
            <w:pPr>
              <w:spacing w:after="0" w:line="240" w:lineRule="auto"/>
              <w:jc w:val="both"/>
              <w:rPr>
                <w:rFonts w:ascii="Arial Narrow" w:hAnsi="Arial Narrow"/>
                <w:color w:val="000000"/>
                <w:sz w:val="20"/>
                <w:szCs w:val="20"/>
                <w:lang w:val="en-US" w:eastAsia="en-US"/>
              </w:rPr>
            </w:pPr>
            <w:proofErr w:type="spellStart"/>
            <w:r w:rsidRPr="00541523">
              <w:rPr>
                <w:rFonts w:ascii="Arial Narrow" w:hAnsi="Arial Narrow"/>
                <w:color w:val="000000"/>
                <w:sz w:val="20"/>
                <w:szCs w:val="20"/>
                <w:lang w:val="en-US" w:eastAsia="en-US"/>
              </w:rPr>
              <w:t>Ukazovateľ</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Korupcia</w:t>
            </w:r>
            <w:proofErr w:type="spellEnd"/>
            <w:r w:rsidRPr="00541523">
              <w:rPr>
                <w:rFonts w:ascii="Arial Narrow" w:hAnsi="Arial Narrow"/>
                <w:color w:val="000000"/>
                <w:sz w:val="20"/>
                <w:szCs w:val="20"/>
                <w:lang w:val="en-US" w:eastAsia="en-US"/>
              </w:rPr>
              <w:t xml:space="preserve"> je </w:t>
            </w:r>
            <w:proofErr w:type="spellStart"/>
            <w:r w:rsidRPr="00541523">
              <w:rPr>
                <w:rFonts w:ascii="Arial Narrow" w:hAnsi="Arial Narrow"/>
                <w:color w:val="000000"/>
                <w:sz w:val="20"/>
                <w:szCs w:val="20"/>
                <w:lang w:val="en-US" w:eastAsia="en-US"/>
              </w:rPr>
              <w:t>zost</w:t>
            </w:r>
            <w:r w:rsidR="0093340F">
              <w:rPr>
                <w:rFonts w:ascii="Arial Narrow" w:hAnsi="Arial Narrow"/>
                <w:color w:val="000000"/>
                <w:sz w:val="20"/>
                <w:szCs w:val="20"/>
                <w:lang w:val="en-US" w:eastAsia="en-US"/>
              </w:rPr>
              <w:t>avený</w:t>
            </w:r>
            <w:proofErr w:type="spellEnd"/>
            <w:r w:rsidR="0093340F">
              <w:rPr>
                <w:rFonts w:ascii="Arial Narrow" w:hAnsi="Arial Narrow"/>
                <w:color w:val="000000"/>
                <w:sz w:val="20"/>
                <w:szCs w:val="20"/>
                <w:lang w:val="en-US" w:eastAsia="en-US"/>
              </w:rPr>
              <w:t xml:space="preserve"> </w:t>
            </w:r>
            <w:proofErr w:type="spellStart"/>
            <w:r w:rsidR="0093340F">
              <w:rPr>
                <w:rFonts w:ascii="Arial Narrow" w:hAnsi="Arial Narrow"/>
                <w:color w:val="000000"/>
                <w:sz w:val="20"/>
                <w:szCs w:val="20"/>
                <w:lang w:val="en-US" w:eastAsia="en-US"/>
              </w:rPr>
              <w:t>ako</w:t>
            </w:r>
            <w:proofErr w:type="spellEnd"/>
            <w:r w:rsidR="0093340F">
              <w:rPr>
                <w:rFonts w:ascii="Arial Narrow" w:hAnsi="Arial Narrow"/>
                <w:color w:val="000000"/>
                <w:sz w:val="20"/>
                <w:szCs w:val="20"/>
                <w:lang w:val="en-US" w:eastAsia="en-US"/>
              </w:rPr>
              <w:t xml:space="preserve"> </w:t>
            </w:r>
            <w:proofErr w:type="spellStart"/>
            <w:r w:rsidR="0093340F">
              <w:rPr>
                <w:rFonts w:ascii="Arial Narrow" w:hAnsi="Arial Narrow"/>
                <w:color w:val="000000"/>
                <w:sz w:val="20"/>
                <w:szCs w:val="20"/>
                <w:lang w:val="en-US" w:eastAsia="en-US"/>
              </w:rPr>
              <w:t>priemer</w:t>
            </w:r>
            <w:proofErr w:type="spellEnd"/>
            <w:r w:rsidR="0093340F">
              <w:rPr>
                <w:rFonts w:ascii="Arial Narrow" w:hAnsi="Arial Narrow"/>
                <w:color w:val="000000"/>
                <w:sz w:val="20"/>
                <w:szCs w:val="20"/>
                <w:lang w:val="en-US" w:eastAsia="en-US"/>
              </w:rPr>
              <w:t xml:space="preserve"> </w:t>
            </w:r>
            <w:proofErr w:type="spellStart"/>
            <w:r w:rsidR="0093340F">
              <w:rPr>
                <w:rFonts w:ascii="Arial Narrow" w:hAnsi="Arial Narrow"/>
                <w:color w:val="000000"/>
                <w:sz w:val="20"/>
                <w:szCs w:val="20"/>
                <w:lang w:val="en-US" w:eastAsia="en-US"/>
              </w:rPr>
              <w:t>dvoch</w:t>
            </w:r>
            <w:proofErr w:type="spellEnd"/>
            <w:r w:rsidR="0093340F">
              <w:rPr>
                <w:rFonts w:ascii="Arial Narrow" w:hAnsi="Arial Narrow"/>
                <w:color w:val="000000"/>
                <w:sz w:val="20"/>
                <w:szCs w:val="20"/>
                <w:lang w:val="en-US" w:eastAsia="en-US"/>
              </w:rPr>
              <w:t xml:space="preserve"> </w:t>
            </w:r>
            <w:proofErr w:type="spellStart"/>
            <w:r w:rsidR="0093340F">
              <w:rPr>
                <w:rFonts w:ascii="Arial Narrow" w:hAnsi="Arial Narrow"/>
                <w:color w:val="000000"/>
                <w:sz w:val="20"/>
                <w:szCs w:val="20"/>
                <w:lang w:val="en-US" w:eastAsia="en-US"/>
              </w:rPr>
              <w:t>indexov</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Vnímanie</w:t>
            </w:r>
            <w:proofErr w:type="spellEnd"/>
            <w:r w:rsidRPr="00541523">
              <w:rPr>
                <w:rFonts w:ascii="Arial Narrow" w:hAnsi="Arial Narrow"/>
                <w:color w:val="000000"/>
                <w:sz w:val="20"/>
                <w:szCs w:val="20"/>
                <w:lang w:val="en-US" w:eastAsia="en-US"/>
              </w:rPr>
              <w:t xml:space="preserve"> a </w:t>
            </w:r>
            <w:proofErr w:type="spellStart"/>
            <w:r w:rsidRPr="00541523">
              <w:rPr>
                <w:rFonts w:ascii="Arial Narrow" w:hAnsi="Arial Narrow"/>
                <w:color w:val="000000"/>
                <w:sz w:val="20"/>
                <w:szCs w:val="20"/>
                <w:lang w:val="en-US" w:eastAsia="en-US"/>
              </w:rPr>
              <w:t>skúsenosť</w:t>
            </w:r>
            <w:proofErr w:type="spellEnd"/>
            <w:r w:rsidRPr="00541523">
              <w:rPr>
                <w:rFonts w:ascii="Arial Narrow" w:hAnsi="Arial Narrow"/>
                <w:color w:val="000000"/>
                <w:sz w:val="20"/>
                <w:szCs w:val="20"/>
                <w:lang w:val="en-US" w:eastAsia="en-US"/>
              </w:rPr>
              <w:t xml:space="preserve"> s </w:t>
            </w:r>
            <w:proofErr w:type="spellStart"/>
            <w:r w:rsidRPr="00541523">
              <w:rPr>
                <w:rFonts w:ascii="Arial Narrow" w:hAnsi="Arial Narrow"/>
                <w:color w:val="000000"/>
                <w:sz w:val="20"/>
                <w:szCs w:val="20"/>
                <w:lang w:val="en-US" w:eastAsia="en-US"/>
              </w:rPr>
              <w:t>korupciou</w:t>
            </w:r>
            <w:proofErr w:type="spellEnd"/>
            <w:r w:rsidRPr="00541523">
              <w:rPr>
                <w:rFonts w:ascii="Arial Narrow" w:hAnsi="Arial Narrow"/>
                <w:color w:val="000000"/>
                <w:sz w:val="20"/>
                <w:szCs w:val="20"/>
                <w:lang w:val="en-US" w:eastAsia="en-US"/>
              </w:rPr>
              <w:t xml:space="preserve"> u </w:t>
            </w:r>
            <w:proofErr w:type="spellStart"/>
            <w:r w:rsidRPr="00541523">
              <w:rPr>
                <w:rFonts w:ascii="Arial Narrow" w:hAnsi="Arial Narrow"/>
                <w:color w:val="000000"/>
                <w:sz w:val="20"/>
                <w:szCs w:val="20"/>
                <w:lang w:val="en-US" w:eastAsia="en-US"/>
              </w:rPr>
              <w:t>podnikateľov</w:t>
            </w:r>
            <w:proofErr w:type="spellEnd"/>
            <w:r w:rsidRPr="00541523">
              <w:rPr>
                <w:rFonts w:ascii="Arial Narrow" w:hAnsi="Arial Narrow"/>
                <w:color w:val="000000"/>
                <w:sz w:val="20"/>
                <w:szCs w:val="20"/>
                <w:lang w:val="en-US" w:eastAsia="en-US"/>
              </w:rPr>
              <w:t xml:space="preserve"> - </w:t>
            </w:r>
            <w:proofErr w:type="spellStart"/>
            <w:r w:rsidRPr="00541523">
              <w:rPr>
                <w:rFonts w:ascii="Arial Narrow" w:hAnsi="Arial Narrow"/>
                <w:color w:val="000000"/>
                <w:sz w:val="20"/>
                <w:szCs w:val="20"/>
                <w:lang w:val="en-US" w:eastAsia="en-US"/>
              </w:rPr>
              <w:t>prieskum</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Eurobarometra</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Prieskum</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zahŕňa</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otázky</w:t>
            </w:r>
            <w:proofErr w:type="spellEnd"/>
            <w:r w:rsidRPr="00541523">
              <w:rPr>
                <w:rFonts w:ascii="Arial Narrow" w:hAnsi="Arial Narrow"/>
                <w:color w:val="000000"/>
                <w:sz w:val="20"/>
                <w:szCs w:val="20"/>
                <w:lang w:val="en-US" w:eastAsia="en-US"/>
              </w:rPr>
              <w:t xml:space="preserve"> o </w:t>
            </w:r>
            <w:proofErr w:type="spellStart"/>
            <w:r w:rsidRPr="00541523">
              <w:rPr>
                <w:rFonts w:ascii="Arial Narrow" w:hAnsi="Arial Narrow"/>
                <w:color w:val="000000"/>
                <w:sz w:val="20"/>
                <w:szCs w:val="20"/>
                <w:lang w:val="en-US" w:eastAsia="en-US"/>
              </w:rPr>
              <w:t>rozšírení</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korupčných</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praktík</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procese</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verejného</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obstarávania</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rozšírenie</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korupčného</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správania</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vo</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verejných</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tendroch</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skúseností</w:t>
            </w:r>
            <w:proofErr w:type="spellEnd"/>
            <w:r w:rsidRPr="00541523">
              <w:rPr>
                <w:rFonts w:ascii="Arial Narrow" w:hAnsi="Arial Narrow"/>
                <w:color w:val="000000"/>
                <w:sz w:val="20"/>
                <w:szCs w:val="20"/>
                <w:lang w:val="en-US" w:eastAsia="en-US"/>
              </w:rPr>
              <w:t xml:space="preserve"> s </w:t>
            </w:r>
            <w:proofErr w:type="spellStart"/>
            <w:r w:rsidRPr="00541523">
              <w:rPr>
                <w:rFonts w:ascii="Arial Narrow" w:hAnsi="Arial Narrow"/>
                <w:color w:val="000000"/>
                <w:sz w:val="20"/>
                <w:szCs w:val="20"/>
                <w:lang w:val="en-US" w:eastAsia="en-US"/>
              </w:rPr>
              <w:t>podplácaním</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pri</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verejných</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zákazkách</w:t>
            </w:r>
            <w:proofErr w:type="spellEnd"/>
            <w:r w:rsidRPr="00541523">
              <w:rPr>
                <w:rFonts w:ascii="Arial Narrow" w:hAnsi="Arial Narrow"/>
                <w:color w:val="000000"/>
                <w:sz w:val="20"/>
                <w:szCs w:val="20"/>
                <w:lang w:val="en-US" w:eastAsia="en-US"/>
              </w:rPr>
              <w:t xml:space="preserve"> a </w:t>
            </w:r>
            <w:proofErr w:type="spellStart"/>
            <w:r w:rsidRPr="00541523">
              <w:rPr>
                <w:rFonts w:ascii="Arial Narrow" w:hAnsi="Arial Narrow"/>
                <w:color w:val="000000"/>
                <w:sz w:val="20"/>
                <w:szCs w:val="20"/>
                <w:lang w:val="en-US" w:eastAsia="en-US"/>
              </w:rPr>
              <w:t>názor</w:t>
            </w:r>
            <w:proofErr w:type="spellEnd"/>
            <w:r w:rsidRPr="00541523">
              <w:rPr>
                <w:rFonts w:ascii="Arial Narrow" w:hAnsi="Arial Narrow"/>
                <w:color w:val="000000"/>
                <w:sz w:val="20"/>
                <w:szCs w:val="20"/>
                <w:lang w:val="en-US" w:eastAsia="en-US"/>
              </w:rPr>
              <w:t xml:space="preserve"> o tom </w:t>
            </w:r>
            <w:proofErr w:type="spellStart"/>
            <w:r w:rsidRPr="00541523">
              <w:rPr>
                <w:rFonts w:ascii="Arial Narrow" w:hAnsi="Arial Narrow"/>
                <w:color w:val="000000"/>
                <w:sz w:val="20"/>
                <w:szCs w:val="20"/>
                <w:lang w:val="en-US" w:eastAsia="en-US"/>
              </w:rPr>
              <w:t>ako</w:t>
            </w:r>
            <w:proofErr w:type="spellEnd"/>
            <w:r w:rsidRPr="00541523">
              <w:rPr>
                <w:rFonts w:ascii="Arial Narrow" w:hAnsi="Arial Narrow"/>
                <w:color w:val="000000"/>
                <w:sz w:val="20"/>
                <w:szCs w:val="20"/>
                <w:lang w:val="en-US" w:eastAsia="en-US"/>
              </w:rPr>
              <w:t xml:space="preserve"> je </w:t>
            </w:r>
            <w:proofErr w:type="spellStart"/>
            <w:r w:rsidRPr="00541523">
              <w:rPr>
                <w:rFonts w:ascii="Arial Narrow" w:hAnsi="Arial Narrow"/>
                <w:color w:val="000000"/>
                <w:sz w:val="20"/>
                <w:szCs w:val="20"/>
                <w:lang w:val="en-US" w:eastAsia="en-US"/>
              </w:rPr>
              <w:t>korupcia</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trestaná</w:t>
            </w:r>
            <w:proofErr w:type="spellEnd"/>
            <w:r w:rsidRPr="00541523">
              <w:rPr>
                <w:rFonts w:ascii="Arial Narrow" w:hAnsi="Arial Narrow"/>
                <w:color w:val="000000"/>
                <w:sz w:val="20"/>
                <w:szCs w:val="20"/>
                <w:lang w:val="en-US" w:eastAsia="en-US"/>
              </w:rPr>
              <w:t xml:space="preserve">. Index </w:t>
            </w:r>
            <w:proofErr w:type="spellStart"/>
            <w:r w:rsidRPr="00541523">
              <w:rPr>
                <w:rFonts w:ascii="Arial Narrow" w:hAnsi="Arial Narrow"/>
                <w:color w:val="000000"/>
                <w:sz w:val="20"/>
                <w:szCs w:val="20"/>
                <w:lang w:val="en-US" w:eastAsia="en-US"/>
              </w:rPr>
              <w:t>vnímania</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korupcie</w:t>
            </w:r>
            <w:proofErr w:type="spellEnd"/>
            <w:r w:rsidRPr="00541523">
              <w:rPr>
                <w:rFonts w:ascii="Arial Narrow" w:hAnsi="Arial Narrow"/>
                <w:color w:val="000000"/>
                <w:sz w:val="20"/>
                <w:szCs w:val="20"/>
                <w:lang w:val="en-US" w:eastAsia="en-US"/>
              </w:rPr>
              <w:t xml:space="preserve"> (CPI) - Transparency International, </w:t>
            </w:r>
            <w:proofErr w:type="spellStart"/>
            <w:r w:rsidRPr="00541523">
              <w:rPr>
                <w:rFonts w:ascii="Arial Narrow" w:hAnsi="Arial Narrow"/>
                <w:color w:val="000000"/>
                <w:sz w:val="20"/>
                <w:szCs w:val="20"/>
                <w:lang w:val="en-US" w:eastAsia="en-US"/>
              </w:rPr>
              <w:t>meria</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vnímanie</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korupcie</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na</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základe</w:t>
            </w:r>
            <w:proofErr w:type="spellEnd"/>
            <w:r w:rsidRPr="00541523">
              <w:rPr>
                <w:rFonts w:ascii="Arial Narrow" w:hAnsi="Arial Narrow"/>
                <w:color w:val="000000"/>
                <w:sz w:val="20"/>
                <w:szCs w:val="20"/>
                <w:lang w:val="en-US" w:eastAsia="en-US"/>
              </w:rPr>
              <w:t xml:space="preserve"> 5-10 </w:t>
            </w:r>
            <w:proofErr w:type="spellStart"/>
            <w:r w:rsidRPr="00541523">
              <w:rPr>
                <w:rFonts w:ascii="Arial Narrow" w:hAnsi="Arial Narrow"/>
                <w:color w:val="000000"/>
                <w:sz w:val="20"/>
                <w:szCs w:val="20"/>
                <w:lang w:val="en-US" w:eastAsia="en-US"/>
              </w:rPr>
              <w:t>zdrojových</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prieskumov</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podnikateľov</w:t>
            </w:r>
            <w:proofErr w:type="spellEnd"/>
            <w:r w:rsidRPr="00541523">
              <w:rPr>
                <w:rFonts w:ascii="Arial Narrow" w:hAnsi="Arial Narrow"/>
                <w:color w:val="000000"/>
                <w:sz w:val="20"/>
                <w:szCs w:val="20"/>
                <w:lang w:val="en-US" w:eastAsia="en-US"/>
              </w:rPr>
              <w:t xml:space="preserve"> a </w:t>
            </w:r>
            <w:proofErr w:type="spellStart"/>
            <w:r w:rsidRPr="00541523">
              <w:rPr>
                <w:rFonts w:ascii="Arial Narrow" w:hAnsi="Arial Narrow"/>
                <w:color w:val="000000"/>
                <w:sz w:val="20"/>
                <w:szCs w:val="20"/>
                <w:lang w:val="en-US" w:eastAsia="en-US"/>
              </w:rPr>
              <w:t>expertov</w:t>
            </w:r>
            <w:proofErr w:type="spellEnd"/>
            <w:r w:rsidRPr="00541523">
              <w:rPr>
                <w:rFonts w:ascii="Arial Narrow" w:hAnsi="Arial Narrow"/>
                <w:color w:val="000000"/>
                <w:sz w:val="20"/>
                <w:szCs w:val="20"/>
                <w:lang w:val="en-US" w:eastAsia="en-US"/>
              </w:rPr>
              <w:t xml:space="preserve"> pre </w:t>
            </w:r>
            <w:proofErr w:type="spellStart"/>
            <w:r w:rsidRPr="00541523">
              <w:rPr>
                <w:rFonts w:ascii="Arial Narrow" w:hAnsi="Arial Narrow"/>
                <w:color w:val="000000"/>
                <w:sz w:val="20"/>
                <w:szCs w:val="20"/>
                <w:lang w:val="en-US" w:eastAsia="en-US"/>
              </w:rPr>
              <w:t>každú</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krajinu</w:t>
            </w:r>
            <w:proofErr w:type="spellEnd"/>
            <w:r w:rsidRPr="00541523">
              <w:rPr>
                <w:rFonts w:ascii="Arial Narrow" w:hAnsi="Arial Narrow"/>
                <w:color w:val="000000"/>
                <w:sz w:val="20"/>
                <w:szCs w:val="20"/>
                <w:lang w:val="en-US" w:eastAsia="en-US"/>
              </w:rPr>
              <w:t xml:space="preserve">. Na </w:t>
            </w:r>
            <w:proofErr w:type="spellStart"/>
            <w:r w:rsidRPr="00541523">
              <w:rPr>
                <w:rFonts w:ascii="Arial Narrow" w:hAnsi="Arial Narrow"/>
                <w:color w:val="000000"/>
                <w:sz w:val="20"/>
                <w:szCs w:val="20"/>
                <w:lang w:val="en-US" w:eastAsia="en-US"/>
              </w:rPr>
              <w:t>Slovensku</w:t>
            </w:r>
            <w:proofErr w:type="spellEnd"/>
            <w:r w:rsidRPr="00541523">
              <w:rPr>
                <w:rFonts w:ascii="Arial Narrow" w:hAnsi="Arial Narrow"/>
                <w:color w:val="000000"/>
                <w:sz w:val="20"/>
                <w:szCs w:val="20"/>
                <w:lang w:val="en-US" w:eastAsia="en-US"/>
              </w:rPr>
              <w:t xml:space="preserve"> je </w:t>
            </w:r>
            <w:proofErr w:type="spellStart"/>
            <w:r w:rsidRPr="00541523">
              <w:rPr>
                <w:rFonts w:ascii="Arial Narrow" w:hAnsi="Arial Narrow"/>
                <w:color w:val="000000"/>
                <w:sz w:val="20"/>
                <w:szCs w:val="20"/>
                <w:lang w:val="en-US" w:eastAsia="en-US"/>
              </w:rPr>
              <w:t>zahrnutých</w:t>
            </w:r>
            <w:proofErr w:type="spellEnd"/>
            <w:r w:rsidRPr="00541523">
              <w:rPr>
                <w:rFonts w:ascii="Arial Narrow" w:hAnsi="Arial Narrow"/>
                <w:color w:val="000000"/>
                <w:sz w:val="20"/>
                <w:szCs w:val="20"/>
                <w:lang w:val="en-US" w:eastAsia="en-US"/>
              </w:rPr>
              <w:t> </w:t>
            </w:r>
            <w:proofErr w:type="spellStart"/>
            <w:r w:rsidRPr="00541523">
              <w:rPr>
                <w:rFonts w:ascii="Arial Narrow" w:hAnsi="Arial Narrow"/>
                <w:color w:val="000000"/>
                <w:sz w:val="20"/>
                <w:szCs w:val="20"/>
                <w:lang w:val="en-US" w:eastAsia="en-US"/>
              </w:rPr>
              <w:t>osem</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prieskumov</w:t>
            </w:r>
            <w:proofErr w:type="spellEnd"/>
            <w:r w:rsidRPr="00541523">
              <w:rPr>
                <w:rFonts w:ascii="Arial Narrow" w:hAnsi="Arial Narrow"/>
                <w:color w:val="000000"/>
                <w:sz w:val="20"/>
                <w:szCs w:val="20"/>
                <w:lang w:val="en-US" w:eastAsia="en-US"/>
              </w:rPr>
              <w:t xml:space="preserve"> o </w:t>
            </w:r>
            <w:proofErr w:type="spellStart"/>
            <w:r w:rsidRPr="00541523">
              <w:rPr>
                <w:rFonts w:ascii="Arial Narrow" w:hAnsi="Arial Narrow"/>
                <w:color w:val="000000"/>
                <w:sz w:val="20"/>
                <w:szCs w:val="20"/>
                <w:lang w:val="en-US" w:eastAsia="en-US"/>
              </w:rPr>
              <w:t>vnímaní</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korupcie</w:t>
            </w:r>
            <w:proofErr w:type="spellEnd"/>
            <w:r w:rsidRPr="00541523">
              <w:rPr>
                <w:rFonts w:ascii="Arial Narrow" w:hAnsi="Arial Narrow"/>
                <w:color w:val="000000"/>
                <w:sz w:val="20"/>
                <w:szCs w:val="20"/>
                <w:lang w:val="en-US" w:eastAsia="en-US"/>
              </w:rPr>
              <w:t xml:space="preserve">, 50 % </w:t>
            </w:r>
            <w:proofErr w:type="spellStart"/>
            <w:r w:rsidRPr="00541523">
              <w:rPr>
                <w:rFonts w:ascii="Arial Narrow" w:hAnsi="Arial Narrow"/>
                <w:color w:val="000000"/>
                <w:sz w:val="20"/>
                <w:szCs w:val="20"/>
                <w:lang w:val="en-US" w:eastAsia="en-US"/>
              </w:rPr>
              <w:t>váhy</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sú</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názory</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podnikateľov</w:t>
            </w:r>
            <w:proofErr w:type="spellEnd"/>
            <w:r w:rsidRPr="00541523">
              <w:rPr>
                <w:rFonts w:ascii="Arial Narrow" w:hAnsi="Arial Narrow"/>
                <w:color w:val="000000"/>
                <w:sz w:val="20"/>
                <w:szCs w:val="20"/>
                <w:lang w:val="en-US" w:eastAsia="en-US"/>
              </w:rPr>
              <w:t xml:space="preserve">, a 50 % </w:t>
            </w:r>
            <w:proofErr w:type="spellStart"/>
            <w:r w:rsidRPr="00541523">
              <w:rPr>
                <w:rFonts w:ascii="Arial Narrow" w:hAnsi="Arial Narrow"/>
                <w:color w:val="000000"/>
                <w:sz w:val="20"/>
                <w:szCs w:val="20"/>
                <w:lang w:val="en-US" w:eastAsia="en-US"/>
              </w:rPr>
              <w:t>názory</w:t>
            </w:r>
            <w:proofErr w:type="spellEnd"/>
            <w:r w:rsidRPr="00541523">
              <w:rPr>
                <w:rFonts w:ascii="Arial Narrow" w:hAnsi="Arial Narrow"/>
                <w:color w:val="000000"/>
                <w:sz w:val="20"/>
                <w:szCs w:val="20"/>
                <w:lang w:val="en-US" w:eastAsia="en-US"/>
              </w:rPr>
              <w:t xml:space="preserve"> </w:t>
            </w:r>
            <w:proofErr w:type="spellStart"/>
            <w:r w:rsidRPr="00541523">
              <w:rPr>
                <w:rFonts w:ascii="Arial Narrow" w:hAnsi="Arial Narrow"/>
                <w:color w:val="000000"/>
                <w:sz w:val="20"/>
                <w:szCs w:val="20"/>
                <w:lang w:val="en-US" w:eastAsia="en-US"/>
              </w:rPr>
              <w:t>expertov</w:t>
            </w:r>
            <w:proofErr w:type="spellEnd"/>
            <w:r w:rsidRPr="00541523">
              <w:rPr>
                <w:rFonts w:ascii="Arial Narrow" w:hAnsi="Arial Narrow"/>
                <w:color w:val="000000"/>
                <w:sz w:val="20"/>
                <w:szCs w:val="20"/>
                <w:lang w:val="en-US" w:eastAsia="en-US"/>
              </w:rPr>
              <w:t>.</w:t>
            </w:r>
          </w:p>
        </w:tc>
      </w:tr>
      <w:tr w:rsidR="007D2366" w:rsidRPr="00D50DB8" w14:paraId="0E5273B6" w14:textId="77777777" w:rsidTr="00342E82">
        <w:trPr>
          <w:trHeight w:val="300"/>
          <w:jc w:val="center"/>
        </w:trPr>
        <w:tc>
          <w:tcPr>
            <w:tcW w:w="1826" w:type="dxa"/>
            <w:vMerge/>
            <w:tcBorders>
              <w:top w:val="nil"/>
              <w:left w:val="nil"/>
              <w:bottom w:val="dotted" w:sz="4" w:space="0" w:color="000000"/>
              <w:right w:val="nil"/>
            </w:tcBorders>
            <w:vAlign w:val="center"/>
            <w:hideMark/>
          </w:tcPr>
          <w:p w14:paraId="2D7D8D1B" w14:textId="77777777" w:rsidR="007D2366" w:rsidRPr="00D50DB8" w:rsidRDefault="007D2366" w:rsidP="00342E82">
            <w:pPr>
              <w:spacing w:after="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449B211F" w14:textId="77777777" w:rsidR="007D2366" w:rsidRPr="00D50DB8" w:rsidRDefault="007D2366" w:rsidP="003C7E7E">
            <w:pPr>
              <w:spacing w:after="0" w:line="240" w:lineRule="auto"/>
              <w:jc w:val="both"/>
              <w:rPr>
                <w:rFonts w:ascii="Arial Narrow" w:hAnsi="Arial Narrow"/>
                <w:color w:val="000000"/>
                <w:sz w:val="20"/>
                <w:szCs w:val="20"/>
                <w:lang w:val="en-US" w:eastAsia="en-US"/>
              </w:rPr>
            </w:pPr>
            <w:proofErr w:type="spellStart"/>
            <w:r w:rsidRPr="00D50DB8">
              <w:rPr>
                <w:rFonts w:ascii="Arial Narrow" w:hAnsi="Arial Narrow"/>
                <w:color w:val="000000"/>
                <w:sz w:val="20"/>
                <w:szCs w:val="20"/>
                <w:lang w:val="en-US" w:eastAsia="en-US"/>
              </w:rPr>
              <w:t>Zdroj</w:t>
            </w:r>
            <w:proofErr w:type="spellEnd"/>
            <w:r w:rsidRPr="00D50DB8">
              <w:rPr>
                <w:rFonts w:ascii="Arial Narrow" w:hAnsi="Arial Narrow"/>
                <w:color w:val="000000"/>
                <w:sz w:val="20"/>
                <w:szCs w:val="20"/>
                <w:lang w:val="en-US" w:eastAsia="en-US"/>
              </w:rPr>
              <w:t xml:space="preserve">: </w:t>
            </w:r>
            <w:hyperlink r:id="rId54" w:history="1">
              <w:r w:rsidRPr="003C7E7E">
                <w:rPr>
                  <w:rStyle w:val="Hypertextovprepojenie"/>
                  <w:rFonts w:ascii="Arial Narrow" w:hAnsi="Arial Narrow"/>
                  <w:color w:val="2C9ADC"/>
                  <w:sz w:val="20"/>
                  <w:szCs w:val="20"/>
                  <w:lang w:val="en-US" w:eastAsia="en-US"/>
                </w:rPr>
                <w:t>Transparency International</w:t>
              </w:r>
            </w:hyperlink>
            <w:r w:rsidR="003C7E7E">
              <w:rPr>
                <w:rFonts w:ascii="Arial Narrow" w:hAnsi="Arial Narrow"/>
                <w:color w:val="000000"/>
                <w:sz w:val="20"/>
                <w:szCs w:val="20"/>
                <w:lang w:val="en-US" w:eastAsia="en-US"/>
              </w:rPr>
              <w:t xml:space="preserve">, </w:t>
            </w:r>
            <w:hyperlink r:id="rId55" w:history="1">
              <w:r w:rsidRPr="003C7E7E">
                <w:rPr>
                  <w:rStyle w:val="Hypertextovprepojenie"/>
                  <w:rFonts w:ascii="Arial Narrow" w:hAnsi="Arial Narrow"/>
                  <w:color w:val="2C9ADC"/>
                  <w:sz w:val="20"/>
                  <w:szCs w:val="20"/>
                  <w:lang w:val="en-US" w:eastAsia="en-US"/>
                </w:rPr>
                <w:t>Eurobarometer</w:t>
              </w:r>
            </w:hyperlink>
            <w:r w:rsidR="003C7E7E">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výpočty</w:t>
            </w:r>
            <w:proofErr w:type="spellEnd"/>
            <w:r w:rsidRPr="00D50DB8">
              <w:rPr>
                <w:rFonts w:ascii="Arial Narrow" w:hAnsi="Arial Narrow"/>
                <w:color w:val="000000"/>
                <w:sz w:val="20"/>
                <w:szCs w:val="20"/>
                <w:lang w:val="en-US" w:eastAsia="en-US"/>
              </w:rPr>
              <w:t xml:space="preserve"> IFP</w:t>
            </w:r>
          </w:p>
        </w:tc>
      </w:tr>
      <w:tr w:rsidR="007D2366" w:rsidRPr="00D50DB8" w14:paraId="1EC8E167" w14:textId="77777777" w:rsidTr="00342E82">
        <w:trPr>
          <w:trHeight w:val="765"/>
          <w:jc w:val="center"/>
        </w:trPr>
        <w:tc>
          <w:tcPr>
            <w:tcW w:w="1826" w:type="dxa"/>
            <w:vMerge w:val="restart"/>
            <w:tcBorders>
              <w:top w:val="nil"/>
              <w:left w:val="nil"/>
              <w:bottom w:val="dotted" w:sz="4" w:space="0" w:color="000000"/>
              <w:right w:val="nil"/>
            </w:tcBorders>
            <w:shd w:val="clear" w:color="auto" w:fill="auto"/>
            <w:vAlign w:val="center"/>
            <w:hideMark/>
          </w:tcPr>
          <w:p w14:paraId="0C2DD19B" w14:textId="77777777" w:rsidR="007D2366" w:rsidRPr="00D50DB8" w:rsidRDefault="007D2366" w:rsidP="00342E82">
            <w:pPr>
              <w:spacing w:after="20" w:line="240" w:lineRule="auto"/>
              <w:rPr>
                <w:rFonts w:ascii="Arial Narrow" w:hAnsi="Arial Narrow"/>
                <w:b/>
                <w:bCs/>
                <w:color w:val="000000"/>
                <w:sz w:val="20"/>
                <w:szCs w:val="20"/>
                <w:lang w:val="en-US" w:eastAsia="en-US"/>
              </w:rPr>
            </w:pPr>
            <w:proofErr w:type="spellStart"/>
            <w:r>
              <w:rPr>
                <w:rFonts w:ascii="Arial Narrow" w:hAnsi="Arial Narrow"/>
                <w:b/>
                <w:bCs/>
                <w:color w:val="000000"/>
                <w:sz w:val="20"/>
                <w:szCs w:val="20"/>
                <w:lang w:val="en-US" w:eastAsia="en-US"/>
              </w:rPr>
              <w:t>Zdravé</w:t>
            </w:r>
            <w:proofErr w:type="spellEnd"/>
            <w:r>
              <w:rPr>
                <w:rFonts w:ascii="Arial Narrow" w:hAnsi="Arial Narrow"/>
                <w:b/>
                <w:bCs/>
                <w:color w:val="000000"/>
                <w:sz w:val="20"/>
                <w:szCs w:val="20"/>
                <w:lang w:val="en-US" w:eastAsia="en-US"/>
              </w:rPr>
              <w:t xml:space="preserve"> </w:t>
            </w:r>
            <w:proofErr w:type="spellStart"/>
            <w:r>
              <w:rPr>
                <w:rFonts w:ascii="Arial Narrow" w:hAnsi="Arial Narrow"/>
                <w:b/>
                <w:bCs/>
                <w:color w:val="000000"/>
                <w:sz w:val="20"/>
                <w:szCs w:val="20"/>
                <w:lang w:val="en-US" w:eastAsia="en-US"/>
              </w:rPr>
              <w:t>roky</w:t>
            </w:r>
            <w:proofErr w:type="spellEnd"/>
            <w:r w:rsidRPr="00677CC7">
              <w:rPr>
                <w:rFonts w:ascii="Arial Narrow" w:hAnsi="Arial Narrow"/>
                <w:b/>
                <w:bCs/>
                <w:color w:val="000000"/>
                <w:sz w:val="20"/>
                <w:szCs w:val="20"/>
                <w:lang w:val="en-US" w:eastAsia="en-US"/>
              </w:rPr>
              <w:t xml:space="preserve"> </w:t>
            </w:r>
            <w:proofErr w:type="spellStart"/>
            <w:r w:rsidRPr="00677CC7">
              <w:rPr>
                <w:rFonts w:ascii="Arial Narrow" w:hAnsi="Arial Narrow"/>
                <w:b/>
                <w:bCs/>
                <w:color w:val="000000"/>
                <w:sz w:val="20"/>
                <w:szCs w:val="20"/>
                <w:lang w:val="en-US" w:eastAsia="en-US"/>
              </w:rPr>
              <w:t>života</w:t>
            </w:r>
            <w:proofErr w:type="spellEnd"/>
          </w:p>
        </w:tc>
        <w:tc>
          <w:tcPr>
            <w:tcW w:w="8380" w:type="dxa"/>
            <w:tcBorders>
              <w:top w:val="nil"/>
              <w:left w:val="nil"/>
              <w:bottom w:val="nil"/>
              <w:right w:val="nil"/>
            </w:tcBorders>
            <w:shd w:val="clear" w:color="auto" w:fill="auto"/>
            <w:vAlign w:val="center"/>
            <w:hideMark/>
          </w:tcPr>
          <w:p w14:paraId="54CEDB88" w14:textId="77777777" w:rsidR="007D2366" w:rsidRPr="00D50DB8" w:rsidRDefault="007D2366" w:rsidP="00342E82">
            <w:pPr>
              <w:spacing w:after="20" w:line="240" w:lineRule="auto"/>
              <w:jc w:val="both"/>
              <w:rPr>
                <w:rFonts w:ascii="Arial Narrow" w:hAnsi="Arial Narrow"/>
                <w:color w:val="000000"/>
                <w:sz w:val="20"/>
                <w:szCs w:val="20"/>
                <w:lang w:val="en-US" w:eastAsia="en-US"/>
              </w:rPr>
            </w:pPr>
            <w:proofErr w:type="spellStart"/>
            <w:r w:rsidRPr="00D50DB8">
              <w:rPr>
                <w:rFonts w:ascii="Arial Narrow" w:hAnsi="Arial Narrow"/>
                <w:color w:val="000000"/>
                <w:sz w:val="20"/>
                <w:szCs w:val="20"/>
                <w:lang w:val="en-US" w:eastAsia="en-US"/>
              </w:rPr>
              <w:t>Počet</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rokov</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prežitých</w:t>
            </w:r>
            <w:proofErr w:type="spellEnd"/>
            <w:r w:rsidRPr="00D50DB8">
              <w:rPr>
                <w:rFonts w:ascii="Arial Narrow" w:hAnsi="Arial Narrow"/>
                <w:color w:val="000000"/>
                <w:sz w:val="20"/>
                <w:szCs w:val="20"/>
                <w:lang w:val="en-US" w:eastAsia="en-US"/>
              </w:rPr>
              <w:t xml:space="preserve"> v </w:t>
            </w:r>
            <w:proofErr w:type="spellStart"/>
            <w:r w:rsidRPr="00D50DB8">
              <w:rPr>
                <w:rFonts w:ascii="Arial Narrow" w:hAnsi="Arial Narrow"/>
                <w:color w:val="000000"/>
                <w:sz w:val="20"/>
                <w:szCs w:val="20"/>
                <w:lang w:val="en-US" w:eastAsia="en-US"/>
              </w:rPr>
              <w:t>dobrom</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zdravotnom</w:t>
            </w:r>
            <w:proofErr w:type="spellEnd"/>
            <w:r w:rsidRPr="00D50DB8">
              <w:rPr>
                <w:rFonts w:ascii="Arial Narrow" w:hAnsi="Arial Narrow"/>
                <w:color w:val="000000"/>
                <w:sz w:val="20"/>
                <w:szCs w:val="20"/>
                <w:lang w:val="en-US" w:eastAsia="en-US"/>
              </w:rPr>
              <w:t xml:space="preserve"> stave, </w:t>
            </w:r>
            <w:proofErr w:type="spellStart"/>
            <w:r w:rsidRPr="00D50DB8">
              <w:rPr>
                <w:rFonts w:ascii="Arial Narrow" w:hAnsi="Arial Narrow"/>
                <w:color w:val="000000"/>
                <w:sz w:val="20"/>
                <w:szCs w:val="20"/>
                <w:lang w:val="en-US" w:eastAsia="en-US"/>
              </w:rPr>
              <w:t>ktoré</w:t>
            </w:r>
            <w:proofErr w:type="spellEnd"/>
            <w:r w:rsidRPr="00D50DB8">
              <w:rPr>
                <w:rFonts w:ascii="Arial Narrow" w:hAnsi="Arial Narrow"/>
                <w:color w:val="000000"/>
                <w:sz w:val="20"/>
                <w:szCs w:val="20"/>
                <w:lang w:val="en-US" w:eastAsia="en-US"/>
              </w:rPr>
              <w:t xml:space="preserve"> je </w:t>
            </w:r>
            <w:proofErr w:type="spellStart"/>
            <w:r w:rsidRPr="00D50DB8">
              <w:rPr>
                <w:rFonts w:ascii="Arial Narrow" w:hAnsi="Arial Narrow"/>
                <w:color w:val="000000"/>
                <w:sz w:val="20"/>
                <w:szCs w:val="20"/>
                <w:lang w:val="en-US" w:eastAsia="en-US"/>
              </w:rPr>
              <w:t>možné</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očakávať</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pri</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narodení</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Ukazovateľ</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kombinuje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údaje</w:t>
            </w:r>
            <w:proofErr w:type="spellEnd"/>
            <w:r w:rsidRPr="00D50DB8">
              <w:rPr>
                <w:rFonts w:ascii="Arial Narrow" w:hAnsi="Arial Narrow"/>
                <w:color w:val="000000"/>
                <w:sz w:val="20"/>
                <w:szCs w:val="20"/>
                <w:lang w:val="en-US" w:eastAsia="en-US"/>
              </w:rPr>
              <w:t xml:space="preserve"> o </w:t>
            </w:r>
            <w:proofErr w:type="spellStart"/>
            <w:r w:rsidRPr="00D50DB8">
              <w:rPr>
                <w:rFonts w:ascii="Arial Narrow" w:hAnsi="Arial Narrow"/>
                <w:color w:val="000000"/>
                <w:sz w:val="20"/>
                <w:szCs w:val="20"/>
                <w:lang w:val="en-US" w:eastAsia="en-US"/>
              </w:rPr>
              <w:t>mortalite</w:t>
            </w:r>
            <w:proofErr w:type="spellEnd"/>
            <w:r w:rsidRPr="00D50DB8">
              <w:rPr>
                <w:rFonts w:ascii="Arial Narrow" w:hAnsi="Arial Narrow"/>
                <w:color w:val="000000"/>
                <w:sz w:val="20"/>
                <w:szCs w:val="20"/>
                <w:lang w:val="en-US" w:eastAsia="en-US"/>
              </w:rPr>
              <w:t xml:space="preserve"> a </w:t>
            </w:r>
            <w:proofErr w:type="spellStart"/>
            <w:r w:rsidRPr="00D50DB8">
              <w:rPr>
                <w:rFonts w:ascii="Arial Narrow" w:hAnsi="Arial Narrow"/>
                <w:color w:val="000000"/>
                <w:sz w:val="20"/>
                <w:szCs w:val="20"/>
                <w:lang w:val="en-US" w:eastAsia="en-US"/>
              </w:rPr>
              <w:t>morbidite</w:t>
            </w:r>
            <w:proofErr w:type="spellEnd"/>
            <w:r w:rsidRPr="00D50DB8">
              <w:rPr>
                <w:rFonts w:ascii="Arial Narrow" w:hAnsi="Arial Narrow"/>
                <w:color w:val="000000"/>
                <w:sz w:val="20"/>
                <w:szCs w:val="20"/>
                <w:lang w:val="en-US" w:eastAsia="en-US"/>
              </w:rPr>
              <w:t xml:space="preserve"> v </w:t>
            </w:r>
            <w:proofErr w:type="spellStart"/>
            <w:r w:rsidRPr="00D50DB8">
              <w:rPr>
                <w:rFonts w:ascii="Arial Narrow" w:hAnsi="Arial Narrow"/>
                <w:color w:val="000000"/>
                <w:sz w:val="20"/>
                <w:szCs w:val="20"/>
                <w:lang w:val="en-US" w:eastAsia="en-US"/>
              </w:rPr>
              <w:t>danej</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krajine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Dobrý</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zdravotný</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stav</w:t>
            </w:r>
            <w:proofErr w:type="spellEnd"/>
            <w:r w:rsidRPr="00D50DB8">
              <w:rPr>
                <w:rFonts w:ascii="Arial Narrow" w:hAnsi="Arial Narrow"/>
                <w:color w:val="000000"/>
                <w:sz w:val="20"/>
                <w:szCs w:val="20"/>
                <w:lang w:val="en-US" w:eastAsia="en-US"/>
              </w:rPr>
              <w:t xml:space="preserve"> je </w:t>
            </w:r>
            <w:proofErr w:type="spellStart"/>
            <w:r w:rsidRPr="00D50DB8">
              <w:rPr>
                <w:rFonts w:ascii="Arial Narrow" w:hAnsi="Arial Narrow"/>
                <w:color w:val="000000"/>
                <w:sz w:val="20"/>
                <w:szCs w:val="20"/>
                <w:lang w:val="en-US" w:eastAsia="en-US"/>
              </w:rPr>
              <w:t>definovaný</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neprítomnosťou</w:t>
            </w:r>
            <w:proofErr w:type="spellEnd"/>
            <w:r w:rsidRPr="00D50DB8">
              <w:rPr>
                <w:rFonts w:ascii="Arial Narrow" w:hAnsi="Arial Narrow"/>
                <w:color w:val="000000"/>
                <w:sz w:val="20"/>
                <w:szCs w:val="20"/>
                <w:lang w:val="en-US" w:eastAsia="en-US"/>
              </w:rPr>
              <w:t xml:space="preserve"> invalidity </w:t>
            </w:r>
            <w:proofErr w:type="spellStart"/>
            <w:r w:rsidRPr="00D50DB8">
              <w:rPr>
                <w:rFonts w:ascii="Arial Narrow" w:hAnsi="Arial Narrow"/>
                <w:color w:val="000000"/>
                <w:sz w:val="20"/>
                <w:szCs w:val="20"/>
                <w:lang w:val="en-US" w:eastAsia="en-US"/>
              </w:rPr>
              <w:t>alebo</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obmedzení</w:t>
            </w:r>
            <w:proofErr w:type="spellEnd"/>
            <w:r w:rsidRPr="00D50DB8">
              <w:rPr>
                <w:rFonts w:ascii="Arial Narrow" w:hAnsi="Arial Narrow"/>
                <w:color w:val="000000"/>
                <w:sz w:val="20"/>
                <w:szCs w:val="20"/>
                <w:lang w:val="en-US" w:eastAsia="en-US"/>
              </w:rPr>
              <w:t xml:space="preserve"> v </w:t>
            </w:r>
            <w:proofErr w:type="spellStart"/>
            <w:r w:rsidRPr="00D50DB8">
              <w:rPr>
                <w:rFonts w:ascii="Arial Narrow" w:hAnsi="Arial Narrow"/>
                <w:color w:val="000000"/>
                <w:sz w:val="20"/>
                <w:szCs w:val="20"/>
                <w:lang w:val="en-US" w:eastAsia="en-US"/>
              </w:rPr>
              <w:t>každodennom</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živote</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Nazýva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sa</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aj</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roky</w:t>
            </w:r>
            <w:proofErr w:type="spellEnd"/>
            <w:r w:rsidRPr="00D50DB8">
              <w:rPr>
                <w:rFonts w:ascii="Arial Narrow" w:hAnsi="Arial Narrow"/>
                <w:color w:val="000000"/>
                <w:sz w:val="20"/>
                <w:szCs w:val="20"/>
                <w:lang w:val="en-US" w:eastAsia="en-US"/>
              </w:rPr>
              <w:t xml:space="preserve"> </w:t>
            </w:r>
            <w:proofErr w:type="spellStart"/>
            <w:r w:rsidRPr="00D50DB8">
              <w:rPr>
                <w:rFonts w:ascii="Arial Narrow" w:hAnsi="Arial Narrow"/>
                <w:color w:val="000000"/>
                <w:sz w:val="20"/>
                <w:szCs w:val="20"/>
                <w:lang w:val="en-US" w:eastAsia="en-US"/>
              </w:rPr>
              <w:t>života</w:t>
            </w:r>
            <w:proofErr w:type="spellEnd"/>
            <w:r w:rsidRPr="00D50DB8">
              <w:rPr>
                <w:rFonts w:ascii="Arial Narrow" w:hAnsi="Arial Narrow"/>
                <w:color w:val="000000"/>
                <w:sz w:val="20"/>
                <w:szCs w:val="20"/>
                <w:lang w:val="en-US" w:eastAsia="en-US"/>
              </w:rPr>
              <w:t xml:space="preserve"> bez </w:t>
            </w:r>
            <w:proofErr w:type="spellStart"/>
            <w:r w:rsidRPr="00D50DB8">
              <w:rPr>
                <w:rFonts w:ascii="Arial Narrow" w:hAnsi="Arial Narrow"/>
                <w:color w:val="000000"/>
                <w:sz w:val="20"/>
                <w:szCs w:val="20"/>
                <w:lang w:val="en-US" w:eastAsia="en-US"/>
              </w:rPr>
              <w:t>hendikepu</w:t>
            </w:r>
            <w:proofErr w:type="spellEnd"/>
            <w:r w:rsidRPr="00D50DB8">
              <w:rPr>
                <w:rFonts w:ascii="Arial Narrow" w:hAnsi="Arial Narrow"/>
                <w:color w:val="000000"/>
                <w:sz w:val="20"/>
                <w:szCs w:val="20"/>
                <w:lang w:val="en-US" w:eastAsia="en-US"/>
              </w:rPr>
              <w:t xml:space="preserve"> (</w:t>
            </w:r>
            <w:r w:rsidRPr="00785976">
              <w:rPr>
                <w:rFonts w:ascii="Arial Narrow" w:hAnsi="Arial Narrow"/>
                <w:color w:val="000000"/>
                <w:sz w:val="20"/>
                <w:szCs w:val="20"/>
                <w:lang w:val="en-US" w:eastAsia="en-US"/>
              </w:rPr>
              <w:t>d</w:t>
            </w:r>
            <w:r w:rsidRPr="00410F1B">
              <w:rPr>
                <w:rFonts w:ascii="Arial Narrow" w:hAnsi="Arial Narrow"/>
                <w:color w:val="000000"/>
                <w:sz w:val="20"/>
                <w:szCs w:val="20"/>
                <w:lang w:val="en-US" w:eastAsia="en-US"/>
              </w:rPr>
              <w:t>isability-free life expectancy</w:t>
            </w:r>
            <w:r>
              <w:rPr>
                <w:rFonts w:ascii="Arial Narrow" w:hAnsi="Arial Narrow"/>
                <w:color w:val="000000"/>
                <w:sz w:val="20"/>
                <w:szCs w:val="20"/>
                <w:lang w:val="en-US" w:eastAsia="en-US"/>
              </w:rPr>
              <w:t>,</w:t>
            </w:r>
            <w:r w:rsidRPr="00410F1B">
              <w:rPr>
                <w:rFonts w:ascii="Arial Narrow" w:hAnsi="Arial Narrow"/>
                <w:color w:val="000000"/>
                <w:sz w:val="20"/>
                <w:szCs w:val="20"/>
                <w:lang w:val="en-US" w:eastAsia="en-US"/>
              </w:rPr>
              <w:t xml:space="preserve"> </w:t>
            </w:r>
            <w:r w:rsidRPr="00785976">
              <w:rPr>
                <w:rFonts w:ascii="Arial Narrow" w:hAnsi="Arial Narrow"/>
                <w:color w:val="000000"/>
                <w:sz w:val="20"/>
                <w:szCs w:val="20"/>
                <w:lang w:val="en-US" w:eastAsia="en-US"/>
              </w:rPr>
              <w:t>DFLE</w:t>
            </w:r>
            <w:r w:rsidRPr="00D50DB8">
              <w:rPr>
                <w:rFonts w:ascii="Arial Narrow" w:hAnsi="Arial Narrow"/>
                <w:color w:val="000000"/>
                <w:sz w:val="20"/>
                <w:szCs w:val="20"/>
                <w:lang w:val="en-US" w:eastAsia="en-US"/>
              </w:rPr>
              <w:t>).</w:t>
            </w:r>
            <w:r>
              <w:rPr>
                <w:rFonts w:ascii="Arial Narrow" w:hAnsi="Arial Narrow"/>
                <w:color w:val="000000"/>
                <w:sz w:val="20"/>
                <w:szCs w:val="20"/>
                <w:lang w:val="en-US" w:eastAsia="en-US"/>
              </w:rPr>
              <w:t xml:space="preserve"> </w:t>
            </w:r>
            <w:proofErr w:type="spellStart"/>
            <w:r>
              <w:rPr>
                <w:rFonts w:ascii="Arial Narrow" w:hAnsi="Arial Narrow"/>
                <w:color w:val="000000"/>
                <w:sz w:val="20"/>
                <w:szCs w:val="20"/>
                <w:lang w:val="en-US" w:eastAsia="en-US"/>
              </w:rPr>
              <w:t>Určuje</w:t>
            </w:r>
            <w:proofErr w:type="spellEnd"/>
            <w:r>
              <w:rPr>
                <w:rFonts w:ascii="Arial Narrow" w:hAnsi="Arial Narrow"/>
                <w:color w:val="000000"/>
                <w:sz w:val="20"/>
                <w:szCs w:val="20"/>
                <w:lang w:val="en-US" w:eastAsia="en-US"/>
              </w:rPr>
              <w:t xml:space="preserve"> </w:t>
            </w:r>
            <w:proofErr w:type="spellStart"/>
            <w:r>
              <w:rPr>
                <w:rFonts w:ascii="Arial Narrow" w:hAnsi="Arial Narrow"/>
                <w:color w:val="000000"/>
                <w:sz w:val="20"/>
                <w:szCs w:val="20"/>
                <w:lang w:val="en-US" w:eastAsia="en-US"/>
              </w:rPr>
              <w:t>sa</w:t>
            </w:r>
            <w:proofErr w:type="spellEnd"/>
            <w:r>
              <w:rPr>
                <w:rFonts w:ascii="Arial Narrow" w:hAnsi="Arial Narrow"/>
                <w:color w:val="000000"/>
                <w:sz w:val="20"/>
                <w:szCs w:val="20"/>
                <w:lang w:val="en-US" w:eastAsia="en-US"/>
              </w:rPr>
              <w:t xml:space="preserve"> </w:t>
            </w:r>
            <w:proofErr w:type="spellStart"/>
            <w:r>
              <w:rPr>
                <w:rFonts w:ascii="Arial Narrow" w:hAnsi="Arial Narrow"/>
                <w:color w:val="000000"/>
                <w:sz w:val="20"/>
                <w:szCs w:val="20"/>
                <w:lang w:val="en-US" w:eastAsia="en-US"/>
              </w:rPr>
              <w:t>samostatne</w:t>
            </w:r>
            <w:proofErr w:type="spellEnd"/>
            <w:r>
              <w:rPr>
                <w:rFonts w:ascii="Arial Narrow" w:hAnsi="Arial Narrow"/>
                <w:color w:val="000000"/>
                <w:sz w:val="20"/>
                <w:szCs w:val="20"/>
                <w:lang w:val="en-US" w:eastAsia="en-US"/>
              </w:rPr>
              <w:t xml:space="preserve"> pre </w:t>
            </w:r>
            <w:proofErr w:type="spellStart"/>
            <w:r>
              <w:rPr>
                <w:rFonts w:ascii="Arial Narrow" w:hAnsi="Arial Narrow"/>
                <w:color w:val="000000"/>
                <w:sz w:val="20"/>
                <w:szCs w:val="20"/>
                <w:lang w:val="en-US" w:eastAsia="en-US"/>
              </w:rPr>
              <w:t>mužov</w:t>
            </w:r>
            <w:proofErr w:type="spellEnd"/>
            <w:r>
              <w:rPr>
                <w:rFonts w:ascii="Arial Narrow" w:hAnsi="Arial Narrow"/>
                <w:color w:val="000000"/>
                <w:sz w:val="20"/>
                <w:szCs w:val="20"/>
                <w:lang w:val="en-US" w:eastAsia="en-US"/>
              </w:rPr>
              <w:t xml:space="preserve"> a pre </w:t>
            </w:r>
            <w:proofErr w:type="spellStart"/>
            <w:r>
              <w:rPr>
                <w:rFonts w:ascii="Arial Narrow" w:hAnsi="Arial Narrow"/>
                <w:color w:val="000000"/>
                <w:sz w:val="20"/>
                <w:szCs w:val="20"/>
                <w:lang w:val="en-US" w:eastAsia="en-US"/>
              </w:rPr>
              <w:t>ženy</w:t>
            </w:r>
            <w:proofErr w:type="spellEnd"/>
            <w:r>
              <w:rPr>
                <w:rFonts w:ascii="Arial Narrow" w:hAnsi="Arial Narrow"/>
                <w:color w:val="000000"/>
                <w:sz w:val="20"/>
                <w:szCs w:val="20"/>
                <w:lang w:val="en-US" w:eastAsia="en-US"/>
              </w:rPr>
              <w:t>.</w:t>
            </w:r>
          </w:p>
        </w:tc>
      </w:tr>
      <w:tr w:rsidR="007D2366" w:rsidRPr="00D50DB8" w14:paraId="6F24357C" w14:textId="77777777" w:rsidTr="00342E82">
        <w:trPr>
          <w:trHeight w:val="300"/>
          <w:jc w:val="center"/>
        </w:trPr>
        <w:tc>
          <w:tcPr>
            <w:tcW w:w="1826" w:type="dxa"/>
            <w:vMerge/>
            <w:tcBorders>
              <w:top w:val="nil"/>
              <w:left w:val="nil"/>
              <w:bottom w:val="dotted" w:sz="4" w:space="0" w:color="000000"/>
              <w:right w:val="nil"/>
            </w:tcBorders>
            <w:vAlign w:val="center"/>
            <w:hideMark/>
          </w:tcPr>
          <w:p w14:paraId="1B7BDC99" w14:textId="77777777" w:rsidR="007D2366" w:rsidRPr="00D50DB8" w:rsidRDefault="007D2366" w:rsidP="00342E82">
            <w:pPr>
              <w:spacing w:after="20" w:line="240" w:lineRule="auto"/>
              <w:rPr>
                <w:rFonts w:ascii="Arial Narrow" w:hAnsi="Arial Narrow"/>
                <w:b/>
                <w:bCs/>
                <w:color w:val="000000"/>
                <w:sz w:val="20"/>
                <w:szCs w:val="20"/>
                <w:lang w:val="en-US" w:eastAsia="en-US"/>
              </w:rPr>
            </w:pPr>
          </w:p>
        </w:tc>
        <w:tc>
          <w:tcPr>
            <w:tcW w:w="8380" w:type="dxa"/>
            <w:tcBorders>
              <w:top w:val="nil"/>
              <w:left w:val="nil"/>
              <w:bottom w:val="dotted" w:sz="4" w:space="0" w:color="auto"/>
              <w:right w:val="nil"/>
            </w:tcBorders>
            <w:shd w:val="clear" w:color="auto" w:fill="auto"/>
            <w:vAlign w:val="center"/>
            <w:hideMark/>
          </w:tcPr>
          <w:p w14:paraId="79CAAB8D" w14:textId="77777777" w:rsidR="007D2366" w:rsidRPr="00D50DB8" w:rsidRDefault="007D2366" w:rsidP="006D01BA">
            <w:pPr>
              <w:spacing w:after="20" w:line="240" w:lineRule="auto"/>
              <w:jc w:val="both"/>
              <w:rPr>
                <w:rFonts w:ascii="Arial Narrow" w:hAnsi="Arial Narrow"/>
                <w:color w:val="000000"/>
                <w:sz w:val="20"/>
                <w:szCs w:val="20"/>
                <w:lang w:val="en-US" w:eastAsia="en-US"/>
              </w:rPr>
            </w:pPr>
            <w:proofErr w:type="spellStart"/>
            <w:r w:rsidRPr="00D50DB8">
              <w:rPr>
                <w:rFonts w:ascii="Arial Narrow" w:hAnsi="Arial Narrow"/>
                <w:color w:val="000000"/>
                <w:sz w:val="20"/>
                <w:szCs w:val="20"/>
                <w:lang w:val="en-US" w:eastAsia="en-US"/>
              </w:rPr>
              <w:t>Zdroj</w:t>
            </w:r>
            <w:proofErr w:type="spellEnd"/>
            <w:r w:rsidRPr="00D50DB8">
              <w:rPr>
                <w:rFonts w:ascii="Arial Narrow" w:hAnsi="Arial Narrow"/>
                <w:color w:val="000000"/>
                <w:sz w:val="20"/>
                <w:szCs w:val="20"/>
                <w:lang w:val="en-US" w:eastAsia="en-US"/>
              </w:rPr>
              <w:t>: Eurostat</w:t>
            </w:r>
            <w:r w:rsidR="006D01BA">
              <w:t xml:space="preserve"> </w:t>
            </w:r>
            <w:r w:rsidR="006D01BA" w:rsidRPr="006D01BA">
              <w:rPr>
                <w:rFonts w:ascii="Arial Narrow" w:hAnsi="Arial Narrow"/>
                <w:color w:val="000000"/>
                <w:sz w:val="20"/>
                <w:szCs w:val="20"/>
                <w:lang w:val="en-US" w:eastAsia="en-US"/>
              </w:rPr>
              <w:t>(</w:t>
            </w:r>
            <w:proofErr w:type="spellStart"/>
            <w:r w:rsidR="006D01BA" w:rsidRPr="006D01BA">
              <w:rPr>
                <w:rFonts w:ascii="Arial Narrow" w:hAnsi="Arial Narrow"/>
                <w:color w:val="000000"/>
                <w:sz w:val="20"/>
                <w:szCs w:val="20"/>
                <w:lang w:val="en-US" w:eastAsia="en-US"/>
              </w:rPr>
              <w:t>hlth_hlye</w:t>
            </w:r>
            <w:proofErr w:type="spellEnd"/>
            <w:r w:rsidR="006D01BA" w:rsidRPr="006D01BA">
              <w:rPr>
                <w:rFonts w:ascii="Arial Narrow" w:hAnsi="Arial Narrow"/>
                <w:color w:val="000000"/>
                <w:sz w:val="20"/>
                <w:szCs w:val="20"/>
                <w:lang w:val="en-US" w:eastAsia="en-US"/>
              </w:rPr>
              <w:t>)</w:t>
            </w:r>
          </w:p>
        </w:tc>
      </w:tr>
      <w:tr w:rsidR="007D2366" w:rsidRPr="00D50DB8" w14:paraId="16D231E4" w14:textId="77777777" w:rsidTr="00342E82">
        <w:trPr>
          <w:trHeight w:val="1200"/>
          <w:jc w:val="center"/>
        </w:trPr>
        <w:tc>
          <w:tcPr>
            <w:tcW w:w="1826" w:type="dxa"/>
            <w:vMerge w:val="restart"/>
            <w:tcBorders>
              <w:top w:val="nil"/>
              <w:left w:val="nil"/>
              <w:bottom w:val="dotted" w:sz="4" w:space="0" w:color="000000"/>
              <w:right w:val="nil"/>
            </w:tcBorders>
            <w:shd w:val="clear" w:color="auto" w:fill="auto"/>
            <w:vAlign w:val="center"/>
            <w:hideMark/>
          </w:tcPr>
          <w:p w14:paraId="5B24BA3A" w14:textId="77777777" w:rsidR="007D2366" w:rsidRPr="000503F6" w:rsidRDefault="007D2366" w:rsidP="00342E82">
            <w:pPr>
              <w:spacing w:after="0" w:line="240" w:lineRule="auto"/>
              <w:rPr>
                <w:rFonts w:ascii="Arial Narrow" w:hAnsi="Arial Narrow"/>
                <w:b/>
                <w:bCs/>
                <w:color w:val="000000"/>
                <w:sz w:val="20"/>
                <w:szCs w:val="20"/>
                <w:lang w:eastAsia="en-US"/>
              </w:rPr>
            </w:pPr>
            <w:r w:rsidRPr="000503F6">
              <w:rPr>
                <w:rFonts w:ascii="Arial Narrow" w:hAnsi="Arial Narrow"/>
                <w:b/>
                <w:bCs/>
                <w:color w:val="000000"/>
                <w:sz w:val="20"/>
                <w:szCs w:val="20"/>
                <w:lang w:eastAsia="en-US"/>
              </w:rPr>
              <w:t>Emisie skleníkových plynov mimo ETS</w:t>
            </w:r>
          </w:p>
        </w:tc>
        <w:tc>
          <w:tcPr>
            <w:tcW w:w="8380" w:type="dxa"/>
            <w:tcBorders>
              <w:top w:val="nil"/>
              <w:left w:val="nil"/>
              <w:bottom w:val="nil"/>
              <w:right w:val="nil"/>
            </w:tcBorders>
            <w:shd w:val="clear" w:color="auto" w:fill="auto"/>
            <w:vAlign w:val="center"/>
            <w:hideMark/>
          </w:tcPr>
          <w:p w14:paraId="2B09175E" w14:textId="77777777" w:rsidR="007D2366" w:rsidRPr="000503F6" w:rsidRDefault="007D2366" w:rsidP="00342E82">
            <w:pPr>
              <w:spacing w:after="0" w:line="240" w:lineRule="auto"/>
              <w:jc w:val="both"/>
              <w:rPr>
                <w:rFonts w:ascii="Arial Narrow" w:hAnsi="Arial Narrow"/>
                <w:color w:val="000000"/>
                <w:sz w:val="20"/>
                <w:szCs w:val="20"/>
                <w:lang w:eastAsia="en-US"/>
              </w:rPr>
            </w:pPr>
            <w:r w:rsidRPr="000503F6">
              <w:rPr>
                <w:rFonts w:ascii="Arial Narrow" w:hAnsi="Arial Narrow"/>
                <w:color w:val="000000"/>
                <w:sz w:val="20"/>
                <w:szCs w:val="20"/>
                <w:lang w:eastAsia="en-US"/>
              </w:rPr>
              <w:t>Emisie skleníkových plynov mimo ETS ako CO</w:t>
            </w:r>
            <w:r w:rsidRPr="000503F6">
              <w:rPr>
                <w:rFonts w:ascii="Arial Narrow" w:hAnsi="Arial Narrow"/>
                <w:color w:val="000000"/>
                <w:sz w:val="20"/>
                <w:szCs w:val="20"/>
                <w:vertAlign w:val="subscript"/>
                <w:lang w:eastAsia="en-US"/>
              </w:rPr>
              <w:t>2</w:t>
            </w:r>
            <w:r w:rsidRPr="000503F6">
              <w:rPr>
                <w:rFonts w:ascii="Arial Narrow" w:hAnsi="Arial Narrow"/>
                <w:color w:val="000000"/>
                <w:sz w:val="20"/>
                <w:szCs w:val="20"/>
                <w:lang w:eastAsia="en-US"/>
              </w:rPr>
              <w:t xml:space="preserve"> ekvivalent vyjadrujú pe</w:t>
            </w:r>
            <w:r w:rsidR="005E7AF0" w:rsidRPr="000503F6">
              <w:rPr>
                <w:rFonts w:ascii="Arial Narrow" w:hAnsi="Arial Narrow"/>
                <w:color w:val="000000"/>
                <w:sz w:val="20"/>
                <w:szCs w:val="20"/>
                <w:lang w:eastAsia="en-US"/>
              </w:rPr>
              <w:t>rcentuálnu zmenu voči roku 2005</w:t>
            </w:r>
            <w:r w:rsidRPr="000503F6">
              <w:rPr>
                <w:rFonts w:ascii="Arial Narrow" w:hAnsi="Arial Narrow"/>
                <w:color w:val="000000"/>
                <w:sz w:val="20"/>
                <w:szCs w:val="20"/>
                <w:lang w:eastAsia="en-US"/>
              </w:rPr>
              <w:t xml:space="preserve">. Indikátor vyjadruje trendy agregovaných </w:t>
            </w:r>
            <w:proofErr w:type="spellStart"/>
            <w:r w:rsidRPr="000503F6">
              <w:rPr>
                <w:rFonts w:ascii="Arial Narrow" w:hAnsi="Arial Narrow"/>
                <w:color w:val="000000"/>
                <w:sz w:val="20"/>
                <w:szCs w:val="20"/>
                <w:lang w:eastAsia="en-US"/>
              </w:rPr>
              <w:t>antropogénnych</w:t>
            </w:r>
            <w:proofErr w:type="spellEnd"/>
            <w:r w:rsidRPr="000503F6">
              <w:rPr>
                <w:rFonts w:ascii="Arial Narrow" w:hAnsi="Arial Narrow"/>
                <w:color w:val="000000"/>
                <w:sz w:val="20"/>
                <w:szCs w:val="20"/>
                <w:lang w:eastAsia="en-US"/>
              </w:rPr>
              <w:t xml:space="preserve"> emisií CO</w:t>
            </w:r>
            <w:r w:rsidRPr="000503F6">
              <w:rPr>
                <w:rFonts w:ascii="Arial Narrow" w:hAnsi="Arial Narrow"/>
                <w:color w:val="000000"/>
                <w:sz w:val="20"/>
                <w:szCs w:val="20"/>
                <w:vertAlign w:val="subscript"/>
                <w:lang w:eastAsia="en-US"/>
              </w:rPr>
              <w:t>2</w:t>
            </w:r>
            <w:r w:rsidRPr="000503F6">
              <w:rPr>
                <w:rFonts w:ascii="Arial Narrow" w:hAnsi="Arial Narrow"/>
                <w:color w:val="000000"/>
                <w:sz w:val="20"/>
                <w:szCs w:val="20"/>
                <w:lang w:eastAsia="en-US"/>
              </w:rPr>
              <w:t>, NO</w:t>
            </w:r>
            <w:r w:rsidRPr="000503F6">
              <w:rPr>
                <w:rFonts w:ascii="Arial Narrow" w:hAnsi="Arial Narrow"/>
                <w:color w:val="000000"/>
                <w:sz w:val="20"/>
                <w:szCs w:val="20"/>
                <w:vertAlign w:val="subscript"/>
                <w:lang w:eastAsia="en-US"/>
              </w:rPr>
              <w:t>2</w:t>
            </w:r>
            <w:r w:rsidRPr="000503F6">
              <w:rPr>
                <w:rFonts w:ascii="Arial Narrow" w:hAnsi="Arial Narrow"/>
                <w:color w:val="000000"/>
                <w:sz w:val="20"/>
                <w:szCs w:val="20"/>
                <w:lang w:eastAsia="en-US"/>
              </w:rPr>
              <w:t>, CH4, HFC, PFC a SF6 súhrnne nazývaných skleníkové plyny a vyjadrené ako CO</w:t>
            </w:r>
            <w:r w:rsidRPr="000503F6">
              <w:rPr>
                <w:rFonts w:ascii="Arial Narrow" w:hAnsi="Arial Narrow"/>
                <w:color w:val="000000"/>
                <w:sz w:val="20"/>
                <w:szCs w:val="20"/>
                <w:vertAlign w:val="subscript"/>
                <w:lang w:eastAsia="en-US"/>
              </w:rPr>
              <w:t>2</w:t>
            </w:r>
            <w:r w:rsidRPr="000503F6">
              <w:rPr>
                <w:rFonts w:ascii="Arial Narrow" w:hAnsi="Arial Narrow"/>
                <w:color w:val="000000"/>
                <w:sz w:val="20"/>
                <w:szCs w:val="20"/>
                <w:lang w:eastAsia="en-US"/>
              </w:rPr>
              <w:t xml:space="preserve"> ekvivalent. Celkové množstvo nezahŕňa emisie z využívania krajiny a lesov (LULUCF).</w:t>
            </w:r>
          </w:p>
        </w:tc>
      </w:tr>
      <w:tr w:rsidR="007D2366" w:rsidRPr="00D50DB8" w14:paraId="6C88669D" w14:textId="77777777" w:rsidTr="00342E82">
        <w:trPr>
          <w:trHeight w:val="300"/>
          <w:jc w:val="center"/>
        </w:trPr>
        <w:tc>
          <w:tcPr>
            <w:tcW w:w="1826" w:type="dxa"/>
            <w:vMerge/>
            <w:tcBorders>
              <w:top w:val="nil"/>
              <w:left w:val="nil"/>
              <w:bottom w:val="dotted" w:sz="4" w:space="0" w:color="000000"/>
              <w:right w:val="nil"/>
            </w:tcBorders>
            <w:vAlign w:val="center"/>
            <w:hideMark/>
          </w:tcPr>
          <w:p w14:paraId="18D0A8E9" w14:textId="77777777" w:rsidR="007D2366" w:rsidRPr="000503F6" w:rsidRDefault="007D2366" w:rsidP="00342E82">
            <w:pPr>
              <w:spacing w:after="0" w:line="240" w:lineRule="auto"/>
              <w:rPr>
                <w:rFonts w:ascii="Arial Narrow" w:hAnsi="Arial Narrow"/>
                <w:b/>
                <w:bCs/>
                <w:color w:val="000000"/>
                <w:sz w:val="20"/>
                <w:szCs w:val="20"/>
                <w:lang w:eastAsia="en-US"/>
              </w:rPr>
            </w:pPr>
          </w:p>
        </w:tc>
        <w:tc>
          <w:tcPr>
            <w:tcW w:w="8380" w:type="dxa"/>
            <w:tcBorders>
              <w:top w:val="nil"/>
              <w:left w:val="nil"/>
              <w:bottom w:val="dotted" w:sz="4" w:space="0" w:color="auto"/>
              <w:right w:val="nil"/>
            </w:tcBorders>
            <w:shd w:val="clear" w:color="auto" w:fill="auto"/>
            <w:vAlign w:val="center"/>
            <w:hideMark/>
          </w:tcPr>
          <w:p w14:paraId="17ECA526" w14:textId="77777777" w:rsidR="007D2366" w:rsidRPr="000503F6" w:rsidRDefault="007D2366" w:rsidP="00342E82">
            <w:pPr>
              <w:spacing w:after="0" w:line="240" w:lineRule="auto"/>
              <w:jc w:val="both"/>
              <w:rPr>
                <w:rFonts w:ascii="Arial Narrow" w:hAnsi="Arial Narrow"/>
                <w:color w:val="000000"/>
                <w:sz w:val="20"/>
                <w:szCs w:val="20"/>
                <w:lang w:eastAsia="en-US"/>
              </w:rPr>
            </w:pPr>
            <w:r w:rsidRPr="000503F6">
              <w:rPr>
                <w:rFonts w:ascii="Arial Narrow" w:hAnsi="Arial Narrow"/>
                <w:color w:val="000000"/>
                <w:sz w:val="20"/>
                <w:szCs w:val="20"/>
                <w:lang w:eastAsia="en-US"/>
              </w:rPr>
              <w:t>Zdroj: SHMÚ</w:t>
            </w:r>
          </w:p>
        </w:tc>
      </w:tr>
      <w:tr w:rsidR="007D2366" w:rsidRPr="00D50DB8" w14:paraId="44937736" w14:textId="77777777" w:rsidTr="00342E82">
        <w:trPr>
          <w:trHeight w:val="1167"/>
          <w:jc w:val="center"/>
        </w:trPr>
        <w:tc>
          <w:tcPr>
            <w:tcW w:w="1826" w:type="dxa"/>
            <w:vMerge w:val="restart"/>
            <w:tcBorders>
              <w:top w:val="nil"/>
              <w:left w:val="nil"/>
              <w:right w:val="nil"/>
            </w:tcBorders>
            <w:shd w:val="clear" w:color="auto" w:fill="auto"/>
            <w:vAlign w:val="center"/>
            <w:hideMark/>
          </w:tcPr>
          <w:p w14:paraId="47D57DA3" w14:textId="77777777" w:rsidR="007D2366" w:rsidRPr="000503F6" w:rsidRDefault="007D2366" w:rsidP="00342E82">
            <w:pPr>
              <w:spacing w:after="0" w:line="240" w:lineRule="auto"/>
              <w:rPr>
                <w:rFonts w:ascii="Arial Narrow" w:hAnsi="Arial Narrow"/>
                <w:b/>
                <w:bCs/>
                <w:color w:val="000000"/>
                <w:sz w:val="20"/>
                <w:szCs w:val="20"/>
                <w:lang w:eastAsia="en-US"/>
              </w:rPr>
            </w:pPr>
            <w:r w:rsidRPr="000503F6">
              <w:rPr>
                <w:rFonts w:ascii="Arial Narrow" w:hAnsi="Arial Narrow"/>
                <w:b/>
                <w:bCs/>
                <w:color w:val="000000"/>
                <w:sz w:val="20"/>
                <w:szCs w:val="20"/>
                <w:lang w:eastAsia="en-US"/>
              </w:rPr>
              <w:t>Podiel OZE na hrubej konečnej spotrebe</w:t>
            </w:r>
          </w:p>
        </w:tc>
        <w:tc>
          <w:tcPr>
            <w:tcW w:w="8380" w:type="dxa"/>
            <w:tcBorders>
              <w:top w:val="nil"/>
              <w:left w:val="nil"/>
              <w:right w:val="nil"/>
            </w:tcBorders>
            <w:shd w:val="clear" w:color="auto" w:fill="auto"/>
            <w:vAlign w:val="center"/>
            <w:hideMark/>
          </w:tcPr>
          <w:p w14:paraId="64419F91" w14:textId="77777777" w:rsidR="007D2366" w:rsidRPr="000503F6" w:rsidRDefault="007D2366" w:rsidP="00342E82">
            <w:pPr>
              <w:spacing w:after="0" w:line="240" w:lineRule="auto"/>
              <w:jc w:val="both"/>
              <w:rPr>
                <w:rFonts w:ascii="Arial Narrow" w:hAnsi="Arial Narrow"/>
                <w:color w:val="000000"/>
                <w:sz w:val="20"/>
                <w:szCs w:val="20"/>
                <w:lang w:eastAsia="en-US"/>
              </w:rPr>
            </w:pPr>
            <w:r w:rsidRPr="000503F6">
              <w:rPr>
                <w:rFonts w:ascii="Arial Narrow" w:hAnsi="Arial Narrow"/>
                <w:color w:val="000000"/>
                <w:sz w:val="20"/>
                <w:szCs w:val="20"/>
                <w:lang w:eastAsia="en-US"/>
              </w:rPr>
              <w:t xml:space="preserve">Podiel konečnej energetickej spotreby z obnoviteľných zdrojov energie a hrubej konečnej energetickej spotreby. Konečná energetická spotreba z obnoviteľných zdrojov sa vypočíta ako súčet hrubej konečnej spotreby elektriny z obnoviteľných zdrojov energie, hrubej konečnej energetickej spotreby z obnoviteľných zdrojov energie určenej na výrobu tepla a chladu a konečnej energetickej spotreby z obnoviteľných zdrojov energie v doprave. </w:t>
            </w:r>
          </w:p>
        </w:tc>
      </w:tr>
      <w:tr w:rsidR="007D2366" w:rsidRPr="00D50DB8" w14:paraId="0E5196F4" w14:textId="77777777" w:rsidTr="00342E82">
        <w:trPr>
          <w:trHeight w:val="417"/>
          <w:jc w:val="center"/>
        </w:trPr>
        <w:tc>
          <w:tcPr>
            <w:tcW w:w="1826" w:type="dxa"/>
            <w:vMerge/>
            <w:tcBorders>
              <w:left w:val="nil"/>
              <w:bottom w:val="dotted" w:sz="4" w:space="0" w:color="auto"/>
              <w:right w:val="nil"/>
            </w:tcBorders>
            <w:shd w:val="clear" w:color="auto" w:fill="auto"/>
            <w:vAlign w:val="center"/>
          </w:tcPr>
          <w:p w14:paraId="68511DEB" w14:textId="77777777" w:rsidR="007D2366" w:rsidRPr="000503F6" w:rsidRDefault="007D2366" w:rsidP="00342E82">
            <w:pPr>
              <w:spacing w:after="0" w:line="240" w:lineRule="auto"/>
              <w:rPr>
                <w:rFonts w:ascii="Arial Narrow" w:hAnsi="Arial Narrow"/>
                <w:b/>
                <w:bCs/>
                <w:color w:val="000000"/>
                <w:sz w:val="20"/>
                <w:szCs w:val="20"/>
                <w:lang w:eastAsia="en-US"/>
              </w:rPr>
            </w:pPr>
          </w:p>
        </w:tc>
        <w:tc>
          <w:tcPr>
            <w:tcW w:w="8380" w:type="dxa"/>
            <w:tcBorders>
              <w:top w:val="nil"/>
              <w:left w:val="nil"/>
              <w:bottom w:val="dotted" w:sz="4" w:space="0" w:color="auto"/>
              <w:right w:val="nil"/>
            </w:tcBorders>
            <w:shd w:val="clear" w:color="auto" w:fill="auto"/>
            <w:vAlign w:val="center"/>
          </w:tcPr>
          <w:p w14:paraId="0AF5AF45" w14:textId="77777777" w:rsidR="007D2366" w:rsidRPr="002549AE" w:rsidRDefault="007D2366" w:rsidP="00342E82">
            <w:pPr>
              <w:spacing w:after="0" w:line="240" w:lineRule="auto"/>
              <w:jc w:val="both"/>
              <w:rPr>
                <w:rFonts w:ascii="Arial Narrow" w:hAnsi="Arial Narrow"/>
                <w:color w:val="000000"/>
                <w:sz w:val="20"/>
                <w:szCs w:val="20"/>
                <w:lang w:eastAsia="en-US"/>
              </w:rPr>
            </w:pPr>
            <w:r w:rsidRPr="002549AE">
              <w:rPr>
                <w:rFonts w:ascii="Arial Narrow" w:hAnsi="Arial Narrow"/>
                <w:color w:val="000000"/>
                <w:sz w:val="20"/>
                <w:szCs w:val="20"/>
                <w:lang w:eastAsia="en-US"/>
              </w:rPr>
              <w:t xml:space="preserve">Zdroj: </w:t>
            </w:r>
            <w:proofErr w:type="spellStart"/>
            <w:r w:rsidRPr="002549AE">
              <w:rPr>
                <w:rFonts w:ascii="Arial Narrow" w:hAnsi="Arial Narrow"/>
                <w:color w:val="000000"/>
                <w:sz w:val="20"/>
                <w:szCs w:val="20"/>
                <w:lang w:eastAsia="en-US"/>
              </w:rPr>
              <w:t>Eurostat</w:t>
            </w:r>
            <w:proofErr w:type="spellEnd"/>
            <w:r w:rsidR="002549AE" w:rsidRPr="002549AE">
              <w:rPr>
                <w:rFonts w:ascii="Arial Narrow" w:hAnsi="Arial Narrow"/>
                <w:color w:val="000000"/>
                <w:sz w:val="20"/>
                <w:szCs w:val="20"/>
                <w:lang w:eastAsia="en-US"/>
              </w:rPr>
              <w:t xml:space="preserve"> (</w:t>
            </w:r>
            <w:r w:rsidR="002549AE" w:rsidRPr="002549AE">
              <w:rPr>
                <w:rStyle w:val="leaf"/>
                <w:rFonts w:ascii="Arial Narrow" w:hAnsi="Arial Narrow"/>
                <w:sz w:val="20"/>
                <w:szCs w:val="20"/>
              </w:rPr>
              <w:t>t2020_31</w:t>
            </w:r>
            <w:r w:rsidR="002549AE" w:rsidRPr="002549AE">
              <w:rPr>
                <w:rFonts w:ascii="Arial Narrow" w:hAnsi="Arial Narrow"/>
                <w:color w:val="000000"/>
                <w:sz w:val="20"/>
                <w:szCs w:val="20"/>
                <w:lang w:eastAsia="en-US"/>
              </w:rPr>
              <w:t>)</w:t>
            </w:r>
          </w:p>
        </w:tc>
      </w:tr>
      <w:tr w:rsidR="007D2366" w:rsidRPr="00D50DB8" w14:paraId="5EF1B193" w14:textId="77777777" w:rsidTr="000503F6">
        <w:trPr>
          <w:trHeight w:val="565"/>
          <w:jc w:val="center"/>
        </w:trPr>
        <w:tc>
          <w:tcPr>
            <w:tcW w:w="1826" w:type="dxa"/>
            <w:vMerge w:val="restart"/>
            <w:tcBorders>
              <w:top w:val="dotted" w:sz="4" w:space="0" w:color="auto"/>
              <w:left w:val="nil"/>
              <w:bottom w:val="dotted" w:sz="4" w:space="0" w:color="000000"/>
              <w:right w:val="nil"/>
            </w:tcBorders>
            <w:shd w:val="clear" w:color="auto" w:fill="auto"/>
            <w:vAlign w:val="center"/>
            <w:hideMark/>
          </w:tcPr>
          <w:p w14:paraId="6B18BA8C" w14:textId="77777777" w:rsidR="007D2366" w:rsidRPr="000503F6" w:rsidRDefault="007D2366" w:rsidP="00342E82">
            <w:pPr>
              <w:spacing w:after="0" w:line="240" w:lineRule="auto"/>
              <w:rPr>
                <w:rFonts w:ascii="Arial Narrow" w:hAnsi="Arial Narrow"/>
                <w:b/>
                <w:bCs/>
                <w:color w:val="000000"/>
                <w:sz w:val="20"/>
                <w:szCs w:val="20"/>
                <w:lang w:eastAsia="en-US"/>
              </w:rPr>
            </w:pPr>
            <w:r w:rsidRPr="000503F6">
              <w:rPr>
                <w:rFonts w:ascii="Arial Narrow" w:hAnsi="Arial Narrow"/>
                <w:b/>
                <w:bCs/>
                <w:color w:val="000000"/>
                <w:sz w:val="20"/>
                <w:szCs w:val="20"/>
                <w:lang w:eastAsia="en-US"/>
              </w:rPr>
              <w:t>Konečná energetická spotreba</w:t>
            </w:r>
          </w:p>
        </w:tc>
        <w:tc>
          <w:tcPr>
            <w:tcW w:w="8380" w:type="dxa"/>
            <w:tcBorders>
              <w:top w:val="dotted" w:sz="4" w:space="0" w:color="auto"/>
              <w:left w:val="nil"/>
              <w:bottom w:val="nil"/>
              <w:right w:val="nil"/>
            </w:tcBorders>
            <w:shd w:val="clear" w:color="auto" w:fill="auto"/>
            <w:vAlign w:val="center"/>
            <w:hideMark/>
          </w:tcPr>
          <w:p w14:paraId="2EB977A2" w14:textId="77777777" w:rsidR="007D2366" w:rsidRPr="000503F6" w:rsidRDefault="000503F6" w:rsidP="000503F6">
            <w:pPr>
              <w:spacing w:after="0" w:line="240" w:lineRule="auto"/>
              <w:jc w:val="both"/>
              <w:rPr>
                <w:rFonts w:ascii="Arial Narrow" w:hAnsi="Arial Narrow"/>
                <w:color w:val="000000"/>
                <w:sz w:val="20"/>
                <w:szCs w:val="20"/>
                <w:lang w:eastAsia="en-US"/>
              </w:rPr>
            </w:pPr>
            <w:r w:rsidRPr="000503F6">
              <w:rPr>
                <w:rFonts w:ascii="Arial Narrow" w:hAnsi="Arial Narrow"/>
                <w:color w:val="000000"/>
                <w:sz w:val="20"/>
                <w:szCs w:val="20"/>
                <w:lang w:eastAsia="en-US"/>
              </w:rPr>
              <w:t xml:space="preserve">Konečná </w:t>
            </w:r>
            <w:r w:rsidR="0097427D" w:rsidRPr="000503F6">
              <w:rPr>
                <w:rFonts w:ascii="Arial Narrow" w:hAnsi="Arial Narrow"/>
                <w:color w:val="000000"/>
                <w:sz w:val="20"/>
                <w:szCs w:val="20"/>
                <w:lang w:eastAsia="en-US"/>
              </w:rPr>
              <w:t>spotreba energie zahŕňa všetku energiu dodanú konečným spotrebiteľom (v priemysle, v doprave, v domácnostiach a v iných sektoroch) pre všetky druhy energetických potrieb. Nezahŕňa dodávky energie pre transformáciu a/alebo vlastnú spotrebu energetických odvetví, rovnako ako straty v</w:t>
            </w:r>
            <w:r w:rsidRPr="000503F6">
              <w:rPr>
                <w:rFonts w:ascii="Arial Narrow" w:hAnsi="Arial Narrow"/>
                <w:color w:val="000000"/>
                <w:sz w:val="20"/>
                <w:szCs w:val="20"/>
                <w:lang w:eastAsia="en-US"/>
              </w:rPr>
              <w:t> </w:t>
            </w:r>
            <w:r w:rsidR="0097427D" w:rsidRPr="000503F6">
              <w:rPr>
                <w:rFonts w:ascii="Arial Narrow" w:hAnsi="Arial Narrow"/>
                <w:color w:val="000000"/>
                <w:sz w:val="20"/>
                <w:szCs w:val="20"/>
                <w:lang w:eastAsia="en-US"/>
              </w:rPr>
              <w:t>sieťach</w:t>
            </w:r>
            <w:r w:rsidRPr="000503F6">
              <w:rPr>
                <w:rFonts w:ascii="Arial Narrow" w:hAnsi="Arial Narrow"/>
                <w:color w:val="000000"/>
                <w:sz w:val="20"/>
                <w:szCs w:val="20"/>
                <w:lang w:eastAsia="en-US"/>
              </w:rPr>
              <w:t>.</w:t>
            </w:r>
          </w:p>
          <w:p w14:paraId="1C2F558D" w14:textId="77777777" w:rsidR="000503F6" w:rsidRPr="000503F6" w:rsidRDefault="000503F6" w:rsidP="000503F6">
            <w:pPr>
              <w:spacing w:after="0" w:line="240" w:lineRule="auto"/>
              <w:jc w:val="both"/>
              <w:rPr>
                <w:rFonts w:ascii="Arial Narrow" w:hAnsi="Arial Narrow"/>
                <w:color w:val="000000"/>
                <w:sz w:val="20"/>
                <w:szCs w:val="20"/>
                <w:lang w:eastAsia="en-US"/>
              </w:rPr>
            </w:pPr>
          </w:p>
        </w:tc>
      </w:tr>
      <w:tr w:rsidR="007D2366" w:rsidRPr="00D50DB8" w14:paraId="77FD6517" w14:textId="77777777" w:rsidTr="00342E82">
        <w:trPr>
          <w:trHeight w:val="300"/>
          <w:jc w:val="center"/>
        </w:trPr>
        <w:tc>
          <w:tcPr>
            <w:tcW w:w="1826" w:type="dxa"/>
            <w:vMerge/>
            <w:tcBorders>
              <w:top w:val="nil"/>
              <w:left w:val="nil"/>
              <w:bottom w:val="single" w:sz="4" w:space="0" w:color="auto"/>
              <w:right w:val="nil"/>
            </w:tcBorders>
            <w:vAlign w:val="center"/>
            <w:hideMark/>
          </w:tcPr>
          <w:p w14:paraId="79364CCF" w14:textId="77777777" w:rsidR="007D2366" w:rsidRPr="000503F6" w:rsidRDefault="007D2366" w:rsidP="00342E82">
            <w:pPr>
              <w:spacing w:after="0" w:line="240" w:lineRule="auto"/>
              <w:rPr>
                <w:rFonts w:ascii="Arial Narrow" w:hAnsi="Arial Narrow"/>
                <w:b/>
                <w:bCs/>
                <w:color w:val="000000"/>
                <w:sz w:val="20"/>
                <w:szCs w:val="20"/>
                <w:lang w:eastAsia="en-US"/>
              </w:rPr>
            </w:pPr>
          </w:p>
        </w:tc>
        <w:tc>
          <w:tcPr>
            <w:tcW w:w="8380" w:type="dxa"/>
            <w:tcBorders>
              <w:top w:val="nil"/>
              <w:left w:val="nil"/>
              <w:bottom w:val="single" w:sz="4" w:space="0" w:color="auto"/>
              <w:right w:val="nil"/>
            </w:tcBorders>
            <w:shd w:val="clear" w:color="auto" w:fill="auto"/>
            <w:vAlign w:val="center"/>
            <w:hideMark/>
          </w:tcPr>
          <w:p w14:paraId="332D9D6E" w14:textId="77777777" w:rsidR="007D2366" w:rsidRPr="000503F6" w:rsidRDefault="007D2366" w:rsidP="003F4460">
            <w:pPr>
              <w:spacing w:after="0" w:line="240" w:lineRule="auto"/>
              <w:jc w:val="both"/>
              <w:rPr>
                <w:rFonts w:ascii="Arial Narrow" w:hAnsi="Arial Narrow"/>
                <w:color w:val="000000"/>
                <w:sz w:val="20"/>
                <w:szCs w:val="20"/>
                <w:lang w:eastAsia="en-US"/>
              </w:rPr>
            </w:pPr>
            <w:r w:rsidRPr="000503F6">
              <w:rPr>
                <w:rFonts w:ascii="Arial Narrow" w:hAnsi="Arial Narrow"/>
                <w:color w:val="000000"/>
                <w:sz w:val="20"/>
                <w:szCs w:val="20"/>
                <w:lang w:eastAsia="en-US"/>
              </w:rPr>
              <w:t xml:space="preserve">Zdroj: </w:t>
            </w:r>
            <w:proofErr w:type="spellStart"/>
            <w:r w:rsidR="003F4460" w:rsidRPr="000503F6">
              <w:rPr>
                <w:rFonts w:ascii="Arial Narrow" w:hAnsi="Arial Narrow"/>
                <w:color w:val="000000"/>
                <w:sz w:val="20"/>
                <w:szCs w:val="20"/>
                <w:lang w:eastAsia="en-US"/>
              </w:rPr>
              <w:t>Eurostat</w:t>
            </w:r>
            <w:proofErr w:type="spellEnd"/>
            <w:r w:rsidR="002549AE">
              <w:rPr>
                <w:rFonts w:ascii="Arial Narrow" w:hAnsi="Arial Narrow"/>
                <w:color w:val="000000"/>
                <w:sz w:val="20"/>
                <w:szCs w:val="20"/>
                <w:lang w:eastAsia="en-US"/>
              </w:rPr>
              <w:t xml:space="preserve"> (t2020_35)</w:t>
            </w:r>
          </w:p>
        </w:tc>
      </w:tr>
    </w:tbl>
    <w:p w14:paraId="4F1C2548" w14:textId="77777777" w:rsidR="007D2366" w:rsidRPr="00BA41D8" w:rsidRDefault="007D2366" w:rsidP="007D2366">
      <w:pPr>
        <w:pStyle w:val="Vykonajzoznam"/>
        <w:ind w:left="0"/>
        <w:jc w:val="both"/>
        <w:rPr>
          <w:rFonts w:ascii="Arial Narrow" w:hAnsi="Arial Narrow" w:cs="Arial Narrow"/>
        </w:rPr>
      </w:pPr>
    </w:p>
    <w:p w14:paraId="05CF13CD" w14:textId="77777777" w:rsidR="001F0607" w:rsidRDefault="001F0607" w:rsidP="00FB625E">
      <w:pPr>
        <w:spacing w:line="240" w:lineRule="auto"/>
      </w:pPr>
    </w:p>
    <w:p w14:paraId="74374E60" w14:textId="77777777" w:rsidR="001F0607" w:rsidRPr="001F0607" w:rsidRDefault="001F0607" w:rsidP="00FB625E">
      <w:pPr>
        <w:spacing w:after="0" w:line="240" w:lineRule="auto"/>
        <w:jc w:val="both"/>
        <w:rPr>
          <w:rFonts w:ascii="Arial Narrow" w:hAnsi="Arial Narrow"/>
          <w:color w:val="000000"/>
        </w:rPr>
      </w:pPr>
    </w:p>
    <w:p w14:paraId="08C6ADD7" w14:textId="77777777" w:rsidR="00005C28" w:rsidRPr="001F0607" w:rsidRDefault="00005C28" w:rsidP="00FB625E">
      <w:pPr>
        <w:spacing w:after="0" w:line="240" w:lineRule="auto"/>
        <w:jc w:val="both"/>
        <w:rPr>
          <w:rFonts w:ascii="Arial Narrow" w:hAnsi="Arial Narrow"/>
          <w:color w:val="000000"/>
        </w:rPr>
      </w:pPr>
    </w:p>
    <w:sectPr w:rsidR="00005C28" w:rsidRPr="001F0607" w:rsidSect="00B03FC9">
      <w:footerReference w:type="default" r:id="rId56"/>
      <w:type w:val="nextColumn"/>
      <w:pgSz w:w="11920" w:h="16840"/>
      <w:pgMar w:top="1559" w:right="1678" w:bottom="278" w:left="167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4765D" w14:textId="77777777" w:rsidR="00124670" w:rsidRDefault="00124670" w:rsidP="005B2D07">
      <w:pPr>
        <w:spacing w:after="0" w:line="240" w:lineRule="auto"/>
      </w:pPr>
      <w:r>
        <w:separator/>
      </w:r>
    </w:p>
  </w:endnote>
  <w:endnote w:type="continuationSeparator" w:id="0">
    <w:p w14:paraId="58058A82" w14:textId="77777777" w:rsidR="00124670" w:rsidRDefault="00124670" w:rsidP="005B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NeueHaasGroteskDisp W02 Bd">
    <w:altName w:val="Arial"/>
    <w:panose1 w:val="020B0804020202020204"/>
    <w:charset w:val="EE"/>
    <w:family w:val="swiss"/>
    <w:pitch w:val="variable"/>
    <w:sig w:usb0="800000AF" w:usb1="4000204A" w:usb2="00000000" w:usb3="00000000" w:csb0="00000093" w:csb1="00000000"/>
  </w:font>
  <w:font w:name="NeueHaasGroteskText W02">
    <w:altName w:val="Segoe Script"/>
    <w:panose1 w:val="020B0504020202020204"/>
    <w:charset w:val="EE"/>
    <w:family w:val="swiss"/>
    <w:pitch w:val="variable"/>
    <w:sig w:usb0="800000AF" w:usb1="4000204A" w:usb2="00000000" w:usb3="00000000" w:csb0="00000093" w:csb1="00000000"/>
  </w:font>
  <w:font w:name="PF Square Sans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NeueHaasGroteskDisp W02">
    <w:altName w:val="Segoe Script"/>
    <w:panose1 w:val="020B0504020202020204"/>
    <w:charset w:val="EE"/>
    <w:family w:val="swiss"/>
    <w:pitch w:val="variable"/>
    <w:sig w:usb0="800000AF" w:usb1="4000204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Narrow">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rialNarrow,BoldItalic">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5BB0" w14:textId="77777777" w:rsidR="00C068B2" w:rsidRPr="005B2D07" w:rsidRDefault="00C068B2" w:rsidP="005B2D07">
    <w:pPr>
      <w:widowControl w:val="0"/>
      <w:autoSpaceDE w:val="0"/>
      <w:autoSpaceDN w:val="0"/>
      <w:adjustRightInd w:val="0"/>
      <w:spacing w:after="0" w:line="200" w:lineRule="exact"/>
      <w:ind w:left="7200" w:firstLine="720"/>
      <w:rPr>
        <w:rFonts w:ascii="NeueHaasGroteskDisp W02" w:hAnsi="NeueHaasGroteskDisp W02"/>
        <w:sz w:val="20"/>
        <w:szCs w:val="20"/>
      </w:rPr>
    </w:pPr>
    <w:r>
      <w:rPr>
        <w:rFonts w:ascii="NeueHaasGroteskDisp W02" w:hAnsi="NeueHaasGroteskDisp W02"/>
        <w:noProof/>
        <w:lang w:val="en-US" w:eastAsia="en-US"/>
      </w:rPr>
      <mc:AlternateContent>
        <mc:Choice Requires="wps">
          <w:drawing>
            <wp:anchor distT="0" distB="0" distL="114300" distR="114300" simplePos="0" relativeHeight="251661312" behindDoc="1" locked="0" layoutInCell="0" allowOverlap="1" wp14:anchorId="5A50FDA8" wp14:editId="701FFB55">
              <wp:simplePos x="0" y="0"/>
              <wp:positionH relativeFrom="page">
                <wp:posOffset>6960235</wp:posOffset>
              </wp:positionH>
              <wp:positionV relativeFrom="page">
                <wp:posOffset>10374630</wp:posOffset>
              </wp:positionV>
              <wp:extent cx="294640" cy="59055"/>
              <wp:effectExtent l="0" t="0"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640" cy="59055"/>
                      </a:xfrm>
                      <a:prstGeom prst="rect">
                        <a:avLst/>
                      </a:prstGeom>
                      <a:solidFill>
                        <a:srgbClr val="37AB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36D5F" id="Rectangle 14" o:spid="_x0000_s1026" style="position:absolute;margin-left:548.05pt;margin-top:816.9pt;width:23.2pt;height:4.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" o:allowincell="f" fillcolor="#37abe1" stroked="f">
              <v:path arrowok="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764775"/>
      <w:docPartObj>
        <w:docPartGallery w:val="Page Numbers (Bottom of Page)"/>
        <w:docPartUnique/>
      </w:docPartObj>
    </w:sdtPr>
    <w:sdtEndPr>
      <w:rPr>
        <w:rFonts w:ascii="Arial Narrow" w:hAnsi="Arial Narrow"/>
      </w:rPr>
    </w:sdtEndPr>
    <w:sdtContent>
      <w:p w14:paraId="0234E7D9" w14:textId="77777777" w:rsidR="00C068B2" w:rsidRPr="001C5F40" w:rsidRDefault="00C068B2">
        <w:pPr>
          <w:pStyle w:val="Pta"/>
          <w:jc w:val="right"/>
          <w:rPr>
            <w:rFonts w:ascii="Arial Narrow" w:hAnsi="Arial Narrow"/>
          </w:rPr>
        </w:pPr>
        <w:r w:rsidRPr="001C5F40">
          <w:rPr>
            <w:rFonts w:ascii="Arial Narrow" w:hAnsi="Arial Narrow"/>
          </w:rPr>
          <w:fldChar w:fldCharType="begin"/>
        </w:r>
        <w:r w:rsidRPr="001C5F40">
          <w:rPr>
            <w:rFonts w:ascii="Arial Narrow" w:hAnsi="Arial Narrow"/>
          </w:rPr>
          <w:instrText>PAGE   \* MERGEFORMAT</w:instrText>
        </w:r>
        <w:r w:rsidRPr="001C5F40">
          <w:rPr>
            <w:rFonts w:ascii="Arial Narrow" w:hAnsi="Arial Narrow"/>
          </w:rPr>
          <w:fldChar w:fldCharType="separate"/>
        </w:r>
        <w:r w:rsidR="00B35572">
          <w:rPr>
            <w:rFonts w:ascii="Arial Narrow" w:hAnsi="Arial Narrow"/>
            <w:noProof/>
          </w:rPr>
          <w:t>20</w:t>
        </w:r>
        <w:r w:rsidRPr="001C5F40">
          <w:rPr>
            <w:rFonts w:ascii="Arial Narrow" w:hAnsi="Arial Narrow"/>
          </w:rPr>
          <w:fldChar w:fldCharType="end"/>
        </w:r>
      </w:p>
    </w:sdtContent>
  </w:sdt>
  <w:p w14:paraId="42AF18BE" w14:textId="77777777" w:rsidR="00C068B2" w:rsidRDefault="00C068B2" w:rsidP="00FB625E">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2110F" w14:textId="77777777" w:rsidR="00124670" w:rsidRDefault="00124670" w:rsidP="005B2D07">
      <w:pPr>
        <w:spacing w:after="0" w:line="240" w:lineRule="auto"/>
      </w:pPr>
      <w:r>
        <w:separator/>
      </w:r>
    </w:p>
  </w:footnote>
  <w:footnote w:type="continuationSeparator" w:id="0">
    <w:p w14:paraId="7A44CC9C" w14:textId="77777777" w:rsidR="00124670" w:rsidRDefault="00124670" w:rsidP="005B2D07">
      <w:pPr>
        <w:spacing w:after="0" w:line="240" w:lineRule="auto"/>
      </w:pPr>
      <w:r>
        <w:continuationSeparator/>
      </w:r>
    </w:p>
  </w:footnote>
  <w:footnote w:id="1">
    <w:p w14:paraId="6129A953" w14:textId="0A236819" w:rsidR="00C068B2" w:rsidRPr="00824371" w:rsidRDefault="00C068B2">
      <w:pPr>
        <w:pStyle w:val="Textpoznmkypodiarou"/>
        <w:rPr>
          <w:rFonts w:ascii="Arial Narrow" w:hAnsi="Arial Narrow"/>
          <w:sz w:val="16"/>
          <w:szCs w:val="16"/>
        </w:rPr>
      </w:pPr>
      <w:r w:rsidRPr="00824371">
        <w:rPr>
          <w:rStyle w:val="Odkaznapoznmkupodiarou"/>
          <w:rFonts w:ascii="Arial Narrow" w:hAnsi="Arial Narrow"/>
          <w:sz w:val="16"/>
          <w:szCs w:val="16"/>
        </w:rPr>
        <w:footnoteRef/>
      </w:r>
      <w:r w:rsidRPr="00824371">
        <w:rPr>
          <w:rFonts w:ascii="Arial Narrow" w:hAnsi="Arial Narrow"/>
          <w:sz w:val="16"/>
          <w:szCs w:val="16"/>
        </w:rPr>
        <w:t xml:space="preserve"> </w:t>
      </w:r>
      <w:proofErr w:type="spellStart"/>
      <w:r w:rsidRPr="00824371">
        <w:rPr>
          <w:rFonts w:ascii="Arial Narrow" w:hAnsi="Arial Narrow"/>
          <w:sz w:val="16"/>
          <w:szCs w:val="16"/>
        </w:rPr>
        <w:t>The</w:t>
      </w:r>
      <w:proofErr w:type="spellEnd"/>
      <w:r w:rsidRPr="00824371">
        <w:rPr>
          <w:rFonts w:ascii="Arial Narrow" w:hAnsi="Arial Narrow"/>
          <w:sz w:val="16"/>
          <w:szCs w:val="16"/>
        </w:rPr>
        <w:t xml:space="preserve"> </w:t>
      </w:r>
      <w:proofErr w:type="spellStart"/>
      <w:r w:rsidRPr="00824371">
        <w:rPr>
          <w:rFonts w:ascii="Arial Narrow" w:hAnsi="Arial Narrow"/>
          <w:sz w:val="16"/>
          <w:szCs w:val="16"/>
        </w:rPr>
        <w:t>European</w:t>
      </w:r>
      <w:proofErr w:type="spellEnd"/>
      <w:r w:rsidRPr="00824371">
        <w:rPr>
          <w:rFonts w:ascii="Arial Narrow" w:hAnsi="Arial Narrow"/>
          <w:sz w:val="16"/>
          <w:szCs w:val="16"/>
        </w:rPr>
        <w:t xml:space="preserve"> </w:t>
      </w:r>
      <w:proofErr w:type="spellStart"/>
      <w:r w:rsidRPr="00824371">
        <w:rPr>
          <w:rFonts w:ascii="Arial Narrow" w:hAnsi="Arial Narrow"/>
          <w:sz w:val="16"/>
          <w:szCs w:val="16"/>
        </w:rPr>
        <w:t>Commission</w:t>
      </w:r>
      <w:proofErr w:type="spellEnd"/>
      <w:r w:rsidRPr="00824371">
        <w:rPr>
          <w:rFonts w:ascii="Arial Narrow" w:hAnsi="Arial Narrow"/>
          <w:sz w:val="16"/>
          <w:szCs w:val="16"/>
        </w:rPr>
        <w:t xml:space="preserve"> </w:t>
      </w:r>
      <w:proofErr w:type="spellStart"/>
      <w:r w:rsidRPr="00824371">
        <w:rPr>
          <w:rFonts w:ascii="Arial Narrow" w:hAnsi="Arial Narrow"/>
          <w:sz w:val="16"/>
          <w:szCs w:val="16"/>
        </w:rPr>
        <w:t>for</w:t>
      </w:r>
      <w:proofErr w:type="spellEnd"/>
      <w:r w:rsidRPr="00824371">
        <w:rPr>
          <w:rFonts w:ascii="Arial Narrow" w:hAnsi="Arial Narrow"/>
          <w:sz w:val="16"/>
          <w:szCs w:val="16"/>
        </w:rPr>
        <w:t xml:space="preserve"> </w:t>
      </w:r>
      <w:proofErr w:type="spellStart"/>
      <w:r w:rsidRPr="00824371">
        <w:rPr>
          <w:rFonts w:ascii="Arial Narrow" w:hAnsi="Arial Narrow"/>
          <w:sz w:val="16"/>
          <w:szCs w:val="16"/>
        </w:rPr>
        <w:t>the</w:t>
      </w:r>
      <w:proofErr w:type="spellEnd"/>
      <w:r w:rsidRPr="00824371">
        <w:rPr>
          <w:rFonts w:ascii="Arial Narrow" w:hAnsi="Arial Narrow"/>
          <w:sz w:val="16"/>
          <w:szCs w:val="16"/>
        </w:rPr>
        <w:t xml:space="preserve"> </w:t>
      </w:r>
      <w:proofErr w:type="spellStart"/>
      <w:r w:rsidRPr="00824371">
        <w:rPr>
          <w:rFonts w:ascii="Arial Narrow" w:hAnsi="Arial Narrow"/>
          <w:sz w:val="16"/>
          <w:szCs w:val="16"/>
        </w:rPr>
        <w:t>Efficiency</w:t>
      </w:r>
      <w:proofErr w:type="spellEnd"/>
      <w:r w:rsidRPr="00824371">
        <w:rPr>
          <w:rFonts w:ascii="Arial Narrow" w:hAnsi="Arial Narrow"/>
          <w:sz w:val="16"/>
          <w:szCs w:val="16"/>
        </w:rPr>
        <w:t xml:space="preserve"> of </w:t>
      </w:r>
      <w:proofErr w:type="spellStart"/>
      <w:r w:rsidRPr="00824371">
        <w:rPr>
          <w:rFonts w:ascii="Arial Narrow" w:hAnsi="Arial Narrow"/>
          <w:sz w:val="16"/>
          <w:szCs w:val="16"/>
        </w:rPr>
        <w:t>Justice</w:t>
      </w:r>
      <w:proofErr w:type="spellEnd"/>
      <w:r w:rsidRPr="00824371">
        <w:rPr>
          <w:rFonts w:ascii="Arial Narrow" w:hAnsi="Arial Narrow"/>
          <w:sz w:val="16"/>
          <w:szCs w:val="16"/>
        </w:rPr>
        <w:t xml:space="preserve"> – Európska komisia pre efektívne súdnictvo.</w:t>
      </w:r>
    </w:p>
  </w:footnote>
  <w:footnote w:id="2">
    <w:p w14:paraId="15F9DBE6" w14:textId="030A3D62" w:rsidR="00C068B2" w:rsidRPr="006002FD" w:rsidRDefault="00C068B2">
      <w:pPr>
        <w:pStyle w:val="Textpoznmkypodiarou"/>
        <w:rPr>
          <w:rFonts w:ascii="Arial Narrow" w:hAnsi="Arial Narrow"/>
          <w:sz w:val="16"/>
          <w:szCs w:val="16"/>
        </w:rPr>
      </w:pPr>
      <w:r w:rsidRPr="006002FD">
        <w:rPr>
          <w:rFonts w:ascii="Arial Narrow" w:hAnsi="Arial Narrow"/>
          <w:sz w:val="16"/>
          <w:szCs w:val="16"/>
        </w:rPr>
        <w:footnoteRef/>
      </w:r>
      <w:r w:rsidRPr="006002FD">
        <w:rPr>
          <w:rFonts w:ascii="Arial Narrow" w:hAnsi="Arial Narrow"/>
          <w:sz w:val="16"/>
          <w:szCs w:val="16"/>
        </w:rPr>
        <w:t xml:space="preserve"> Tieto priority boli identifikované v aktualizácii metodiky identifikácie priorít Slovenska (</w:t>
      </w:r>
      <w:proofErr w:type="spellStart"/>
      <w:r w:rsidR="00B35572">
        <w:fldChar w:fldCharType="begin"/>
      </w:r>
      <w:r w:rsidR="00B35572">
        <w:instrText xml:space="preserve"> HYPERLINK "http://www.finance.gov.sk/Default.aspx?CatID=11393" </w:instrText>
      </w:r>
      <w:r w:rsidR="00B35572">
        <w:fldChar w:fldCharType="separate"/>
      </w:r>
      <w:r w:rsidRPr="00A3488E">
        <w:rPr>
          <w:rStyle w:val="Hypertextovprepojenie"/>
          <w:rFonts w:ascii="Arial Narrow" w:hAnsi="Arial Narrow"/>
          <w:color w:val="2C9ADC"/>
          <w:sz w:val="16"/>
          <w:szCs w:val="16"/>
        </w:rPr>
        <w:t>Lafférsová</w:t>
      </w:r>
      <w:proofErr w:type="spellEnd"/>
      <w:r w:rsidRPr="00A3488E">
        <w:rPr>
          <w:rStyle w:val="Hypertextovprepojenie"/>
          <w:rFonts w:ascii="Arial Narrow" w:hAnsi="Arial Narrow"/>
          <w:color w:val="2C9ADC"/>
          <w:sz w:val="16"/>
          <w:szCs w:val="16"/>
        </w:rPr>
        <w:t>, 2017</w:t>
      </w:r>
      <w:r w:rsidR="00B35572">
        <w:rPr>
          <w:rStyle w:val="Hypertextovprepojenie"/>
          <w:rFonts w:ascii="Arial Narrow" w:hAnsi="Arial Narrow"/>
          <w:color w:val="2C9ADC"/>
          <w:sz w:val="16"/>
          <w:szCs w:val="16"/>
        </w:rPr>
        <w:fldChar w:fldCharType="end"/>
      </w:r>
      <w:r w:rsidRPr="006002FD">
        <w:rPr>
          <w:rFonts w:ascii="Arial Narrow" w:hAnsi="Arial Narrow"/>
          <w:sz w:val="16"/>
          <w:szCs w:val="16"/>
        </w:rPr>
        <w:t>).</w:t>
      </w:r>
    </w:p>
  </w:footnote>
  <w:footnote w:id="3">
    <w:p w14:paraId="2D75CF50" w14:textId="77777777" w:rsidR="00C068B2" w:rsidRPr="00AB3326" w:rsidRDefault="00C068B2" w:rsidP="001C2E48">
      <w:pPr>
        <w:pStyle w:val="Textpoznmkypodiarou"/>
        <w:jc w:val="both"/>
        <w:rPr>
          <w:rFonts w:ascii="Arial Narrow" w:hAnsi="Arial Narrow"/>
          <w:sz w:val="16"/>
          <w:szCs w:val="16"/>
        </w:rPr>
      </w:pPr>
      <w:r w:rsidRPr="006002FD">
        <w:rPr>
          <w:rStyle w:val="Odkaznapoznmkupodiarou"/>
          <w:rFonts w:ascii="Arial Narrow" w:hAnsi="Arial Narrow"/>
          <w:sz w:val="16"/>
          <w:szCs w:val="16"/>
        </w:rPr>
        <w:footnoteRef/>
      </w:r>
      <w:r w:rsidRPr="006002FD">
        <w:rPr>
          <w:rFonts w:ascii="Arial Narrow" w:hAnsi="Arial Narrow"/>
          <w:sz w:val="16"/>
          <w:szCs w:val="16"/>
        </w:rPr>
        <w:t xml:space="preserve"> Miera odvrátiteľnej úmrtnosti sa často používa ako ukazovateľ kvality zdravotnej starostlivosti a pozostáva z dvoch indikátorov. Prvý indikátor </w:t>
      </w:r>
      <w:r w:rsidRPr="006002FD">
        <w:rPr>
          <w:rFonts w:ascii="Arial Narrow" w:hAnsi="Arial Narrow"/>
          <w:b/>
          <w:i/>
          <w:sz w:val="16"/>
          <w:szCs w:val="16"/>
        </w:rPr>
        <w:t>Liečiteľná úmrtnosť</w:t>
      </w:r>
      <w:r w:rsidRPr="006002FD">
        <w:rPr>
          <w:rFonts w:ascii="Arial Narrow" w:hAnsi="Arial Narrow"/>
          <w:sz w:val="16"/>
          <w:szCs w:val="16"/>
        </w:rPr>
        <w:t xml:space="preserve"> (prezentovaný vyššie) zahŕňa úmrtia, ktoré je možné odvrátiť včasným a adekvátnym zásahom zdravotnej starostlivosti a liečbou. Okrem liečiteľných úmrtí sa používa aj indikátor </w:t>
      </w:r>
      <w:proofErr w:type="spellStart"/>
      <w:r w:rsidRPr="006002FD">
        <w:rPr>
          <w:rFonts w:ascii="Arial Narrow" w:hAnsi="Arial Narrow"/>
          <w:b/>
          <w:i/>
          <w:sz w:val="16"/>
          <w:szCs w:val="16"/>
        </w:rPr>
        <w:t>Predchádzateľná</w:t>
      </w:r>
      <w:proofErr w:type="spellEnd"/>
      <w:r w:rsidRPr="006002FD">
        <w:rPr>
          <w:rFonts w:ascii="Arial Narrow" w:hAnsi="Arial Narrow"/>
          <w:b/>
          <w:i/>
          <w:sz w:val="16"/>
          <w:szCs w:val="16"/>
        </w:rPr>
        <w:t xml:space="preserve"> úmrtnosť</w:t>
      </w:r>
      <w:r w:rsidRPr="006002FD">
        <w:rPr>
          <w:rFonts w:ascii="Arial Narrow" w:hAnsi="Arial Narrow"/>
          <w:sz w:val="16"/>
          <w:szCs w:val="16"/>
        </w:rPr>
        <w:t xml:space="preserve">. Tej sa dá predchádzať pomocou preventívnych vyšetrení a včasnou diagnostikou. Oba ukazovatele spolu predstavujú komplexný indikátor nazývaný </w:t>
      </w:r>
      <w:r w:rsidRPr="006002FD">
        <w:rPr>
          <w:rFonts w:ascii="Arial Narrow" w:hAnsi="Arial Narrow"/>
          <w:b/>
          <w:i/>
          <w:sz w:val="16"/>
          <w:szCs w:val="16"/>
        </w:rPr>
        <w:t>Odvrátiteľná úmrtnosť</w:t>
      </w:r>
      <w:r w:rsidRPr="00D162AA">
        <w:rPr>
          <w:rFonts w:ascii="Arial Narrow" w:hAnsi="Arial Narrow"/>
          <w:sz w:val="16"/>
          <w:szCs w:val="16"/>
        </w:rPr>
        <w:t>.</w:t>
      </w:r>
    </w:p>
  </w:footnote>
  <w:footnote w:id="4">
    <w:p w14:paraId="1B9EF1DA" w14:textId="7123A407" w:rsidR="00C068B2" w:rsidRPr="00AB3326" w:rsidRDefault="00C068B2" w:rsidP="001C2E48">
      <w:pPr>
        <w:pStyle w:val="Textpoznmkypodiarou"/>
        <w:jc w:val="both"/>
        <w:rPr>
          <w:rFonts w:ascii="Arial Narrow" w:hAnsi="Arial Narrow"/>
          <w:sz w:val="16"/>
          <w:szCs w:val="16"/>
        </w:rPr>
      </w:pPr>
      <w:r w:rsidRPr="00AB3326">
        <w:rPr>
          <w:rStyle w:val="Odkaznapoznmkupodiarou"/>
          <w:rFonts w:ascii="Arial Narrow" w:hAnsi="Arial Narrow"/>
          <w:sz w:val="16"/>
          <w:szCs w:val="16"/>
        </w:rPr>
        <w:footnoteRef/>
      </w:r>
      <w:r>
        <w:rPr>
          <w:rFonts w:ascii="Arial Narrow" w:hAnsi="Arial Narrow"/>
          <w:sz w:val="16"/>
          <w:szCs w:val="16"/>
        </w:rPr>
        <w:t xml:space="preserve"> Filko, M. a kol. (2012): </w:t>
      </w:r>
      <w:hyperlink r:id="rId1" w:history="1">
        <w:r w:rsidRPr="000C4F08">
          <w:rPr>
            <w:rStyle w:val="Hypertextovprepojenie"/>
            <w:rFonts w:ascii="Arial Narrow" w:hAnsi="Arial Narrow"/>
            <w:color w:val="2C9ADC"/>
            <w:sz w:val="16"/>
            <w:szCs w:val="16"/>
          </w:rPr>
          <w:t>Málo zdravia za veľa peňazí: Analýza efektívnosti slovenského zdravotníctva</w:t>
        </w:r>
      </w:hyperlink>
      <w:r>
        <w:rPr>
          <w:rFonts w:ascii="Arial Narrow" w:hAnsi="Arial Narrow"/>
          <w:sz w:val="16"/>
          <w:szCs w:val="16"/>
        </w:rPr>
        <w:t>.</w:t>
      </w:r>
      <w:r w:rsidRPr="00AB3326">
        <w:rPr>
          <w:rFonts w:ascii="Arial Narrow" w:hAnsi="Arial Narrow"/>
          <w:sz w:val="16"/>
          <w:szCs w:val="16"/>
        </w:rPr>
        <w:t xml:space="preserve"> Ekonomická analýza 28, Inštitút finančnej</w:t>
      </w:r>
      <w:r w:rsidR="00665B1A">
        <w:rPr>
          <w:rFonts w:ascii="Arial Narrow" w:hAnsi="Arial Narrow"/>
          <w:sz w:val="16"/>
          <w:szCs w:val="16"/>
        </w:rPr>
        <w:t xml:space="preserve"> politiky</w:t>
      </w:r>
    </w:p>
  </w:footnote>
  <w:footnote w:id="5">
    <w:p w14:paraId="3BB0FE1B" w14:textId="097B977C" w:rsidR="00C068B2" w:rsidRPr="00552526" w:rsidRDefault="00C068B2">
      <w:pPr>
        <w:pStyle w:val="Textpoznmkypodiarou"/>
        <w:rPr>
          <w:rFonts w:ascii="Arial Narrow" w:hAnsi="Arial Narrow"/>
        </w:rPr>
      </w:pPr>
      <w:r w:rsidRPr="00552526">
        <w:rPr>
          <w:rStyle w:val="Odkaznapoznmkupodiarou"/>
          <w:rFonts w:ascii="Arial Narrow" w:hAnsi="Arial Narrow"/>
          <w:sz w:val="16"/>
        </w:rPr>
        <w:footnoteRef/>
      </w:r>
      <w:r w:rsidRPr="00552526">
        <w:rPr>
          <w:rFonts w:ascii="Arial Narrow" w:hAnsi="Arial Narrow"/>
          <w:sz w:val="16"/>
        </w:rPr>
        <w:t xml:space="preserve"> </w:t>
      </w:r>
      <w:hyperlink r:id="rId2" w:history="1">
        <w:r w:rsidRPr="00297AED">
          <w:rPr>
            <w:rStyle w:val="Hypertextovprepojenie"/>
            <w:rFonts w:ascii="Arial Narrow" w:hAnsi="Arial Narrow"/>
            <w:color w:val="2C9ADC"/>
            <w:sz w:val="16"/>
            <w:szCs w:val="16"/>
          </w:rPr>
          <w:t>Špecifické odporúčania pre Slovensko 2017</w:t>
        </w:r>
      </w:hyperlink>
    </w:p>
  </w:footnote>
  <w:footnote w:id="6">
    <w:p w14:paraId="10111758" w14:textId="31ED898F" w:rsidR="00C068B2" w:rsidRDefault="00C068B2">
      <w:pPr>
        <w:pStyle w:val="Textpoznmkypodiarou"/>
      </w:pPr>
      <w:r w:rsidRPr="003C3F9E">
        <w:rPr>
          <w:rFonts w:ascii="Arial Narrow" w:hAnsi="Arial Narrow"/>
          <w:sz w:val="16"/>
          <w:szCs w:val="16"/>
          <w:vertAlign w:val="superscript"/>
        </w:rPr>
        <w:footnoteRef/>
      </w:r>
      <w:r w:rsidRPr="003C3F9E">
        <w:rPr>
          <w:rFonts w:ascii="Arial Narrow" w:hAnsi="Arial Narrow"/>
          <w:sz w:val="16"/>
          <w:szCs w:val="16"/>
          <w:vertAlign w:val="superscript"/>
        </w:rPr>
        <w:t xml:space="preserve"> </w:t>
      </w:r>
      <w:hyperlink r:id="rId3" w:history="1">
        <w:r w:rsidRPr="00867BBB">
          <w:rPr>
            <w:rStyle w:val="Hypertextovprepojenie"/>
            <w:rFonts w:ascii="Arial Narrow" w:hAnsi="Arial Narrow"/>
            <w:color w:val="2C9ADC"/>
            <w:sz w:val="16"/>
            <w:szCs w:val="16"/>
          </w:rPr>
          <w:t>Priebežná implementačná správa</w:t>
        </w:r>
      </w:hyperlink>
      <w:r w:rsidRPr="003C3F9E">
        <w:rPr>
          <w:rFonts w:ascii="Arial Narrow" w:hAnsi="Arial Narrow"/>
          <w:sz w:val="16"/>
          <w:szCs w:val="16"/>
        </w:rPr>
        <w:t xml:space="preserve"> (október 2017).</w:t>
      </w:r>
    </w:p>
  </w:footnote>
  <w:footnote w:id="7">
    <w:p w14:paraId="7AB95405" w14:textId="2B1A38EF" w:rsidR="00C068B2" w:rsidRPr="0015607D" w:rsidRDefault="00C068B2" w:rsidP="00E34972">
      <w:pPr>
        <w:pStyle w:val="Textpoznmkypodiarou"/>
        <w:jc w:val="both"/>
        <w:rPr>
          <w:rFonts w:ascii="Arial Narrow" w:hAnsi="Arial Narrow"/>
          <w:sz w:val="16"/>
          <w:szCs w:val="16"/>
        </w:rPr>
      </w:pPr>
      <w:r w:rsidRPr="0015607D">
        <w:rPr>
          <w:rStyle w:val="Odkaznapoznmkupodiarou"/>
          <w:rFonts w:ascii="Arial Narrow" w:hAnsi="Arial Narrow"/>
          <w:color w:val="000000" w:themeColor="text1"/>
          <w:sz w:val="16"/>
          <w:szCs w:val="16"/>
        </w:rPr>
        <w:footnoteRef/>
      </w:r>
      <w:r w:rsidRPr="0015607D">
        <w:rPr>
          <w:rFonts w:ascii="Arial Narrow" w:hAnsi="Arial Narrow"/>
          <w:color w:val="000000" w:themeColor="text1"/>
          <w:sz w:val="16"/>
          <w:szCs w:val="16"/>
        </w:rPr>
        <w:t xml:space="preserve"> </w:t>
      </w:r>
      <w:hyperlink r:id="rId4" w:history="1">
        <w:r w:rsidRPr="0015607D">
          <w:rPr>
            <w:rStyle w:val="Hypertextovprepojenie"/>
            <w:rFonts w:ascii="Arial Narrow" w:hAnsi="Arial Narrow"/>
            <w:color w:val="2C9ADC"/>
            <w:sz w:val="16"/>
            <w:szCs w:val="16"/>
          </w:rPr>
          <w:t>Pilotná štúdia revízie výdavkov na služby zamestnanosti</w:t>
        </w:r>
      </w:hyperlink>
      <w:r w:rsidRPr="0015607D">
        <w:rPr>
          <w:rFonts w:ascii="Arial Narrow" w:hAnsi="Arial Narrow"/>
          <w:sz w:val="16"/>
          <w:szCs w:val="16"/>
        </w:rPr>
        <w:t xml:space="preserve"> (október 2016) a </w:t>
      </w:r>
      <w:hyperlink r:id="rId5" w:history="1">
        <w:r>
          <w:rPr>
            <w:rStyle w:val="Hypertextovprepojenie"/>
            <w:rFonts w:ascii="Arial Narrow" w:hAnsi="Arial Narrow"/>
            <w:color w:val="2C9ADC"/>
            <w:sz w:val="16"/>
            <w:szCs w:val="16"/>
          </w:rPr>
          <w:t>Revízia výdavkov na politiky trhu práce a sociálne politiky</w:t>
        </w:r>
      </w:hyperlink>
      <w:r w:rsidRPr="0015607D">
        <w:rPr>
          <w:rFonts w:ascii="Arial Narrow" w:hAnsi="Arial Narrow"/>
          <w:sz w:val="16"/>
          <w:szCs w:val="16"/>
        </w:rPr>
        <w:t xml:space="preserve"> (júl 2017). </w:t>
      </w:r>
    </w:p>
  </w:footnote>
  <w:footnote w:id="8">
    <w:p w14:paraId="32D947D7" w14:textId="77777777" w:rsidR="00C068B2" w:rsidRPr="0015607D" w:rsidRDefault="00C068B2" w:rsidP="00E34972">
      <w:pPr>
        <w:pStyle w:val="Textpoznmkypodiarou"/>
        <w:rPr>
          <w:rFonts w:ascii="Arial Narrow" w:hAnsi="Arial Narrow"/>
          <w:sz w:val="16"/>
          <w:szCs w:val="16"/>
        </w:rPr>
      </w:pPr>
      <w:r w:rsidRPr="0015607D">
        <w:rPr>
          <w:rStyle w:val="Odkaznapoznmkupodiarou"/>
          <w:rFonts w:ascii="Arial Narrow" w:hAnsi="Arial Narrow"/>
          <w:color w:val="000000" w:themeColor="text1"/>
          <w:sz w:val="16"/>
          <w:szCs w:val="16"/>
        </w:rPr>
        <w:footnoteRef/>
      </w:r>
      <w:r w:rsidRPr="0015607D">
        <w:rPr>
          <w:rFonts w:ascii="Arial Narrow" w:hAnsi="Arial Narrow"/>
          <w:color w:val="000000" w:themeColor="text1"/>
          <w:sz w:val="16"/>
          <w:szCs w:val="16"/>
        </w:rPr>
        <w:t xml:space="preserve"> </w:t>
      </w:r>
      <w:hyperlink r:id="rId6" w:history="1">
        <w:r w:rsidRPr="009815E2">
          <w:rPr>
            <w:rStyle w:val="Hypertextovprepojenie"/>
            <w:rFonts w:ascii="Arial Narrow" w:eastAsiaTheme="majorEastAsia" w:hAnsi="Arial Narrow"/>
            <w:color w:val="2C9ADC"/>
            <w:sz w:val="16"/>
            <w:szCs w:val="16"/>
          </w:rPr>
          <w:t>Akčný plán na posilnenie integrácie dlhodobo nezamestnaných na trh práce v SR</w:t>
        </w:r>
      </w:hyperlink>
      <w:r w:rsidRPr="0015607D">
        <w:rPr>
          <w:rFonts w:ascii="Arial Narrow" w:hAnsi="Arial Narrow"/>
          <w:color w:val="2C9ADC"/>
          <w:sz w:val="16"/>
          <w:szCs w:val="16"/>
        </w:rPr>
        <w:t>.</w:t>
      </w:r>
      <w:r w:rsidRPr="0015607D">
        <w:rPr>
          <w:rFonts w:ascii="Arial Narrow" w:hAnsi="Arial Narrow"/>
          <w:sz w:val="16"/>
          <w:szCs w:val="16"/>
        </w:rPr>
        <w:t xml:space="preserve"> </w:t>
      </w:r>
    </w:p>
  </w:footnote>
  <w:footnote w:id="9">
    <w:p w14:paraId="2F88AE46" w14:textId="3E37E49B" w:rsidR="00C068B2" w:rsidRPr="006F2363" w:rsidRDefault="00C068B2">
      <w:pPr>
        <w:pStyle w:val="Textpoznmkypodiarou"/>
        <w:rPr>
          <w:rFonts w:ascii="Arial Narrow" w:hAnsi="Arial Narrow"/>
          <w:sz w:val="16"/>
          <w:szCs w:val="16"/>
        </w:rPr>
      </w:pPr>
      <w:r w:rsidRPr="006F2363">
        <w:rPr>
          <w:rStyle w:val="Odkaznapoznmkupodiarou"/>
          <w:rFonts w:ascii="Arial Narrow" w:hAnsi="Arial Narrow"/>
          <w:sz w:val="16"/>
          <w:szCs w:val="16"/>
        </w:rPr>
        <w:footnoteRef/>
      </w:r>
      <w:r w:rsidRPr="006F2363">
        <w:rPr>
          <w:rFonts w:ascii="Arial Narrow" w:hAnsi="Arial Narrow"/>
          <w:sz w:val="16"/>
          <w:szCs w:val="16"/>
        </w:rPr>
        <w:t xml:space="preserve"> V januári 2018 dosiahol počet </w:t>
      </w:r>
      <w:proofErr w:type="spellStart"/>
      <w:r w:rsidRPr="006F2363">
        <w:rPr>
          <w:rFonts w:ascii="Arial Narrow" w:hAnsi="Arial Narrow"/>
          <w:sz w:val="16"/>
          <w:szCs w:val="16"/>
        </w:rPr>
        <w:t>UoZ</w:t>
      </w:r>
      <w:proofErr w:type="spellEnd"/>
      <w:r w:rsidRPr="006F2363">
        <w:rPr>
          <w:rFonts w:ascii="Arial Narrow" w:hAnsi="Arial Narrow"/>
          <w:sz w:val="16"/>
          <w:szCs w:val="16"/>
        </w:rPr>
        <w:t xml:space="preserve"> nezamestnaných dlhšie ako 12 mesiacov približne 85 000.</w:t>
      </w:r>
    </w:p>
  </w:footnote>
  <w:footnote w:id="10">
    <w:p w14:paraId="54A5DF0B" w14:textId="53C04B0A" w:rsidR="00C068B2" w:rsidRPr="009815E2" w:rsidRDefault="00C068B2" w:rsidP="00E34972">
      <w:pPr>
        <w:pStyle w:val="Textpoznmkypodiarou"/>
        <w:rPr>
          <w:rFonts w:ascii="Arial Narrow" w:hAnsi="Arial Narrow"/>
          <w:sz w:val="16"/>
          <w:szCs w:val="16"/>
        </w:rPr>
      </w:pPr>
      <w:r w:rsidRPr="006F2363">
        <w:rPr>
          <w:rStyle w:val="Odkaznapoznmkupodiarou"/>
          <w:rFonts w:ascii="Arial Narrow" w:hAnsi="Arial Narrow"/>
          <w:sz w:val="16"/>
          <w:szCs w:val="16"/>
        </w:rPr>
        <w:footnoteRef/>
      </w:r>
      <w:r w:rsidRPr="006F2363">
        <w:rPr>
          <w:rFonts w:ascii="Arial Narrow" w:hAnsi="Arial Narrow"/>
          <w:sz w:val="16"/>
          <w:szCs w:val="16"/>
        </w:rPr>
        <w:t xml:space="preserve"> </w:t>
      </w:r>
      <w:r w:rsidRPr="006F2363">
        <w:rPr>
          <w:rFonts w:ascii="Arial Narrow" w:eastAsia="Times New Roman" w:hAnsi="Arial Narrow" w:cs="Times New Roman"/>
          <w:color w:val="000000"/>
          <w:sz w:val="16"/>
          <w:szCs w:val="16"/>
        </w:rPr>
        <w:t>Podpora zosúladenia rodi</w:t>
      </w:r>
      <w:r>
        <w:rPr>
          <w:rFonts w:ascii="Arial Narrow" w:eastAsia="Times New Roman" w:hAnsi="Arial Narrow" w:cs="Times New Roman"/>
          <w:color w:val="000000"/>
          <w:sz w:val="16"/>
          <w:szCs w:val="16"/>
        </w:rPr>
        <w:t>nného a pracovného života (</w:t>
      </w:r>
      <w:hyperlink r:id="rId7" w:history="1">
        <w:r w:rsidRPr="007146DA">
          <w:rPr>
            <w:rStyle w:val="Hypertextovprepojenie"/>
            <w:rFonts w:ascii="Arial Narrow" w:eastAsia="Times New Roman" w:hAnsi="Arial Narrow" w:cs="Times New Roman"/>
            <w:color w:val="2C9ADC"/>
            <w:sz w:val="16"/>
            <w:szCs w:val="16"/>
          </w:rPr>
          <w:t>OP Ľudské zdroje DOP 2017/3.2.1/01</w:t>
        </w:r>
      </w:hyperlink>
      <w:r>
        <w:rPr>
          <w:rFonts w:ascii="Arial Narrow" w:eastAsia="Times New Roman" w:hAnsi="Arial Narrow" w:cs="Times New Roman"/>
          <w:color w:val="000000"/>
          <w:sz w:val="16"/>
          <w:szCs w:val="16"/>
        </w:rPr>
        <w:t xml:space="preserve"> a </w:t>
      </w:r>
      <w:hyperlink r:id="rId8" w:history="1">
        <w:r w:rsidRPr="007146DA">
          <w:rPr>
            <w:rStyle w:val="Hypertextovprepojenie"/>
            <w:rFonts w:ascii="Arial Narrow" w:eastAsia="Times New Roman" w:hAnsi="Arial Narrow" w:cs="Times New Roman"/>
            <w:color w:val="2C9ADC"/>
            <w:sz w:val="16"/>
            <w:szCs w:val="16"/>
          </w:rPr>
          <w:t>OP Ľudské zdroje DOP 2017/3.2.1/02</w:t>
        </w:r>
      </w:hyperlink>
      <w:r w:rsidRPr="006F2363">
        <w:rPr>
          <w:rFonts w:ascii="Arial Narrow" w:eastAsia="Times New Roman" w:hAnsi="Arial Narrow" w:cs="Times New Roman"/>
          <w:color w:val="000000"/>
          <w:sz w:val="16"/>
          <w:szCs w:val="16"/>
        </w:rPr>
        <w:t>).</w:t>
      </w:r>
    </w:p>
  </w:footnote>
  <w:footnote w:id="11">
    <w:p w14:paraId="7A6A7DF6" w14:textId="77777777" w:rsidR="00C068B2" w:rsidRPr="009815E2" w:rsidRDefault="00C068B2" w:rsidP="003A4FB9">
      <w:pPr>
        <w:pStyle w:val="Textpoznmkypodiarou"/>
        <w:rPr>
          <w:rFonts w:ascii="Arial Narrow" w:hAnsi="Arial Narrow"/>
          <w:sz w:val="16"/>
          <w:szCs w:val="16"/>
        </w:rPr>
      </w:pPr>
      <w:r w:rsidRPr="009815E2">
        <w:rPr>
          <w:rStyle w:val="Odkaznapoznmkupodiarou"/>
          <w:rFonts w:ascii="Arial Narrow" w:hAnsi="Arial Narrow"/>
          <w:sz w:val="16"/>
          <w:szCs w:val="16"/>
        </w:rPr>
        <w:footnoteRef/>
      </w:r>
      <w:r w:rsidRPr="009815E2">
        <w:rPr>
          <w:rFonts w:ascii="Arial Narrow" w:hAnsi="Arial Narrow"/>
          <w:sz w:val="16"/>
          <w:szCs w:val="16"/>
        </w:rPr>
        <w:t xml:space="preserve"> Národný projekt </w:t>
      </w:r>
      <w:r w:rsidRPr="003C20E2">
        <w:rPr>
          <w:rFonts w:ascii="Arial Narrow" w:hAnsi="Arial Narrow"/>
          <w:i/>
          <w:sz w:val="16"/>
          <w:szCs w:val="16"/>
        </w:rPr>
        <w:t>„Terénna sociálna práca a terénna práca v obciach s prítomnosťou marginalizovaných rómskych komunít“</w:t>
      </w:r>
    </w:p>
  </w:footnote>
  <w:footnote w:id="12">
    <w:p w14:paraId="626F45D2" w14:textId="77777777" w:rsidR="00C068B2" w:rsidRDefault="00C068B2" w:rsidP="003A4FB9">
      <w:pPr>
        <w:pStyle w:val="Textpoznmkypodiarou"/>
      </w:pPr>
      <w:r w:rsidRPr="009815E2">
        <w:rPr>
          <w:rStyle w:val="Odkaznapoznmkupodiarou"/>
          <w:rFonts w:ascii="Arial Narrow" w:hAnsi="Arial Narrow"/>
          <w:sz w:val="16"/>
          <w:szCs w:val="16"/>
        </w:rPr>
        <w:footnoteRef/>
      </w:r>
      <w:r w:rsidRPr="009815E2">
        <w:rPr>
          <w:rFonts w:ascii="Arial Narrow" w:hAnsi="Arial Narrow"/>
          <w:sz w:val="16"/>
          <w:szCs w:val="16"/>
        </w:rPr>
        <w:t xml:space="preserve"> Národný projekt </w:t>
      </w:r>
      <w:r w:rsidRPr="003C20E2">
        <w:rPr>
          <w:rFonts w:ascii="Arial Narrow" w:hAnsi="Arial Narrow"/>
          <w:i/>
          <w:sz w:val="16"/>
          <w:szCs w:val="16"/>
        </w:rPr>
        <w:t>„Komunitné centrá v mestách a obciach s prítomnosťou MRK - I. fáza“</w:t>
      </w:r>
      <w:r w:rsidRPr="009815E2">
        <w:rPr>
          <w:rFonts w:ascii="Arial Narrow" w:hAnsi="Arial Narrow"/>
          <w:sz w:val="16"/>
          <w:szCs w:val="16"/>
        </w:rPr>
        <w:t>.</w:t>
      </w:r>
    </w:p>
  </w:footnote>
  <w:footnote w:id="13">
    <w:p w14:paraId="61D66214" w14:textId="77777777" w:rsidR="00C068B2" w:rsidRPr="00EA0B0D" w:rsidRDefault="00C068B2" w:rsidP="00E23CEA">
      <w:pPr>
        <w:pStyle w:val="Textpoznmkypodiarou"/>
        <w:rPr>
          <w:rFonts w:ascii="Arial Narrow" w:hAnsi="Arial Narrow"/>
          <w:sz w:val="16"/>
          <w:szCs w:val="16"/>
        </w:rPr>
      </w:pPr>
      <w:r w:rsidRPr="00EA0B0D">
        <w:rPr>
          <w:rStyle w:val="Odkaznapoznmkupodiarou"/>
          <w:rFonts w:ascii="Arial Narrow" w:hAnsi="Arial Narrow"/>
          <w:sz w:val="16"/>
          <w:szCs w:val="16"/>
        </w:rPr>
        <w:footnoteRef/>
      </w:r>
      <w:r w:rsidRPr="00EA0B0D">
        <w:rPr>
          <w:rFonts w:ascii="Arial Narrow" w:hAnsi="Arial Narrow"/>
          <w:sz w:val="16"/>
          <w:szCs w:val="16"/>
        </w:rPr>
        <w:t xml:space="preserve"> Vyplýva z analýzy </w:t>
      </w:r>
      <w:hyperlink r:id="rId9" w:history="1">
        <w:proofErr w:type="spellStart"/>
        <w:r w:rsidRPr="009F2177">
          <w:rPr>
            <w:rStyle w:val="Hypertextovprepojenie"/>
            <w:rFonts w:ascii="Arial Narrow" w:hAnsi="Arial Narrow"/>
            <w:color w:val="2C9ADC"/>
            <w:sz w:val="16"/>
            <w:szCs w:val="16"/>
          </w:rPr>
          <w:t>Transparency</w:t>
        </w:r>
        <w:proofErr w:type="spellEnd"/>
        <w:r w:rsidRPr="009F2177">
          <w:rPr>
            <w:rStyle w:val="Hypertextovprepojenie"/>
            <w:rFonts w:ascii="Arial Narrow" w:hAnsi="Arial Narrow"/>
            <w:color w:val="2C9ADC"/>
            <w:sz w:val="16"/>
            <w:szCs w:val="16"/>
          </w:rPr>
          <w:t xml:space="preserve"> International Slovensko</w:t>
        </w:r>
      </w:hyperlink>
      <w:r>
        <w:rPr>
          <w:rFonts w:ascii="Arial Narrow" w:hAnsi="Arial Narrow"/>
          <w:sz w:val="16"/>
          <w:szCs w:val="16"/>
        </w:rPr>
        <w:t>.</w:t>
      </w:r>
    </w:p>
  </w:footnote>
  <w:footnote w:id="14">
    <w:p w14:paraId="787D7C78" w14:textId="77777777" w:rsidR="00C068B2" w:rsidRPr="00E23CEA" w:rsidRDefault="00C068B2" w:rsidP="00E23CEA">
      <w:pPr>
        <w:pStyle w:val="Textpoznmkypodiarou"/>
        <w:rPr>
          <w:rFonts w:ascii="Arial Narrow" w:hAnsi="Arial Narrow"/>
          <w:sz w:val="16"/>
          <w:szCs w:val="16"/>
        </w:rPr>
      </w:pPr>
      <w:r w:rsidRPr="00E23CEA">
        <w:rPr>
          <w:rStyle w:val="Odkaznapoznmkupodiarou"/>
          <w:rFonts w:ascii="Arial Narrow" w:hAnsi="Arial Narrow"/>
          <w:sz w:val="16"/>
          <w:szCs w:val="16"/>
        </w:rPr>
        <w:footnoteRef/>
      </w:r>
      <w:r w:rsidRPr="00E23CEA">
        <w:rPr>
          <w:rFonts w:ascii="Arial Narrow" w:hAnsi="Arial Narrow"/>
          <w:sz w:val="16"/>
          <w:szCs w:val="16"/>
        </w:rPr>
        <w:t xml:space="preserve"> Centrum právnej pomoci vybavilo za rok platnosti novely približne 90 konzultácii. Viac</w:t>
      </w:r>
      <w:r>
        <w:rPr>
          <w:rFonts w:ascii="Arial Narrow" w:hAnsi="Arial Narrow"/>
          <w:sz w:val="16"/>
          <w:szCs w:val="16"/>
        </w:rPr>
        <w:t xml:space="preserve"> informácií </w:t>
      </w:r>
      <w:hyperlink r:id="rId10" w:history="1">
        <w:r w:rsidRPr="00E23CEA">
          <w:rPr>
            <w:rStyle w:val="Hypertextovprepojenie"/>
            <w:rFonts w:ascii="Arial Narrow" w:hAnsi="Arial Narrow"/>
            <w:color w:val="2C9ADC"/>
            <w:sz w:val="16"/>
            <w:szCs w:val="16"/>
          </w:rPr>
          <w:t>tu</w:t>
        </w:r>
      </w:hyperlink>
      <w:r w:rsidRPr="00E23CEA">
        <w:rPr>
          <w:rFonts w:ascii="Arial Narrow" w:hAnsi="Arial Narrow"/>
          <w:sz w:val="16"/>
          <w:szCs w:val="16"/>
        </w:rPr>
        <w:t xml:space="preserve">: </w:t>
      </w:r>
    </w:p>
  </w:footnote>
  <w:footnote w:id="15">
    <w:p w14:paraId="06BD03B4" w14:textId="2E400BA1" w:rsidR="00C068B2" w:rsidRPr="00315CED" w:rsidRDefault="00C068B2">
      <w:pPr>
        <w:pStyle w:val="Textpoznmkypodiarou"/>
        <w:rPr>
          <w:rFonts w:ascii="Arial Narrow" w:hAnsi="Arial Narrow"/>
          <w:sz w:val="16"/>
          <w:szCs w:val="16"/>
        </w:rPr>
      </w:pPr>
      <w:r w:rsidRPr="00315CED">
        <w:rPr>
          <w:rStyle w:val="Odkaznapoznmkupodiarou"/>
          <w:rFonts w:ascii="Arial Narrow" w:hAnsi="Arial Narrow"/>
          <w:sz w:val="16"/>
          <w:szCs w:val="16"/>
        </w:rPr>
        <w:footnoteRef/>
      </w:r>
      <w:r w:rsidRPr="00315CED">
        <w:rPr>
          <w:rFonts w:ascii="Arial Narrow" w:hAnsi="Arial Narrow"/>
          <w:sz w:val="16"/>
          <w:szCs w:val="16"/>
        </w:rPr>
        <w:t xml:space="preserve"> Po valorizácii sa od januára 2018 rodičovský príspevok zvýšil na 214,7 eur.</w:t>
      </w:r>
    </w:p>
  </w:footnote>
  <w:footnote w:id="16">
    <w:p w14:paraId="011CF452" w14:textId="77777777" w:rsidR="00C068B2" w:rsidRPr="00D26F56" w:rsidRDefault="00C068B2" w:rsidP="00D26F56">
      <w:pPr>
        <w:pStyle w:val="Textpoznmkypodiarou"/>
        <w:jc w:val="both"/>
        <w:rPr>
          <w:rFonts w:ascii="Arial Narrow" w:hAnsi="Arial Narrow"/>
        </w:rPr>
      </w:pPr>
      <w:r w:rsidRPr="008443B2">
        <w:rPr>
          <w:rStyle w:val="Odkaznapoznmkupodiarou"/>
          <w:rFonts w:ascii="Arial Narrow" w:hAnsi="Arial Narrow"/>
          <w:sz w:val="16"/>
        </w:rPr>
        <w:footnoteRef/>
      </w:r>
      <w:r w:rsidRPr="008443B2">
        <w:rPr>
          <w:rFonts w:ascii="Arial Narrow" w:hAnsi="Arial Narrow"/>
          <w:sz w:val="16"/>
        </w:rPr>
        <w:t xml:space="preserve"> V</w:t>
      </w:r>
      <w:r w:rsidRPr="0075663F">
        <w:rPr>
          <w:rFonts w:ascii="Arial Narrow" w:hAnsi="Arial Narrow"/>
          <w:sz w:val="16"/>
        </w:rPr>
        <w:t xml:space="preserve">ýška finančného príspevku sa po novom odvíja od </w:t>
      </w:r>
      <w:r w:rsidRPr="008B3920">
        <w:rPr>
          <w:rFonts w:ascii="Arial Narrow" w:hAnsi="Arial Narrow"/>
          <w:sz w:val="16"/>
        </w:rPr>
        <w:t>štruktúry prijímateľov sociálnej služby podľa stupňa ich odkázanosti na pomoc inej osoby pri sebaobsluhe a podľa formy sociálnej služby, ktor</w:t>
      </w:r>
      <w:r w:rsidRPr="004451BF">
        <w:rPr>
          <w:rFonts w:ascii="Arial Narrow" w:hAnsi="Arial Narrow"/>
          <w:sz w:val="16"/>
        </w:rPr>
        <w:t>é determinujú nákladovosť poskytovanej sociálnej služby.</w:t>
      </w:r>
    </w:p>
  </w:footnote>
  <w:footnote w:id="17">
    <w:p w14:paraId="4ED5907B" w14:textId="77777777" w:rsidR="00C068B2" w:rsidRPr="0063515D" w:rsidRDefault="00C068B2" w:rsidP="00BF2FD5">
      <w:pPr>
        <w:pStyle w:val="Textpoznmkypodiarou"/>
        <w:rPr>
          <w:rFonts w:ascii="Arial Narrow" w:hAnsi="Arial Narrow"/>
        </w:rPr>
      </w:pPr>
      <w:r w:rsidRPr="0063515D">
        <w:rPr>
          <w:rStyle w:val="Odkaznapoznmkupodiarou"/>
          <w:rFonts w:ascii="Arial Narrow" w:hAnsi="Arial Narrow"/>
          <w:sz w:val="16"/>
        </w:rPr>
        <w:footnoteRef/>
      </w:r>
      <w:r w:rsidRPr="0063515D">
        <w:rPr>
          <w:rFonts w:ascii="Arial Narrow" w:hAnsi="Arial Narrow"/>
          <w:sz w:val="16"/>
        </w:rPr>
        <w:t xml:space="preserve"> Vzťahuje sa aj na úrazovú rentu</w:t>
      </w:r>
      <w:r>
        <w:rPr>
          <w:rFonts w:ascii="Arial Narrow" w:hAnsi="Arial Narrow"/>
          <w:sz w:val="16"/>
        </w:rPr>
        <w:t>.</w:t>
      </w:r>
    </w:p>
  </w:footnote>
  <w:footnote w:id="18">
    <w:p w14:paraId="51B57402" w14:textId="2EC19E1A" w:rsidR="00C068B2" w:rsidRPr="005E4719" w:rsidRDefault="00C068B2">
      <w:pPr>
        <w:pStyle w:val="Textpoznmkypodiarou"/>
        <w:rPr>
          <w:rFonts w:ascii="Arial Narrow" w:hAnsi="Arial Narrow"/>
          <w:sz w:val="16"/>
          <w:szCs w:val="16"/>
        </w:rPr>
      </w:pPr>
      <w:r w:rsidRPr="005E4719">
        <w:rPr>
          <w:rStyle w:val="Odkaznapoznmkupodiarou"/>
          <w:rFonts w:ascii="Arial Narrow" w:hAnsi="Arial Narrow"/>
          <w:sz w:val="16"/>
          <w:szCs w:val="16"/>
        </w:rPr>
        <w:footnoteRef/>
      </w:r>
      <w:r w:rsidRPr="005E4719">
        <w:rPr>
          <w:rFonts w:ascii="Arial Narrow" w:hAnsi="Arial Narrow"/>
          <w:sz w:val="16"/>
          <w:szCs w:val="16"/>
        </w:rPr>
        <w:t xml:space="preserve"> </w:t>
      </w:r>
      <w:r>
        <w:rPr>
          <w:rFonts w:ascii="Arial Narrow" w:hAnsi="Arial Narrow"/>
          <w:sz w:val="16"/>
          <w:szCs w:val="16"/>
        </w:rPr>
        <w:t xml:space="preserve">Online platby štátu je </w:t>
      </w:r>
      <w:r w:rsidR="0043782E">
        <w:rPr>
          <w:rFonts w:ascii="Arial Narrow" w:hAnsi="Arial Narrow"/>
          <w:sz w:val="16"/>
          <w:szCs w:val="16"/>
        </w:rPr>
        <w:t xml:space="preserve">od </w:t>
      </w:r>
      <w:r>
        <w:rPr>
          <w:rFonts w:ascii="Arial Narrow" w:hAnsi="Arial Narrow"/>
          <w:sz w:val="16"/>
          <w:szCs w:val="16"/>
        </w:rPr>
        <w:t xml:space="preserve">januára 2018 možné používať </w:t>
      </w:r>
      <w:r>
        <w:rPr>
          <w:rStyle w:val="Zstupntext"/>
          <w:rFonts w:ascii="Arial Narrow" w:hAnsi="Arial Narrow"/>
          <w:sz w:val="16"/>
          <w:szCs w:val="16"/>
        </w:rPr>
        <w:t>p</w:t>
      </w:r>
      <w:r w:rsidRPr="005E4719">
        <w:rPr>
          <w:rStyle w:val="Zstupntext"/>
          <w:rFonts w:ascii="Arial Narrow" w:hAnsi="Arial Narrow"/>
          <w:sz w:val="16"/>
          <w:szCs w:val="16"/>
        </w:rPr>
        <w:t>ri 26 službách.</w:t>
      </w:r>
      <w:r w:rsidRPr="005E4719">
        <w:rPr>
          <w:rFonts w:ascii="Arial Narrow" w:hAnsi="Arial Narrow"/>
          <w:sz w:val="16"/>
          <w:szCs w:val="16"/>
        </w:rPr>
        <w:t xml:space="preserve">  </w:t>
      </w:r>
    </w:p>
  </w:footnote>
  <w:footnote w:id="19">
    <w:p w14:paraId="72149C58" w14:textId="77777777" w:rsidR="00C068B2" w:rsidRDefault="00C068B2" w:rsidP="009F2177">
      <w:pPr>
        <w:pStyle w:val="Textpoznmkypodiarou"/>
      </w:pPr>
      <w:r w:rsidRPr="005B6B8E">
        <w:rPr>
          <w:rStyle w:val="Odkaznapoznmkupodiarou"/>
          <w:rFonts w:ascii="Arial Narrow" w:hAnsi="Arial Narrow"/>
          <w:sz w:val="16"/>
        </w:rPr>
        <w:footnoteRef/>
      </w:r>
      <w:r>
        <w:t xml:space="preserve"> </w:t>
      </w:r>
      <w:r w:rsidRPr="005B6B8E">
        <w:rPr>
          <w:rFonts w:ascii="Arial Narrow" w:hAnsi="Arial Narrow"/>
          <w:sz w:val="16"/>
        </w:rPr>
        <w:t xml:space="preserve">Útvar hodnoty za peniaze hodnotil úseky R2 Mýtna – Lovinobaňa, </w:t>
      </w:r>
      <w:r w:rsidRPr="000B2160">
        <w:rPr>
          <w:rFonts w:ascii="Arial Narrow" w:hAnsi="Arial Narrow"/>
          <w:sz w:val="16"/>
        </w:rPr>
        <w:t>R3 Tvrdošín – Nižná nad Oravou</w:t>
      </w:r>
      <w:r w:rsidRPr="00310605">
        <w:rPr>
          <w:rFonts w:ascii="Arial Narrow" w:hAnsi="Arial Narrow"/>
          <w:sz w:val="16"/>
        </w:rPr>
        <w:t xml:space="preserve"> </w:t>
      </w:r>
      <w:r>
        <w:rPr>
          <w:rFonts w:ascii="Arial Narrow" w:hAnsi="Arial Narrow"/>
          <w:sz w:val="16"/>
        </w:rPr>
        <w:t xml:space="preserve">a </w:t>
      </w:r>
      <w:r w:rsidRPr="005B6B8E">
        <w:rPr>
          <w:rFonts w:ascii="Arial Narrow" w:hAnsi="Arial Narrow"/>
          <w:sz w:val="16"/>
        </w:rPr>
        <w:t>R4 Severný obchvat Prešova.</w:t>
      </w:r>
    </w:p>
  </w:footnote>
  <w:footnote w:id="20">
    <w:p w14:paraId="1BBEC339" w14:textId="77777777" w:rsidR="00C068B2" w:rsidRPr="00684237" w:rsidRDefault="00C068B2" w:rsidP="007D2366">
      <w:pPr>
        <w:pStyle w:val="Textpoznmkypodiarou"/>
        <w:rPr>
          <w:rFonts w:ascii="Arial Narrow" w:hAnsi="Arial Narrow"/>
          <w:sz w:val="16"/>
          <w:szCs w:val="16"/>
        </w:rPr>
      </w:pPr>
      <w:r w:rsidRPr="00684237">
        <w:rPr>
          <w:rStyle w:val="Odkaznapoznmkupodiarou"/>
          <w:rFonts w:ascii="Arial Narrow" w:hAnsi="Arial Narrow"/>
          <w:sz w:val="16"/>
          <w:szCs w:val="16"/>
        </w:rPr>
        <w:footnoteRef/>
      </w:r>
      <w:r w:rsidRPr="00684237">
        <w:rPr>
          <w:rFonts w:ascii="Arial Narrow" w:hAnsi="Arial Narrow"/>
          <w:sz w:val="16"/>
          <w:szCs w:val="16"/>
        </w:rPr>
        <w:t xml:space="preserve"> Podľa konceptu národných účtov (ESA).</w:t>
      </w:r>
    </w:p>
  </w:footnote>
  <w:footnote w:id="21">
    <w:p w14:paraId="005420E0" w14:textId="77777777" w:rsidR="00C068B2" w:rsidRPr="00684237" w:rsidRDefault="00C068B2">
      <w:pPr>
        <w:pStyle w:val="Textpoznmkypodiarou"/>
        <w:rPr>
          <w:rFonts w:ascii="Arial Narrow" w:hAnsi="Arial Narrow"/>
          <w:sz w:val="16"/>
          <w:szCs w:val="16"/>
        </w:rPr>
      </w:pPr>
      <w:r w:rsidRPr="00684237">
        <w:rPr>
          <w:rStyle w:val="Odkaznapoznmkupodiarou"/>
          <w:rFonts w:ascii="Arial Narrow" w:hAnsi="Arial Narrow"/>
          <w:sz w:val="16"/>
          <w:szCs w:val="16"/>
        </w:rPr>
        <w:footnoteRef/>
      </w:r>
      <w:r w:rsidRPr="00684237">
        <w:rPr>
          <w:rFonts w:ascii="Arial Narrow" w:hAnsi="Arial Narrow"/>
          <w:sz w:val="16"/>
          <w:szCs w:val="16"/>
        </w:rPr>
        <w:t xml:space="preserve"> Výberového zisťovania pracovných síl (ŠÚ SR).</w:t>
      </w:r>
    </w:p>
  </w:footnote>
  <w:footnote w:id="22">
    <w:p w14:paraId="367DE992" w14:textId="77777777" w:rsidR="00C068B2" w:rsidRPr="00684237" w:rsidRDefault="00C068B2">
      <w:pPr>
        <w:pStyle w:val="Textpoznmkypodiarou"/>
        <w:rPr>
          <w:rFonts w:ascii="Arial Narrow" w:hAnsi="Arial Narrow"/>
          <w:sz w:val="16"/>
          <w:szCs w:val="16"/>
        </w:rPr>
      </w:pPr>
      <w:r w:rsidRPr="00684237">
        <w:rPr>
          <w:rStyle w:val="Odkaznapoznmkupodiarou"/>
          <w:rFonts w:ascii="Arial Narrow" w:hAnsi="Arial Narrow"/>
          <w:sz w:val="16"/>
          <w:szCs w:val="16"/>
        </w:rPr>
        <w:footnoteRef/>
      </w:r>
      <w:r w:rsidRPr="00684237">
        <w:rPr>
          <w:rFonts w:ascii="Arial Narrow" w:hAnsi="Arial Narrow"/>
          <w:sz w:val="16"/>
          <w:szCs w:val="16"/>
        </w:rPr>
        <w:t xml:space="preserve"> Celoročný priemer.</w:t>
      </w:r>
    </w:p>
  </w:footnote>
  <w:footnote w:id="23">
    <w:p w14:paraId="0553DE54" w14:textId="3456468B" w:rsidR="00684237" w:rsidRDefault="00684237">
      <w:pPr>
        <w:pStyle w:val="Textpoznmkypodiarou"/>
      </w:pPr>
      <w:r w:rsidRPr="00684237">
        <w:rPr>
          <w:rStyle w:val="Odkaznapoznmkupodiarou"/>
          <w:rFonts w:ascii="Arial Narrow" w:hAnsi="Arial Narrow"/>
          <w:sz w:val="16"/>
          <w:szCs w:val="16"/>
        </w:rPr>
        <w:footnoteRef/>
      </w:r>
      <w:r w:rsidRPr="00684237">
        <w:rPr>
          <w:rFonts w:ascii="Arial Narrow" w:hAnsi="Arial Narrow"/>
          <w:sz w:val="16"/>
          <w:szCs w:val="16"/>
        </w:rPr>
        <w:t xml:space="preserve"> Harmonizovaný index spotrebiteľských cien.</w:t>
      </w:r>
      <w:r>
        <w:t xml:space="preserve"> </w:t>
      </w:r>
    </w:p>
  </w:footnote>
  <w:footnote w:id="24">
    <w:p w14:paraId="177668B9" w14:textId="77777777" w:rsidR="00C068B2" w:rsidRPr="00AB3326" w:rsidRDefault="00C068B2" w:rsidP="006D3CB1">
      <w:pPr>
        <w:pStyle w:val="Textpoznmkypodiarou"/>
        <w:jc w:val="both"/>
        <w:rPr>
          <w:rFonts w:ascii="Arial Narrow" w:hAnsi="Arial Narrow"/>
          <w:sz w:val="16"/>
          <w:szCs w:val="16"/>
        </w:rPr>
      </w:pPr>
      <w:r w:rsidRPr="00AB3326">
        <w:rPr>
          <w:rStyle w:val="Odkaznapoznmkupodiarou"/>
          <w:rFonts w:ascii="Arial Narrow" w:hAnsi="Arial Narrow"/>
          <w:sz w:val="16"/>
          <w:szCs w:val="16"/>
        </w:rPr>
        <w:footnoteRef/>
      </w:r>
      <w:r w:rsidRPr="00AB3326">
        <w:rPr>
          <w:rFonts w:ascii="Arial Narrow" w:hAnsi="Arial Narrow"/>
          <w:sz w:val="16"/>
          <w:szCs w:val="16"/>
        </w:rPr>
        <w:t xml:space="preserve"> Údaje sú dostupné iba pre Slovensko.</w:t>
      </w:r>
    </w:p>
  </w:footnote>
  <w:footnote w:id="25">
    <w:p w14:paraId="349C4B89" w14:textId="60399CA2" w:rsidR="00C068B2" w:rsidRDefault="00C068B2" w:rsidP="007D2366">
      <w:pPr>
        <w:pStyle w:val="Textpoznmkypodiarou"/>
      </w:pPr>
      <w:r w:rsidRPr="00894035">
        <w:rPr>
          <w:rStyle w:val="Odkaznapoznmkupodiarou"/>
          <w:rFonts w:ascii="Arial Narrow" w:hAnsi="Arial Narrow"/>
          <w:sz w:val="16"/>
          <w:szCs w:val="16"/>
        </w:rPr>
        <w:footnoteRef/>
      </w:r>
      <w:r w:rsidR="00E86371">
        <w:rPr>
          <w:rFonts w:ascii="Arial Narrow" w:hAnsi="Arial Narrow"/>
          <w:sz w:val="16"/>
          <w:szCs w:val="16"/>
        </w:rPr>
        <w:t xml:space="preserve"> Gestorom je MPSVR SR v spolupráci</w:t>
      </w:r>
      <w:r w:rsidRPr="00894035">
        <w:rPr>
          <w:rFonts w:ascii="Arial Narrow" w:hAnsi="Arial Narrow"/>
          <w:sz w:val="16"/>
          <w:szCs w:val="16"/>
        </w:rPr>
        <w:t xml:space="preserve"> </w:t>
      </w:r>
      <w:r>
        <w:rPr>
          <w:rFonts w:ascii="Arial Narrow" w:hAnsi="Arial Narrow"/>
          <w:sz w:val="16"/>
          <w:szCs w:val="16"/>
        </w:rPr>
        <w:t>so Sociálnou poisťovňou a MF SR.</w:t>
      </w:r>
    </w:p>
  </w:footnote>
  <w:footnote w:id="26">
    <w:p w14:paraId="691DAB74" w14:textId="6AADC867" w:rsidR="00C068B2" w:rsidRDefault="00C068B2">
      <w:pPr>
        <w:pStyle w:val="Textpoznmkypodiarou"/>
      </w:pPr>
      <w:r w:rsidRPr="00344844">
        <w:rPr>
          <w:rStyle w:val="Odkaznapoznmkupodiarou"/>
          <w:rFonts w:ascii="Arial Narrow" w:hAnsi="Arial Narrow"/>
          <w:sz w:val="18"/>
          <w:szCs w:val="16"/>
        </w:rPr>
        <w:footnoteRef/>
      </w:r>
      <w:r w:rsidRPr="00344844">
        <w:rPr>
          <w:rStyle w:val="Odkaznapoznmkupodiarou"/>
          <w:rFonts w:ascii="Arial Narrow" w:hAnsi="Arial Narrow"/>
          <w:sz w:val="18"/>
          <w:szCs w:val="16"/>
        </w:rPr>
        <w:t xml:space="preserve"> </w:t>
      </w:r>
      <w:hyperlink r:id="rId11" w:history="1">
        <w:proofErr w:type="spellStart"/>
        <w:r w:rsidRPr="00344844">
          <w:rPr>
            <w:rStyle w:val="Hypertextovprepojenie"/>
            <w:rFonts w:ascii="Arial Narrow" w:hAnsi="Arial Narrow"/>
            <w:color w:val="2C9ADC"/>
            <w:sz w:val="16"/>
            <w:szCs w:val="16"/>
          </w:rPr>
          <w:t>Amnesty</w:t>
        </w:r>
        <w:proofErr w:type="spellEnd"/>
        <w:r w:rsidRPr="00344844">
          <w:rPr>
            <w:rStyle w:val="Hypertextovprepojenie"/>
            <w:rFonts w:ascii="Arial Narrow" w:hAnsi="Arial Narrow"/>
            <w:color w:val="2C9ADC"/>
            <w:sz w:val="16"/>
            <w:szCs w:val="16"/>
          </w:rPr>
          <w:t xml:space="preserve"> International Report 2017/2018</w:t>
        </w:r>
      </w:hyperlink>
      <w:r>
        <w:rPr>
          <w:lang w:val="en-US"/>
        </w:rPr>
        <w:t xml:space="preserve"> </w:t>
      </w:r>
    </w:p>
  </w:footnote>
  <w:footnote w:id="27">
    <w:p w14:paraId="6B0AA7CD" w14:textId="60383CB5" w:rsidR="00C068B2" w:rsidRDefault="00C068B2" w:rsidP="00D64443">
      <w:pPr>
        <w:pStyle w:val="Textpoznmkypodiarou"/>
      </w:pPr>
      <w:r w:rsidRPr="004353F0">
        <w:rPr>
          <w:rStyle w:val="Odkaznapoznmkupodiarou"/>
          <w:rFonts w:ascii="Arial Narrow" w:hAnsi="Arial Narrow"/>
          <w:sz w:val="18"/>
          <w:szCs w:val="16"/>
        </w:rPr>
        <w:footnoteRef/>
      </w:r>
      <w:r>
        <w:t xml:space="preserve"> </w:t>
      </w:r>
      <w:hyperlink r:id="rId12" w:history="1">
        <w:r w:rsidRPr="00D47598">
          <w:rPr>
            <w:rStyle w:val="Hypertextovprepojenie"/>
            <w:rFonts w:ascii="Arial Narrow" w:hAnsi="Arial Narrow"/>
            <w:color w:val="2C9ADC"/>
            <w:sz w:val="16"/>
            <w:szCs w:val="16"/>
          </w:rPr>
          <w:t>https://www.minedu.sk/data/att/12686.pdf</w:t>
        </w:r>
      </w:hyperlink>
    </w:p>
  </w:footnote>
  <w:footnote w:id="28">
    <w:p w14:paraId="12D445EE" w14:textId="77777777" w:rsidR="00C068B2" w:rsidRPr="0076601B" w:rsidRDefault="00C068B2" w:rsidP="00AC7707">
      <w:pPr>
        <w:pStyle w:val="Textpoznmkypodiarou"/>
        <w:rPr>
          <w:rFonts w:ascii="Arial Narrow" w:hAnsi="Arial Narrow"/>
          <w:sz w:val="16"/>
          <w:szCs w:val="16"/>
        </w:rPr>
      </w:pPr>
      <w:r w:rsidRPr="0076601B">
        <w:rPr>
          <w:rStyle w:val="Odkaznapoznmkupodiarou"/>
          <w:rFonts w:ascii="Arial Narrow" w:hAnsi="Arial Narrow"/>
          <w:sz w:val="16"/>
          <w:szCs w:val="16"/>
        </w:rPr>
        <w:footnoteRef/>
      </w:r>
      <w:r w:rsidRPr="0076601B">
        <w:rPr>
          <w:rFonts w:ascii="Arial Narrow" w:hAnsi="Arial Narrow"/>
          <w:sz w:val="16"/>
          <w:szCs w:val="16"/>
        </w:rPr>
        <w:t xml:space="preserve"> Centrum špeciálno-pedagogického poradenstva</w:t>
      </w:r>
    </w:p>
  </w:footnote>
  <w:footnote w:id="29">
    <w:p w14:paraId="748B8902" w14:textId="6DD9290C" w:rsidR="00C068B2" w:rsidRPr="0076601B" w:rsidRDefault="00C068B2" w:rsidP="00AC7707">
      <w:pPr>
        <w:pStyle w:val="Textpoznmkypodiarou"/>
        <w:rPr>
          <w:rFonts w:ascii="Arial Narrow" w:hAnsi="Arial Narrow"/>
          <w:sz w:val="16"/>
          <w:szCs w:val="16"/>
        </w:rPr>
      </w:pPr>
      <w:r w:rsidRPr="0076601B">
        <w:rPr>
          <w:rStyle w:val="Odkaznapoznmkupodiarou"/>
          <w:rFonts w:ascii="Arial Narrow" w:hAnsi="Arial Narrow"/>
          <w:sz w:val="16"/>
          <w:szCs w:val="16"/>
        </w:rPr>
        <w:footnoteRef/>
      </w:r>
      <w:r>
        <w:rPr>
          <w:rFonts w:ascii="Arial Narrow" w:hAnsi="Arial Narrow"/>
          <w:sz w:val="16"/>
          <w:szCs w:val="16"/>
        </w:rPr>
        <w:t xml:space="preserve"> Centrum pedagogicko-</w:t>
      </w:r>
      <w:r w:rsidRPr="0076601B">
        <w:rPr>
          <w:rFonts w:ascii="Arial Narrow" w:hAnsi="Arial Narrow"/>
          <w:sz w:val="16"/>
          <w:szCs w:val="16"/>
        </w:rPr>
        <w:t>psychologického poradenstva a prevencie</w:t>
      </w:r>
    </w:p>
  </w:footnote>
  <w:footnote w:id="30">
    <w:p w14:paraId="281411DB" w14:textId="77777777" w:rsidR="00C068B2" w:rsidRDefault="00C068B2" w:rsidP="00AF41A5">
      <w:pPr>
        <w:pStyle w:val="Textpoznmkypodiarou"/>
      </w:pPr>
      <w:r w:rsidRPr="00BE1798">
        <w:rPr>
          <w:rStyle w:val="Odkaznapoznmkupodiarou"/>
          <w:rFonts w:ascii="Arial Narrow" w:hAnsi="Arial Narrow"/>
          <w:sz w:val="16"/>
        </w:rPr>
        <w:footnoteRef/>
      </w:r>
      <w:r w:rsidRPr="00BE1798">
        <w:rPr>
          <w:rStyle w:val="Odkaznapoznmkupodiarou"/>
          <w:rFonts w:ascii="Arial Narrow" w:hAnsi="Arial Narrow"/>
          <w:sz w:val="16"/>
          <w:szCs w:val="16"/>
        </w:rPr>
        <w:t xml:space="preserve"> </w:t>
      </w:r>
      <w:r>
        <w:rPr>
          <w:rFonts w:ascii="Arial Narrow" w:hAnsi="Arial Narrow"/>
          <w:sz w:val="16"/>
          <w:szCs w:val="16"/>
        </w:rPr>
        <w:t>Nový n</w:t>
      </w:r>
      <w:r w:rsidRPr="00BE1798">
        <w:rPr>
          <w:rFonts w:ascii="Arial Narrow" w:hAnsi="Arial Narrow"/>
          <w:sz w:val="16"/>
          <w:szCs w:val="16"/>
        </w:rPr>
        <w:t xml:space="preserve">ázov </w:t>
      </w:r>
      <w:r>
        <w:rPr>
          <w:rFonts w:ascii="Arial Narrow" w:hAnsi="Arial Narrow"/>
          <w:sz w:val="16"/>
          <w:szCs w:val="16"/>
        </w:rPr>
        <w:t xml:space="preserve">reformovanej akreditačnej komisie bude </w:t>
      </w:r>
      <w:r w:rsidRPr="00956823">
        <w:rPr>
          <w:rFonts w:ascii="Arial Narrow" w:hAnsi="Arial Narrow"/>
          <w:i/>
          <w:sz w:val="16"/>
          <w:szCs w:val="16"/>
        </w:rPr>
        <w:t>Slovenská agentúra pre akreditáciu vysokého školstva.</w:t>
      </w:r>
    </w:p>
  </w:footnote>
  <w:footnote w:id="31">
    <w:p w14:paraId="24FDC96A" w14:textId="77777777" w:rsidR="00C068B2" w:rsidRPr="000C091F" w:rsidRDefault="00C068B2" w:rsidP="002F6048">
      <w:pPr>
        <w:pStyle w:val="Textpoznmkypodiarou"/>
        <w:rPr>
          <w:rFonts w:ascii="Arial Narrow" w:hAnsi="Arial Narrow"/>
          <w:sz w:val="16"/>
          <w:szCs w:val="16"/>
        </w:rPr>
      </w:pPr>
      <w:r w:rsidRPr="000C091F">
        <w:rPr>
          <w:rStyle w:val="Odkaznapoznmkupodiarou"/>
          <w:rFonts w:ascii="Arial Narrow" w:hAnsi="Arial Narrow"/>
          <w:sz w:val="16"/>
          <w:szCs w:val="16"/>
        </w:rPr>
        <w:footnoteRef/>
      </w:r>
      <w:r w:rsidRPr="000C091F">
        <w:rPr>
          <w:rFonts w:ascii="Arial Narrow" w:hAnsi="Arial Narrow"/>
          <w:sz w:val="16"/>
          <w:szCs w:val="16"/>
        </w:rPr>
        <w:t xml:space="preserve"> Podľa konceptu národných účtov (ESA).</w:t>
      </w:r>
    </w:p>
  </w:footnote>
  <w:footnote w:id="32">
    <w:p w14:paraId="3724AC98" w14:textId="77777777" w:rsidR="00C068B2" w:rsidRPr="00B269DD" w:rsidRDefault="00C068B2" w:rsidP="002F6048">
      <w:pPr>
        <w:pStyle w:val="Textpoznmkypodiarou"/>
        <w:rPr>
          <w:rFonts w:ascii="Arial Narrow" w:hAnsi="Arial Narrow"/>
          <w:color w:val="2C9ADC"/>
          <w:sz w:val="16"/>
          <w:szCs w:val="16"/>
        </w:rPr>
      </w:pPr>
      <w:r w:rsidRPr="00AB3326">
        <w:rPr>
          <w:rStyle w:val="Odkaznapoznmkupodiarou"/>
          <w:rFonts w:ascii="Arial Narrow" w:hAnsi="Arial Narrow"/>
          <w:color w:val="000000" w:themeColor="text1"/>
          <w:sz w:val="16"/>
          <w:szCs w:val="16"/>
        </w:rPr>
        <w:footnoteRef/>
      </w:r>
      <w:r w:rsidRPr="00AB3326">
        <w:rPr>
          <w:rFonts w:ascii="Arial Narrow" w:hAnsi="Arial Narrow"/>
          <w:color w:val="000000" w:themeColor="text1"/>
          <w:sz w:val="16"/>
          <w:szCs w:val="16"/>
        </w:rPr>
        <w:t xml:space="preserve"> </w:t>
      </w:r>
      <w:hyperlink r:id="rId13" w:history="1">
        <w:proofErr w:type="spellStart"/>
        <w:r>
          <w:rPr>
            <w:rStyle w:val="Hypertextovprepojenie"/>
            <w:rFonts w:ascii="Arial Narrow" w:hAnsi="Arial Narrow"/>
            <w:color w:val="2C9ADC"/>
            <w:sz w:val="16"/>
            <w:szCs w:val="16"/>
          </w:rPr>
          <w:t>Second</w:t>
        </w:r>
        <w:proofErr w:type="spellEnd"/>
        <w:r>
          <w:rPr>
            <w:rStyle w:val="Hypertextovprepojenie"/>
            <w:rFonts w:ascii="Arial Narrow" w:hAnsi="Arial Narrow"/>
            <w:color w:val="2C9ADC"/>
            <w:sz w:val="16"/>
            <w:szCs w:val="16"/>
          </w:rPr>
          <w:t xml:space="preserve"> </w:t>
        </w:r>
        <w:proofErr w:type="spellStart"/>
        <w:r>
          <w:rPr>
            <w:rStyle w:val="Hypertextovprepojenie"/>
            <w:rFonts w:ascii="Arial Narrow" w:hAnsi="Arial Narrow"/>
            <w:color w:val="2C9ADC"/>
            <w:sz w:val="16"/>
            <w:szCs w:val="16"/>
          </w:rPr>
          <w:t>European</w:t>
        </w:r>
        <w:proofErr w:type="spellEnd"/>
        <w:r>
          <w:rPr>
            <w:rStyle w:val="Hypertextovprepojenie"/>
            <w:rFonts w:ascii="Arial Narrow" w:hAnsi="Arial Narrow"/>
            <w:color w:val="2C9ADC"/>
            <w:sz w:val="16"/>
            <w:szCs w:val="16"/>
          </w:rPr>
          <w:t xml:space="preserve"> </w:t>
        </w:r>
        <w:proofErr w:type="spellStart"/>
        <w:r>
          <w:rPr>
            <w:rStyle w:val="Hypertextovprepojenie"/>
            <w:rFonts w:ascii="Arial Narrow" w:hAnsi="Arial Narrow"/>
            <w:color w:val="2C9ADC"/>
            <w:sz w:val="16"/>
            <w:szCs w:val="16"/>
          </w:rPr>
          <w:t>Union</w:t>
        </w:r>
        <w:proofErr w:type="spellEnd"/>
        <w:r>
          <w:rPr>
            <w:rStyle w:val="Hypertextovprepojenie"/>
            <w:rFonts w:ascii="Arial Narrow" w:hAnsi="Arial Narrow"/>
            <w:color w:val="2C9ADC"/>
            <w:sz w:val="16"/>
            <w:szCs w:val="16"/>
          </w:rPr>
          <w:t xml:space="preserve"> </w:t>
        </w:r>
        <w:proofErr w:type="spellStart"/>
        <w:r>
          <w:rPr>
            <w:rStyle w:val="Hypertextovprepojenie"/>
            <w:rFonts w:ascii="Arial Narrow" w:hAnsi="Arial Narrow"/>
            <w:color w:val="2C9ADC"/>
            <w:sz w:val="16"/>
            <w:szCs w:val="16"/>
          </w:rPr>
          <w:t>Minorities</w:t>
        </w:r>
        <w:proofErr w:type="spellEnd"/>
        <w:r>
          <w:rPr>
            <w:rStyle w:val="Hypertextovprepojenie"/>
            <w:rFonts w:ascii="Arial Narrow" w:hAnsi="Arial Narrow"/>
            <w:color w:val="2C9ADC"/>
            <w:sz w:val="16"/>
            <w:szCs w:val="16"/>
          </w:rPr>
          <w:t xml:space="preserve"> and </w:t>
        </w:r>
        <w:proofErr w:type="spellStart"/>
        <w:r>
          <w:rPr>
            <w:rStyle w:val="Hypertextovprepojenie"/>
            <w:rFonts w:ascii="Arial Narrow" w:hAnsi="Arial Narrow"/>
            <w:color w:val="2C9ADC"/>
            <w:sz w:val="16"/>
            <w:szCs w:val="16"/>
          </w:rPr>
          <w:t>Discrimination</w:t>
        </w:r>
        <w:proofErr w:type="spellEnd"/>
        <w:r>
          <w:rPr>
            <w:rStyle w:val="Hypertextovprepojenie"/>
            <w:rFonts w:ascii="Arial Narrow" w:hAnsi="Arial Narrow"/>
            <w:color w:val="2C9ADC"/>
            <w:sz w:val="16"/>
            <w:szCs w:val="16"/>
          </w:rPr>
          <w:t xml:space="preserve"> </w:t>
        </w:r>
        <w:proofErr w:type="spellStart"/>
        <w:r>
          <w:rPr>
            <w:rStyle w:val="Hypertextovprepojenie"/>
            <w:rFonts w:ascii="Arial Narrow" w:hAnsi="Arial Narrow"/>
            <w:color w:val="2C9ADC"/>
            <w:sz w:val="16"/>
            <w:szCs w:val="16"/>
          </w:rPr>
          <w:t>Survey</w:t>
        </w:r>
        <w:proofErr w:type="spellEnd"/>
        <w:r>
          <w:rPr>
            <w:rStyle w:val="Hypertextovprepojenie"/>
            <w:rFonts w:ascii="Arial Narrow" w:hAnsi="Arial Narrow"/>
            <w:color w:val="2C9ADC"/>
            <w:sz w:val="16"/>
            <w:szCs w:val="16"/>
          </w:rPr>
          <w:t xml:space="preserve"> - </w:t>
        </w:r>
        <w:proofErr w:type="spellStart"/>
        <w:r>
          <w:rPr>
            <w:rStyle w:val="Hypertextovprepojenie"/>
            <w:rFonts w:ascii="Arial Narrow" w:hAnsi="Arial Narrow"/>
            <w:color w:val="2C9ADC"/>
            <w:sz w:val="16"/>
            <w:szCs w:val="16"/>
          </w:rPr>
          <w:t>Main</w:t>
        </w:r>
        <w:proofErr w:type="spellEnd"/>
        <w:r>
          <w:rPr>
            <w:rStyle w:val="Hypertextovprepojenie"/>
            <w:rFonts w:ascii="Arial Narrow" w:hAnsi="Arial Narrow"/>
            <w:color w:val="2C9ADC"/>
            <w:sz w:val="16"/>
            <w:szCs w:val="16"/>
          </w:rPr>
          <w:t xml:space="preserve"> </w:t>
        </w:r>
        <w:proofErr w:type="spellStart"/>
        <w:r>
          <w:rPr>
            <w:rStyle w:val="Hypertextovprepojenie"/>
            <w:rFonts w:ascii="Arial Narrow" w:hAnsi="Arial Narrow"/>
            <w:color w:val="2C9ADC"/>
            <w:sz w:val="16"/>
            <w:szCs w:val="16"/>
          </w:rPr>
          <w:t>results</w:t>
        </w:r>
        <w:proofErr w:type="spellEnd"/>
      </w:hyperlink>
    </w:p>
  </w:footnote>
  <w:footnote w:id="33">
    <w:p w14:paraId="14FE08D5" w14:textId="77777777" w:rsidR="00C068B2" w:rsidRPr="00E65FF7" w:rsidRDefault="00C068B2" w:rsidP="002F6048">
      <w:pPr>
        <w:pStyle w:val="Textpoznmkypodiarou"/>
        <w:rPr>
          <w:rFonts w:ascii="Arial Narrow" w:hAnsi="Arial Narrow"/>
          <w:color w:val="2C9ADC"/>
          <w:sz w:val="16"/>
          <w:szCs w:val="16"/>
        </w:rPr>
      </w:pPr>
      <w:r w:rsidRPr="00E65FF7">
        <w:rPr>
          <w:rStyle w:val="Odkaznapoznmkupodiarou"/>
          <w:rFonts w:ascii="Arial Narrow" w:hAnsi="Arial Narrow"/>
          <w:color w:val="000000" w:themeColor="text1"/>
          <w:sz w:val="16"/>
          <w:szCs w:val="16"/>
        </w:rPr>
        <w:footnoteRef/>
      </w:r>
      <w:r w:rsidRPr="00B269DD">
        <w:rPr>
          <w:rFonts w:ascii="Arial Narrow" w:hAnsi="Arial Narrow"/>
          <w:color w:val="2C9ADC"/>
          <w:sz w:val="16"/>
          <w:szCs w:val="16"/>
        </w:rPr>
        <w:t xml:space="preserve"> </w:t>
      </w:r>
      <w:hyperlink r:id="rId14" w:history="1">
        <w:r w:rsidRPr="00E65FF7">
          <w:rPr>
            <w:rStyle w:val="Hypertextovprepojenie"/>
            <w:rFonts w:ascii="Arial Narrow" w:hAnsi="Arial Narrow"/>
            <w:color w:val="2C9ADC"/>
            <w:sz w:val="16"/>
            <w:szCs w:val="16"/>
          </w:rPr>
          <w:t>Konjunkturálny prieskum v priemysle</w:t>
        </w:r>
        <w:r>
          <w:rPr>
            <w:rStyle w:val="Hypertextovprepojenie"/>
            <w:rFonts w:ascii="Arial Narrow" w:hAnsi="Arial Narrow"/>
            <w:color w:val="2C9ADC"/>
            <w:sz w:val="16"/>
            <w:szCs w:val="16"/>
          </w:rPr>
          <w:t xml:space="preserve"> (ŠÚ SR, január 2018</w:t>
        </w:r>
        <w:r w:rsidRPr="00E65FF7">
          <w:rPr>
            <w:rStyle w:val="Hypertextovprepojenie"/>
            <w:rFonts w:ascii="Arial Narrow" w:hAnsi="Arial Narrow"/>
            <w:color w:val="2C9ADC"/>
            <w:sz w:val="16"/>
            <w:szCs w:val="16"/>
          </w:rPr>
          <w:t>)</w:t>
        </w:r>
      </w:hyperlink>
    </w:p>
  </w:footnote>
  <w:footnote w:id="34">
    <w:p w14:paraId="70A57D09" w14:textId="77777777" w:rsidR="00C068B2" w:rsidRPr="00C366F8" w:rsidRDefault="00C068B2">
      <w:pPr>
        <w:pStyle w:val="Textpoznmkypodiarou"/>
        <w:rPr>
          <w:rFonts w:ascii="Arial Narrow" w:hAnsi="Arial Narrow"/>
          <w:sz w:val="16"/>
          <w:szCs w:val="16"/>
        </w:rPr>
      </w:pPr>
      <w:r w:rsidRPr="00EC15E5">
        <w:rPr>
          <w:rStyle w:val="Odkaznapoznmkupodiarou"/>
          <w:rFonts w:ascii="Arial Narrow" w:hAnsi="Arial Narrow"/>
          <w:color w:val="000000" w:themeColor="text1"/>
          <w:sz w:val="16"/>
          <w:szCs w:val="16"/>
        </w:rPr>
        <w:footnoteRef/>
      </w:r>
      <w:r w:rsidRPr="00C366F8">
        <w:rPr>
          <w:rFonts w:ascii="Arial Narrow" w:hAnsi="Arial Narrow"/>
          <w:color w:val="2C9ADC"/>
          <w:sz w:val="16"/>
          <w:szCs w:val="16"/>
        </w:rPr>
        <w:t xml:space="preserve"> </w:t>
      </w:r>
      <w:hyperlink r:id="rId15" w:history="1">
        <w:r w:rsidRPr="00C366F8">
          <w:rPr>
            <w:rStyle w:val="Hypertextovprepojenie"/>
            <w:rFonts w:ascii="Arial Narrow" w:hAnsi="Arial Narrow"/>
            <w:color w:val="2C9ADC"/>
            <w:sz w:val="16"/>
            <w:szCs w:val="16"/>
          </w:rPr>
          <w:t>Komentár IFP: Na trhu práce bude horúco (február 2018)</w:t>
        </w:r>
      </w:hyperlink>
    </w:p>
  </w:footnote>
  <w:footnote w:id="35">
    <w:p w14:paraId="25A77355" w14:textId="098C9C2A" w:rsidR="00C068B2" w:rsidRPr="00306734" w:rsidRDefault="00C068B2">
      <w:pPr>
        <w:pStyle w:val="Textpoznmkypodiarou"/>
        <w:rPr>
          <w:rFonts w:ascii="Arial Narrow" w:hAnsi="Arial Narrow"/>
          <w:sz w:val="16"/>
          <w:szCs w:val="16"/>
        </w:rPr>
      </w:pPr>
      <w:r w:rsidRPr="00306734">
        <w:rPr>
          <w:rStyle w:val="Odkaznapoznmkupodiarou"/>
          <w:rFonts w:ascii="Arial Narrow" w:hAnsi="Arial Narrow"/>
          <w:sz w:val="16"/>
          <w:szCs w:val="16"/>
        </w:rPr>
        <w:footnoteRef/>
      </w:r>
      <w:r w:rsidRPr="00306734">
        <w:rPr>
          <w:rFonts w:ascii="Arial Narrow" w:hAnsi="Arial Narrow"/>
          <w:sz w:val="16"/>
          <w:szCs w:val="16"/>
        </w:rPr>
        <w:t xml:space="preserve"> V prípade údaju za rok 2017 ide o expertný odhad, ktorý vychádza z údajov k 30.9.2017 a predpokladá pokračovanie dynamiky vývoja z roka 2017 aj v poslednom štvrťroku.</w:t>
      </w:r>
    </w:p>
  </w:footnote>
  <w:footnote w:id="36">
    <w:p w14:paraId="17BAC22D" w14:textId="3854596C" w:rsidR="00C068B2" w:rsidRPr="00EC15E5" w:rsidRDefault="00C068B2" w:rsidP="002F6048">
      <w:pPr>
        <w:pStyle w:val="Textpoznmkypodiarou"/>
        <w:jc w:val="both"/>
        <w:rPr>
          <w:rFonts w:ascii="Arial Narrow" w:hAnsi="Arial Narrow"/>
          <w:sz w:val="16"/>
          <w:szCs w:val="22"/>
        </w:rPr>
      </w:pPr>
      <w:r w:rsidRPr="00EC15E5">
        <w:rPr>
          <w:rStyle w:val="Odkaznapoznmkupodiarou"/>
          <w:rFonts w:ascii="Arial Narrow" w:hAnsi="Arial Narrow"/>
          <w:sz w:val="16"/>
          <w:szCs w:val="22"/>
        </w:rPr>
        <w:footnoteRef/>
      </w:r>
      <w:r w:rsidRPr="00EC15E5">
        <w:rPr>
          <w:rFonts w:ascii="Arial Narrow" w:hAnsi="Arial Narrow"/>
          <w:sz w:val="16"/>
          <w:szCs w:val="22"/>
        </w:rPr>
        <w:t xml:space="preserve"> Časť úverov zo ŠFRB ide na zatepľovanie bytov z dôvodu čerpania EU fondov, ktoré sú na tento účel ur</w:t>
      </w:r>
      <w:r w:rsidR="006C06DE">
        <w:rPr>
          <w:rFonts w:ascii="Arial Narrow" w:hAnsi="Arial Narrow"/>
          <w:sz w:val="16"/>
          <w:szCs w:val="22"/>
        </w:rPr>
        <w:t>čené. Avšak príjmy zo zdrojov EÚ</w:t>
      </w:r>
      <w:r w:rsidRPr="00EC15E5">
        <w:rPr>
          <w:rFonts w:ascii="Arial Narrow" w:hAnsi="Arial Narrow"/>
          <w:sz w:val="16"/>
          <w:szCs w:val="22"/>
        </w:rPr>
        <w:t xml:space="preserve"> spolu so spolufinancovaním tvorili 64 % príjmov fondu v roku 2016, čo je o 21 p. b. menej ako bolo v tom roku výdavkov na obnovu bytových budov. ŠFRB na obnovu bytových domov v roku 2016 z vlastných zdrojov poskytol úvery v objeme 45,5 mil. eur. Tieto peniaze mohli byť použité na výstavbu nájomných bytov.</w:t>
      </w:r>
    </w:p>
  </w:footnote>
  <w:footnote w:id="37">
    <w:p w14:paraId="72B7EE38" w14:textId="488C089C" w:rsidR="00C068B2" w:rsidRPr="00EC15E5" w:rsidRDefault="00C068B2" w:rsidP="0087239E">
      <w:pPr>
        <w:pStyle w:val="Textpoznmkypodiarou"/>
        <w:jc w:val="both"/>
        <w:rPr>
          <w:rFonts w:ascii="Arial Narrow" w:hAnsi="Arial Narrow"/>
          <w:sz w:val="16"/>
          <w:szCs w:val="22"/>
        </w:rPr>
      </w:pPr>
      <w:r w:rsidRPr="00EC15E5">
        <w:rPr>
          <w:rStyle w:val="Odkaznapoznmkupodiarou"/>
          <w:rFonts w:ascii="Arial Narrow" w:hAnsi="Arial Narrow"/>
          <w:color w:val="000000" w:themeColor="text1"/>
          <w:sz w:val="16"/>
          <w:szCs w:val="22"/>
        </w:rPr>
        <w:footnoteRef/>
      </w:r>
      <w:r w:rsidRPr="00EC15E5">
        <w:rPr>
          <w:rFonts w:ascii="Arial Narrow" w:hAnsi="Arial Narrow"/>
          <w:color w:val="000000" w:themeColor="text1"/>
          <w:sz w:val="16"/>
          <w:szCs w:val="22"/>
        </w:rPr>
        <w:t xml:space="preserve"> </w:t>
      </w:r>
      <w:hyperlink r:id="rId16" w:history="1">
        <w:r w:rsidRPr="00EC15E5">
          <w:rPr>
            <w:rStyle w:val="Hypertextovprepojenie"/>
            <w:rFonts w:ascii="Arial Narrow" w:hAnsi="Arial Narrow"/>
            <w:color w:val="2C9ADC"/>
            <w:sz w:val="16"/>
            <w:szCs w:val="22"/>
          </w:rPr>
          <w:t>Pilotná štúdia revízie výdavkov na služby zamestnanosti</w:t>
        </w:r>
      </w:hyperlink>
      <w:r w:rsidRPr="00EC15E5">
        <w:rPr>
          <w:rFonts w:ascii="Arial Narrow" w:hAnsi="Arial Narrow"/>
          <w:sz w:val="16"/>
          <w:szCs w:val="22"/>
        </w:rPr>
        <w:t xml:space="preserve"> (október 2016) a </w:t>
      </w:r>
      <w:hyperlink r:id="rId17" w:history="1">
        <w:r w:rsidR="00B05ED7">
          <w:rPr>
            <w:rStyle w:val="Hypertextovprepojenie"/>
            <w:rFonts w:ascii="Arial Narrow" w:hAnsi="Arial Narrow"/>
            <w:color w:val="2C9ADC"/>
            <w:sz w:val="16"/>
            <w:szCs w:val="22"/>
          </w:rPr>
          <w:t>Revízia výdavkov politiky trhu práce a sociálne politiky</w:t>
        </w:r>
      </w:hyperlink>
      <w:r w:rsidRPr="00EC15E5">
        <w:rPr>
          <w:rFonts w:ascii="Arial Narrow" w:hAnsi="Arial Narrow"/>
          <w:sz w:val="16"/>
          <w:szCs w:val="22"/>
        </w:rPr>
        <w:t xml:space="preserve"> (júl 2017). </w:t>
      </w:r>
    </w:p>
  </w:footnote>
  <w:footnote w:id="38">
    <w:p w14:paraId="153ACB30" w14:textId="77777777" w:rsidR="00C068B2" w:rsidRDefault="00C068B2">
      <w:pPr>
        <w:pStyle w:val="Textpoznmkypodiarou"/>
      </w:pPr>
      <w:r w:rsidRPr="00EC15E5">
        <w:rPr>
          <w:rStyle w:val="Odkaznapoznmkupodiarou"/>
          <w:rFonts w:ascii="Arial Narrow" w:hAnsi="Arial Narrow"/>
          <w:sz w:val="16"/>
          <w:szCs w:val="22"/>
        </w:rPr>
        <w:footnoteRef/>
      </w:r>
      <w:r w:rsidRPr="00EC15E5">
        <w:rPr>
          <w:rFonts w:ascii="Arial Narrow" w:hAnsi="Arial Narrow"/>
          <w:sz w:val="16"/>
          <w:szCs w:val="22"/>
        </w:rPr>
        <w:t xml:space="preserve"> V januári 2018 schválila vláda zmeny s účinnosťou od mája 2018 na podporu mobility zamestnancov na trhu práce.</w:t>
      </w:r>
    </w:p>
  </w:footnote>
  <w:footnote w:id="39">
    <w:p w14:paraId="4716650B" w14:textId="4579B0BD" w:rsidR="00C068B2" w:rsidRPr="00754872" w:rsidRDefault="00C068B2" w:rsidP="00754872">
      <w:pPr>
        <w:pStyle w:val="Textpoznmkypodiarou"/>
        <w:jc w:val="both"/>
        <w:rPr>
          <w:rFonts w:ascii="Arial Narrow" w:hAnsi="Arial Narrow"/>
          <w:sz w:val="16"/>
          <w:szCs w:val="16"/>
        </w:rPr>
      </w:pPr>
      <w:r w:rsidRPr="00754872">
        <w:rPr>
          <w:rStyle w:val="Odkaznapoznmkupodiarou"/>
          <w:rFonts w:ascii="Arial Narrow" w:hAnsi="Arial Narrow"/>
          <w:sz w:val="16"/>
          <w:szCs w:val="16"/>
        </w:rPr>
        <w:footnoteRef/>
      </w:r>
      <w:r w:rsidRPr="00754872">
        <w:rPr>
          <w:rFonts w:ascii="Arial Narrow" w:hAnsi="Arial Narrow"/>
          <w:sz w:val="16"/>
          <w:szCs w:val="16"/>
        </w:rPr>
        <w:t xml:space="preserve"> Pojem </w:t>
      </w:r>
      <w:r w:rsidRPr="00754872">
        <w:rPr>
          <w:rFonts w:ascii="Arial Narrow" w:hAnsi="Arial Narrow"/>
          <w:i/>
          <w:sz w:val="16"/>
          <w:szCs w:val="16"/>
        </w:rPr>
        <w:t xml:space="preserve">rodičovská dovolenka </w:t>
      </w:r>
      <w:r w:rsidRPr="00754872">
        <w:rPr>
          <w:rFonts w:ascii="Arial Narrow" w:hAnsi="Arial Narrow"/>
          <w:sz w:val="16"/>
          <w:szCs w:val="16"/>
        </w:rPr>
        <w:t xml:space="preserve">predstavuje ospravedlnené pracovné voľno pri narodení dieťaťa so štandardnou dĺžkou tri roky. Zároveň štát poskytuje na rovnaké obdobie </w:t>
      </w:r>
      <w:r w:rsidRPr="00754872">
        <w:rPr>
          <w:rFonts w:ascii="Arial Narrow" w:hAnsi="Arial Narrow"/>
          <w:i/>
          <w:sz w:val="16"/>
          <w:szCs w:val="16"/>
        </w:rPr>
        <w:t xml:space="preserve">rodičovský príspevok </w:t>
      </w:r>
      <w:r w:rsidRPr="00754872">
        <w:rPr>
          <w:rFonts w:ascii="Arial Narrow" w:hAnsi="Arial Narrow"/>
          <w:sz w:val="16"/>
          <w:szCs w:val="16"/>
        </w:rPr>
        <w:t xml:space="preserve">(po období poberania </w:t>
      </w:r>
      <w:r w:rsidRPr="00754872">
        <w:rPr>
          <w:rFonts w:ascii="Arial Narrow" w:hAnsi="Arial Narrow"/>
          <w:i/>
          <w:sz w:val="16"/>
          <w:szCs w:val="16"/>
        </w:rPr>
        <w:t>materského</w:t>
      </w:r>
      <w:r w:rsidRPr="00754872">
        <w:rPr>
          <w:rFonts w:ascii="Arial Narrow" w:hAnsi="Arial Narrow"/>
          <w:sz w:val="16"/>
          <w:szCs w:val="16"/>
        </w:rPr>
        <w:t xml:space="preserve"> v prípade nároku), na ktorý majú nárok aj matky bez zamestnania pred narodením dieťaťa. V analýze a komentári používame pojem </w:t>
      </w:r>
      <w:r w:rsidRPr="00754872">
        <w:rPr>
          <w:rFonts w:ascii="Arial Narrow" w:hAnsi="Arial Narrow"/>
          <w:i/>
          <w:sz w:val="16"/>
          <w:szCs w:val="16"/>
        </w:rPr>
        <w:t xml:space="preserve">rodičovská dovolenka </w:t>
      </w:r>
      <w:r w:rsidRPr="00754872">
        <w:rPr>
          <w:rFonts w:ascii="Arial Narrow" w:hAnsi="Arial Narrow"/>
          <w:sz w:val="16"/>
          <w:szCs w:val="16"/>
        </w:rPr>
        <w:t xml:space="preserve">pre oba prípady. </w:t>
      </w:r>
    </w:p>
  </w:footnote>
  <w:footnote w:id="40">
    <w:p w14:paraId="6DA561EA" w14:textId="2AFA39B8" w:rsidR="00C068B2" w:rsidRPr="00754872" w:rsidRDefault="00C068B2" w:rsidP="00754872">
      <w:pPr>
        <w:pStyle w:val="Textpoznmkypodiarou"/>
        <w:jc w:val="both"/>
        <w:rPr>
          <w:rFonts w:ascii="Arial Narrow" w:hAnsi="Arial Narrow"/>
          <w:sz w:val="16"/>
          <w:szCs w:val="16"/>
        </w:rPr>
      </w:pPr>
      <w:r w:rsidRPr="00754872">
        <w:rPr>
          <w:rStyle w:val="Odkaznapoznmkupodiarou"/>
          <w:rFonts w:ascii="Arial Narrow" w:hAnsi="Arial Narrow"/>
          <w:sz w:val="16"/>
          <w:szCs w:val="16"/>
        </w:rPr>
        <w:footnoteRef/>
      </w:r>
      <w:r w:rsidRPr="00754872">
        <w:rPr>
          <w:rFonts w:ascii="Arial Narrow" w:hAnsi="Arial Narrow"/>
          <w:sz w:val="16"/>
          <w:szCs w:val="16"/>
        </w:rPr>
        <w:t xml:space="preserve"> V praxi sa vypláca rodičovský príspevok 37 mesiacov, keďže celá dávka sa vypláca aj v prípade, ak sa dieťa narodí alebo dovŕši 3 roky v priebehu kalendárneho mesiaca.</w:t>
      </w:r>
    </w:p>
  </w:footnote>
  <w:footnote w:id="41">
    <w:p w14:paraId="707A74F3" w14:textId="77777777" w:rsidR="00C068B2" w:rsidRPr="00AB3326" w:rsidRDefault="00C068B2" w:rsidP="0056687D">
      <w:pPr>
        <w:pStyle w:val="Textpoznmkypodiarou"/>
        <w:jc w:val="both"/>
        <w:rPr>
          <w:rFonts w:ascii="Arial Narrow" w:hAnsi="Arial Narrow"/>
          <w:sz w:val="16"/>
          <w:szCs w:val="16"/>
        </w:rPr>
      </w:pPr>
      <w:r w:rsidRPr="00AB3326">
        <w:rPr>
          <w:rStyle w:val="Odkaznapoznmkupodiarou"/>
          <w:rFonts w:ascii="Arial Narrow" w:hAnsi="Arial Narrow"/>
          <w:sz w:val="16"/>
          <w:szCs w:val="16"/>
        </w:rPr>
        <w:footnoteRef/>
      </w:r>
      <w:r w:rsidRPr="00AB3326">
        <w:rPr>
          <w:rFonts w:ascii="Arial Narrow" w:hAnsi="Arial Narrow"/>
          <w:sz w:val="16"/>
          <w:szCs w:val="16"/>
        </w:rPr>
        <w:t xml:space="preserve"> Upravené zákonom č. 447/</w:t>
      </w:r>
      <w:r>
        <w:rPr>
          <w:rFonts w:ascii="Arial Narrow" w:hAnsi="Arial Narrow"/>
          <w:sz w:val="16"/>
          <w:szCs w:val="16"/>
        </w:rPr>
        <w:t xml:space="preserve">2008 Z. </w:t>
      </w:r>
      <w:r w:rsidRPr="00AB3326">
        <w:rPr>
          <w:rFonts w:ascii="Arial Narrow" w:hAnsi="Arial Narrow"/>
          <w:sz w:val="16"/>
          <w:szCs w:val="16"/>
        </w:rPr>
        <w:t>z. o peňažných príspevkoch na kompenzáciu ťažkého zdravotného postihnutia.</w:t>
      </w:r>
    </w:p>
  </w:footnote>
  <w:footnote w:id="42">
    <w:p w14:paraId="24E57A8D" w14:textId="77777777" w:rsidR="00C068B2" w:rsidRPr="007108B3" w:rsidRDefault="00C068B2">
      <w:pPr>
        <w:pStyle w:val="Textpoznmkypodiarou"/>
        <w:rPr>
          <w:rFonts w:ascii="Arial Narrow" w:hAnsi="Arial Narrow"/>
          <w:sz w:val="16"/>
          <w:szCs w:val="16"/>
        </w:rPr>
      </w:pPr>
      <w:r w:rsidRPr="007108B3">
        <w:rPr>
          <w:rStyle w:val="Odkaznapoznmkupodiarou"/>
          <w:rFonts w:ascii="Arial Narrow" w:hAnsi="Arial Narrow"/>
          <w:color w:val="000000" w:themeColor="text1"/>
          <w:sz w:val="16"/>
          <w:szCs w:val="16"/>
        </w:rPr>
        <w:footnoteRef/>
      </w:r>
      <w:r w:rsidRPr="007108B3">
        <w:rPr>
          <w:rFonts w:ascii="Arial Narrow" w:hAnsi="Arial Narrow"/>
          <w:color w:val="000000" w:themeColor="text1"/>
          <w:sz w:val="16"/>
          <w:szCs w:val="16"/>
        </w:rPr>
        <w:t xml:space="preserve"> </w:t>
      </w:r>
      <w:hyperlink r:id="rId18" w:history="1">
        <w:r w:rsidRPr="007108B3">
          <w:rPr>
            <w:rStyle w:val="Hypertextovprepojenie"/>
            <w:rFonts w:ascii="Arial Narrow" w:hAnsi="Arial Narrow" w:cs="Arial"/>
            <w:color w:val="2C9ADC"/>
            <w:sz w:val="16"/>
            <w:szCs w:val="16"/>
          </w:rPr>
          <w:t>Implementačný plán zdravotníctvo (november 2017)</w:t>
        </w:r>
      </w:hyperlink>
      <w:r w:rsidRPr="007108B3">
        <w:rPr>
          <w:rStyle w:val="Hypertextovprepojenie"/>
          <w:rFonts w:ascii="Arial Narrow" w:hAnsi="Arial Narrow" w:cs="Arial"/>
          <w:color w:val="000000" w:themeColor="text1"/>
          <w:sz w:val="16"/>
          <w:szCs w:val="16"/>
        </w:rPr>
        <w:t>.</w:t>
      </w:r>
    </w:p>
  </w:footnote>
  <w:footnote w:id="43">
    <w:p w14:paraId="129B38D6" w14:textId="77777777" w:rsidR="00C068B2" w:rsidRPr="00E24676" w:rsidRDefault="00C068B2" w:rsidP="00E550DB">
      <w:pPr>
        <w:pStyle w:val="Textpoznmkypodiarou"/>
        <w:jc w:val="both"/>
        <w:rPr>
          <w:rFonts w:ascii="Arial Narrow" w:hAnsi="Arial Narrow"/>
          <w:sz w:val="16"/>
          <w:szCs w:val="16"/>
        </w:rPr>
      </w:pPr>
      <w:r w:rsidRPr="00D347DF">
        <w:rPr>
          <w:rStyle w:val="Odkaznapoznmkupodiarou"/>
          <w:rFonts w:ascii="Arial Narrow" w:hAnsi="Arial Narrow"/>
          <w:sz w:val="16"/>
          <w:szCs w:val="16"/>
        </w:rPr>
        <w:footnoteRef/>
      </w:r>
      <w:r w:rsidRPr="00D347DF">
        <w:rPr>
          <w:rFonts w:ascii="Arial Narrow" w:hAnsi="Arial Narrow"/>
          <w:sz w:val="16"/>
          <w:szCs w:val="16"/>
        </w:rPr>
        <w:t xml:space="preserve"> </w:t>
      </w:r>
      <w:r w:rsidRPr="0011386F">
        <w:rPr>
          <w:rFonts w:ascii="Arial Narrow" w:hAnsi="Arial Narrow"/>
          <w:b/>
          <w:sz w:val="16"/>
          <w:szCs w:val="16"/>
        </w:rPr>
        <w:t>Miera odvrátiteľnej úmrtnosti</w:t>
      </w:r>
      <w:r w:rsidRPr="00D162AA">
        <w:rPr>
          <w:rFonts w:ascii="Arial Narrow" w:hAnsi="Arial Narrow"/>
          <w:sz w:val="16"/>
          <w:szCs w:val="16"/>
        </w:rPr>
        <w:t xml:space="preserve"> sa často používa ako ukazovateľ kvality zdravotnej starostlivosti a pozostáva z dvoch indikátorov. Prvý indikátor </w:t>
      </w:r>
      <w:r w:rsidRPr="00D162AA">
        <w:rPr>
          <w:rFonts w:ascii="Arial Narrow" w:hAnsi="Arial Narrow"/>
          <w:b/>
          <w:i/>
          <w:sz w:val="16"/>
          <w:szCs w:val="16"/>
        </w:rPr>
        <w:t>Liečiteľná úmrtnosť</w:t>
      </w:r>
      <w:r w:rsidRPr="00D162AA">
        <w:rPr>
          <w:rFonts w:ascii="Arial Narrow" w:hAnsi="Arial Narrow"/>
          <w:sz w:val="16"/>
          <w:szCs w:val="16"/>
        </w:rPr>
        <w:t xml:space="preserve"> (prezentovaný vyššie) zahŕňa úmrtia, ktoré je možné odvrátiť včasn</w:t>
      </w:r>
      <w:r>
        <w:rPr>
          <w:rFonts w:ascii="Arial Narrow" w:hAnsi="Arial Narrow"/>
          <w:sz w:val="16"/>
          <w:szCs w:val="16"/>
        </w:rPr>
        <w:t>ou</w:t>
      </w:r>
      <w:r w:rsidRPr="00D162AA">
        <w:rPr>
          <w:rFonts w:ascii="Arial Narrow" w:hAnsi="Arial Narrow"/>
          <w:sz w:val="16"/>
          <w:szCs w:val="16"/>
        </w:rPr>
        <w:t xml:space="preserve"> </w:t>
      </w:r>
      <w:r>
        <w:rPr>
          <w:rFonts w:ascii="Arial Narrow" w:hAnsi="Arial Narrow"/>
          <w:sz w:val="16"/>
          <w:szCs w:val="16"/>
        </w:rPr>
        <w:t>a efektívnou diagnostikou či</w:t>
      </w:r>
      <w:r w:rsidRPr="00D162AA">
        <w:rPr>
          <w:rFonts w:ascii="Arial Narrow" w:hAnsi="Arial Narrow"/>
          <w:sz w:val="16"/>
          <w:szCs w:val="16"/>
        </w:rPr>
        <w:t> adekvátnym zásahom zdravotnej starostlivosti a</w:t>
      </w:r>
      <w:r>
        <w:rPr>
          <w:rFonts w:ascii="Arial Narrow" w:hAnsi="Arial Narrow"/>
          <w:sz w:val="16"/>
          <w:szCs w:val="16"/>
        </w:rPr>
        <w:t xml:space="preserve"> liečbou</w:t>
      </w:r>
      <w:r w:rsidRPr="00D162AA">
        <w:rPr>
          <w:rFonts w:ascii="Arial Narrow" w:hAnsi="Arial Narrow"/>
          <w:sz w:val="16"/>
          <w:szCs w:val="16"/>
        </w:rPr>
        <w:t xml:space="preserve">. Okrem liečiteľných úmrtí sa používa aj indikátor </w:t>
      </w:r>
      <w:proofErr w:type="spellStart"/>
      <w:r w:rsidRPr="00D13CA7">
        <w:rPr>
          <w:rFonts w:ascii="Arial Narrow" w:hAnsi="Arial Narrow"/>
          <w:b/>
          <w:i/>
          <w:sz w:val="16"/>
          <w:szCs w:val="16"/>
        </w:rPr>
        <w:t>Pre</w:t>
      </w:r>
      <w:r>
        <w:rPr>
          <w:rFonts w:ascii="Arial Narrow" w:hAnsi="Arial Narrow"/>
          <w:b/>
          <w:i/>
          <w:sz w:val="16"/>
          <w:szCs w:val="16"/>
        </w:rPr>
        <w:t>dchádzateľ</w:t>
      </w:r>
      <w:r w:rsidRPr="00D13CA7">
        <w:rPr>
          <w:rFonts w:ascii="Arial Narrow" w:hAnsi="Arial Narrow"/>
          <w:b/>
          <w:i/>
          <w:sz w:val="16"/>
          <w:szCs w:val="16"/>
        </w:rPr>
        <w:t>ná</w:t>
      </w:r>
      <w:proofErr w:type="spellEnd"/>
      <w:r w:rsidRPr="00D13CA7">
        <w:rPr>
          <w:rFonts w:ascii="Arial Narrow" w:hAnsi="Arial Narrow"/>
          <w:b/>
          <w:i/>
          <w:sz w:val="16"/>
          <w:szCs w:val="16"/>
        </w:rPr>
        <w:t xml:space="preserve"> úmrtnosť</w:t>
      </w:r>
      <w:r w:rsidRPr="00D162AA">
        <w:rPr>
          <w:rFonts w:ascii="Arial Narrow" w:hAnsi="Arial Narrow"/>
          <w:sz w:val="16"/>
          <w:szCs w:val="16"/>
        </w:rPr>
        <w:t xml:space="preserve">. </w:t>
      </w:r>
      <w:r>
        <w:rPr>
          <w:rFonts w:ascii="Arial Narrow" w:hAnsi="Arial Narrow"/>
          <w:sz w:val="16"/>
          <w:szCs w:val="16"/>
        </w:rPr>
        <w:t xml:space="preserve">Tá sa dá zlepšiť pomocou opatrení zameraných na prevenciu ochorení (napr. podpora zdravého životného štýlu) . </w:t>
      </w:r>
    </w:p>
  </w:footnote>
  <w:footnote w:id="44">
    <w:p w14:paraId="32CC976C" w14:textId="75F3D6A9" w:rsidR="00C068B2" w:rsidRDefault="00C068B2" w:rsidP="001F0E7E">
      <w:pPr>
        <w:pStyle w:val="Textpoznmkypodiarou"/>
        <w:jc w:val="both"/>
      </w:pPr>
      <w:r w:rsidRPr="001F0E7E">
        <w:rPr>
          <w:rStyle w:val="Odkaznapoznmkupodiarou"/>
          <w:rFonts w:ascii="Arial Narrow" w:hAnsi="Arial Narrow"/>
          <w:sz w:val="16"/>
        </w:rPr>
        <w:footnoteRef/>
      </w:r>
      <w:r w:rsidRPr="001F0E7E">
        <w:rPr>
          <w:rStyle w:val="Odkaznapoznmkupodiarou"/>
          <w:rFonts w:ascii="Arial Narrow" w:hAnsi="Arial Narrow"/>
          <w:sz w:val="16"/>
        </w:rPr>
        <w:t xml:space="preserve"> </w:t>
      </w:r>
      <w:r>
        <w:rPr>
          <w:rFonts w:ascii="Arial Narrow" w:hAnsi="Arial Narrow"/>
          <w:sz w:val="16"/>
        </w:rPr>
        <w:t>Výrazné zvýšenie efektívnosti medzi rokmi 2010 a 2011 môže byť vysvetlené znížením výdavkov na zdravotníctvo (z 5,2 % HDP v roku 2010 na 4,8 % HDP v roku 2011) vďaka liekovej reforme. Zvýšenie efektívnosti medzi rokmi 2013 a 2014 má na svedomí zvýšenie očakávanej dĺžky života. V roku 2015 je možné vysvetliť opätovný pokles efektívnosti rastom výdavkov na úroveň 5,1 % HDP a aj poklesom očakávanej dĺžky života.</w:t>
      </w:r>
    </w:p>
  </w:footnote>
  <w:footnote w:id="45">
    <w:p w14:paraId="67E01366" w14:textId="3FEDAF4E" w:rsidR="00C068B2" w:rsidRPr="00F659FA" w:rsidRDefault="00C068B2" w:rsidP="00E550DB">
      <w:pPr>
        <w:pStyle w:val="Textpoznmkypodiarou"/>
        <w:jc w:val="both"/>
        <w:rPr>
          <w:rFonts w:ascii="Arial Narrow" w:hAnsi="Arial Narrow"/>
        </w:rPr>
      </w:pPr>
      <w:r w:rsidRPr="00F659FA">
        <w:rPr>
          <w:rStyle w:val="Odkaznapoznmkupodiarou"/>
          <w:rFonts w:ascii="Arial Narrow" w:hAnsi="Arial Narrow"/>
          <w:sz w:val="16"/>
        </w:rPr>
        <w:footnoteRef/>
      </w:r>
      <w:r w:rsidRPr="00F659FA">
        <w:rPr>
          <w:rFonts w:ascii="Arial Narrow" w:hAnsi="Arial Narrow"/>
          <w:sz w:val="16"/>
        </w:rPr>
        <w:t xml:space="preserve"> </w:t>
      </w:r>
      <w:r>
        <w:rPr>
          <w:rFonts w:ascii="Arial Narrow" w:hAnsi="Arial Narrow"/>
          <w:sz w:val="16"/>
        </w:rPr>
        <w:t xml:space="preserve">Model vychádza z analýzy IFP </w:t>
      </w:r>
      <w:hyperlink r:id="rId19" w:history="1">
        <w:r w:rsidR="00BE2911" w:rsidRPr="00932C39">
          <w:rPr>
            <w:rStyle w:val="Hypertextovprepojenie"/>
            <w:rFonts w:ascii="Arial Narrow" w:hAnsi="Arial Narrow"/>
            <w:color w:val="2C9ADC"/>
            <w:sz w:val="16"/>
            <w:szCs w:val="16"/>
          </w:rPr>
          <w:t>Málo zdravia za veľa peňazí: Analýza efektívnosti slovenského zdravotníctva</w:t>
        </w:r>
      </w:hyperlink>
      <w:r>
        <w:rPr>
          <w:rFonts w:ascii="Arial Narrow" w:hAnsi="Arial Narrow"/>
          <w:sz w:val="16"/>
        </w:rPr>
        <w:t xml:space="preserve"> z roku 2012. Tento model odhaduje implikovanú očakávanú dĺžku života pri zdrojoch, ktoré sú využité na financovanie systému v jednotlivých krajinách. Kladné hodnoty znamenajú, že krajina dosahuje v skutočnosti vyššiu očakávanú dĺžku života než akú jej </w:t>
      </w:r>
      <w:proofErr w:type="spellStart"/>
      <w:r>
        <w:rPr>
          <w:rFonts w:ascii="Arial Narrow" w:hAnsi="Arial Narrow"/>
          <w:sz w:val="16"/>
        </w:rPr>
        <w:t>predikujú</w:t>
      </w:r>
      <w:proofErr w:type="spellEnd"/>
      <w:r>
        <w:rPr>
          <w:rFonts w:ascii="Arial Narrow" w:hAnsi="Arial Narrow"/>
          <w:sz w:val="16"/>
        </w:rPr>
        <w:t xml:space="preserve"> zdroje, ktoré využíva na financovanie. Záporné hodnoty naopak značia nižšiu než priemernú efektivitu systému a neoptimálne využitie zdrojov. Odhad bol vytvorený pomocou OLS </w:t>
      </w:r>
      <w:proofErr w:type="spellStart"/>
      <w:r>
        <w:rPr>
          <w:rFonts w:ascii="Arial Narrow" w:hAnsi="Arial Narrow"/>
          <w:sz w:val="16"/>
        </w:rPr>
        <w:t>estimácie</w:t>
      </w:r>
      <w:proofErr w:type="spellEnd"/>
      <w:r>
        <w:rPr>
          <w:rFonts w:ascii="Arial Narrow" w:hAnsi="Arial Narrow"/>
          <w:sz w:val="16"/>
        </w:rPr>
        <w:t>.</w:t>
      </w:r>
    </w:p>
  </w:footnote>
  <w:footnote w:id="46">
    <w:p w14:paraId="5E395A7A" w14:textId="77777777" w:rsidR="00C068B2" w:rsidRDefault="00C068B2" w:rsidP="004330D8">
      <w:pPr>
        <w:pStyle w:val="Textpoznmkypodiarou"/>
      </w:pPr>
      <w:r w:rsidRPr="008745FE">
        <w:rPr>
          <w:rStyle w:val="Odkaznapoznmkupodiarou"/>
          <w:sz w:val="16"/>
        </w:rPr>
        <w:footnoteRef/>
      </w:r>
      <w:r w:rsidRPr="008745FE">
        <w:rPr>
          <w:sz w:val="16"/>
        </w:rPr>
        <w:t xml:space="preserve"> </w:t>
      </w:r>
      <w:hyperlink r:id="rId20" w:history="1">
        <w:r w:rsidRPr="007108B3">
          <w:rPr>
            <w:rStyle w:val="Hypertextovprepojenie"/>
            <w:rFonts w:ascii="Arial Narrow" w:hAnsi="Arial Narrow" w:cs="Arial"/>
            <w:color w:val="2C9ADC"/>
            <w:sz w:val="16"/>
            <w:szCs w:val="16"/>
          </w:rPr>
          <w:t>Implementačný plán zdravotníctvo (november 2017)</w:t>
        </w:r>
      </w:hyperlink>
      <w:r w:rsidRPr="007108B3">
        <w:rPr>
          <w:rStyle w:val="Hypertextovprepojenie"/>
          <w:rFonts w:ascii="Arial Narrow" w:hAnsi="Arial Narrow" w:cs="Arial"/>
          <w:color w:val="000000" w:themeColor="text1"/>
          <w:sz w:val="16"/>
          <w:szCs w:val="16"/>
        </w:rPr>
        <w:t>.</w:t>
      </w:r>
    </w:p>
  </w:footnote>
  <w:footnote w:id="47">
    <w:p w14:paraId="1A552FF6" w14:textId="77777777" w:rsidR="00C068B2" w:rsidRPr="00AB3326" w:rsidRDefault="00C068B2" w:rsidP="007D2366">
      <w:pPr>
        <w:pStyle w:val="Textpoznmkypodiarou"/>
        <w:jc w:val="both"/>
        <w:rPr>
          <w:rFonts w:ascii="Arial Narrow" w:hAnsi="Arial Narrow"/>
          <w:sz w:val="16"/>
          <w:szCs w:val="16"/>
        </w:rPr>
      </w:pPr>
      <w:r w:rsidRPr="00AB3326">
        <w:rPr>
          <w:rStyle w:val="Odkaznapoznmkupodiarou"/>
          <w:rFonts w:ascii="Arial Narrow" w:hAnsi="Arial Narrow"/>
          <w:sz w:val="16"/>
          <w:szCs w:val="16"/>
        </w:rPr>
        <w:footnoteRef/>
      </w:r>
      <w:r w:rsidRPr="00AB3326">
        <w:rPr>
          <w:rFonts w:ascii="Arial Narrow" w:hAnsi="Arial Narrow"/>
          <w:sz w:val="16"/>
          <w:szCs w:val="16"/>
        </w:rPr>
        <w:t xml:space="preserve"> C</w:t>
      </w:r>
      <w:r>
        <w:rPr>
          <w:rFonts w:ascii="Arial Narrow" w:hAnsi="Arial Narrow"/>
          <w:sz w:val="16"/>
          <w:szCs w:val="16"/>
        </w:rPr>
        <w:t xml:space="preserve">elé porovnanie sa týka súdov prvého </w:t>
      </w:r>
      <w:r w:rsidRPr="00AB3326">
        <w:rPr>
          <w:rFonts w:ascii="Arial Narrow" w:hAnsi="Arial Narrow"/>
          <w:sz w:val="16"/>
          <w:szCs w:val="16"/>
        </w:rPr>
        <w:t xml:space="preserve">stupňa. </w:t>
      </w:r>
    </w:p>
  </w:footnote>
  <w:footnote w:id="48">
    <w:p w14:paraId="511DA62A" w14:textId="77777777" w:rsidR="00C068B2" w:rsidRPr="00AB3326" w:rsidRDefault="00C068B2" w:rsidP="007D2366">
      <w:pPr>
        <w:pStyle w:val="Textpoznmkypodiarou"/>
        <w:jc w:val="both"/>
        <w:rPr>
          <w:rFonts w:ascii="Arial Narrow" w:hAnsi="Arial Narrow"/>
          <w:sz w:val="16"/>
          <w:szCs w:val="16"/>
        </w:rPr>
      </w:pPr>
      <w:r w:rsidRPr="00AB3326">
        <w:rPr>
          <w:rStyle w:val="Odkaznapoznmkupodiarou"/>
          <w:rFonts w:ascii="Arial Narrow" w:hAnsi="Arial Narrow"/>
          <w:sz w:val="16"/>
          <w:szCs w:val="16"/>
        </w:rPr>
        <w:footnoteRef/>
      </w:r>
      <w:r w:rsidRPr="00AB3326">
        <w:rPr>
          <w:rFonts w:ascii="Arial Narrow" w:hAnsi="Arial Narrow"/>
          <w:sz w:val="16"/>
          <w:szCs w:val="16"/>
        </w:rPr>
        <w:t xml:space="preserve"> Výpočet miery vybavenosti konaní a dĺžky konaní pre Slovensko odráža inú metodiku výpočtu akú používajú osta</w:t>
      </w:r>
      <w:r>
        <w:rPr>
          <w:rFonts w:ascii="Arial Narrow" w:hAnsi="Arial Narrow"/>
          <w:sz w:val="16"/>
          <w:szCs w:val="16"/>
        </w:rPr>
        <w:t xml:space="preserve">tné štáty, ktoré sleduje CEPEJ. </w:t>
      </w:r>
      <w:r w:rsidRPr="00AB3326">
        <w:rPr>
          <w:rFonts w:ascii="Arial Narrow" w:hAnsi="Arial Narrow"/>
          <w:sz w:val="16"/>
          <w:szCs w:val="16"/>
        </w:rPr>
        <w:t>Slovenská štatistika vybavených veci započítava až tie veci</w:t>
      </w:r>
      <w:r>
        <w:rPr>
          <w:rFonts w:ascii="Arial Narrow" w:hAnsi="Arial Narrow"/>
          <w:sz w:val="16"/>
          <w:szCs w:val="16"/>
        </w:rPr>
        <w:t xml:space="preserve">, ktoré sú definitívne vybavené – </w:t>
      </w:r>
      <w:r w:rsidRPr="00AB3326">
        <w:rPr>
          <w:rFonts w:ascii="Arial Narrow" w:hAnsi="Arial Narrow"/>
          <w:sz w:val="16"/>
          <w:szCs w:val="16"/>
        </w:rPr>
        <w:t>ak došlo k odvolaniu a potom sa rozhodlo vo veci ale</w:t>
      </w:r>
      <w:r>
        <w:rPr>
          <w:rFonts w:ascii="Arial Narrow" w:hAnsi="Arial Narrow"/>
          <w:sz w:val="16"/>
          <w:szCs w:val="16"/>
        </w:rPr>
        <w:t>bo sa vec vrátila na pôvodný prvo</w:t>
      </w:r>
      <w:r w:rsidRPr="00AB3326">
        <w:rPr>
          <w:rFonts w:ascii="Arial Narrow" w:hAnsi="Arial Narrow"/>
          <w:sz w:val="16"/>
          <w:szCs w:val="16"/>
        </w:rPr>
        <w:t>stupňový súd a vo veci sa definitívne rozhodlo po opätovnom pojednávaní.</w:t>
      </w:r>
      <w:r>
        <w:rPr>
          <w:rFonts w:ascii="Arial Narrow" w:hAnsi="Arial Narrow"/>
          <w:sz w:val="16"/>
          <w:szCs w:val="16"/>
        </w:rPr>
        <w:t xml:space="preserve"> Ostatné krajiny </w:t>
      </w:r>
      <w:r w:rsidRPr="00AB3326">
        <w:rPr>
          <w:rFonts w:ascii="Arial Narrow" w:hAnsi="Arial Narrow"/>
          <w:sz w:val="16"/>
          <w:szCs w:val="16"/>
        </w:rPr>
        <w:t>započítavajú medzi vybavené veci všetky veci, ktor</w:t>
      </w:r>
      <w:r>
        <w:rPr>
          <w:rFonts w:ascii="Arial Narrow" w:hAnsi="Arial Narrow"/>
          <w:sz w:val="16"/>
          <w:szCs w:val="16"/>
        </w:rPr>
        <w:t>é súdnym rozhodnutím odídu z prvo</w:t>
      </w:r>
      <w:r w:rsidRPr="00AB3326">
        <w:rPr>
          <w:rFonts w:ascii="Arial Narrow" w:hAnsi="Arial Narrow"/>
          <w:sz w:val="16"/>
          <w:szCs w:val="16"/>
        </w:rPr>
        <w:t xml:space="preserve">stupňového súdu bez ohľadu na to, či sa rozhodnutie v danej veci zmenilo na inom súde. </w:t>
      </w:r>
    </w:p>
  </w:footnote>
  <w:footnote w:id="49">
    <w:p w14:paraId="797C8321" w14:textId="7BE6F99E" w:rsidR="00C068B2" w:rsidRPr="00EC15E5" w:rsidRDefault="00C068B2">
      <w:pPr>
        <w:pStyle w:val="Textpoznmkypodiarou"/>
        <w:rPr>
          <w:rFonts w:ascii="Arial Narrow" w:hAnsi="Arial Narrow"/>
          <w:sz w:val="16"/>
          <w:szCs w:val="16"/>
        </w:rPr>
      </w:pPr>
      <w:r w:rsidRPr="00EC15E5">
        <w:rPr>
          <w:rStyle w:val="Odkaznapoznmkupodiarou"/>
          <w:rFonts w:ascii="Arial Narrow" w:hAnsi="Arial Narrow"/>
          <w:sz w:val="16"/>
          <w:szCs w:val="16"/>
        </w:rPr>
        <w:footnoteRef/>
      </w:r>
      <w:r w:rsidR="00D87145">
        <w:t xml:space="preserve"> </w:t>
      </w:r>
      <w:hyperlink r:id="rId21" w:history="1">
        <w:r w:rsidRPr="00EC15E5">
          <w:rPr>
            <w:rStyle w:val="Hypertextovprepojenie"/>
            <w:rFonts w:ascii="Arial Narrow" w:hAnsi="Arial Narrow" w:cs="Arial"/>
            <w:color w:val="2C9BDC"/>
            <w:sz w:val="16"/>
            <w:szCs w:val="16"/>
          </w:rPr>
          <w:t>https://www.coe.int/t/DGHL/cooperation/cepej/evaluation/2016/STAT/default.asp</w:t>
        </w:r>
      </w:hyperlink>
    </w:p>
  </w:footnote>
  <w:footnote w:id="50">
    <w:p w14:paraId="38BF7C14" w14:textId="77777777" w:rsidR="00C068B2" w:rsidRPr="00EC15E5" w:rsidRDefault="00C068B2">
      <w:pPr>
        <w:pStyle w:val="Textpoznmkypodiarou"/>
        <w:rPr>
          <w:color w:val="2C9BDC"/>
        </w:rPr>
      </w:pPr>
      <w:r w:rsidRPr="00EC15E5">
        <w:rPr>
          <w:rStyle w:val="Odkaznapoznmkupodiarou"/>
          <w:rFonts w:ascii="Arial Narrow" w:hAnsi="Arial Narrow"/>
          <w:sz w:val="16"/>
          <w:szCs w:val="16"/>
        </w:rPr>
        <w:footnoteRef/>
      </w:r>
      <w:r w:rsidRPr="00EC15E5">
        <w:rPr>
          <w:rFonts w:ascii="Arial Narrow" w:hAnsi="Arial Narrow"/>
          <w:sz w:val="16"/>
          <w:szCs w:val="16"/>
        </w:rPr>
        <w:t xml:space="preserve"> </w:t>
      </w:r>
      <w:hyperlink r:id="rId22" w:history="1">
        <w:r w:rsidRPr="00EC15E5">
          <w:rPr>
            <w:rStyle w:val="Hypertextovprepojenie"/>
            <w:rFonts w:ascii="Arial Narrow" w:hAnsi="Arial Narrow" w:cs="Arial"/>
            <w:color w:val="2C9BDC"/>
            <w:sz w:val="16"/>
            <w:szCs w:val="16"/>
          </w:rPr>
          <w:t>https://www.coe.int/t/DGHL/cooperation/cepej/evaluation/2016/STAT/default.asp</w:t>
        </w:r>
      </w:hyperlink>
    </w:p>
  </w:footnote>
  <w:footnote w:id="51">
    <w:p w14:paraId="2507E51B" w14:textId="77777777" w:rsidR="00C068B2" w:rsidRPr="00AB3326" w:rsidRDefault="00C068B2" w:rsidP="007D2366">
      <w:pPr>
        <w:pStyle w:val="Textpoznmkypodiarou"/>
        <w:jc w:val="both"/>
        <w:rPr>
          <w:rFonts w:ascii="Arial Narrow" w:hAnsi="Arial Narrow"/>
          <w:sz w:val="16"/>
          <w:szCs w:val="16"/>
        </w:rPr>
      </w:pPr>
      <w:r w:rsidRPr="00AB3326">
        <w:rPr>
          <w:rStyle w:val="Odkaznapoznmkupodiarou"/>
          <w:rFonts w:ascii="Arial Narrow" w:hAnsi="Arial Narrow"/>
          <w:sz w:val="16"/>
          <w:szCs w:val="16"/>
        </w:rPr>
        <w:footnoteRef/>
      </w:r>
      <w:r w:rsidRPr="00AB3326">
        <w:rPr>
          <w:rFonts w:ascii="Arial Narrow" w:hAnsi="Arial Narrow"/>
          <w:sz w:val="16"/>
          <w:szCs w:val="16"/>
        </w:rPr>
        <w:t xml:space="preserve"> </w:t>
      </w:r>
      <w:hyperlink r:id="rId23" w:history="1">
        <w:r w:rsidRPr="00AB3326">
          <w:rPr>
            <w:rStyle w:val="Hypertextovprepojenie"/>
            <w:rFonts w:ascii="Arial Narrow" w:hAnsi="Arial Narrow"/>
            <w:color w:val="2C9ADC"/>
            <w:sz w:val="16"/>
            <w:szCs w:val="16"/>
          </w:rPr>
          <w:t xml:space="preserve">International </w:t>
        </w:r>
        <w:proofErr w:type="spellStart"/>
        <w:r w:rsidRPr="00AB3326">
          <w:rPr>
            <w:rStyle w:val="Hypertextovprepojenie"/>
            <w:rFonts w:ascii="Arial Narrow" w:hAnsi="Arial Narrow"/>
            <w:color w:val="2C9ADC"/>
            <w:sz w:val="16"/>
            <w:szCs w:val="16"/>
          </w:rPr>
          <w:t>Monetary</w:t>
        </w:r>
        <w:proofErr w:type="spellEnd"/>
        <w:r w:rsidRPr="00AB3326">
          <w:rPr>
            <w:rStyle w:val="Hypertextovprepojenie"/>
            <w:rFonts w:ascii="Arial Narrow" w:hAnsi="Arial Narrow"/>
            <w:color w:val="2C9ADC"/>
            <w:sz w:val="16"/>
            <w:szCs w:val="16"/>
          </w:rPr>
          <w:t xml:space="preserve"> </w:t>
        </w:r>
        <w:proofErr w:type="spellStart"/>
        <w:r w:rsidRPr="00AB3326">
          <w:rPr>
            <w:rStyle w:val="Hypertextovprepojenie"/>
            <w:rFonts w:ascii="Arial Narrow" w:hAnsi="Arial Narrow"/>
            <w:color w:val="2C9ADC"/>
            <w:sz w:val="16"/>
            <w:szCs w:val="16"/>
          </w:rPr>
          <w:t>Fund</w:t>
        </w:r>
        <w:proofErr w:type="spellEnd"/>
        <w:r w:rsidRPr="00AB3326">
          <w:rPr>
            <w:rStyle w:val="Hypertextovprepojenie"/>
            <w:rFonts w:ascii="Arial Narrow" w:hAnsi="Arial Narrow"/>
            <w:color w:val="2C9ADC"/>
            <w:sz w:val="16"/>
            <w:szCs w:val="16"/>
          </w:rPr>
          <w:t xml:space="preserve"> (2016): </w:t>
        </w:r>
        <w:proofErr w:type="spellStart"/>
        <w:r w:rsidRPr="00AB3326">
          <w:rPr>
            <w:rStyle w:val="Hypertextovprepojenie"/>
            <w:rFonts w:ascii="Arial Narrow" w:hAnsi="Arial Narrow"/>
            <w:color w:val="2C9ADC"/>
            <w:sz w:val="16"/>
            <w:szCs w:val="16"/>
          </w:rPr>
          <w:t>Corruption</w:t>
        </w:r>
        <w:proofErr w:type="spellEnd"/>
        <w:r w:rsidRPr="00AB3326">
          <w:rPr>
            <w:rStyle w:val="Hypertextovprepojenie"/>
            <w:rFonts w:ascii="Arial Narrow" w:hAnsi="Arial Narrow"/>
            <w:color w:val="2C9ADC"/>
            <w:sz w:val="16"/>
            <w:szCs w:val="16"/>
          </w:rPr>
          <w:t xml:space="preserve">: </w:t>
        </w:r>
        <w:proofErr w:type="spellStart"/>
        <w:r w:rsidRPr="00AB3326">
          <w:rPr>
            <w:rStyle w:val="Hypertextovprepojenie"/>
            <w:rFonts w:ascii="Arial Narrow" w:hAnsi="Arial Narrow"/>
            <w:color w:val="2C9ADC"/>
            <w:sz w:val="16"/>
            <w:szCs w:val="16"/>
          </w:rPr>
          <w:t>Costs</w:t>
        </w:r>
        <w:proofErr w:type="spellEnd"/>
        <w:r w:rsidRPr="00AB3326">
          <w:rPr>
            <w:rStyle w:val="Hypertextovprepojenie"/>
            <w:rFonts w:ascii="Arial Narrow" w:hAnsi="Arial Narrow"/>
            <w:color w:val="2C9ADC"/>
            <w:sz w:val="16"/>
            <w:szCs w:val="16"/>
          </w:rPr>
          <w:t xml:space="preserve"> and </w:t>
        </w:r>
        <w:proofErr w:type="spellStart"/>
        <w:r w:rsidRPr="00AB3326">
          <w:rPr>
            <w:rStyle w:val="Hypertextovprepojenie"/>
            <w:rFonts w:ascii="Arial Narrow" w:hAnsi="Arial Narrow"/>
            <w:color w:val="2C9ADC"/>
            <w:sz w:val="16"/>
            <w:szCs w:val="16"/>
          </w:rPr>
          <w:t>Minitigating</w:t>
        </w:r>
        <w:proofErr w:type="spellEnd"/>
        <w:r w:rsidRPr="00AB3326">
          <w:rPr>
            <w:rStyle w:val="Hypertextovprepojenie"/>
            <w:rFonts w:ascii="Arial Narrow" w:hAnsi="Arial Narrow"/>
            <w:color w:val="2C9ADC"/>
            <w:sz w:val="16"/>
            <w:szCs w:val="16"/>
          </w:rPr>
          <w:t xml:space="preserve"> </w:t>
        </w:r>
        <w:proofErr w:type="spellStart"/>
        <w:r w:rsidRPr="00AB3326">
          <w:rPr>
            <w:rStyle w:val="Hypertextovprepojenie"/>
            <w:rFonts w:ascii="Arial Narrow" w:hAnsi="Arial Narrow"/>
            <w:color w:val="2C9ADC"/>
            <w:sz w:val="16"/>
            <w:szCs w:val="16"/>
          </w:rPr>
          <w:t>Strategies</w:t>
        </w:r>
        <w:proofErr w:type="spellEnd"/>
      </w:hyperlink>
      <w:r w:rsidRPr="00056629">
        <w:rPr>
          <w:rStyle w:val="Hypertextovprepojenie"/>
          <w:rFonts w:ascii="Arial Narrow" w:hAnsi="Arial Narrow"/>
          <w:color w:val="000000" w:themeColor="text1"/>
          <w:sz w:val="16"/>
          <w:szCs w:val="16"/>
          <w:u w:val="none"/>
        </w:rPr>
        <w:t>.</w:t>
      </w:r>
    </w:p>
  </w:footnote>
  <w:footnote w:id="52">
    <w:p w14:paraId="2DB4E064" w14:textId="261E8898" w:rsidR="00C068B2" w:rsidRPr="00533004" w:rsidRDefault="00C068B2">
      <w:pPr>
        <w:pStyle w:val="Textpoznmkypodiarou"/>
        <w:rPr>
          <w:rFonts w:ascii="Arial Narrow" w:hAnsi="Arial Narrow"/>
        </w:rPr>
      </w:pPr>
      <w:r w:rsidRPr="00533004">
        <w:rPr>
          <w:rStyle w:val="Odkaznapoznmkupodiarou"/>
          <w:rFonts w:ascii="Arial Narrow" w:hAnsi="Arial Narrow"/>
          <w:sz w:val="16"/>
        </w:rPr>
        <w:footnoteRef/>
      </w:r>
      <w:r w:rsidRPr="00533004">
        <w:rPr>
          <w:rFonts w:ascii="Arial Narrow" w:hAnsi="Arial Narrow"/>
          <w:sz w:val="16"/>
        </w:rPr>
        <w:t xml:space="preserve"> </w:t>
      </w:r>
      <w:hyperlink r:id="rId24" w:history="1">
        <w:r w:rsidRPr="00533004">
          <w:rPr>
            <w:rStyle w:val="Hypertextovprepojenie"/>
            <w:rFonts w:ascii="Arial Narrow" w:hAnsi="Arial Narrow"/>
            <w:color w:val="2C9ADC"/>
            <w:sz w:val="16"/>
          </w:rPr>
          <w:t>SRSP (</w:t>
        </w:r>
        <w:proofErr w:type="spellStart"/>
        <w:r w:rsidRPr="00533004">
          <w:rPr>
            <w:rStyle w:val="Hypertextovprepojenie"/>
            <w:rFonts w:ascii="Arial Narrow" w:hAnsi="Arial Narrow"/>
            <w:color w:val="2C9ADC"/>
            <w:sz w:val="16"/>
          </w:rPr>
          <w:t>Structural</w:t>
        </w:r>
        <w:proofErr w:type="spellEnd"/>
        <w:r w:rsidRPr="00533004">
          <w:rPr>
            <w:rStyle w:val="Hypertextovprepojenie"/>
            <w:rFonts w:ascii="Arial Narrow" w:hAnsi="Arial Narrow"/>
            <w:color w:val="2C9ADC"/>
            <w:sz w:val="16"/>
          </w:rPr>
          <w:t xml:space="preserve"> </w:t>
        </w:r>
        <w:proofErr w:type="spellStart"/>
        <w:r w:rsidRPr="00533004">
          <w:rPr>
            <w:rStyle w:val="Hypertextovprepojenie"/>
            <w:rFonts w:ascii="Arial Narrow" w:hAnsi="Arial Narrow"/>
            <w:color w:val="2C9ADC"/>
            <w:sz w:val="16"/>
          </w:rPr>
          <w:t>Reform</w:t>
        </w:r>
        <w:proofErr w:type="spellEnd"/>
        <w:r w:rsidRPr="00533004">
          <w:rPr>
            <w:rStyle w:val="Hypertextovprepojenie"/>
            <w:rFonts w:ascii="Arial Narrow" w:hAnsi="Arial Narrow"/>
            <w:color w:val="2C9ADC"/>
            <w:sz w:val="16"/>
          </w:rPr>
          <w:t xml:space="preserve"> </w:t>
        </w:r>
        <w:proofErr w:type="spellStart"/>
        <w:r w:rsidRPr="00533004">
          <w:rPr>
            <w:rStyle w:val="Hypertextovprepojenie"/>
            <w:rFonts w:ascii="Arial Narrow" w:hAnsi="Arial Narrow"/>
            <w:color w:val="2C9ADC"/>
            <w:sz w:val="16"/>
          </w:rPr>
          <w:t>Support</w:t>
        </w:r>
        <w:proofErr w:type="spellEnd"/>
        <w:r w:rsidRPr="00533004">
          <w:rPr>
            <w:rStyle w:val="Hypertextovprepojenie"/>
            <w:rFonts w:ascii="Arial Narrow" w:hAnsi="Arial Narrow"/>
            <w:color w:val="2C9ADC"/>
            <w:sz w:val="16"/>
          </w:rPr>
          <w:t xml:space="preserve"> </w:t>
        </w:r>
        <w:proofErr w:type="spellStart"/>
        <w:r w:rsidRPr="00533004">
          <w:rPr>
            <w:rStyle w:val="Hypertextovprepojenie"/>
            <w:rFonts w:ascii="Arial Narrow" w:hAnsi="Arial Narrow"/>
            <w:color w:val="2C9ADC"/>
            <w:sz w:val="16"/>
          </w:rPr>
          <w:t>Programme</w:t>
        </w:r>
        <w:proofErr w:type="spellEnd"/>
        <w:r w:rsidRPr="00533004">
          <w:rPr>
            <w:rStyle w:val="Hypertextovprepojenie"/>
            <w:rFonts w:ascii="Arial Narrow" w:hAnsi="Arial Narrow"/>
            <w:color w:val="2C9ADC"/>
            <w:sz w:val="16"/>
          </w:rPr>
          <w:t>)</w:t>
        </w:r>
      </w:hyperlink>
    </w:p>
  </w:footnote>
  <w:footnote w:id="53">
    <w:p w14:paraId="50EE395E" w14:textId="77777777" w:rsidR="00C068B2" w:rsidRPr="00EC15E5" w:rsidRDefault="00C068B2" w:rsidP="00EE7207">
      <w:pPr>
        <w:pStyle w:val="Textpoznmkypodiarou"/>
        <w:pBdr>
          <w:top w:val="dotted" w:sz="4" w:space="1" w:color="auto"/>
          <w:left w:val="dotted" w:sz="4" w:space="4" w:color="auto"/>
          <w:bottom w:val="dotted" w:sz="4" w:space="1" w:color="auto"/>
          <w:right w:val="dotted" w:sz="4" w:space="4" w:color="auto"/>
        </w:pBdr>
        <w:rPr>
          <w:rFonts w:ascii="Arial Narrow" w:hAnsi="Arial Narrow"/>
          <w:sz w:val="16"/>
          <w:szCs w:val="16"/>
        </w:rPr>
      </w:pPr>
      <w:r w:rsidRPr="00EC15E5">
        <w:rPr>
          <w:rStyle w:val="Odkaznapoznmkupodiarou"/>
          <w:rFonts w:ascii="Arial Narrow" w:hAnsi="Arial Narrow"/>
          <w:sz w:val="16"/>
          <w:szCs w:val="16"/>
        </w:rPr>
        <w:footnoteRef/>
      </w:r>
      <w:r w:rsidRPr="00EC15E5">
        <w:rPr>
          <w:rFonts w:ascii="Arial Narrow" w:hAnsi="Arial Narrow"/>
          <w:sz w:val="16"/>
          <w:szCs w:val="16"/>
        </w:rPr>
        <w:t xml:space="preserve"> </w:t>
      </w:r>
      <w:hyperlink r:id="rId25" w:history="1">
        <w:r w:rsidRPr="00EC15E5">
          <w:rPr>
            <w:rStyle w:val="Hypertextovprepojenie"/>
            <w:rFonts w:ascii="Arial Narrow" w:hAnsi="Arial Narrow"/>
            <w:color w:val="2C9BDC"/>
            <w:sz w:val="16"/>
            <w:szCs w:val="16"/>
          </w:rPr>
          <w:t>https://www.justice.gov.sk/Stranky/Ministerstvo/Sprava-k-stavu-justicie.aspx</w:t>
        </w:r>
      </w:hyperlink>
    </w:p>
  </w:footnote>
  <w:footnote w:id="54">
    <w:p w14:paraId="33515E13" w14:textId="77777777" w:rsidR="00C068B2" w:rsidRPr="008E0FF3" w:rsidRDefault="00C068B2" w:rsidP="007D2366">
      <w:pPr>
        <w:pStyle w:val="Textpoznmkypodiarou"/>
        <w:rPr>
          <w:rFonts w:ascii="Arial Narrow" w:hAnsi="Arial Narrow"/>
          <w:sz w:val="16"/>
          <w:szCs w:val="16"/>
        </w:rPr>
      </w:pPr>
      <w:r w:rsidRPr="008E0FF3">
        <w:rPr>
          <w:rStyle w:val="Odkaznapoznmkupodiarou"/>
          <w:rFonts w:ascii="Arial Narrow" w:hAnsi="Arial Narrow"/>
          <w:sz w:val="16"/>
          <w:szCs w:val="16"/>
        </w:rPr>
        <w:footnoteRef/>
      </w:r>
      <w:r w:rsidRPr="008E0FF3">
        <w:rPr>
          <w:rFonts w:ascii="Arial Narrow" w:hAnsi="Arial Narrow"/>
          <w:sz w:val="16"/>
          <w:szCs w:val="16"/>
        </w:rPr>
        <w:t xml:space="preserve"> </w:t>
      </w:r>
      <w:proofErr w:type="spellStart"/>
      <w:r w:rsidRPr="008E0FF3">
        <w:rPr>
          <w:rFonts w:ascii="Arial Narrow" w:hAnsi="Arial Narrow" w:cs="Arial"/>
          <w:sz w:val="16"/>
          <w:szCs w:val="16"/>
        </w:rPr>
        <w:t>The</w:t>
      </w:r>
      <w:proofErr w:type="spellEnd"/>
      <w:r w:rsidRPr="008E0FF3">
        <w:rPr>
          <w:rFonts w:ascii="Arial Narrow" w:hAnsi="Arial Narrow" w:cs="Arial"/>
          <w:sz w:val="16"/>
          <w:szCs w:val="16"/>
        </w:rPr>
        <w:t xml:space="preserve"> </w:t>
      </w:r>
      <w:proofErr w:type="spellStart"/>
      <w:r w:rsidRPr="008E0FF3">
        <w:rPr>
          <w:rFonts w:ascii="Arial Narrow" w:hAnsi="Arial Narrow" w:cs="Arial"/>
          <w:sz w:val="16"/>
          <w:szCs w:val="16"/>
        </w:rPr>
        <w:t>European</w:t>
      </w:r>
      <w:proofErr w:type="spellEnd"/>
      <w:r w:rsidRPr="008E0FF3">
        <w:rPr>
          <w:rFonts w:ascii="Arial Narrow" w:hAnsi="Arial Narrow" w:cs="Arial"/>
          <w:sz w:val="16"/>
          <w:szCs w:val="16"/>
        </w:rPr>
        <w:t xml:space="preserve"> </w:t>
      </w:r>
      <w:proofErr w:type="spellStart"/>
      <w:r w:rsidRPr="008E0FF3">
        <w:rPr>
          <w:rFonts w:ascii="Arial Narrow" w:hAnsi="Arial Narrow" w:cs="Arial"/>
          <w:sz w:val="16"/>
          <w:szCs w:val="16"/>
        </w:rPr>
        <w:t>Commission</w:t>
      </w:r>
      <w:proofErr w:type="spellEnd"/>
      <w:r w:rsidRPr="008E0FF3">
        <w:rPr>
          <w:rFonts w:ascii="Arial Narrow" w:hAnsi="Arial Narrow" w:cs="Arial"/>
          <w:sz w:val="16"/>
          <w:szCs w:val="16"/>
        </w:rPr>
        <w:t xml:space="preserve"> </w:t>
      </w:r>
      <w:proofErr w:type="spellStart"/>
      <w:r w:rsidRPr="008E0FF3">
        <w:rPr>
          <w:rFonts w:ascii="Arial Narrow" w:hAnsi="Arial Narrow" w:cs="Arial"/>
          <w:sz w:val="16"/>
          <w:szCs w:val="16"/>
        </w:rPr>
        <w:t>for</w:t>
      </w:r>
      <w:proofErr w:type="spellEnd"/>
      <w:r w:rsidRPr="008E0FF3">
        <w:rPr>
          <w:rFonts w:ascii="Arial Narrow" w:hAnsi="Arial Narrow" w:cs="Arial"/>
          <w:sz w:val="16"/>
          <w:szCs w:val="16"/>
        </w:rPr>
        <w:t xml:space="preserve"> </w:t>
      </w:r>
      <w:proofErr w:type="spellStart"/>
      <w:r w:rsidRPr="008E0FF3">
        <w:rPr>
          <w:rFonts w:ascii="Arial Narrow" w:hAnsi="Arial Narrow" w:cs="Arial"/>
          <w:sz w:val="16"/>
          <w:szCs w:val="16"/>
        </w:rPr>
        <w:t>the</w:t>
      </w:r>
      <w:proofErr w:type="spellEnd"/>
      <w:r w:rsidRPr="008E0FF3">
        <w:rPr>
          <w:rFonts w:ascii="Arial Narrow" w:hAnsi="Arial Narrow" w:cs="Arial"/>
          <w:sz w:val="16"/>
          <w:szCs w:val="16"/>
        </w:rPr>
        <w:t xml:space="preserve"> </w:t>
      </w:r>
      <w:proofErr w:type="spellStart"/>
      <w:r w:rsidRPr="008E0FF3">
        <w:rPr>
          <w:rFonts w:ascii="Arial Narrow" w:hAnsi="Arial Narrow" w:cs="Arial"/>
          <w:sz w:val="16"/>
          <w:szCs w:val="16"/>
        </w:rPr>
        <w:t>Efficiency</w:t>
      </w:r>
      <w:proofErr w:type="spellEnd"/>
      <w:r w:rsidRPr="008E0FF3">
        <w:rPr>
          <w:rFonts w:ascii="Arial Narrow" w:hAnsi="Arial Narrow" w:cs="Arial"/>
          <w:sz w:val="16"/>
          <w:szCs w:val="16"/>
        </w:rPr>
        <w:t xml:space="preserve"> of </w:t>
      </w:r>
      <w:proofErr w:type="spellStart"/>
      <w:r w:rsidRPr="008E0FF3">
        <w:rPr>
          <w:rFonts w:ascii="Arial Narrow" w:hAnsi="Arial Narrow" w:cs="Arial"/>
          <w:sz w:val="16"/>
          <w:szCs w:val="16"/>
        </w:rPr>
        <w:t>Justice</w:t>
      </w:r>
      <w:proofErr w:type="spellEnd"/>
      <w:r w:rsidRPr="008E0FF3">
        <w:rPr>
          <w:rFonts w:ascii="Arial Narrow" w:hAnsi="Arial Narrow" w:cs="Arial"/>
          <w:sz w:val="16"/>
          <w:szCs w:val="16"/>
        </w:rPr>
        <w:t>.</w:t>
      </w:r>
      <w:r>
        <w:rPr>
          <w:rFonts w:ascii="Arial Narrow" w:hAnsi="Arial Narrow" w:cs="Arial"/>
          <w:sz w:val="16"/>
          <w:szCs w:val="16"/>
        </w:rPr>
        <w:t xml:space="preserve"> Minulý rok prebehol audit na 12 súdoch.</w:t>
      </w:r>
    </w:p>
  </w:footnote>
  <w:footnote w:id="55">
    <w:p w14:paraId="5392CD20" w14:textId="77777777" w:rsidR="00C068B2" w:rsidRPr="0094439D" w:rsidRDefault="00C068B2" w:rsidP="001C0473">
      <w:pPr>
        <w:pStyle w:val="Textpoznmkypodiarou"/>
        <w:jc w:val="both"/>
        <w:rPr>
          <w:rFonts w:ascii="Arial Narrow" w:hAnsi="Arial Narrow"/>
          <w:sz w:val="16"/>
          <w:szCs w:val="16"/>
        </w:rPr>
      </w:pPr>
      <w:r w:rsidRPr="0094439D">
        <w:rPr>
          <w:rStyle w:val="Odkaznapoznmkupodiarou"/>
          <w:rFonts w:ascii="Arial Narrow" w:hAnsi="Arial Narrow"/>
          <w:sz w:val="16"/>
          <w:szCs w:val="16"/>
        </w:rPr>
        <w:footnoteRef/>
      </w:r>
      <w:r w:rsidRPr="0094439D">
        <w:rPr>
          <w:rFonts w:ascii="Arial Narrow" w:hAnsi="Arial Narrow"/>
          <w:sz w:val="16"/>
          <w:szCs w:val="16"/>
        </w:rPr>
        <w:t xml:space="preserve"> Všetky plánované opatrenia sú </w:t>
      </w:r>
      <w:r>
        <w:rPr>
          <w:rFonts w:ascii="Arial Narrow" w:hAnsi="Arial Narrow"/>
          <w:sz w:val="16"/>
          <w:szCs w:val="16"/>
        </w:rPr>
        <w:t xml:space="preserve">dostupné </w:t>
      </w:r>
      <w:hyperlink r:id="rId26" w:history="1">
        <w:r w:rsidRPr="009D1400">
          <w:rPr>
            <w:rStyle w:val="Hypertextovprepojenie"/>
            <w:rFonts w:ascii="Arial Narrow" w:hAnsi="Arial Narrow"/>
            <w:color w:val="2C9ADC"/>
            <w:sz w:val="16"/>
            <w:szCs w:val="16"/>
          </w:rPr>
          <w:t>tu</w:t>
        </w:r>
      </w:hyperlink>
      <w:r>
        <w:rPr>
          <w:rFonts w:ascii="Arial Narrow" w:hAnsi="Arial Narrow"/>
          <w:sz w:val="16"/>
          <w:szCs w:val="16"/>
        </w:rPr>
        <w:t>.</w:t>
      </w:r>
    </w:p>
  </w:footnote>
  <w:footnote w:id="56">
    <w:p w14:paraId="41D436BE" w14:textId="75315041" w:rsidR="00C068B2" w:rsidRDefault="00C068B2">
      <w:pPr>
        <w:pStyle w:val="Textpoznmkypodiarou"/>
      </w:pPr>
      <w:r w:rsidRPr="00B14433">
        <w:rPr>
          <w:rStyle w:val="Odkaznapoznmkupodiarou"/>
          <w:rFonts w:ascii="Arial Narrow" w:hAnsi="Arial Narrow"/>
          <w:sz w:val="16"/>
          <w:szCs w:val="16"/>
        </w:rPr>
        <w:footnoteRef/>
      </w:r>
      <w:r w:rsidRPr="00B14433">
        <w:rPr>
          <w:rStyle w:val="Odkaznapoznmkupodiarou"/>
          <w:rFonts w:ascii="Arial Narrow" w:hAnsi="Arial Narrow"/>
          <w:sz w:val="16"/>
          <w:szCs w:val="16"/>
        </w:rPr>
        <w:t xml:space="preserve"> </w:t>
      </w:r>
      <w:r>
        <w:t xml:space="preserve"> </w:t>
      </w:r>
      <w:proofErr w:type="spellStart"/>
      <w:r w:rsidRPr="00EC15E5">
        <w:rPr>
          <w:rFonts w:ascii="Arial Narrow" w:hAnsi="Arial Narrow" w:cs="Arial"/>
          <w:i/>
          <w:sz w:val="16"/>
          <w:szCs w:val="16"/>
        </w:rPr>
        <w:t>one</w:t>
      </w:r>
      <w:proofErr w:type="spellEnd"/>
      <w:r w:rsidRPr="00EC15E5">
        <w:rPr>
          <w:rFonts w:ascii="Arial Narrow" w:hAnsi="Arial Narrow" w:cs="Arial"/>
          <w:i/>
          <w:sz w:val="16"/>
          <w:szCs w:val="16"/>
        </w:rPr>
        <w:t xml:space="preserve">-in, </w:t>
      </w:r>
      <w:proofErr w:type="spellStart"/>
      <w:r w:rsidRPr="00EC15E5">
        <w:rPr>
          <w:rFonts w:ascii="Arial Narrow" w:hAnsi="Arial Narrow" w:cs="Arial"/>
          <w:i/>
          <w:sz w:val="16"/>
          <w:szCs w:val="16"/>
        </w:rPr>
        <w:t>one-out</w:t>
      </w:r>
      <w:proofErr w:type="spellEnd"/>
      <w:r w:rsidRPr="00B14433">
        <w:rPr>
          <w:rFonts w:ascii="Arial Narrow" w:hAnsi="Arial Narrow" w:cs="Arial"/>
          <w:sz w:val="16"/>
          <w:szCs w:val="16"/>
        </w:rPr>
        <w:t xml:space="preserve">  je mechanizmus znižovani</w:t>
      </w:r>
      <w:r w:rsidR="00DA49BF">
        <w:rPr>
          <w:rFonts w:ascii="Arial Narrow" w:hAnsi="Arial Narrow" w:cs="Arial"/>
          <w:sz w:val="16"/>
          <w:szCs w:val="16"/>
        </w:rPr>
        <w:t xml:space="preserve">a regulácií, ktorý pri prijatí </w:t>
      </w:r>
      <w:r w:rsidRPr="00B14433">
        <w:rPr>
          <w:rFonts w:ascii="Arial Narrow" w:hAnsi="Arial Narrow" w:cs="Arial"/>
          <w:sz w:val="16"/>
          <w:szCs w:val="16"/>
        </w:rPr>
        <w:t>jednej regulácie s dopadom na podnikateľské prostredie vyžaduje zároveň odstrániť staršiu</w:t>
      </w:r>
      <w:r>
        <w:rPr>
          <w:rFonts w:ascii="Arial Narrow" w:hAnsi="Arial Narrow" w:cs="Arial"/>
          <w:sz w:val="16"/>
          <w:szCs w:val="16"/>
        </w:rPr>
        <w:t xml:space="preserve"> reguláciu</w:t>
      </w:r>
      <w:r w:rsidRPr="00B14433">
        <w:rPr>
          <w:rFonts w:ascii="Arial Narrow" w:hAnsi="Arial Narrow" w:cs="Arial"/>
          <w:sz w:val="16"/>
          <w:szCs w:val="16"/>
        </w:rPr>
        <w:t xml:space="preserve"> v rovnakom rozsahu dopadov na podnikateľské prostredie</w:t>
      </w:r>
      <w:r w:rsidRPr="007E0B08">
        <w:t xml:space="preserve"> </w:t>
      </w:r>
    </w:p>
  </w:footnote>
  <w:footnote w:id="57">
    <w:p w14:paraId="0544E301" w14:textId="77777777" w:rsidR="00C068B2" w:rsidRPr="00AB3326" w:rsidRDefault="00C068B2" w:rsidP="00E550DB">
      <w:pPr>
        <w:pStyle w:val="Textpoznmkypodiarou"/>
        <w:jc w:val="both"/>
        <w:rPr>
          <w:rFonts w:ascii="Arial Narrow" w:hAnsi="Arial Narrow"/>
          <w:sz w:val="16"/>
          <w:szCs w:val="16"/>
        </w:rPr>
      </w:pPr>
      <w:r w:rsidRPr="00AB3326">
        <w:rPr>
          <w:rStyle w:val="Odkaznapoznmkupodiarou"/>
          <w:rFonts w:ascii="Arial Narrow" w:hAnsi="Arial Narrow"/>
          <w:sz w:val="16"/>
          <w:szCs w:val="16"/>
        </w:rPr>
        <w:footnoteRef/>
      </w:r>
      <w:r w:rsidRPr="00AB3326">
        <w:rPr>
          <w:rFonts w:ascii="Arial Narrow" w:hAnsi="Arial Narrow"/>
          <w:sz w:val="16"/>
          <w:szCs w:val="16"/>
        </w:rPr>
        <w:t xml:space="preserve"> </w:t>
      </w:r>
      <w:r w:rsidRPr="00AB3326">
        <w:rPr>
          <w:rFonts w:ascii="Arial Narrow" w:eastAsia="Times New Roman" w:hAnsi="Arial Narrow" w:cs="Times New Roman"/>
          <w:bCs/>
          <w:color w:val="000000"/>
          <w:sz w:val="16"/>
          <w:szCs w:val="16"/>
          <w:lang w:eastAsia="sk-SK"/>
        </w:rPr>
        <w:t>Do roku 2015 výdavky na železničnú osobnú dopravu zahŕňajú len prostriedky MDV SR na základe Zmluvy o dopravných službách vo verejnom záujme a na základe zmlúv o nenávratnom finančnom príspevku z</w:t>
      </w:r>
      <w:r>
        <w:rPr>
          <w:rFonts w:ascii="Arial Narrow" w:eastAsia="Times New Roman" w:hAnsi="Arial Narrow" w:cs="Times New Roman"/>
          <w:bCs/>
          <w:color w:val="000000"/>
          <w:sz w:val="16"/>
          <w:szCs w:val="16"/>
          <w:lang w:eastAsia="sk-SK"/>
        </w:rPr>
        <w:t xml:space="preserve"> OP </w:t>
      </w:r>
      <w:r w:rsidRPr="00AB3326">
        <w:rPr>
          <w:rFonts w:ascii="Arial Narrow" w:eastAsia="Times New Roman" w:hAnsi="Arial Narrow" w:cs="Times New Roman"/>
          <w:bCs/>
          <w:color w:val="000000"/>
          <w:sz w:val="16"/>
          <w:szCs w:val="16"/>
          <w:lang w:eastAsia="sk-SK"/>
        </w:rPr>
        <w:t xml:space="preserve">Doprava. Od roku 2016 bola ZSSK zaradená </w:t>
      </w:r>
      <w:proofErr w:type="spellStart"/>
      <w:r w:rsidRPr="00AB3326">
        <w:rPr>
          <w:rFonts w:ascii="Arial Narrow" w:eastAsia="Times New Roman" w:hAnsi="Arial Narrow" w:cs="Times New Roman"/>
          <w:bCs/>
          <w:color w:val="000000"/>
          <w:sz w:val="16"/>
          <w:szCs w:val="16"/>
          <w:lang w:eastAsia="sk-SK"/>
        </w:rPr>
        <w:t>Eurostatom</w:t>
      </w:r>
      <w:proofErr w:type="spellEnd"/>
      <w:r w:rsidRPr="00AB3326">
        <w:rPr>
          <w:rFonts w:ascii="Arial Narrow" w:eastAsia="Times New Roman" w:hAnsi="Arial Narrow" w:cs="Times New Roman"/>
          <w:bCs/>
          <w:color w:val="000000"/>
          <w:sz w:val="16"/>
          <w:szCs w:val="16"/>
          <w:lang w:eastAsia="sk-SK"/>
        </w:rPr>
        <w:t xml:space="preserve"> do sektora verejnej správy. Skutočnosť za rok</w:t>
      </w:r>
      <w:r>
        <w:rPr>
          <w:rFonts w:ascii="Arial Narrow" w:eastAsia="Times New Roman" w:hAnsi="Arial Narrow" w:cs="Times New Roman"/>
          <w:bCs/>
          <w:color w:val="000000"/>
          <w:sz w:val="16"/>
          <w:szCs w:val="16"/>
          <w:lang w:eastAsia="sk-SK"/>
        </w:rPr>
        <w:t>y 2016 a</w:t>
      </w:r>
      <w:r w:rsidRPr="00AB3326">
        <w:rPr>
          <w:rFonts w:ascii="Arial Narrow" w:eastAsia="Times New Roman" w:hAnsi="Arial Narrow" w:cs="Times New Roman"/>
          <w:bCs/>
          <w:color w:val="000000"/>
          <w:sz w:val="16"/>
          <w:szCs w:val="16"/>
          <w:lang w:eastAsia="sk-SK"/>
        </w:rPr>
        <w:t xml:space="preserve"> 201</w:t>
      </w:r>
      <w:r>
        <w:rPr>
          <w:rFonts w:ascii="Arial Narrow" w:eastAsia="Times New Roman" w:hAnsi="Arial Narrow" w:cs="Times New Roman"/>
          <w:bCs/>
          <w:color w:val="000000"/>
          <w:sz w:val="16"/>
          <w:szCs w:val="16"/>
          <w:lang w:eastAsia="sk-SK"/>
        </w:rPr>
        <w:t>7</w:t>
      </w:r>
      <w:r w:rsidRPr="00AB3326">
        <w:rPr>
          <w:rFonts w:ascii="Arial Narrow" w:eastAsia="Times New Roman" w:hAnsi="Arial Narrow" w:cs="Times New Roman"/>
          <w:bCs/>
          <w:color w:val="000000"/>
          <w:sz w:val="16"/>
          <w:szCs w:val="16"/>
          <w:lang w:eastAsia="sk-SK"/>
        </w:rPr>
        <w:t xml:space="preserve"> a návrh rozpočtu na roky 201</w:t>
      </w:r>
      <w:r>
        <w:rPr>
          <w:rFonts w:ascii="Arial Narrow" w:eastAsia="Times New Roman" w:hAnsi="Arial Narrow" w:cs="Times New Roman"/>
          <w:bCs/>
          <w:color w:val="000000"/>
          <w:sz w:val="16"/>
          <w:szCs w:val="16"/>
          <w:lang w:eastAsia="sk-SK"/>
        </w:rPr>
        <w:t>8</w:t>
      </w:r>
      <w:r w:rsidRPr="00AB3326">
        <w:rPr>
          <w:rFonts w:ascii="Arial Narrow" w:eastAsia="Times New Roman" w:hAnsi="Arial Narrow" w:cs="Times New Roman"/>
          <w:bCs/>
          <w:color w:val="000000"/>
          <w:sz w:val="16"/>
          <w:szCs w:val="16"/>
          <w:lang w:eastAsia="sk-SK"/>
        </w:rPr>
        <w:t xml:space="preserve"> až 20</w:t>
      </w:r>
      <w:r>
        <w:rPr>
          <w:rFonts w:ascii="Arial Narrow" w:eastAsia="Times New Roman" w:hAnsi="Arial Narrow" w:cs="Times New Roman"/>
          <w:bCs/>
          <w:color w:val="000000"/>
          <w:sz w:val="16"/>
          <w:szCs w:val="16"/>
          <w:lang w:eastAsia="sk-SK"/>
        </w:rPr>
        <w:t>20</w:t>
      </w:r>
      <w:r w:rsidRPr="00AB3326">
        <w:rPr>
          <w:rFonts w:ascii="Arial Narrow" w:eastAsia="Times New Roman" w:hAnsi="Arial Narrow" w:cs="Times New Roman"/>
          <w:bCs/>
          <w:color w:val="000000"/>
          <w:sz w:val="16"/>
          <w:szCs w:val="16"/>
          <w:lang w:eastAsia="sk-SK"/>
        </w:rPr>
        <w:t xml:space="preserve"> preto zahŕňajú všetky výdavky na železničnú osobnú dopravu ZSSK (bez výdavkov na splácanie istín úverov – kategória 820).</w:t>
      </w:r>
    </w:p>
  </w:footnote>
  <w:footnote w:id="58">
    <w:p w14:paraId="3EC557E2" w14:textId="77777777" w:rsidR="00C068B2" w:rsidRDefault="00C068B2" w:rsidP="00E550DB">
      <w:pPr>
        <w:pStyle w:val="Textpoznmkypodiarou"/>
      </w:pPr>
      <w:r w:rsidRPr="00A1212E">
        <w:rPr>
          <w:rFonts w:ascii="Arial Narrow" w:hAnsi="Arial Narrow"/>
          <w:sz w:val="16"/>
          <w:szCs w:val="16"/>
          <w:vertAlign w:val="superscript"/>
        </w:rPr>
        <w:footnoteRef/>
      </w:r>
      <w:r w:rsidRPr="00A1212E">
        <w:rPr>
          <w:rFonts w:ascii="Arial Narrow" w:hAnsi="Arial Narrow"/>
          <w:sz w:val="16"/>
          <w:szCs w:val="16"/>
          <w:vertAlign w:val="superscript"/>
        </w:rPr>
        <w:t xml:space="preserve"> </w:t>
      </w:r>
      <w:r w:rsidRPr="00A51BA5">
        <w:rPr>
          <w:rFonts w:ascii="Arial Narrow" w:hAnsi="Arial Narrow"/>
          <w:sz w:val="16"/>
          <w:szCs w:val="16"/>
        </w:rPr>
        <w:t>MDV SR a ŽSR a upresní odhad úspory 6 mil. eur ročne s potenciálnymi jednorazovými nákladmi vo výške maximálne 70 mil. eur.</w:t>
      </w:r>
    </w:p>
  </w:footnote>
  <w:footnote w:id="59">
    <w:p w14:paraId="33C94D9F" w14:textId="77777777" w:rsidR="00C068B2" w:rsidRPr="00A5414D" w:rsidRDefault="00C068B2" w:rsidP="00E550DB">
      <w:pPr>
        <w:pStyle w:val="Textpoznmkypodiarou"/>
        <w:rPr>
          <w:rFonts w:ascii="Arial Narrow" w:hAnsi="Arial Narrow"/>
          <w:sz w:val="16"/>
          <w:szCs w:val="16"/>
        </w:rPr>
      </w:pPr>
      <w:r w:rsidRPr="00A5414D">
        <w:rPr>
          <w:rFonts w:ascii="Arial Narrow" w:hAnsi="Arial Narrow"/>
          <w:sz w:val="16"/>
          <w:szCs w:val="16"/>
          <w:vertAlign w:val="superscript"/>
        </w:rPr>
        <w:footnoteRef/>
      </w:r>
      <w:r w:rsidRPr="00A5414D">
        <w:rPr>
          <w:rFonts w:ascii="Arial Narrow" w:hAnsi="Arial Narrow"/>
          <w:sz w:val="16"/>
          <w:szCs w:val="16"/>
        </w:rPr>
        <w:t xml:space="preserve"> Kapitálové výdavky zahŕňajú výkup pozemkov a tvorbu hrubého fixného kapitálu (investície). </w:t>
      </w:r>
    </w:p>
  </w:footnote>
  <w:footnote w:id="60">
    <w:p w14:paraId="110E6820" w14:textId="7F2E7A94" w:rsidR="00C068B2" w:rsidRPr="00AB4F6B" w:rsidRDefault="00C068B2" w:rsidP="00A1212E">
      <w:pPr>
        <w:pStyle w:val="Textpoznmkypodiarou"/>
        <w:rPr>
          <w:rFonts w:ascii="Arial Narrow" w:hAnsi="Arial Narrow"/>
          <w:color w:val="2C9ADC"/>
          <w:sz w:val="16"/>
          <w:szCs w:val="16"/>
          <w:u w:val="single"/>
        </w:rPr>
      </w:pPr>
      <w:r w:rsidRPr="00A1212E">
        <w:rPr>
          <w:rFonts w:ascii="Arial Narrow" w:hAnsi="Arial Narrow"/>
          <w:sz w:val="16"/>
          <w:szCs w:val="16"/>
          <w:vertAlign w:val="superscript"/>
        </w:rPr>
        <w:footnoteRef/>
      </w:r>
      <w:r w:rsidRPr="00A1212E">
        <w:rPr>
          <w:rFonts w:ascii="Arial Narrow" w:hAnsi="Arial Narrow"/>
          <w:sz w:val="16"/>
          <w:szCs w:val="16"/>
          <w:vertAlign w:val="superscript"/>
        </w:rPr>
        <w:t xml:space="preserve">  </w:t>
      </w:r>
      <w:hyperlink r:id="rId27" w:history="1">
        <w:r w:rsidRPr="00C03C54">
          <w:rPr>
            <w:rStyle w:val="Hypertextovprepojenie"/>
            <w:rFonts w:ascii="Arial Narrow" w:hAnsi="Arial Narrow"/>
            <w:color w:val="2C9ADC"/>
            <w:sz w:val="16"/>
            <w:szCs w:val="16"/>
          </w:rPr>
          <w:t>OECD: Revízia procesov tvorby cenových od</w:t>
        </w:r>
        <w:r w:rsidR="00AB4F6B">
          <w:rPr>
            <w:rStyle w:val="Hypertextovprepojenie"/>
            <w:rFonts w:ascii="Arial Narrow" w:hAnsi="Arial Narrow"/>
            <w:color w:val="2C9ADC"/>
            <w:sz w:val="16"/>
            <w:szCs w:val="16"/>
          </w:rPr>
          <w:t xml:space="preserve">hadov pre diaľničné projekty – </w:t>
        </w:r>
        <w:r w:rsidRPr="00C03C54">
          <w:rPr>
            <w:rStyle w:val="Hypertextovprepojenie"/>
            <w:rFonts w:ascii="Arial Narrow" w:hAnsi="Arial Narrow"/>
            <w:color w:val="2C9ADC"/>
            <w:sz w:val="16"/>
            <w:szCs w:val="16"/>
          </w:rPr>
          <w:t>Príklad Slovenska</w:t>
        </w:r>
      </w:hyperlink>
    </w:p>
  </w:footnote>
  <w:footnote w:id="61">
    <w:p w14:paraId="4CB3A268" w14:textId="77777777" w:rsidR="00C068B2" w:rsidRDefault="00C068B2" w:rsidP="00A4169E">
      <w:pPr>
        <w:pStyle w:val="Textpoznmkypodiarou"/>
      </w:pPr>
      <w:r w:rsidRPr="00B14433">
        <w:rPr>
          <w:rStyle w:val="Odkaznapoznmkupodiarou"/>
          <w:rFonts w:ascii="Arial Narrow" w:hAnsi="Arial Narrow"/>
          <w:sz w:val="16"/>
          <w:szCs w:val="16"/>
        </w:rPr>
        <w:footnoteRef/>
      </w:r>
      <w:r>
        <w:t xml:space="preserve"> </w:t>
      </w:r>
      <w:r w:rsidRPr="00B14433">
        <w:rPr>
          <w:rFonts w:ascii="Arial Narrow" w:hAnsi="Arial Narrow"/>
          <w:sz w:val="16"/>
          <w:szCs w:val="16"/>
        </w:rPr>
        <w:t xml:space="preserve">ETS </w:t>
      </w:r>
      <w:r>
        <w:rPr>
          <w:rFonts w:ascii="Arial Narrow" w:hAnsi="Arial Narrow"/>
          <w:sz w:val="16"/>
          <w:szCs w:val="16"/>
        </w:rPr>
        <w:t>-</w:t>
      </w:r>
      <w:r w:rsidRPr="00B14433">
        <w:rPr>
          <w:rFonts w:ascii="Arial Narrow" w:hAnsi="Arial Narrow"/>
          <w:sz w:val="16"/>
          <w:szCs w:val="16"/>
        </w:rPr>
        <w:t xml:space="preserve"> systém obchodovania s emisiami</w:t>
      </w:r>
    </w:p>
  </w:footnote>
  <w:footnote w:id="62">
    <w:p w14:paraId="226A3ADD" w14:textId="77777777" w:rsidR="00C068B2" w:rsidRDefault="00C068B2" w:rsidP="00A4169E">
      <w:pPr>
        <w:pStyle w:val="Textpoznmkypodiarou"/>
      </w:pPr>
      <w:r w:rsidRPr="00B14433">
        <w:rPr>
          <w:rStyle w:val="Odkaznapoznmkupodiarou"/>
          <w:rFonts w:ascii="Arial Narrow" w:hAnsi="Arial Narrow"/>
          <w:sz w:val="16"/>
          <w:szCs w:val="16"/>
        </w:rPr>
        <w:footnoteRef/>
      </w:r>
      <w:r w:rsidRPr="00B14433">
        <w:rPr>
          <w:rStyle w:val="Odkaznapoznmkupodiarou"/>
          <w:rFonts w:ascii="Arial Narrow" w:hAnsi="Arial Narrow"/>
          <w:sz w:val="16"/>
          <w:szCs w:val="16"/>
        </w:rPr>
        <w:t xml:space="preserve"> </w:t>
      </w:r>
      <w:r w:rsidRPr="00B14433">
        <w:rPr>
          <w:rFonts w:ascii="Arial Narrow" w:hAnsi="Arial Narrow"/>
          <w:sz w:val="16"/>
          <w:szCs w:val="16"/>
        </w:rPr>
        <w:t xml:space="preserve">OZE </w:t>
      </w:r>
      <w:r>
        <w:rPr>
          <w:rFonts w:ascii="Arial Narrow" w:hAnsi="Arial Narrow"/>
          <w:sz w:val="16"/>
          <w:szCs w:val="16"/>
        </w:rPr>
        <w:t xml:space="preserve">- </w:t>
      </w:r>
      <w:r w:rsidRPr="00B14433">
        <w:rPr>
          <w:rFonts w:ascii="Arial Narrow" w:hAnsi="Arial Narrow"/>
          <w:sz w:val="16"/>
          <w:szCs w:val="16"/>
        </w:rPr>
        <w:t>obnoviteľné zdroje energie</w:t>
      </w:r>
    </w:p>
  </w:footnote>
  <w:footnote w:id="63">
    <w:p w14:paraId="6060E3E9" w14:textId="77777777" w:rsidR="00C068B2" w:rsidRDefault="00C068B2">
      <w:pPr>
        <w:pStyle w:val="Textpoznmkypodiarou"/>
      </w:pPr>
      <w:r w:rsidRPr="00B14433">
        <w:rPr>
          <w:rStyle w:val="Odkaznapoznmkupodiarou"/>
          <w:rFonts w:ascii="Arial Narrow" w:hAnsi="Arial Narrow"/>
          <w:sz w:val="16"/>
          <w:szCs w:val="16"/>
        </w:rPr>
        <w:footnoteRef/>
      </w:r>
      <w:r w:rsidRPr="00B14433">
        <w:rPr>
          <w:rStyle w:val="Odkaznapoznmkupodiarou"/>
          <w:rFonts w:ascii="Arial Narrow" w:hAnsi="Arial Narrow"/>
          <w:sz w:val="16"/>
          <w:szCs w:val="16"/>
        </w:rPr>
        <w:t xml:space="preserve"> </w:t>
      </w:r>
      <w:proofErr w:type="spellStart"/>
      <w:r w:rsidRPr="00B14433">
        <w:rPr>
          <w:rFonts w:ascii="Arial Narrow" w:hAnsi="Arial Narrow"/>
          <w:sz w:val="16"/>
          <w:szCs w:val="16"/>
        </w:rPr>
        <w:t>Environmental</w:t>
      </w:r>
      <w:proofErr w:type="spellEnd"/>
      <w:r w:rsidRPr="00B14433">
        <w:rPr>
          <w:rFonts w:ascii="Arial Narrow" w:hAnsi="Arial Narrow"/>
          <w:sz w:val="16"/>
          <w:szCs w:val="16"/>
        </w:rPr>
        <w:t xml:space="preserve"> </w:t>
      </w:r>
      <w:proofErr w:type="spellStart"/>
      <w:r w:rsidRPr="00B14433">
        <w:rPr>
          <w:rFonts w:ascii="Arial Narrow" w:hAnsi="Arial Narrow"/>
          <w:sz w:val="16"/>
          <w:szCs w:val="16"/>
        </w:rPr>
        <w:t>Performance</w:t>
      </w:r>
      <w:proofErr w:type="spellEnd"/>
      <w:r w:rsidRPr="00B14433">
        <w:rPr>
          <w:rFonts w:ascii="Arial Narrow" w:hAnsi="Arial Narrow"/>
          <w:sz w:val="16"/>
          <w:szCs w:val="16"/>
        </w:rPr>
        <w:t xml:space="preserve"> Index (Index environmentálnej výkonnosti) je spôsob hodnotenia štátov z hľadiska celkovej ohľaduplnosti voči životnému prostrediu. Tento index bol vyvinutý na </w:t>
      </w:r>
      <w:proofErr w:type="spellStart"/>
      <w:r w:rsidRPr="00B14433">
        <w:rPr>
          <w:rFonts w:ascii="Arial Narrow" w:hAnsi="Arial Narrow"/>
          <w:sz w:val="16"/>
          <w:szCs w:val="16"/>
        </w:rPr>
        <w:t>Yale</w:t>
      </w:r>
      <w:proofErr w:type="spellEnd"/>
      <w:r w:rsidRPr="00B14433">
        <w:rPr>
          <w:rFonts w:ascii="Arial Narrow" w:hAnsi="Arial Narrow"/>
          <w:sz w:val="16"/>
          <w:szCs w:val="16"/>
        </w:rPr>
        <w:t xml:space="preserve"> </w:t>
      </w:r>
      <w:proofErr w:type="spellStart"/>
      <w:r w:rsidRPr="00B14433">
        <w:rPr>
          <w:rFonts w:ascii="Arial Narrow" w:hAnsi="Arial Narrow"/>
          <w:sz w:val="16"/>
          <w:szCs w:val="16"/>
        </w:rPr>
        <w:t>University</w:t>
      </w:r>
      <w:proofErr w:type="spellEnd"/>
      <w:r w:rsidRPr="00B14433">
        <w:rPr>
          <w:rFonts w:ascii="Arial Narrow" w:hAnsi="Arial Narrow"/>
          <w:sz w:val="16"/>
          <w:szCs w:val="16"/>
        </w:rPr>
        <w:t>, kde sa aj vyhodnocuje pre jednotlivé štáty.</w:t>
      </w:r>
    </w:p>
  </w:footnote>
  <w:footnote w:id="64">
    <w:p w14:paraId="00144142" w14:textId="77777777" w:rsidR="00C068B2" w:rsidRPr="00BC3CC7" w:rsidRDefault="00C068B2" w:rsidP="001C0473">
      <w:pPr>
        <w:spacing w:after="0" w:line="240" w:lineRule="auto"/>
        <w:jc w:val="both"/>
        <w:rPr>
          <w:rFonts w:asciiTheme="minorHAnsi" w:eastAsiaTheme="minorHAnsi" w:hAnsiTheme="minorHAnsi" w:cstheme="minorBidi"/>
          <w:sz w:val="20"/>
          <w:szCs w:val="20"/>
          <w:lang w:eastAsia="en-US"/>
        </w:rPr>
      </w:pPr>
      <w:r w:rsidRPr="00B14433">
        <w:rPr>
          <w:rStyle w:val="Odkaznapoznmkupodiarou"/>
          <w:rFonts w:ascii="Arial Narrow" w:eastAsiaTheme="minorHAnsi" w:hAnsi="Arial Narrow" w:cstheme="minorBidi"/>
          <w:sz w:val="16"/>
          <w:szCs w:val="16"/>
          <w:lang w:eastAsia="en-US"/>
        </w:rPr>
        <w:footnoteRef/>
      </w:r>
      <w:r>
        <w:t xml:space="preserve"> </w:t>
      </w:r>
      <w:r w:rsidRPr="00B14433">
        <w:rPr>
          <w:rFonts w:ascii="Arial Narrow" w:eastAsiaTheme="minorHAnsi" w:hAnsi="Arial Narrow" w:cstheme="minorBidi"/>
          <w:sz w:val="16"/>
          <w:szCs w:val="16"/>
          <w:lang w:eastAsia="en-US"/>
        </w:rPr>
        <w:t>Cieľom obehového hospodárstva je zachovať hodnotu výr</w:t>
      </w:r>
      <w:r>
        <w:rPr>
          <w:rFonts w:ascii="Arial Narrow" w:eastAsiaTheme="minorHAnsi" w:hAnsi="Arial Narrow" w:cstheme="minorBidi"/>
          <w:sz w:val="16"/>
          <w:szCs w:val="16"/>
          <w:lang w:eastAsia="en-US"/>
        </w:rPr>
        <w:t>obkov a materiálov čo najdlhšie. K</w:t>
      </w:r>
      <w:r w:rsidRPr="00B14433">
        <w:rPr>
          <w:rFonts w:ascii="Arial Narrow" w:eastAsiaTheme="minorHAnsi" w:hAnsi="Arial Narrow" w:cstheme="minorBidi"/>
          <w:sz w:val="16"/>
          <w:szCs w:val="16"/>
          <w:lang w:eastAsia="en-US"/>
        </w:rPr>
        <w:t>eď výrobok dosiahne koniec svojho životného cyklu, zdroje sa z hospodárstva nevyradia, ale použijú sa znova a znova na vytváranie novej hodnoty</w:t>
      </w:r>
      <w:r>
        <w:rPr>
          <w:rFonts w:ascii="Arial Narrow" w:eastAsiaTheme="minorHAnsi" w:hAnsi="Arial Narrow" w:cstheme="minorBidi"/>
          <w:sz w:val="16"/>
          <w:szCs w:val="16"/>
          <w:lang w:eastAsia="en-US"/>
        </w:rPr>
        <w:t xml:space="preserve"> </w:t>
      </w:r>
      <w:r w:rsidRPr="00B14433">
        <w:rPr>
          <w:rFonts w:ascii="Arial Narrow" w:eastAsiaTheme="minorHAnsi" w:hAnsi="Arial Narrow" w:cstheme="minorBidi"/>
          <w:sz w:val="16"/>
          <w:szCs w:val="16"/>
          <w:lang w:eastAsia="en-US"/>
        </w:rPr>
        <w:t>- minimalizuje sa tak odpad a využívanie nových zdrojov.</w:t>
      </w:r>
      <w:r w:rsidRPr="00BC3CC7">
        <w:rPr>
          <w:rFonts w:asciiTheme="minorHAnsi" w:eastAsiaTheme="minorHAnsi" w:hAnsiTheme="minorHAnsi" w:cstheme="minorBidi"/>
          <w:sz w:val="20"/>
          <w:szCs w:val="20"/>
          <w:lang w:eastAsia="en-US"/>
        </w:rPr>
        <w:t xml:space="preserve"> </w:t>
      </w:r>
    </w:p>
    <w:p w14:paraId="24182BC3" w14:textId="77777777" w:rsidR="00C068B2" w:rsidRDefault="00C068B2">
      <w:pPr>
        <w:pStyle w:val="Textpoznmkypodiarou"/>
      </w:pPr>
    </w:p>
  </w:footnote>
  <w:footnote w:id="65">
    <w:p w14:paraId="6C6FF305" w14:textId="77777777" w:rsidR="00C068B2" w:rsidRPr="00A51BA5" w:rsidRDefault="00C068B2" w:rsidP="00D07237">
      <w:pPr>
        <w:pStyle w:val="Textpoznmkypodiarou"/>
        <w:jc w:val="both"/>
        <w:rPr>
          <w:rFonts w:ascii="Arial Narrow" w:hAnsi="Arial Narrow"/>
          <w:sz w:val="16"/>
          <w:szCs w:val="16"/>
        </w:rPr>
      </w:pPr>
      <w:r w:rsidRPr="00D7787B">
        <w:rPr>
          <w:rStyle w:val="Odkaznapoznmkupodiarou"/>
          <w:rFonts w:ascii="Arial Narrow" w:hAnsi="Arial Narrow"/>
          <w:sz w:val="16"/>
          <w:szCs w:val="16"/>
        </w:rPr>
        <w:footnoteRef/>
      </w:r>
      <w:r w:rsidRPr="00D7787B">
        <w:rPr>
          <w:rFonts w:ascii="Arial Narrow" w:hAnsi="Arial Narrow"/>
          <w:sz w:val="16"/>
          <w:szCs w:val="16"/>
        </w:rPr>
        <w:t xml:space="preserve"> Výdavky zo ŠF, KF, Európsky poľnohospodársky záručný fond (EPZF), Európsky poľnohospodársky fond pre rozvoj vidieka (EPFRV), cezhraničná spolupráca atď.</w:t>
      </w:r>
    </w:p>
  </w:footnote>
  <w:footnote w:id="66">
    <w:p w14:paraId="4E53A6D1" w14:textId="77777777" w:rsidR="00C068B2" w:rsidRPr="00D7787B" w:rsidRDefault="00C068B2" w:rsidP="009B4F59">
      <w:pPr>
        <w:pStyle w:val="Textpoznmkypodiarou"/>
        <w:rPr>
          <w:rFonts w:ascii="Arial Narrow" w:hAnsi="Arial Narrow"/>
          <w:sz w:val="16"/>
          <w:szCs w:val="16"/>
        </w:rPr>
      </w:pPr>
      <w:r w:rsidRPr="00D7787B">
        <w:rPr>
          <w:rStyle w:val="Odkaznapoznmkupodiarou"/>
          <w:rFonts w:ascii="Arial Narrow" w:hAnsi="Arial Narrow"/>
          <w:sz w:val="16"/>
          <w:szCs w:val="16"/>
        </w:rPr>
        <w:footnoteRef/>
      </w:r>
      <w:r w:rsidRPr="00D7787B">
        <w:rPr>
          <w:rFonts w:ascii="Arial Narrow" w:hAnsi="Arial Narrow"/>
          <w:sz w:val="16"/>
          <w:szCs w:val="16"/>
        </w:rPr>
        <w:t xml:space="preserve"> S výnimkou implementácie finančných nástrojov, pre kt</w:t>
      </w:r>
      <w:r>
        <w:rPr>
          <w:rFonts w:ascii="Arial Narrow" w:hAnsi="Arial Narrow"/>
          <w:sz w:val="16"/>
          <w:szCs w:val="16"/>
        </w:rPr>
        <w:t xml:space="preserve">oré plynulo obdobie oprávnenosti </w:t>
      </w:r>
      <w:r w:rsidRPr="00D7787B">
        <w:rPr>
          <w:rFonts w:ascii="Arial Narrow" w:hAnsi="Arial Narrow"/>
          <w:sz w:val="16"/>
          <w:szCs w:val="16"/>
        </w:rPr>
        <w:t>do konca marca 2017.</w:t>
      </w:r>
    </w:p>
  </w:footnote>
  <w:footnote w:id="67">
    <w:p w14:paraId="22B3B2CF" w14:textId="77777777" w:rsidR="00C068B2" w:rsidRPr="005C1A3D" w:rsidRDefault="00C068B2" w:rsidP="00725D82">
      <w:pPr>
        <w:pStyle w:val="Textpoznmkypodiarou"/>
        <w:jc w:val="both"/>
        <w:rPr>
          <w:rFonts w:ascii="Arial Narrow" w:hAnsi="Arial Narrow"/>
          <w:sz w:val="16"/>
          <w:szCs w:val="16"/>
        </w:rPr>
      </w:pPr>
      <w:r w:rsidRPr="00CD5A7F">
        <w:rPr>
          <w:rStyle w:val="Odkaznapoznmkupodiarou"/>
          <w:rFonts w:ascii="Arial Narrow" w:hAnsi="Arial Narrow"/>
          <w:sz w:val="16"/>
          <w:szCs w:val="16"/>
        </w:rPr>
        <w:footnoteRef/>
      </w:r>
      <w:r w:rsidRPr="00CD5A7F">
        <w:rPr>
          <w:rFonts w:ascii="Arial Narrow" w:hAnsi="Arial Narrow"/>
          <w:sz w:val="16"/>
          <w:szCs w:val="16"/>
        </w:rPr>
        <w:t xml:space="preserve"> Prognóza do roku 2020 vychádza z predpokladu upraveného scenára nezmenných politik o ročný profil čerpania EÚ zdrojov v danom programovom období. Ročný profil čerpania </w:t>
      </w:r>
      <w:r>
        <w:rPr>
          <w:rFonts w:ascii="Arial Narrow" w:hAnsi="Arial Narrow"/>
          <w:sz w:val="16"/>
          <w:szCs w:val="16"/>
        </w:rPr>
        <w:t xml:space="preserve">EÚ zdrojov počas tretieho </w:t>
      </w:r>
      <w:r w:rsidRPr="00845688">
        <w:rPr>
          <w:rFonts w:ascii="Arial Narrow" w:hAnsi="Arial Narrow"/>
          <w:sz w:val="16"/>
          <w:szCs w:val="16"/>
        </w:rPr>
        <w:t>programového obdobia je v prognóze podobný profilu toho predchádzajúceho. Konk</w:t>
      </w:r>
      <w:r w:rsidRPr="005C1A3D">
        <w:rPr>
          <w:rFonts w:ascii="Arial Narrow" w:hAnsi="Arial Narrow"/>
          <w:sz w:val="16"/>
          <w:szCs w:val="16"/>
        </w:rPr>
        <w:t>rétne výdavkové položky sú následne indexované prognózovaným rastom miezd, infláciou a nominálnym rastom HDP v súlade s aktuálnou prognózu MF SR.</w:t>
      </w:r>
    </w:p>
  </w:footnote>
  <w:footnote w:id="68">
    <w:p w14:paraId="144BAFE2" w14:textId="2230D3ED" w:rsidR="00C068B2" w:rsidRPr="00533004" w:rsidRDefault="00C068B2">
      <w:pPr>
        <w:pStyle w:val="Textpoznmkypodiarou"/>
        <w:rPr>
          <w:rFonts w:ascii="Arial Narrow" w:hAnsi="Arial Narrow"/>
        </w:rPr>
      </w:pPr>
      <w:r w:rsidRPr="00533004">
        <w:rPr>
          <w:rStyle w:val="Odkaznapoznmkupodiarou"/>
          <w:rFonts w:ascii="Arial Narrow" w:hAnsi="Arial Narrow"/>
          <w:sz w:val="16"/>
        </w:rPr>
        <w:footnoteRef/>
      </w:r>
      <w:r w:rsidRPr="00533004">
        <w:rPr>
          <w:rFonts w:ascii="Arial Narrow" w:hAnsi="Arial Narrow"/>
          <w:sz w:val="16"/>
        </w:rPr>
        <w:t xml:space="preserve"> </w:t>
      </w:r>
      <w:hyperlink r:id="rId28" w:history="1">
        <w:r w:rsidRPr="00533004">
          <w:rPr>
            <w:rStyle w:val="Hypertextovprepojenie"/>
            <w:rFonts w:ascii="Arial Narrow" w:hAnsi="Arial Narrow"/>
            <w:color w:val="2C9ADC"/>
            <w:sz w:val="16"/>
          </w:rPr>
          <w:t>Nástroj bodovania rizika ARACHNE</w:t>
        </w:r>
      </w:hyperlink>
    </w:p>
  </w:footnote>
  <w:footnote w:id="69">
    <w:p w14:paraId="62DF7ED9" w14:textId="77777777" w:rsidR="00C068B2" w:rsidRPr="00AB3326" w:rsidRDefault="00C068B2" w:rsidP="007D2366">
      <w:pPr>
        <w:pStyle w:val="Textpoznmkypodiarou"/>
        <w:rPr>
          <w:rFonts w:ascii="Arial Narrow" w:hAnsi="Arial Narrow"/>
          <w:sz w:val="16"/>
          <w:szCs w:val="16"/>
        </w:rPr>
      </w:pPr>
      <w:r w:rsidRPr="008D1AC9">
        <w:rPr>
          <w:rStyle w:val="Odkaznapoznmkupodiarou"/>
          <w:rFonts w:ascii="Arial Narrow" w:hAnsi="Arial Narrow"/>
          <w:sz w:val="16"/>
          <w:szCs w:val="16"/>
        </w:rPr>
        <w:footnoteRef/>
      </w:r>
      <w:r w:rsidRPr="008D1AC9">
        <w:rPr>
          <w:rFonts w:ascii="Arial Narrow" w:hAnsi="Arial Narrow"/>
          <w:sz w:val="16"/>
          <w:szCs w:val="16"/>
        </w:rPr>
        <w:t xml:space="preserve"> </w:t>
      </w:r>
      <w:hyperlink r:id="rId29" w:history="1">
        <w:r w:rsidRPr="008D1AC9">
          <w:rPr>
            <w:rStyle w:val="Hypertextovprepojenie"/>
            <w:rFonts w:ascii="Arial Narrow" w:hAnsi="Arial Narrow"/>
            <w:color w:val="2C9ADC"/>
            <w:sz w:val="16"/>
            <w:szCs w:val="16"/>
          </w:rPr>
          <w:t>Správa o krajine</w:t>
        </w:r>
      </w:hyperlink>
      <w:r w:rsidRPr="008D1AC9">
        <w:rPr>
          <w:rFonts w:ascii="Arial Narrow" w:hAnsi="Arial Narrow"/>
          <w:sz w:val="16"/>
          <w:szCs w:val="16"/>
        </w:rPr>
        <w:t>, Slovensko 2018, SWD(2018)</w:t>
      </w:r>
      <w:r w:rsidRPr="00AB3326">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74E0F" w14:textId="77777777" w:rsidR="00C068B2" w:rsidRDefault="00C068B2">
    <w:pPr>
      <w:pStyle w:val="Hlavika"/>
    </w:pPr>
    <w:r>
      <w:rPr>
        <w:noProof/>
        <w:lang w:val="en-US" w:eastAsia="en-US"/>
      </w:rPr>
      <mc:AlternateContent>
        <mc:Choice Requires="wps">
          <w:drawing>
            <wp:anchor distT="0" distB="0" distL="114300" distR="114300" simplePos="0" relativeHeight="251653120" behindDoc="1" locked="0" layoutInCell="0" allowOverlap="1" wp14:anchorId="77B5EFD9" wp14:editId="19BF489A">
              <wp:simplePos x="0" y="0"/>
              <wp:positionH relativeFrom="page">
                <wp:posOffset>-1905</wp:posOffset>
              </wp:positionH>
              <wp:positionV relativeFrom="page">
                <wp:posOffset>0</wp:posOffset>
              </wp:positionV>
              <wp:extent cx="1125220" cy="71120"/>
              <wp:effectExtent l="0" t="0" r="0" b="508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5220" cy="71120"/>
                      </a:xfrm>
                      <a:prstGeom prst="rect">
                        <a:avLst/>
                      </a:prstGeom>
                      <a:solidFill>
                        <a:srgbClr val="37AB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8D185" id="Rectangle 15" o:spid="_x0000_s1026" style="position:absolute;margin-left:-.15pt;margin-top:0;width:88.6pt;height:5.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" o:allowincell="f" fillcolor="#37abe1" stroked="f">
              <v:path arrowok="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5A63"/>
    <w:multiLevelType w:val="hybridMultilevel"/>
    <w:tmpl w:val="BBB0ED54"/>
    <w:lvl w:ilvl="0" w:tplc="041B0003">
      <w:start w:val="1"/>
      <w:numFmt w:val="bullet"/>
      <w:lvlText w:val="o"/>
      <w:lvlJc w:val="left"/>
      <w:pPr>
        <w:ind w:left="720" w:hanging="360"/>
      </w:pPr>
      <w:rPr>
        <w:rFonts w:ascii="Courier New" w:hAnsi="Courier New" w:cs="Courier New"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373449"/>
    <w:multiLevelType w:val="hybridMultilevel"/>
    <w:tmpl w:val="14A42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CB1CD0"/>
    <w:multiLevelType w:val="hybridMultilevel"/>
    <w:tmpl w:val="09C049D8"/>
    <w:lvl w:ilvl="0" w:tplc="D054B0FA">
      <w:start w:val="1"/>
      <w:numFmt w:val="bullet"/>
      <w:lvlText w:val="-"/>
      <w:lvlJc w:val="left"/>
      <w:pPr>
        <w:ind w:left="360" w:hanging="360"/>
      </w:pPr>
      <w:rPr>
        <w:rFonts w:ascii="Arial Narrow" w:eastAsiaTheme="minorHAnsi" w:hAnsi="Arial Narrow" w:cstheme="minorBid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BCE7F77"/>
    <w:multiLevelType w:val="hybridMultilevel"/>
    <w:tmpl w:val="DED2CAD6"/>
    <w:lvl w:ilvl="0" w:tplc="8B20D040">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B75327"/>
    <w:multiLevelType w:val="hybridMultilevel"/>
    <w:tmpl w:val="7CA082BE"/>
    <w:lvl w:ilvl="0" w:tplc="041B0001">
      <w:start w:val="1"/>
      <w:numFmt w:val="bullet"/>
      <w:lvlText w:val=""/>
      <w:lvlJc w:val="left"/>
      <w:pPr>
        <w:ind w:left="360" w:hanging="360"/>
      </w:pPr>
      <w:rPr>
        <w:rFonts w:ascii="Symbol" w:hAnsi="Symbol" w:hint="default"/>
        <w:b/>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17442F9"/>
    <w:multiLevelType w:val="hybridMultilevel"/>
    <w:tmpl w:val="FC7A90B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14E13D3E"/>
    <w:multiLevelType w:val="hybridMultilevel"/>
    <w:tmpl w:val="63E6F6F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8BA4F5F"/>
    <w:multiLevelType w:val="hybridMultilevel"/>
    <w:tmpl w:val="8CB456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D434017"/>
    <w:multiLevelType w:val="hybridMultilevel"/>
    <w:tmpl w:val="2A32453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DE22699"/>
    <w:multiLevelType w:val="hybridMultilevel"/>
    <w:tmpl w:val="FCF6284E"/>
    <w:lvl w:ilvl="0" w:tplc="337EEF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02723A7"/>
    <w:multiLevelType w:val="hybridMultilevel"/>
    <w:tmpl w:val="E72AEA50"/>
    <w:lvl w:ilvl="0" w:tplc="0409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32E47F0"/>
    <w:multiLevelType w:val="hybridMultilevel"/>
    <w:tmpl w:val="FEE2B8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4E6278"/>
    <w:multiLevelType w:val="hybridMultilevel"/>
    <w:tmpl w:val="ABEC2280"/>
    <w:lvl w:ilvl="0" w:tplc="08090011">
      <w:start w:val="1"/>
      <w:numFmt w:val="decimal"/>
      <w:lvlText w:val="%1)"/>
      <w:lvlJc w:val="left"/>
      <w:pPr>
        <w:ind w:left="1428" w:hanging="360"/>
      </w:pPr>
    </w:lvl>
    <w:lvl w:ilvl="1" w:tplc="08090019">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3" w15:restartNumberingAfterBreak="0">
    <w:nsid w:val="2568314C"/>
    <w:multiLevelType w:val="hybridMultilevel"/>
    <w:tmpl w:val="B81EEF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F9D4AAC"/>
    <w:multiLevelType w:val="hybridMultilevel"/>
    <w:tmpl w:val="C318E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FD82B91"/>
    <w:multiLevelType w:val="hybridMultilevel"/>
    <w:tmpl w:val="794A7278"/>
    <w:lvl w:ilvl="0" w:tplc="40F463B4">
      <w:numFmt w:val="bullet"/>
      <w:lvlText w:val="-"/>
      <w:lvlJc w:val="left"/>
      <w:pPr>
        <w:ind w:left="720"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80306B5"/>
    <w:multiLevelType w:val="hybridMultilevel"/>
    <w:tmpl w:val="903E3714"/>
    <w:lvl w:ilvl="0" w:tplc="041B0001">
      <w:start w:val="1"/>
      <w:numFmt w:val="bullet"/>
      <w:lvlText w:val=""/>
      <w:lvlJc w:val="left"/>
      <w:pPr>
        <w:ind w:left="720" w:hanging="360"/>
      </w:pPr>
      <w:rPr>
        <w:rFonts w:ascii="Symbol" w:hAnsi="Symbol" w:hint="default"/>
      </w:rPr>
    </w:lvl>
    <w:lvl w:ilvl="1" w:tplc="4EDA6EE0">
      <w:numFmt w:val="bullet"/>
      <w:lvlText w:val="-"/>
      <w:lvlJc w:val="left"/>
      <w:pPr>
        <w:ind w:left="1650" w:hanging="570"/>
      </w:pPr>
      <w:rPr>
        <w:rFonts w:ascii="Calibri" w:eastAsia="Calibri" w:hAnsi="Calibri"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393744D6"/>
    <w:multiLevelType w:val="hybridMultilevel"/>
    <w:tmpl w:val="24320FA6"/>
    <w:lvl w:ilvl="0" w:tplc="041B000F">
      <w:start w:val="1"/>
      <w:numFmt w:val="decimal"/>
      <w:lvlText w:val="%1."/>
      <w:lvlJc w:val="left"/>
      <w:pPr>
        <w:ind w:left="360" w:hanging="360"/>
      </w:pPr>
      <w:rPr>
        <w:rFonts w:cs="Times New Roman" w:hint="default"/>
      </w:rPr>
    </w:lvl>
    <w:lvl w:ilvl="1" w:tplc="041B0019">
      <w:start w:val="1"/>
      <w:numFmt w:val="lowerLetter"/>
      <w:pStyle w:val="Nadpis7"/>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3BAC7F00"/>
    <w:multiLevelType w:val="hybridMultilevel"/>
    <w:tmpl w:val="6BE6F0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3BD512A5"/>
    <w:multiLevelType w:val="hybridMultilevel"/>
    <w:tmpl w:val="D10EA2F8"/>
    <w:lvl w:ilvl="0" w:tplc="041B0001">
      <w:start w:val="1"/>
      <w:numFmt w:val="bullet"/>
      <w:lvlText w:val=""/>
      <w:lvlJc w:val="left"/>
      <w:pPr>
        <w:ind w:left="363" w:hanging="360"/>
      </w:pPr>
      <w:rPr>
        <w:rFonts w:ascii="Symbol" w:hAnsi="Symbol" w:hint="default"/>
      </w:rPr>
    </w:lvl>
    <w:lvl w:ilvl="1" w:tplc="041B0003" w:tentative="1">
      <w:start w:val="1"/>
      <w:numFmt w:val="bullet"/>
      <w:lvlText w:val="o"/>
      <w:lvlJc w:val="left"/>
      <w:pPr>
        <w:ind w:left="1083" w:hanging="360"/>
      </w:pPr>
      <w:rPr>
        <w:rFonts w:ascii="Courier New" w:hAnsi="Courier New" w:cs="Courier New" w:hint="default"/>
      </w:rPr>
    </w:lvl>
    <w:lvl w:ilvl="2" w:tplc="041B0005" w:tentative="1">
      <w:start w:val="1"/>
      <w:numFmt w:val="bullet"/>
      <w:lvlText w:val=""/>
      <w:lvlJc w:val="left"/>
      <w:pPr>
        <w:ind w:left="1803" w:hanging="360"/>
      </w:pPr>
      <w:rPr>
        <w:rFonts w:ascii="Wingdings" w:hAnsi="Wingdings" w:hint="default"/>
      </w:rPr>
    </w:lvl>
    <w:lvl w:ilvl="3" w:tplc="041B0001" w:tentative="1">
      <w:start w:val="1"/>
      <w:numFmt w:val="bullet"/>
      <w:lvlText w:val=""/>
      <w:lvlJc w:val="left"/>
      <w:pPr>
        <w:ind w:left="2523" w:hanging="360"/>
      </w:pPr>
      <w:rPr>
        <w:rFonts w:ascii="Symbol" w:hAnsi="Symbol" w:hint="default"/>
      </w:rPr>
    </w:lvl>
    <w:lvl w:ilvl="4" w:tplc="041B0003" w:tentative="1">
      <w:start w:val="1"/>
      <w:numFmt w:val="bullet"/>
      <w:lvlText w:val="o"/>
      <w:lvlJc w:val="left"/>
      <w:pPr>
        <w:ind w:left="3243" w:hanging="360"/>
      </w:pPr>
      <w:rPr>
        <w:rFonts w:ascii="Courier New" w:hAnsi="Courier New" w:cs="Courier New" w:hint="default"/>
      </w:rPr>
    </w:lvl>
    <w:lvl w:ilvl="5" w:tplc="041B0005" w:tentative="1">
      <w:start w:val="1"/>
      <w:numFmt w:val="bullet"/>
      <w:lvlText w:val=""/>
      <w:lvlJc w:val="left"/>
      <w:pPr>
        <w:ind w:left="3963" w:hanging="360"/>
      </w:pPr>
      <w:rPr>
        <w:rFonts w:ascii="Wingdings" w:hAnsi="Wingdings" w:hint="default"/>
      </w:rPr>
    </w:lvl>
    <w:lvl w:ilvl="6" w:tplc="041B0001" w:tentative="1">
      <w:start w:val="1"/>
      <w:numFmt w:val="bullet"/>
      <w:lvlText w:val=""/>
      <w:lvlJc w:val="left"/>
      <w:pPr>
        <w:ind w:left="4683" w:hanging="360"/>
      </w:pPr>
      <w:rPr>
        <w:rFonts w:ascii="Symbol" w:hAnsi="Symbol" w:hint="default"/>
      </w:rPr>
    </w:lvl>
    <w:lvl w:ilvl="7" w:tplc="041B0003" w:tentative="1">
      <w:start w:val="1"/>
      <w:numFmt w:val="bullet"/>
      <w:lvlText w:val="o"/>
      <w:lvlJc w:val="left"/>
      <w:pPr>
        <w:ind w:left="5403" w:hanging="360"/>
      </w:pPr>
      <w:rPr>
        <w:rFonts w:ascii="Courier New" w:hAnsi="Courier New" w:cs="Courier New" w:hint="default"/>
      </w:rPr>
    </w:lvl>
    <w:lvl w:ilvl="8" w:tplc="041B0005" w:tentative="1">
      <w:start w:val="1"/>
      <w:numFmt w:val="bullet"/>
      <w:lvlText w:val=""/>
      <w:lvlJc w:val="left"/>
      <w:pPr>
        <w:ind w:left="6123" w:hanging="360"/>
      </w:pPr>
      <w:rPr>
        <w:rFonts w:ascii="Wingdings" w:hAnsi="Wingdings" w:hint="default"/>
      </w:rPr>
    </w:lvl>
  </w:abstractNum>
  <w:abstractNum w:abstractNumId="20" w15:restartNumberingAfterBreak="0">
    <w:nsid w:val="3BDC22E7"/>
    <w:multiLevelType w:val="hybridMultilevel"/>
    <w:tmpl w:val="8438F8CC"/>
    <w:lvl w:ilvl="0" w:tplc="59D6FADC">
      <w:numFmt w:val="bullet"/>
      <w:lvlText w:val="-"/>
      <w:lvlJc w:val="left"/>
      <w:pPr>
        <w:ind w:left="360" w:hanging="360"/>
      </w:pPr>
      <w:rPr>
        <w:rFonts w:ascii="Calibri" w:eastAsiaTheme="minorHAnsi" w:hAnsi="Calibri" w:cstheme="minorBidi" w:hint="default"/>
        <w:b/>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3C6000F5"/>
    <w:multiLevelType w:val="hybridMultilevel"/>
    <w:tmpl w:val="EAF8EDF2"/>
    <w:lvl w:ilvl="0" w:tplc="041B0001">
      <w:start w:val="1"/>
      <w:numFmt w:val="bullet"/>
      <w:lvlText w:val=""/>
      <w:lvlJc w:val="left"/>
      <w:pPr>
        <w:ind w:left="415" w:hanging="360"/>
      </w:pPr>
      <w:rPr>
        <w:rFonts w:ascii="Symbol" w:hAnsi="Symbol" w:hint="default"/>
      </w:rPr>
    </w:lvl>
    <w:lvl w:ilvl="1" w:tplc="041B0003" w:tentative="1">
      <w:start w:val="1"/>
      <w:numFmt w:val="bullet"/>
      <w:lvlText w:val="o"/>
      <w:lvlJc w:val="left"/>
      <w:pPr>
        <w:ind w:left="1135" w:hanging="360"/>
      </w:pPr>
      <w:rPr>
        <w:rFonts w:ascii="Courier New" w:hAnsi="Courier New" w:cs="Courier New" w:hint="default"/>
      </w:rPr>
    </w:lvl>
    <w:lvl w:ilvl="2" w:tplc="041B0005" w:tentative="1">
      <w:start w:val="1"/>
      <w:numFmt w:val="bullet"/>
      <w:lvlText w:val=""/>
      <w:lvlJc w:val="left"/>
      <w:pPr>
        <w:ind w:left="1855" w:hanging="360"/>
      </w:pPr>
      <w:rPr>
        <w:rFonts w:ascii="Wingdings" w:hAnsi="Wingdings" w:hint="default"/>
      </w:rPr>
    </w:lvl>
    <w:lvl w:ilvl="3" w:tplc="041B0001" w:tentative="1">
      <w:start w:val="1"/>
      <w:numFmt w:val="bullet"/>
      <w:lvlText w:val=""/>
      <w:lvlJc w:val="left"/>
      <w:pPr>
        <w:ind w:left="2575" w:hanging="360"/>
      </w:pPr>
      <w:rPr>
        <w:rFonts w:ascii="Symbol" w:hAnsi="Symbol" w:hint="default"/>
      </w:rPr>
    </w:lvl>
    <w:lvl w:ilvl="4" w:tplc="041B0003" w:tentative="1">
      <w:start w:val="1"/>
      <w:numFmt w:val="bullet"/>
      <w:lvlText w:val="o"/>
      <w:lvlJc w:val="left"/>
      <w:pPr>
        <w:ind w:left="3295" w:hanging="360"/>
      </w:pPr>
      <w:rPr>
        <w:rFonts w:ascii="Courier New" w:hAnsi="Courier New" w:cs="Courier New" w:hint="default"/>
      </w:rPr>
    </w:lvl>
    <w:lvl w:ilvl="5" w:tplc="041B0005" w:tentative="1">
      <w:start w:val="1"/>
      <w:numFmt w:val="bullet"/>
      <w:lvlText w:val=""/>
      <w:lvlJc w:val="left"/>
      <w:pPr>
        <w:ind w:left="4015" w:hanging="360"/>
      </w:pPr>
      <w:rPr>
        <w:rFonts w:ascii="Wingdings" w:hAnsi="Wingdings" w:hint="default"/>
      </w:rPr>
    </w:lvl>
    <w:lvl w:ilvl="6" w:tplc="041B0001" w:tentative="1">
      <w:start w:val="1"/>
      <w:numFmt w:val="bullet"/>
      <w:lvlText w:val=""/>
      <w:lvlJc w:val="left"/>
      <w:pPr>
        <w:ind w:left="4735" w:hanging="360"/>
      </w:pPr>
      <w:rPr>
        <w:rFonts w:ascii="Symbol" w:hAnsi="Symbol" w:hint="default"/>
      </w:rPr>
    </w:lvl>
    <w:lvl w:ilvl="7" w:tplc="041B0003" w:tentative="1">
      <w:start w:val="1"/>
      <w:numFmt w:val="bullet"/>
      <w:lvlText w:val="o"/>
      <w:lvlJc w:val="left"/>
      <w:pPr>
        <w:ind w:left="5455" w:hanging="360"/>
      </w:pPr>
      <w:rPr>
        <w:rFonts w:ascii="Courier New" w:hAnsi="Courier New" w:cs="Courier New" w:hint="default"/>
      </w:rPr>
    </w:lvl>
    <w:lvl w:ilvl="8" w:tplc="041B0005" w:tentative="1">
      <w:start w:val="1"/>
      <w:numFmt w:val="bullet"/>
      <w:lvlText w:val=""/>
      <w:lvlJc w:val="left"/>
      <w:pPr>
        <w:ind w:left="6175" w:hanging="360"/>
      </w:pPr>
      <w:rPr>
        <w:rFonts w:ascii="Wingdings" w:hAnsi="Wingdings" w:hint="default"/>
      </w:rPr>
    </w:lvl>
  </w:abstractNum>
  <w:abstractNum w:abstractNumId="22" w15:restartNumberingAfterBreak="0">
    <w:nsid w:val="4B6A5461"/>
    <w:multiLevelType w:val="hybridMultilevel"/>
    <w:tmpl w:val="FC341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4342D3"/>
    <w:multiLevelType w:val="multilevel"/>
    <w:tmpl w:val="5D144064"/>
    <w:lvl w:ilvl="0">
      <w:start w:val="1"/>
      <w:numFmt w:val="decimal"/>
      <w:lvlText w:val="%1"/>
      <w:lvlJc w:val="left"/>
      <w:pPr>
        <w:ind w:left="862" w:hanging="720"/>
      </w:pPr>
      <w:rPr>
        <w:rFonts w:ascii="Arial Narrow" w:hAnsi="Arial Narrow" w:hint="default"/>
        <w:color w:val="000000" w:themeColor="text1"/>
        <w:sz w:val="32"/>
      </w:rPr>
    </w:lvl>
    <w:lvl w:ilvl="1">
      <w:start w:val="1"/>
      <w:numFmt w:val="decimal"/>
      <w:lvlText w:val="%1.%2"/>
      <w:lvlJc w:val="left"/>
      <w:pPr>
        <w:ind w:left="720" w:hanging="720"/>
      </w:pPr>
      <w:rPr>
        <w:rFonts w:ascii="Arial Narrow" w:hAnsi="Arial Narrow" w:hint="default"/>
        <w:i w:val="0"/>
        <w:color w:val="2C9ADC"/>
        <w:sz w:val="32"/>
        <w:szCs w:val="28"/>
      </w:rPr>
    </w:lvl>
    <w:lvl w:ilvl="2">
      <w:start w:val="1"/>
      <w:numFmt w:val="decimal"/>
      <w:lvlText w:val="%1.%2.%3"/>
      <w:lvlJc w:val="left"/>
      <w:pPr>
        <w:ind w:left="862" w:hanging="720"/>
      </w:pPr>
      <w:rPr>
        <w:rFonts w:hint="default"/>
        <w:color w:val="2C9ADC"/>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5491DDA"/>
    <w:multiLevelType w:val="hybridMultilevel"/>
    <w:tmpl w:val="C8C85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B92945"/>
    <w:multiLevelType w:val="hybridMultilevel"/>
    <w:tmpl w:val="F1E8F74E"/>
    <w:lvl w:ilvl="0" w:tplc="0409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E2041C8"/>
    <w:multiLevelType w:val="hybridMultilevel"/>
    <w:tmpl w:val="D1D21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594960"/>
    <w:multiLevelType w:val="hybridMultilevel"/>
    <w:tmpl w:val="348C2A02"/>
    <w:lvl w:ilvl="0" w:tplc="0409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66034852"/>
    <w:multiLevelType w:val="hybridMultilevel"/>
    <w:tmpl w:val="87AC4F8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F04F03"/>
    <w:multiLevelType w:val="hybridMultilevel"/>
    <w:tmpl w:val="37BECB80"/>
    <w:lvl w:ilvl="0" w:tplc="37D2E486">
      <w:start w:val="1"/>
      <w:numFmt w:val="decimal"/>
      <w:lvlText w:val="%1."/>
      <w:lvlJc w:val="left"/>
      <w:pPr>
        <w:ind w:left="720" w:hanging="360"/>
      </w:pPr>
      <w:rPr>
        <w:rFonts w:cs="Times New Roman" w:hint="default"/>
        <w:b/>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EDC4733"/>
    <w:multiLevelType w:val="hybridMultilevel"/>
    <w:tmpl w:val="853CD0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99934D4"/>
    <w:multiLevelType w:val="hybridMultilevel"/>
    <w:tmpl w:val="F1FAB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6E2A3A"/>
    <w:multiLevelType w:val="hybridMultilevel"/>
    <w:tmpl w:val="4F0253BA"/>
    <w:lvl w:ilvl="0" w:tplc="04090001">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num w:numId="1">
    <w:abstractNumId w:val="23"/>
  </w:num>
  <w:num w:numId="2">
    <w:abstractNumId w:val="17"/>
  </w:num>
  <w:num w:numId="3">
    <w:abstractNumId w:val="29"/>
  </w:num>
  <w:num w:numId="4">
    <w:abstractNumId w:val="14"/>
  </w:num>
  <w:num w:numId="5">
    <w:abstractNumId w:val="24"/>
  </w:num>
  <w:num w:numId="6">
    <w:abstractNumId w:val="31"/>
  </w:num>
  <w:num w:numId="7">
    <w:abstractNumId w:val="7"/>
  </w:num>
  <w:num w:numId="8">
    <w:abstractNumId w:val="18"/>
  </w:num>
  <w:num w:numId="9">
    <w:abstractNumId w:val="11"/>
  </w:num>
  <w:num w:numId="10">
    <w:abstractNumId w:val="21"/>
  </w:num>
  <w:num w:numId="11">
    <w:abstractNumId w:val="19"/>
  </w:num>
  <w:num w:numId="12">
    <w:abstractNumId w:val="25"/>
  </w:num>
  <w:num w:numId="13">
    <w:abstractNumId w:val="10"/>
  </w:num>
  <w:num w:numId="14">
    <w:abstractNumId w:val="9"/>
  </w:num>
  <w:num w:numId="15">
    <w:abstractNumId w:val="27"/>
  </w:num>
  <w:num w:numId="16">
    <w:abstractNumId w:val="22"/>
  </w:num>
  <w:num w:numId="17">
    <w:abstractNumId w:val="32"/>
  </w:num>
  <w:num w:numId="18">
    <w:abstractNumId w:val="26"/>
  </w:num>
  <w:num w:numId="19">
    <w:abstractNumId w:val="8"/>
  </w:num>
  <w:num w:numId="20">
    <w:abstractNumId w:val="15"/>
  </w:num>
  <w:num w:numId="21">
    <w:abstractNumId w:val="30"/>
  </w:num>
  <w:num w:numId="22">
    <w:abstractNumId w:val="1"/>
  </w:num>
  <w:num w:numId="23">
    <w:abstractNumId w:val="3"/>
  </w:num>
  <w:num w:numId="24">
    <w:abstractNumId w:val="16"/>
  </w:num>
  <w:num w:numId="25">
    <w:abstractNumId w:val="12"/>
  </w:num>
  <w:num w:numId="26">
    <w:abstractNumId w:val="20"/>
  </w:num>
  <w:num w:numId="27">
    <w:abstractNumId w:val="2"/>
  </w:num>
  <w:num w:numId="28">
    <w:abstractNumId w:val="13"/>
  </w:num>
  <w:num w:numId="29">
    <w:abstractNumId w:val="5"/>
  </w:num>
  <w:num w:numId="30">
    <w:abstractNumId w:val="0"/>
  </w:num>
  <w:num w:numId="31">
    <w:abstractNumId w:val="6"/>
  </w:num>
  <w:num w:numId="32">
    <w:abstractNumId w:val="4"/>
  </w:num>
  <w:num w:numId="33">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o:colormru v:ext="edit" colors="#aab0f0,#aad3f2"/>
    </o:shapedefaults>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90"/>
    <w:rsid w:val="00000961"/>
    <w:rsid w:val="00001158"/>
    <w:rsid w:val="000015C5"/>
    <w:rsid w:val="00001707"/>
    <w:rsid w:val="00001DCC"/>
    <w:rsid w:val="000031DE"/>
    <w:rsid w:val="0000346B"/>
    <w:rsid w:val="000043EF"/>
    <w:rsid w:val="00005038"/>
    <w:rsid w:val="00005C28"/>
    <w:rsid w:val="00005FF8"/>
    <w:rsid w:val="00006361"/>
    <w:rsid w:val="00006BBA"/>
    <w:rsid w:val="00006C6C"/>
    <w:rsid w:val="00006C70"/>
    <w:rsid w:val="000071BD"/>
    <w:rsid w:val="00007C9E"/>
    <w:rsid w:val="0001026E"/>
    <w:rsid w:val="00010376"/>
    <w:rsid w:val="00010B55"/>
    <w:rsid w:val="00010B97"/>
    <w:rsid w:val="00011347"/>
    <w:rsid w:val="00011B56"/>
    <w:rsid w:val="00011E74"/>
    <w:rsid w:val="00012873"/>
    <w:rsid w:val="000133C6"/>
    <w:rsid w:val="000133D6"/>
    <w:rsid w:val="000134E7"/>
    <w:rsid w:val="00013966"/>
    <w:rsid w:val="00013C1A"/>
    <w:rsid w:val="00015B99"/>
    <w:rsid w:val="0001663A"/>
    <w:rsid w:val="000175C3"/>
    <w:rsid w:val="0002068C"/>
    <w:rsid w:val="000209F1"/>
    <w:rsid w:val="000214C8"/>
    <w:rsid w:val="0002209D"/>
    <w:rsid w:val="00022D42"/>
    <w:rsid w:val="00022D83"/>
    <w:rsid w:val="00023897"/>
    <w:rsid w:val="00023F78"/>
    <w:rsid w:val="00024019"/>
    <w:rsid w:val="00025ADA"/>
    <w:rsid w:val="00025C6C"/>
    <w:rsid w:val="00025E58"/>
    <w:rsid w:val="000261D8"/>
    <w:rsid w:val="000264E0"/>
    <w:rsid w:val="00026911"/>
    <w:rsid w:val="00026CE0"/>
    <w:rsid w:val="00027F56"/>
    <w:rsid w:val="00030137"/>
    <w:rsid w:val="000305C9"/>
    <w:rsid w:val="000305DB"/>
    <w:rsid w:val="00030778"/>
    <w:rsid w:val="000308C9"/>
    <w:rsid w:val="00030ECB"/>
    <w:rsid w:val="00030F8C"/>
    <w:rsid w:val="00031525"/>
    <w:rsid w:val="0003194C"/>
    <w:rsid w:val="00031AD5"/>
    <w:rsid w:val="0003220D"/>
    <w:rsid w:val="000324CC"/>
    <w:rsid w:val="00032B4C"/>
    <w:rsid w:val="00033ACF"/>
    <w:rsid w:val="00034158"/>
    <w:rsid w:val="00034335"/>
    <w:rsid w:val="00034648"/>
    <w:rsid w:val="000348FF"/>
    <w:rsid w:val="00035F6A"/>
    <w:rsid w:val="000362F9"/>
    <w:rsid w:val="000365EC"/>
    <w:rsid w:val="00036F9D"/>
    <w:rsid w:val="00037321"/>
    <w:rsid w:val="000373DD"/>
    <w:rsid w:val="000403F8"/>
    <w:rsid w:val="00040B43"/>
    <w:rsid w:val="00041175"/>
    <w:rsid w:val="000413A0"/>
    <w:rsid w:val="00041ACF"/>
    <w:rsid w:val="000424E1"/>
    <w:rsid w:val="00042B46"/>
    <w:rsid w:val="00043495"/>
    <w:rsid w:val="0004476D"/>
    <w:rsid w:val="00044C02"/>
    <w:rsid w:val="00045E9E"/>
    <w:rsid w:val="00046075"/>
    <w:rsid w:val="000462F7"/>
    <w:rsid w:val="000465A7"/>
    <w:rsid w:val="000468FA"/>
    <w:rsid w:val="00046A90"/>
    <w:rsid w:val="000470F1"/>
    <w:rsid w:val="000500A9"/>
    <w:rsid w:val="000503F6"/>
    <w:rsid w:val="000508A3"/>
    <w:rsid w:val="00050E74"/>
    <w:rsid w:val="0005111E"/>
    <w:rsid w:val="000515BE"/>
    <w:rsid w:val="00051A73"/>
    <w:rsid w:val="000520D0"/>
    <w:rsid w:val="00052327"/>
    <w:rsid w:val="0005470E"/>
    <w:rsid w:val="00054A81"/>
    <w:rsid w:val="00055A82"/>
    <w:rsid w:val="00055F0E"/>
    <w:rsid w:val="00056B69"/>
    <w:rsid w:val="00057013"/>
    <w:rsid w:val="000573D7"/>
    <w:rsid w:val="000579F0"/>
    <w:rsid w:val="00057EC5"/>
    <w:rsid w:val="0006043E"/>
    <w:rsid w:val="00060965"/>
    <w:rsid w:val="00060CE5"/>
    <w:rsid w:val="00060DAD"/>
    <w:rsid w:val="00060E8F"/>
    <w:rsid w:val="000612F8"/>
    <w:rsid w:val="00061367"/>
    <w:rsid w:val="00061E58"/>
    <w:rsid w:val="000623E1"/>
    <w:rsid w:val="00062912"/>
    <w:rsid w:val="00062ABA"/>
    <w:rsid w:val="00063E16"/>
    <w:rsid w:val="00064265"/>
    <w:rsid w:val="000646EB"/>
    <w:rsid w:val="00064E40"/>
    <w:rsid w:val="00065997"/>
    <w:rsid w:val="000659FE"/>
    <w:rsid w:val="00065E9D"/>
    <w:rsid w:val="00065F19"/>
    <w:rsid w:val="000663A0"/>
    <w:rsid w:val="00066EDA"/>
    <w:rsid w:val="0006726E"/>
    <w:rsid w:val="00067972"/>
    <w:rsid w:val="0007072A"/>
    <w:rsid w:val="000708CB"/>
    <w:rsid w:val="000709B3"/>
    <w:rsid w:val="0007105B"/>
    <w:rsid w:val="00071ACD"/>
    <w:rsid w:val="000730A6"/>
    <w:rsid w:val="0007338D"/>
    <w:rsid w:val="000734D5"/>
    <w:rsid w:val="000736A4"/>
    <w:rsid w:val="000747B1"/>
    <w:rsid w:val="00074EF8"/>
    <w:rsid w:val="00075430"/>
    <w:rsid w:val="00075480"/>
    <w:rsid w:val="000754CC"/>
    <w:rsid w:val="00075ADC"/>
    <w:rsid w:val="000765D0"/>
    <w:rsid w:val="000772CD"/>
    <w:rsid w:val="00080306"/>
    <w:rsid w:val="00080BCA"/>
    <w:rsid w:val="00080F4D"/>
    <w:rsid w:val="000814B7"/>
    <w:rsid w:val="0008210A"/>
    <w:rsid w:val="000821B0"/>
    <w:rsid w:val="00082B25"/>
    <w:rsid w:val="000833E4"/>
    <w:rsid w:val="00083F3C"/>
    <w:rsid w:val="0008453B"/>
    <w:rsid w:val="00084564"/>
    <w:rsid w:val="00084611"/>
    <w:rsid w:val="00084BF9"/>
    <w:rsid w:val="00084FF8"/>
    <w:rsid w:val="00085D06"/>
    <w:rsid w:val="000860FF"/>
    <w:rsid w:val="00086463"/>
    <w:rsid w:val="000866B7"/>
    <w:rsid w:val="00087473"/>
    <w:rsid w:val="00087B31"/>
    <w:rsid w:val="00087EA9"/>
    <w:rsid w:val="000909AE"/>
    <w:rsid w:val="00090E7D"/>
    <w:rsid w:val="000911DF"/>
    <w:rsid w:val="000912D6"/>
    <w:rsid w:val="00091329"/>
    <w:rsid w:val="00091950"/>
    <w:rsid w:val="00092683"/>
    <w:rsid w:val="0009304A"/>
    <w:rsid w:val="00093917"/>
    <w:rsid w:val="00093B9E"/>
    <w:rsid w:val="00093EA4"/>
    <w:rsid w:val="00094190"/>
    <w:rsid w:val="00094D9A"/>
    <w:rsid w:val="000951A6"/>
    <w:rsid w:val="000952A1"/>
    <w:rsid w:val="000955D3"/>
    <w:rsid w:val="00095A70"/>
    <w:rsid w:val="00095A73"/>
    <w:rsid w:val="000962B6"/>
    <w:rsid w:val="000964C3"/>
    <w:rsid w:val="00096F4E"/>
    <w:rsid w:val="00097144"/>
    <w:rsid w:val="00097191"/>
    <w:rsid w:val="000A00E3"/>
    <w:rsid w:val="000A072C"/>
    <w:rsid w:val="000A0BD4"/>
    <w:rsid w:val="000A2333"/>
    <w:rsid w:val="000A26A5"/>
    <w:rsid w:val="000A2A0F"/>
    <w:rsid w:val="000A2D7A"/>
    <w:rsid w:val="000A3265"/>
    <w:rsid w:val="000A33D6"/>
    <w:rsid w:val="000A3717"/>
    <w:rsid w:val="000A3D90"/>
    <w:rsid w:val="000A481C"/>
    <w:rsid w:val="000A4FAA"/>
    <w:rsid w:val="000A51F6"/>
    <w:rsid w:val="000A6220"/>
    <w:rsid w:val="000A638B"/>
    <w:rsid w:val="000A6982"/>
    <w:rsid w:val="000A6ACE"/>
    <w:rsid w:val="000A6C41"/>
    <w:rsid w:val="000A6E3E"/>
    <w:rsid w:val="000A7109"/>
    <w:rsid w:val="000A799B"/>
    <w:rsid w:val="000A7EC9"/>
    <w:rsid w:val="000B09CD"/>
    <w:rsid w:val="000B130E"/>
    <w:rsid w:val="000B1CF5"/>
    <w:rsid w:val="000B1E6E"/>
    <w:rsid w:val="000B1E9E"/>
    <w:rsid w:val="000B2F3B"/>
    <w:rsid w:val="000B3318"/>
    <w:rsid w:val="000B3611"/>
    <w:rsid w:val="000B3894"/>
    <w:rsid w:val="000B45C1"/>
    <w:rsid w:val="000B4A91"/>
    <w:rsid w:val="000B4C47"/>
    <w:rsid w:val="000B4FFE"/>
    <w:rsid w:val="000B6077"/>
    <w:rsid w:val="000B68F1"/>
    <w:rsid w:val="000B76D2"/>
    <w:rsid w:val="000B7AD8"/>
    <w:rsid w:val="000B7F76"/>
    <w:rsid w:val="000C02CB"/>
    <w:rsid w:val="000C0AAA"/>
    <w:rsid w:val="000C0EF7"/>
    <w:rsid w:val="000C11DD"/>
    <w:rsid w:val="000C1C82"/>
    <w:rsid w:val="000C33F7"/>
    <w:rsid w:val="000C3753"/>
    <w:rsid w:val="000C3A13"/>
    <w:rsid w:val="000C3BF3"/>
    <w:rsid w:val="000C3DFE"/>
    <w:rsid w:val="000C46BD"/>
    <w:rsid w:val="000C4F08"/>
    <w:rsid w:val="000C4F1B"/>
    <w:rsid w:val="000C5E31"/>
    <w:rsid w:val="000C6514"/>
    <w:rsid w:val="000C7929"/>
    <w:rsid w:val="000D0057"/>
    <w:rsid w:val="000D041D"/>
    <w:rsid w:val="000D27A0"/>
    <w:rsid w:val="000D2B0F"/>
    <w:rsid w:val="000D2B7F"/>
    <w:rsid w:val="000D3581"/>
    <w:rsid w:val="000D5399"/>
    <w:rsid w:val="000D6D9B"/>
    <w:rsid w:val="000D6DED"/>
    <w:rsid w:val="000D6F3A"/>
    <w:rsid w:val="000D74C0"/>
    <w:rsid w:val="000D7DF6"/>
    <w:rsid w:val="000D7E3E"/>
    <w:rsid w:val="000E039C"/>
    <w:rsid w:val="000E0B03"/>
    <w:rsid w:val="000E14E0"/>
    <w:rsid w:val="000E1CF7"/>
    <w:rsid w:val="000E2C71"/>
    <w:rsid w:val="000E3032"/>
    <w:rsid w:val="000E36E8"/>
    <w:rsid w:val="000E37E6"/>
    <w:rsid w:val="000E3AD1"/>
    <w:rsid w:val="000E3B91"/>
    <w:rsid w:val="000E3FA4"/>
    <w:rsid w:val="000E40D0"/>
    <w:rsid w:val="000E4170"/>
    <w:rsid w:val="000E4403"/>
    <w:rsid w:val="000E6129"/>
    <w:rsid w:val="000E6626"/>
    <w:rsid w:val="000E7D8D"/>
    <w:rsid w:val="000F0D64"/>
    <w:rsid w:val="000F0DC4"/>
    <w:rsid w:val="000F0E62"/>
    <w:rsid w:val="000F1066"/>
    <w:rsid w:val="000F12AF"/>
    <w:rsid w:val="000F19F6"/>
    <w:rsid w:val="000F1A3D"/>
    <w:rsid w:val="000F1B0C"/>
    <w:rsid w:val="000F26B2"/>
    <w:rsid w:val="000F2AAA"/>
    <w:rsid w:val="000F349D"/>
    <w:rsid w:val="000F368B"/>
    <w:rsid w:val="000F468F"/>
    <w:rsid w:val="000F50AC"/>
    <w:rsid w:val="000F539F"/>
    <w:rsid w:val="000F563E"/>
    <w:rsid w:val="000F5A37"/>
    <w:rsid w:val="000F6268"/>
    <w:rsid w:val="000F660C"/>
    <w:rsid w:val="000F666A"/>
    <w:rsid w:val="000F69DD"/>
    <w:rsid w:val="000F789B"/>
    <w:rsid w:val="000F79C5"/>
    <w:rsid w:val="000F7F7F"/>
    <w:rsid w:val="001015A7"/>
    <w:rsid w:val="00101908"/>
    <w:rsid w:val="001021DE"/>
    <w:rsid w:val="001024C8"/>
    <w:rsid w:val="00102998"/>
    <w:rsid w:val="00102A6C"/>
    <w:rsid w:val="00102A78"/>
    <w:rsid w:val="00102B75"/>
    <w:rsid w:val="0010300D"/>
    <w:rsid w:val="00103171"/>
    <w:rsid w:val="001039D1"/>
    <w:rsid w:val="0010477A"/>
    <w:rsid w:val="001060D6"/>
    <w:rsid w:val="00106671"/>
    <w:rsid w:val="00106EDB"/>
    <w:rsid w:val="00107059"/>
    <w:rsid w:val="001070A8"/>
    <w:rsid w:val="001076E6"/>
    <w:rsid w:val="001102E9"/>
    <w:rsid w:val="0011049E"/>
    <w:rsid w:val="0011050C"/>
    <w:rsid w:val="00110692"/>
    <w:rsid w:val="001107F5"/>
    <w:rsid w:val="00110985"/>
    <w:rsid w:val="00110B06"/>
    <w:rsid w:val="00113202"/>
    <w:rsid w:val="0011386F"/>
    <w:rsid w:val="0011491B"/>
    <w:rsid w:val="00114DC9"/>
    <w:rsid w:val="00115449"/>
    <w:rsid w:val="00116E9B"/>
    <w:rsid w:val="00116F6B"/>
    <w:rsid w:val="00116FA9"/>
    <w:rsid w:val="00116FBC"/>
    <w:rsid w:val="0011791C"/>
    <w:rsid w:val="00117C3F"/>
    <w:rsid w:val="00120C7C"/>
    <w:rsid w:val="00121B28"/>
    <w:rsid w:val="00122DB9"/>
    <w:rsid w:val="00122FE3"/>
    <w:rsid w:val="001236FB"/>
    <w:rsid w:val="0012420E"/>
    <w:rsid w:val="00124416"/>
    <w:rsid w:val="00124670"/>
    <w:rsid w:val="00124EA9"/>
    <w:rsid w:val="00125F00"/>
    <w:rsid w:val="00126AD9"/>
    <w:rsid w:val="00126DE2"/>
    <w:rsid w:val="001278A7"/>
    <w:rsid w:val="00127B19"/>
    <w:rsid w:val="00127F03"/>
    <w:rsid w:val="00130154"/>
    <w:rsid w:val="001305E5"/>
    <w:rsid w:val="00130743"/>
    <w:rsid w:val="00130902"/>
    <w:rsid w:val="00130E65"/>
    <w:rsid w:val="00132156"/>
    <w:rsid w:val="001324D7"/>
    <w:rsid w:val="00132EA3"/>
    <w:rsid w:val="00132F44"/>
    <w:rsid w:val="00132FAB"/>
    <w:rsid w:val="0013305E"/>
    <w:rsid w:val="0013368C"/>
    <w:rsid w:val="00133B20"/>
    <w:rsid w:val="00134ACA"/>
    <w:rsid w:val="00134CFC"/>
    <w:rsid w:val="001365C0"/>
    <w:rsid w:val="001368D8"/>
    <w:rsid w:val="00140026"/>
    <w:rsid w:val="001406E3"/>
    <w:rsid w:val="001407DD"/>
    <w:rsid w:val="00141232"/>
    <w:rsid w:val="0014146E"/>
    <w:rsid w:val="0014252E"/>
    <w:rsid w:val="0014323C"/>
    <w:rsid w:val="001439D0"/>
    <w:rsid w:val="00143CA6"/>
    <w:rsid w:val="00144E03"/>
    <w:rsid w:val="00144E54"/>
    <w:rsid w:val="0014531C"/>
    <w:rsid w:val="0014586B"/>
    <w:rsid w:val="00145944"/>
    <w:rsid w:val="00146090"/>
    <w:rsid w:val="00146150"/>
    <w:rsid w:val="001466F9"/>
    <w:rsid w:val="0014692E"/>
    <w:rsid w:val="00146AC9"/>
    <w:rsid w:val="00146CE4"/>
    <w:rsid w:val="00146E14"/>
    <w:rsid w:val="001474F4"/>
    <w:rsid w:val="00147848"/>
    <w:rsid w:val="00147879"/>
    <w:rsid w:val="001479A1"/>
    <w:rsid w:val="00147DC3"/>
    <w:rsid w:val="00150056"/>
    <w:rsid w:val="00150A83"/>
    <w:rsid w:val="00150B00"/>
    <w:rsid w:val="00151055"/>
    <w:rsid w:val="00151CBC"/>
    <w:rsid w:val="00151D9D"/>
    <w:rsid w:val="00151F5D"/>
    <w:rsid w:val="0015322E"/>
    <w:rsid w:val="0015337A"/>
    <w:rsid w:val="0015387A"/>
    <w:rsid w:val="00153D27"/>
    <w:rsid w:val="00153FA0"/>
    <w:rsid w:val="00154031"/>
    <w:rsid w:val="00154033"/>
    <w:rsid w:val="001549DB"/>
    <w:rsid w:val="001558BF"/>
    <w:rsid w:val="00155A83"/>
    <w:rsid w:val="00155BF8"/>
    <w:rsid w:val="0015634D"/>
    <w:rsid w:val="00156398"/>
    <w:rsid w:val="00156493"/>
    <w:rsid w:val="00156B2A"/>
    <w:rsid w:val="001579AE"/>
    <w:rsid w:val="001600D7"/>
    <w:rsid w:val="00160626"/>
    <w:rsid w:val="0016140B"/>
    <w:rsid w:val="00161801"/>
    <w:rsid w:val="00162092"/>
    <w:rsid w:val="00162B12"/>
    <w:rsid w:val="00162BAB"/>
    <w:rsid w:val="00162C8E"/>
    <w:rsid w:val="00162F2D"/>
    <w:rsid w:val="0016307C"/>
    <w:rsid w:val="00163D6B"/>
    <w:rsid w:val="001659FC"/>
    <w:rsid w:val="00165C4E"/>
    <w:rsid w:val="00166B99"/>
    <w:rsid w:val="0016704B"/>
    <w:rsid w:val="001670D3"/>
    <w:rsid w:val="00167798"/>
    <w:rsid w:val="001702DA"/>
    <w:rsid w:val="001702E1"/>
    <w:rsid w:val="00170942"/>
    <w:rsid w:val="00171805"/>
    <w:rsid w:val="00171ACB"/>
    <w:rsid w:val="001726B9"/>
    <w:rsid w:val="00172710"/>
    <w:rsid w:val="00173711"/>
    <w:rsid w:val="001742EE"/>
    <w:rsid w:val="0017456C"/>
    <w:rsid w:val="00175AF1"/>
    <w:rsid w:val="00175B64"/>
    <w:rsid w:val="00175CF7"/>
    <w:rsid w:val="00176FEA"/>
    <w:rsid w:val="00177483"/>
    <w:rsid w:val="001778E1"/>
    <w:rsid w:val="00177D93"/>
    <w:rsid w:val="00180F9C"/>
    <w:rsid w:val="00181239"/>
    <w:rsid w:val="00181BB4"/>
    <w:rsid w:val="00181DFC"/>
    <w:rsid w:val="00182A77"/>
    <w:rsid w:val="00182C88"/>
    <w:rsid w:val="00182CBE"/>
    <w:rsid w:val="00183662"/>
    <w:rsid w:val="00183EE7"/>
    <w:rsid w:val="00185190"/>
    <w:rsid w:val="0018596C"/>
    <w:rsid w:val="00185D3C"/>
    <w:rsid w:val="00185F1C"/>
    <w:rsid w:val="00186486"/>
    <w:rsid w:val="001872D0"/>
    <w:rsid w:val="00187712"/>
    <w:rsid w:val="0019085B"/>
    <w:rsid w:val="00191843"/>
    <w:rsid w:val="00191D34"/>
    <w:rsid w:val="0019222E"/>
    <w:rsid w:val="001928F9"/>
    <w:rsid w:val="00192B7E"/>
    <w:rsid w:val="00192EC2"/>
    <w:rsid w:val="00194344"/>
    <w:rsid w:val="001943A3"/>
    <w:rsid w:val="00194816"/>
    <w:rsid w:val="0019540B"/>
    <w:rsid w:val="00196D28"/>
    <w:rsid w:val="001972B7"/>
    <w:rsid w:val="001977C1"/>
    <w:rsid w:val="00197973"/>
    <w:rsid w:val="001A1634"/>
    <w:rsid w:val="001A1687"/>
    <w:rsid w:val="001A1886"/>
    <w:rsid w:val="001A1A86"/>
    <w:rsid w:val="001A1E0C"/>
    <w:rsid w:val="001A1E3B"/>
    <w:rsid w:val="001A222B"/>
    <w:rsid w:val="001A2AC3"/>
    <w:rsid w:val="001A47F5"/>
    <w:rsid w:val="001A50A0"/>
    <w:rsid w:val="001A64A9"/>
    <w:rsid w:val="001A6530"/>
    <w:rsid w:val="001A677B"/>
    <w:rsid w:val="001A7799"/>
    <w:rsid w:val="001B04A1"/>
    <w:rsid w:val="001B1A52"/>
    <w:rsid w:val="001B1E31"/>
    <w:rsid w:val="001B2ABF"/>
    <w:rsid w:val="001B2ED2"/>
    <w:rsid w:val="001B33E9"/>
    <w:rsid w:val="001B351B"/>
    <w:rsid w:val="001B45C6"/>
    <w:rsid w:val="001B4951"/>
    <w:rsid w:val="001B4B09"/>
    <w:rsid w:val="001B5E46"/>
    <w:rsid w:val="001B5ED3"/>
    <w:rsid w:val="001B69DD"/>
    <w:rsid w:val="001B7859"/>
    <w:rsid w:val="001C023E"/>
    <w:rsid w:val="001C0473"/>
    <w:rsid w:val="001C0614"/>
    <w:rsid w:val="001C1205"/>
    <w:rsid w:val="001C1AE0"/>
    <w:rsid w:val="001C1AFB"/>
    <w:rsid w:val="001C1B23"/>
    <w:rsid w:val="001C286D"/>
    <w:rsid w:val="001C2E48"/>
    <w:rsid w:val="001C361C"/>
    <w:rsid w:val="001C38C5"/>
    <w:rsid w:val="001C445F"/>
    <w:rsid w:val="001C577B"/>
    <w:rsid w:val="001C5E2B"/>
    <w:rsid w:val="001C5F40"/>
    <w:rsid w:val="001C6F9B"/>
    <w:rsid w:val="001C7441"/>
    <w:rsid w:val="001C77D5"/>
    <w:rsid w:val="001D04F0"/>
    <w:rsid w:val="001D09ED"/>
    <w:rsid w:val="001D0C4F"/>
    <w:rsid w:val="001D17C9"/>
    <w:rsid w:val="001D24EA"/>
    <w:rsid w:val="001D25A0"/>
    <w:rsid w:val="001D2D31"/>
    <w:rsid w:val="001D2FD3"/>
    <w:rsid w:val="001D369A"/>
    <w:rsid w:val="001D3DE0"/>
    <w:rsid w:val="001D4883"/>
    <w:rsid w:val="001D4E8C"/>
    <w:rsid w:val="001D50E2"/>
    <w:rsid w:val="001D545D"/>
    <w:rsid w:val="001D643C"/>
    <w:rsid w:val="001D67AE"/>
    <w:rsid w:val="001D7426"/>
    <w:rsid w:val="001D7687"/>
    <w:rsid w:val="001D7970"/>
    <w:rsid w:val="001D7E06"/>
    <w:rsid w:val="001E0231"/>
    <w:rsid w:val="001E052B"/>
    <w:rsid w:val="001E0725"/>
    <w:rsid w:val="001E1438"/>
    <w:rsid w:val="001E14BE"/>
    <w:rsid w:val="001E2289"/>
    <w:rsid w:val="001E2483"/>
    <w:rsid w:val="001E36DB"/>
    <w:rsid w:val="001E39D2"/>
    <w:rsid w:val="001E40C3"/>
    <w:rsid w:val="001E4230"/>
    <w:rsid w:val="001E4231"/>
    <w:rsid w:val="001E45C1"/>
    <w:rsid w:val="001E47AE"/>
    <w:rsid w:val="001E48BF"/>
    <w:rsid w:val="001E4EEA"/>
    <w:rsid w:val="001E55D9"/>
    <w:rsid w:val="001E5675"/>
    <w:rsid w:val="001E65F0"/>
    <w:rsid w:val="001E6BBC"/>
    <w:rsid w:val="001E6ED6"/>
    <w:rsid w:val="001E7B15"/>
    <w:rsid w:val="001F01E9"/>
    <w:rsid w:val="001F0201"/>
    <w:rsid w:val="001F0607"/>
    <w:rsid w:val="001F0673"/>
    <w:rsid w:val="001F0913"/>
    <w:rsid w:val="001F0CD6"/>
    <w:rsid w:val="001F0E7E"/>
    <w:rsid w:val="001F200B"/>
    <w:rsid w:val="001F25B5"/>
    <w:rsid w:val="001F3954"/>
    <w:rsid w:val="001F3F5B"/>
    <w:rsid w:val="001F3FBE"/>
    <w:rsid w:val="001F45AB"/>
    <w:rsid w:val="001F4990"/>
    <w:rsid w:val="001F52D9"/>
    <w:rsid w:val="001F5585"/>
    <w:rsid w:val="001F5AE8"/>
    <w:rsid w:val="001F61AE"/>
    <w:rsid w:val="001F65A2"/>
    <w:rsid w:val="001F6649"/>
    <w:rsid w:val="001F760C"/>
    <w:rsid w:val="001F7951"/>
    <w:rsid w:val="001F7E0D"/>
    <w:rsid w:val="00200CEA"/>
    <w:rsid w:val="00200E58"/>
    <w:rsid w:val="0020129A"/>
    <w:rsid w:val="0020205D"/>
    <w:rsid w:val="002026F6"/>
    <w:rsid w:val="00202B98"/>
    <w:rsid w:val="00202DC2"/>
    <w:rsid w:val="00202E76"/>
    <w:rsid w:val="00203A1A"/>
    <w:rsid w:val="00203B68"/>
    <w:rsid w:val="00204701"/>
    <w:rsid w:val="00204785"/>
    <w:rsid w:val="00204D8B"/>
    <w:rsid w:val="0020546D"/>
    <w:rsid w:val="002059B6"/>
    <w:rsid w:val="002067DA"/>
    <w:rsid w:val="002067EC"/>
    <w:rsid w:val="00206A4D"/>
    <w:rsid w:val="00206C6D"/>
    <w:rsid w:val="0020791E"/>
    <w:rsid w:val="00207C98"/>
    <w:rsid w:val="002102D0"/>
    <w:rsid w:val="00210DAC"/>
    <w:rsid w:val="00211BA1"/>
    <w:rsid w:val="00212056"/>
    <w:rsid w:val="0021282F"/>
    <w:rsid w:val="0021339F"/>
    <w:rsid w:val="002137CB"/>
    <w:rsid w:val="00213EF8"/>
    <w:rsid w:val="0021448C"/>
    <w:rsid w:val="00214ADF"/>
    <w:rsid w:val="00215CB3"/>
    <w:rsid w:val="002160FF"/>
    <w:rsid w:val="0021675E"/>
    <w:rsid w:val="00216A4C"/>
    <w:rsid w:val="00216E03"/>
    <w:rsid w:val="0021710F"/>
    <w:rsid w:val="00217949"/>
    <w:rsid w:val="00217D99"/>
    <w:rsid w:val="002209A5"/>
    <w:rsid w:val="002211F6"/>
    <w:rsid w:val="002213A3"/>
    <w:rsid w:val="00221595"/>
    <w:rsid w:val="0022327A"/>
    <w:rsid w:val="0022348C"/>
    <w:rsid w:val="00223DB2"/>
    <w:rsid w:val="00224B31"/>
    <w:rsid w:val="002252C5"/>
    <w:rsid w:val="00225793"/>
    <w:rsid w:val="00225B0E"/>
    <w:rsid w:val="00225F9C"/>
    <w:rsid w:val="002262E8"/>
    <w:rsid w:val="00227310"/>
    <w:rsid w:val="0022753C"/>
    <w:rsid w:val="00227691"/>
    <w:rsid w:val="002301F5"/>
    <w:rsid w:val="0023101E"/>
    <w:rsid w:val="00231073"/>
    <w:rsid w:val="00231635"/>
    <w:rsid w:val="002324A5"/>
    <w:rsid w:val="0023342D"/>
    <w:rsid w:val="00234507"/>
    <w:rsid w:val="002346A3"/>
    <w:rsid w:val="00235884"/>
    <w:rsid w:val="00235ABF"/>
    <w:rsid w:val="00236679"/>
    <w:rsid w:val="002366E9"/>
    <w:rsid w:val="0023785C"/>
    <w:rsid w:val="00237986"/>
    <w:rsid w:val="00240526"/>
    <w:rsid w:val="00241033"/>
    <w:rsid w:val="00241FFB"/>
    <w:rsid w:val="0024555A"/>
    <w:rsid w:val="00245598"/>
    <w:rsid w:val="0024609F"/>
    <w:rsid w:val="00246A51"/>
    <w:rsid w:val="00247222"/>
    <w:rsid w:val="002475AE"/>
    <w:rsid w:val="00247DE0"/>
    <w:rsid w:val="00247ED1"/>
    <w:rsid w:val="00250A82"/>
    <w:rsid w:val="00251A17"/>
    <w:rsid w:val="00251B4E"/>
    <w:rsid w:val="002525FE"/>
    <w:rsid w:val="00252C47"/>
    <w:rsid w:val="0025333D"/>
    <w:rsid w:val="002541A3"/>
    <w:rsid w:val="00254355"/>
    <w:rsid w:val="002549AE"/>
    <w:rsid w:val="00254BBD"/>
    <w:rsid w:val="0025503E"/>
    <w:rsid w:val="002551BF"/>
    <w:rsid w:val="002555AF"/>
    <w:rsid w:val="002558E0"/>
    <w:rsid w:val="0025596E"/>
    <w:rsid w:val="00255F40"/>
    <w:rsid w:val="002560DF"/>
    <w:rsid w:val="00256320"/>
    <w:rsid w:val="00256577"/>
    <w:rsid w:val="00256D89"/>
    <w:rsid w:val="002601F6"/>
    <w:rsid w:val="00260C1F"/>
    <w:rsid w:val="00262982"/>
    <w:rsid w:val="00262A00"/>
    <w:rsid w:val="00262B5B"/>
    <w:rsid w:val="00262B76"/>
    <w:rsid w:val="00263790"/>
    <w:rsid w:val="0026414F"/>
    <w:rsid w:val="00264948"/>
    <w:rsid w:val="002652B5"/>
    <w:rsid w:val="002653C3"/>
    <w:rsid w:val="00265689"/>
    <w:rsid w:val="00265EC1"/>
    <w:rsid w:val="00266015"/>
    <w:rsid w:val="00266CCA"/>
    <w:rsid w:val="00267167"/>
    <w:rsid w:val="00270576"/>
    <w:rsid w:val="00270D45"/>
    <w:rsid w:val="00271900"/>
    <w:rsid w:val="0027263A"/>
    <w:rsid w:val="00272FB8"/>
    <w:rsid w:val="00274185"/>
    <w:rsid w:val="0027447E"/>
    <w:rsid w:val="00274E49"/>
    <w:rsid w:val="00274F46"/>
    <w:rsid w:val="00275758"/>
    <w:rsid w:val="00275AE5"/>
    <w:rsid w:val="00275FB1"/>
    <w:rsid w:val="00276257"/>
    <w:rsid w:val="002766E1"/>
    <w:rsid w:val="00276CF6"/>
    <w:rsid w:val="002774BD"/>
    <w:rsid w:val="002779A0"/>
    <w:rsid w:val="00277C7B"/>
    <w:rsid w:val="0028067C"/>
    <w:rsid w:val="00280AB6"/>
    <w:rsid w:val="00281053"/>
    <w:rsid w:val="002812C0"/>
    <w:rsid w:val="0028136A"/>
    <w:rsid w:val="00281D8F"/>
    <w:rsid w:val="002824ED"/>
    <w:rsid w:val="002828AB"/>
    <w:rsid w:val="00282D89"/>
    <w:rsid w:val="0028324C"/>
    <w:rsid w:val="0028441F"/>
    <w:rsid w:val="00284768"/>
    <w:rsid w:val="0028478D"/>
    <w:rsid w:val="00284FA2"/>
    <w:rsid w:val="00284FFE"/>
    <w:rsid w:val="00285AC3"/>
    <w:rsid w:val="002865F5"/>
    <w:rsid w:val="00286626"/>
    <w:rsid w:val="0028691A"/>
    <w:rsid w:val="00286DC6"/>
    <w:rsid w:val="00290A46"/>
    <w:rsid w:val="00290A81"/>
    <w:rsid w:val="00291060"/>
    <w:rsid w:val="00291D63"/>
    <w:rsid w:val="00291EA7"/>
    <w:rsid w:val="002925D5"/>
    <w:rsid w:val="00292821"/>
    <w:rsid w:val="002940AA"/>
    <w:rsid w:val="0029450F"/>
    <w:rsid w:val="0029476C"/>
    <w:rsid w:val="00294971"/>
    <w:rsid w:val="0029582C"/>
    <w:rsid w:val="00295A6E"/>
    <w:rsid w:val="00297153"/>
    <w:rsid w:val="00297AED"/>
    <w:rsid w:val="002A0366"/>
    <w:rsid w:val="002A0AAC"/>
    <w:rsid w:val="002A1264"/>
    <w:rsid w:val="002A126D"/>
    <w:rsid w:val="002A1DD2"/>
    <w:rsid w:val="002A2E62"/>
    <w:rsid w:val="002A3694"/>
    <w:rsid w:val="002A370C"/>
    <w:rsid w:val="002A4147"/>
    <w:rsid w:val="002A4439"/>
    <w:rsid w:val="002A5915"/>
    <w:rsid w:val="002A5AAD"/>
    <w:rsid w:val="002A6B37"/>
    <w:rsid w:val="002A6C97"/>
    <w:rsid w:val="002A7E1C"/>
    <w:rsid w:val="002B00D2"/>
    <w:rsid w:val="002B02A0"/>
    <w:rsid w:val="002B0771"/>
    <w:rsid w:val="002B1701"/>
    <w:rsid w:val="002B1B41"/>
    <w:rsid w:val="002B21C9"/>
    <w:rsid w:val="002B23AA"/>
    <w:rsid w:val="002B2F6D"/>
    <w:rsid w:val="002B2FF1"/>
    <w:rsid w:val="002B3240"/>
    <w:rsid w:val="002B394A"/>
    <w:rsid w:val="002B45B3"/>
    <w:rsid w:val="002B4B33"/>
    <w:rsid w:val="002B504E"/>
    <w:rsid w:val="002B63CD"/>
    <w:rsid w:val="002B64E0"/>
    <w:rsid w:val="002B6B01"/>
    <w:rsid w:val="002B7245"/>
    <w:rsid w:val="002B79C4"/>
    <w:rsid w:val="002C01F7"/>
    <w:rsid w:val="002C0A77"/>
    <w:rsid w:val="002C107A"/>
    <w:rsid w:val="002C10A4"/>
    <w:rsid w:val="002C1750"/>
    <w:rsid w:val="002C1777"/>
    <w:rsid w:val="002C260F"/>
    <w:rsid w:val="002C374C"/>
    <w:rsid w:val="002C3810"/>
    <w:rsid w:val="002C39C8"/>
    <w:rsid w:val="002C3E7B"/>
    <w:rsid w:val="002C473B"/>
    <w:rsid w:val="002C47C3"/>
    <w:rsid w:val="002C47F4"/>
    <w:rsid w:val="002C49C6"/>
    <w:rsid w:val="002C4DC3"/>
    <w:rsid w:val="002C5755"/>
    <w:rsid w:val="002C5B82"/>
    <w:rsid w:val="002C6C02"/>
    <w:rsid w:val="002C70E4"/>
    <w:rsid w:val="002C7916"/>
    <w:rsid w:val="002C7AF1"/>
    <w:rsid w:val="002C7D4B"/>
    <w:rsid w:val="002D0382"/>
    <w:rsid w:val="002D2287"/>
    <w:rsid w:val="002D275A"/>
    <w:rsid w:val="002D2BC0"/>
    <w:rsid w:val="002D3598"/>
    <w:rsid w:val="002D3B28"/>
    <w:rsid w:val="002D4698"/>
    <w:rsid w:val="002D496C"/>
    <w:rsid w:val="002D5610"/>
    <w:rsid w:val="002D5D45"/>
    <w:rsid w:val="002D67D6"/>
    <w:rsid w:val="002D6C20"/>
    <w:rsid w:val="002D6C6C"/>
    <w:rsid w:val="002D7A42"/>
    <w:rsid w:val="002D7A73"/>
    <w:rsid w:val="002E0225"/>
    <w:rsid w:val="002E0B35"/>
    <w:rsid w:val="002E0EF5"/>
    <w:rsid w:val="002E1B25"/>
    <w:rsid w:val="002E1BD8"/>
    <w:rsid w:val="002E24DF"/>
    <w:rsid w:val="002E2A8D"/>
    <w:rsid w:val="002E2D4D"/>
    <w:rsid w:val="002E31F3"/>
    <w:rsid w:val="002E38AD"/>
    <w:rsid w:val="002E3C39"/>
    <w:rsid w:val="002E3E04"/>
    <w:rsid w:val="002E401E"/>
    <w:rsid w:val="002E5A81"/>
    <w:rsid w:val="002E5F30"/>
    <w:rsid w:val="002E6348"/>
    <w:rsid w:val="002E6783"/>
    <w:rsid w:val="002E68A6"/>
    <w:rsid w:val="002F0493"/>
    <w:rsid w:val="002F077D"/>
    <w:rsid w:val="002F14FF"/>
    <w:rsid w:val="002F1592"/>
    <w:rsid w:val="002F16F2"/>
    <w:rsid w:val="002F2110"/>
    <w:rsid w:val="002F2397"/>
    <w:rsid w:val="002F2588"/>
    <w:rsid w:val="002F2611"/>
    <w:rsid w:val="002F2F0A"/>
    <w:rsid w:val="002F36E6"/>
    <w:rsid w:val="002F3DEF"/>
    <w:rsid w:val="002F43F0"/>
    <w:rsid w:val="002F45A1"/>
    <w:rsid w:val="002F4AF8"/>
    <w:rsid w:val="002F57B5"/>
    <w:rsid w:val="002F5C4A"/>
    <w:rsid w:val="002F6048"/>
    <w:rsid w:val="002F65B6"/>
    <w:rsid w:val="0030060A"/>
    <w:rsid w:val="003014C4"/>
    <w:rsid w:val="003018E3"/>
    <w:rsid w:val="00301A11"/>
    <w:rsid w:val="00301B71"/>
    <w:rsid w:val="00302B42"/>
    <w:rsid w:val="00302C5E"/>
    <w:rsid w:val="0030322A"/>
    <w:rsid w:val="0030389D"/>
    <w:rsid w:val="00303A6E"/>
    <w:rsid w:val="00303E1F"/>
    <w:rsid w:val="003049E2"/>
    <w:rsid w:val="003058EF"/>
    <w:rsid w:val="0030590F"/>
    <w:rsid w:val="00306734"/>
    <w:rsid w:val="003074A0"/>
    <w:rsid w:val="0031049D"/>
    <w:rsid w:val="0031055E"/>
    <w:rsid w:val="0031068E"/>
    <w:rsid w:val="003111BC"/>
    <w:rsid w:val="003113FD"/>
    <w:rsid w:val="0031176A"/>
    <w:rsid w:val="00311CAA"/>
    <w:rsid w:val="0031219D"/>
    <w:rsid w:val="00313A54"/>
    <w:rsid w:val="0031405B"/>
    <w:rsid w:val="0031456A"/>
    <w:rsid w:val="0031481B"/>
    <w:rsid w:val="003148DB"/>
    <w:rsid w:val="00315407"/>
    <w:rsid w:val="00315573"/>
    <w:rsid w:val="00315673"/>
    <w:rsid w:val="00315BE3"/>
    <w:rsid w:val="00315CED"/>
    <w:rsid w:val="003163BB"/>
    <w:rsid w:val="0031674C"/>
    <w:rsid w:val="00316834"/>
    <w:rsid w:val="003176AD"/>
    <w:rsid w:val="00317729"/>
    <w:rsid w:val="0032006F"/>
    <w:rsid w:val="00320461"/>
    <w:rsid w:val="00320AC6"/>
    <w:rsid w:val="00320BE6"/>
    <w:rsid w:val="0032199C"/>
    <w:rsid w:val="003230E8"/>
    <w:rsid w:val="0032482E"/>
    <w:rsid w:val="00324C7C"/>
    <w:rsid w:val="0032595C"/>
    <w:rsid w:val="00325DCC"/>
    <w:rsid w:val="00326C05"/>
    <w:rsid w:val="0032740B"/>
    <w:rsid w:val="0033045A"/>
    <w:rsid w:val="00331CDB"/>
    <w:rsid w:val="0033288C"/>
    <w:rsid w:val="00333877"/>
    <w:rsid w:val="00334F8E"/>
    <w:rsid w:val="00335639"/>
    <w:rsid w:val="003356DB"/>
    <w:rsid w:val="00335FD1"/>
    <w:rsid w:val="00336472"/>
    <w:rsid w:val="00336546"/>
    <w:rsid w:val="003366FF"/>
    <w:rsid w:val="003367EA"/>
    <w:rsid w:val="00336A31"/>
    <w:rsid w:val="00336F2A"/>
    <w:rsid w:val="0033710E"/>
    <w:rsid w:val="00337DB6"/>
    <w:rsid w:val="003406AA"/>
    <w:rsid w:val="00340BC9"/>
    <w:rsid w:val="00340CF1"/>
    <w:rsid w:val="00341151"/>
    <w:rsid w:val="003412C5"/>
    <w:rsid w:val="00341C2C"/>
    <w:rsid w:val="00342E82"/>
    <w:rsid w:val="0034316E"/>
    <w:rsid w:val="003431B1"/>
    <w:rsid w:val="00344844"/>
    <w:rsid w:val="00344D22"/>
    <w:rsid w:val="00344F85"/>
    <w:rsid w:val="00345215"/>
    <w:rsid w:val="00345703"/>
    <w:rsid w:val="00345D3F"/>
    <w:rsid w:val="003469ED"/>
    <w:rsid w:val="0034716F"/>
    <w:rsid w:val="00350AB7"/>
    <w:rsid w:val="00350B7B"/>
    <w:rsid w:val="003514C2"/>
    <w:rsid w:val="00352876"/>
    <w:rsid w:val="00352AA3"/>
    <w:rsid w:val="00352AEF"/>
    <w:rsid w:val="00353068"/>
    <w:rsid w:val="0035343A"/>
    <w:rsid w:val="003545DE"/>
    <w:rsid w:val="00354B7A"/>
    <w:rsid w:val="00355240"/>
    <w:rsid w:val="00355DA3"/>
    <w:rsid w:val="00356AB5"/>
    <w:rsid w:val="00356E52"/>
    <w:rsid w:val="00357F92"/>
    <w:rsid w:val="00360ED7"/>
    <w:rsid w:val="00360FD8"/>
    <w:rsid w:val="00361354"/>
    <w:rsid w:val="0036152C"/>
    <w:rsid w:val="00361E4D"/>
    <w:rsid w:val="00362ACB"/>
    <w:rsid w:val="00362E13"/>
    <w:rsid w:val="00362F60"/>
    <w:rsid w:val="00363E0A"/>
    <w:rsid w:val="003642AC"/>
    <w:rsid w:val="00364428"/>
    <w:rsid w:val="003648B9"/>
    <w:rsid w:val="00364A3D"/>
    <w:rsid w:val="00365506"/>
    <w:rsid w:val="00365602"/>
    <w:rsid w:val="003658BF"/>
    <w:rsid w:val="00365F31"/>
    <w:rsid w:val="00366843"/>
    <w:rsid w:val="00366C55"/>
    <w:rsid w:val="00366D4B"/>
    <w:rsid w:val="00366FCA"/>
    <w:rsid w:val="0037007E"/>
    <w:rsid w:val="00370278"/>
    <w:rsid w:val="003703BB"/>
    <w:rsid w:val="00370944"/>
    <w:rsid w:val="00370BDB"/>
    <w:rsid w:val="00370FB9"/>
    <w:rsid w:val="00371E4A"/>
    <w:rsid w:val="0037212B"/>
    <w:rsid w:val="003727C2"/>
    <w:rsid w:val="003738D6"/>
    <w:rsid w:val="00373D11"/>
    <w:rsid w:val="00374194"/>
    <w:rsid w:val="00375113"/>
    <w:rsid w:val="003752AF"/>
    <w:rsid w:val="00375615"/>
    <w:rsid w:val="00375A58"/>
    <w:rsid w:val="00375C2A"/>
    <w:rsid w:val="0037629A"/>
    <w:rsid w:val="00376C9D"/>
    <w:rsid w:val="00376F85"/>
    <w:rsid w:val="003772D2"/>
    <w:rsid w:val="00380FAB"/>
    <w:rsid w:val="00381F4E"/>
    <w:rsid w:val="00382C2D"/>
    <w:rsid w:val="00382F05"/>
    <w:rsid w:val="00383E73"/>
    <w:rsid w:val="00384144"/>
    <w:rsid w:val="00385426"/>
    <w:rsid w:val="003857D3"/>
    <w:rsid w:val="003859F1"/>
    <w:rsid w:val="00386828"/>
    <w:rsid w:val="00386D80"/>
    <w:rsid w:val="0038741B"/>
    <w:rsid w:val="003874F2"/>
    <w:rsid w:val="00390004"/>
    <w:rsid w:val="003900B5"/>
    <w:rsid w:val="003900F5"/>
    <w:rsid w:val="00390BCE"/>
    <w:rsid w:val="00390FD6"/>
    <w:rsid w:val="00391D78"/>
    <w:rsid w:val="003933A8"/>
    <w:rsid w:val="00393ADE"/>
    <w:rsid w:val="00393D73"/>
    <w:rsid w:val="00393DAB"/>
    <w:rsid w:val="0039463D"/>
    <w:rsid w:val="00394942"/>
    <w:rsid w:val="00394C53"/>
    <w:rsid w:val="00395962"/>
    <w:rsid w:val="00396087"/>
    <w:rsid w:val="003968A5"/>
    <w:rsid w:val="00396A55"/>
    <w:rsid w:val="00397264"/>
    <w:rsid w:val="00397DA7"/>
    <w:rsid w:val="00397E20"/>
    <w:rsid w:val="003A004B"/>
    <w:rsid w:val="003A01BB"/>
    <w:rsid w:val="003A0839"/>
    <w:rsid w:val="003A087F"/>
    <w:rsid w:val="003A08EA"/>
    <w:rsid w:val="003A0AB3"/>
    <w:rsid w:val="003A0B70"/>
    <w:rsid w:val="003A116A"/>
    <w:rsid w:val="003A1312"/>
    <w:rsid w:val="003A2226"/>
    <w:rsid w:val="003A27CE"/>
    <w:rsid w:val="003A28D7"/>
    <w:rsid w:val="003A2F25"/>
    <w:rsid w:val="003A313A"/>
    <w:rsid w:val="003A3359"/>
    <w:rsid w:val="003A368F"/>
    <w:rsid w:val="003A46FD"/>
    <w:rsid w:val="003A4FB9"/>
    <w:rsid w:val="003A5584"/>
    <w:rsid w:val="003A5E50"/>
    <w:rsid w:val="003A6CA3"/>
    <w:rsid w:val="003A71FC"/>
    <w:rsid w:val="003B0064"/>
    <w:rsid w:val="003B0521"/>
    <w:rsid w:val="003B0731"/>
    <w:rsid w:val="003B12E6"/>
    <w:rsid w:val="003B1A83"/>
    <w:rsid w:val="003B3DB4"/>
    <w:rsid w:val="003B45E0"/>
    <w:rsid w:val="003B4781"/>
    <w:rsid w:val="003B4DDB"/>
    <w:rsid w:val="003B5A7D"/>
    <w:rsid w:val="003B6159"/>
    <w:rsid w:val="003B6276"/>
    <w:rsid w:val="003B6463"/>
    <w:rsid w:val="003B6976"/>
    <w:rsid w:val="003B6F21"/>
    <w:rsid w:val="003B7B60"/>
    <w:rsid w:val="003B7B8B"/>
    <w:rsid w:val="003C024E"/>
    <w:rsid w:val="003C04E8"/>
    <w:rsid w:val="003C0DD3"/>
    <w:rsid w:val="003C18CD"/>
    <w:rsid w:val="003C1D92"/>
    <w:rsid w:val="003C1DDF"/>
    <w:rsid w:val="003C1E93"/>
    <w:rsid w:val="003C20E2"/>
    <w:rsid w:val="003C2B75"/>
    <w:rsid w:val="003C2DC9"/>
    <w:rsid w:val="003C37D5"/>
    <w:rsid w:val="003C3F9E"/>
    <w:rsid w:val="003C4FDA"/>
    <w:rsid w:val="003C5A16"/>
    <w:rsid w:val="003C5FFF"/>
    <w:rsid w:val="003C7924"/>
    <w:rsid w:val="003C7B04"/>
    <w:rsid w:val="003C7E7E"/>
    <w:rsid w:val="003D0A48"/>
    <w:rsid w:val="003D0AF9"/>
    <w:rsid w:val="003D1199"/>
    <w:rsid w:val="003D18A1"/>
    <w:rsid w:val="003D1B19"/>
    <w:rsid w:val="003D1F54"/>
    <w:rsid w:val="003D2333"/>
    <w:rsid w:val="003D2561"/>
    <w:rsid w:val="003D30E9"/>
    <w:rsid w:val="003D3976"/>
    <w:rsid w:val="003D3BA2"/>
    <w:rsid w:val="003D4779"/>
    <w:rsid w:val="003D58D6"/>
    <w:rsid w:val="003D668A"/>
    <w:rsid w:val="003D7863"/>
    <w:rsid w:val="003E0D11"/>
    <w:rsid w:val="003E1579"/>
    <w:rsid w:val="003E15E2"/>
    <w:rsid w:val="003E180A"/>
    <w:rsid w:val="003E24E1"/>
    <w:rsid w:val="003E2987"/>
    <w:rsid w:val="003E31A0"/>
    <w:rsid w:val="003E3283"/>
    <w:rsid w:val="003E32E7"/>
    <w:rsid w:val="003E3AED"/>
    <w:rsid w:val="003E3BDB"/>
    <w:rsid w:val="003E53F8"/>
    <w:rsid w:val="003E5C54"/>
    <w:rsid w:val="003E6828"/>
    <w:rsid w:val="003E69F2"/>
    <w:rsid w:val="003E6ED7"/>
    <w:rsid w:val="003E6F1C"/>
    <w:rsid w:val="003E7280"/>
    <w:rsid w:val="003E7D9B"/>
    <w:rsid w:val="003F0CD4"/>
    <w:rsid w:val="003F1DBF"/>
    <w:rsid w:val="003F1FCD"/>
    <w:rsid w:val="003F2189"/>
    <w:rsid w:val="003F28DC"/>
    <w:rsid w:val="003F2E3C"/>
    <w:rsid w:val="003F35A7"/>
    <w:rsid w:val="003F36E5"/>
    <w:rsid w:val="003F3736"/>
    <w:rsid w:val="003F4460"/>
    <w:rsid w:val="003F46AF"/>
    <w:rsid w:val="003F7251"/>
    <w:rsid w:val="003F7B42"/>
    <w:rsid w:val="003F7E5B"/>
    <w:rsid w:val="00400239"/>
    <w:rsid w:val="0040056D"/>
    <w:rsid w:val="00400DA9"/>
    <w:rsid w:val="00401AFA"/>
    <w:rsid w:val="00401BCF"/>
    <w:rsid w:val="004020C7"/>
    <w:rsid w:val="004026A3"/>
    <w:rsid w:val="00403CA0"/>
    <w:rsid w:val="00403EAB"/>
    <w:rsid w:val="004048D6"/>
    <w:rsid w:val="00404BD8"/>
    <w:rsid w:val="00405033"/>
    <w:rsid w:val="00406939"/>
    <w:rsid w:val="00406C1E"/>
    <w:rsid w:val="004074C7"/>
    <w:rsid w:val="00407C9B"/>
    <w:rsid w:val="00407D15"/>
    <w:rsid w:val="004100D4"/>
    <w:rsid w:val="004105CB"/>
    <w:rsid w:val="00410BFA"/>
    <w:rsid w:val="00411B05"/>
    <w:rsid w:val="00411C5F"/>
    <w:rsid w:val="00411F0C"/>
    <w:rsid w:val="00413959"/>
    <w:rsid w:val="00413B1C"/>
    <w:rsid w:val="00413B95"/>
    <w:rsid w:val="0041425D"/>
    <w:rsid w:val="00414812"/>
    <w:rsid w:val="00415035"/>
    <w:rsid w:val="00416C3D"/>
    <w:rsid w:val="00417B4B"/>
    <w:rsid w:val="00417BF5"/>
    <w:rsid w:val="00420342"/>
    <w:rsid w:val="004203B4"/>
    <w:rsid w:val="004204F2"/>
    <w:rsid w:val="00420504"/>
    <w:rsid w:val="00420B98"/>
    <w:rsid w:val="0042157D"/>
    <w:rsid w:val="00421665"/>
    <w:rsid w:val="00421C5D"/>
    <w:rsid w:val="00421E9E"/>
    <w:rsid w:val="004222CE"/>
    <w:rsid w:val="0042244C"/>
    <w:rsid w:val="00422B04"/>
    <w:rsid w:val="00422C3F"/>
    <w:rsid w:val="0042313D"/>
    <w:rsid w:val="0042473B"/>
    <w:rsid w:val="004249AE"/>
    <w:rsid w:val="00424E56"/>
    <w:rsid w:val="0042506C"/>
    <w:rsid w:val="00426302"/>
    <w:rsid w:val="00427AF2"/>
    <w:rsid w:val="0043038A"/>
    <w:rsid w:val="00430A5A"/>
    <w:rsid w:val="00430AB2"/>
    <w:rsid w:val="00430F08"/>
    <w:rsid w:val="004312E9"/>
    <w:rsid w:val="004314A1"/>
    <w:rsid w:val="00431A11"/>
    <w:rsid w:val="00431B0C"/>
    <w:rsid w:val="0043208B"/>
    <w:rsid w:val="004327E4"/>
    <w:rsid w:val="00432B41"/>
    <w:rsid w:val="00432B6B"/>
    <w:rsid w:val="00432CC8"/>
    <w:rsid w:val="00432F04"/>
    <w:rsid w:val="00433015"/>
    <w:rsid w:val="004330D8"/>
    <w:rsid w:val="004340E5"/>
    <w:rsid w:val="0043493D"/>
    <w:rsid w:val="00434D9E"/>
    <w:rsid w:val="00435B68"/>
    <w:rsid w:val="00436A49"/>
    <w:rsid w:val="00436DCF"/>
    <w:rsid w:val="004375E4"/>
    <w:rsid w:val="0043782E"/>
    <w:rsid w:val="00437D6B"/>
    <w:rsid w:val="004403AB"/>
    <w:rsid w:val="00440E2E"/>
    <w:rsid w:val="004410F1"/>
    <w:rsid w:val="0044119E"/>
    <w:rsid w:val="00441C61"/>
    <w:rsid w:val="00441E6A"/>
    <w:rsid w:val="00441F3B"/>
    <w:rsid w:val="004426E5"/>
    <w:rsid w:val="0044317F"/>
    <w:rsid w:val="00444376"/>
    <w:rsid w:val="00444745"/>
    <w:rsid w:val="004451BF"/>
    <w:rsid w:val="00445A5C"/>
    <w:rsid w:val="004461C4"/>
    <w:rsid w:val="004464F1"/>
    <w:rsid w:val="004466AC"/>
    <w:rsid w:val="00446908"/>
    <w:rsid w:val="00446C5D"/>
    <w:rsid w:val="00447CFF"/>
    <w:rsid w:val="00450882"/>
    <w:rsid w:val="00451816"/>
    <w:rsid w:val="00451A15"/>
    <w:rsid w:val="00451B3A"/>
    <w:rsid w:val="00452324"/>
    <w:rsid w:val="00453308"/>
    <w:rsid w:val="00453975"/>
    <w:rsid w:val="00453CE9"/>
    <w:rsid w:val="004545B7"/>
    <w:rsid w:val="00454A66"/>
    <w:rsid w:val="0045526D"/>
    <w:rsid w:val="00455DBF"/>
    <w:rsid w:val="004561B0"/>
    <w:rsid w:val="00456CFD"/>
    <w:rsid w:val="0045743C"/>
    <w:rsid w:val="0046095E"/>
    <w:rsid w:val="00461628"/>
    <w:rsid w:val="00461EDF"/>
    <w:rsid w:val="0046262E"/>
    <w:rsid w:val="004628DD"/>
    <w:rsid w:val="00462A42"/>
    <w:rsid w:val="00462E4E"/>
    <w:rsid w:val="00463F86"/>
    <w:rsid w:val="00464B47"/>
    <w:rsid w:val="00464F4E"/>
    <w:rsid w:val="00466790"/>
    <w:rsid w:val="00466ABC"/>
    <w:rsid w:val="00466D1D"/>
    <w:rsid w:val="00467046"/>
    <w:rsid w:val="004671B6"/>
    <w:rsid w:val="004675A2"/>
    <w:rsid w:val="004702AB"/>
    <w:rsid w:val="00471AAD"/>
    <w:rsid w:val="0047218D"/>
    <w:rsid w:val="00472821"/>
    <w:rsid w:val="004728A9"/>
    <w:rsid w:val="004735C1"/>
    <w:rsid w:val="0047367E"/>
    <w:rsid w:val="00473CEC"/>
    <w:rsid w:val="00474A21"/>
    <w:rsid w:val="00474DAC"/>
    <w:rsid w:val="00474FC8"/>
    <w:rsid w:val="004752AA"/>
    <w:rsid w:val="004778D7"/>
    <w:rsid w:val="004807F8"/>
    <w:rsid w:val="0048092F"/>
    <w:rsid w:val="00480A64"/>
    <w:rsid w:val="00480DA6"/>
    <w:rsid w:val="00481753"/>
    <w:rsid w:val="00481ECA"/>
    <w:rsid w:val="00482415"/>
    <w:rsid w:val="00482A48"/>
    <w:rsid w:val="00483556"/>
    <w:rsid w:val="004836A7"/>
    <w:rsid w:val="00483B46"/>
    <w:rsid w:val="00484585"/>
    <w:rsid w:val="0048459C"/>
    <w:rsid w:val="00484A29"/>
    <w:rsid w:val="00485090"/>
    <w:rsid w:val="00486DB3"/>
    <w:rsid w:val="0048711A"/>
    <w:rsid w:val="00490B47"/>
    <w:rsid w:val="00490CF3"/>
    <w:rsid w:val="00491572"/>
    <w:rsid w:val="0049181D"/>
    <w:rsid w:val="00491C39"/>
    <w:rsid w:val="00491DBB"/>
    <w:rsid w:val="0049232A"/>
    <w:rsid w:val="00492611"/>
    <w:rsid w:val="00492DA4"/>
    <w:rsid w:val="00492E68"/>
    <w:rsid w:val="00493A26"/>
    <w:rsid w:val="004941D7"/>
    <w:rsid w:val="0049436C"/>
    <w:rsid w:val="00494A3C"/>
    <w:rsid w:val="004950A2"/>
    <w:rsid w:val="004958E2"/>
    <w:rsid w:val="00495D58"/>
    <w:rsid w:val="00495DAF"/>
    <w:rsid w:val="00496145"/>
    <w:rsid w:val="00496601"/>
    <w:rsid w:val="0049702D"/>
    <w:rsid w:val="00497109"/>
    <w:rsid w:val="00497878"/>
    <w:rsid w:val="004A0FD3"/>
    <w:rsid w:val="004A1BA1"/>
    <w:rsid w:val="004A1ECB"/>
    <w:rsid w:val="004A1F7D"/>
    <w:rsid w:val="004A20D6"/>
    <w:rsid w:val="004A26DD"/>
    <w:rsid w:val="004A3535"/>
    <w:rsid w:val="004A4117"/>
    <w:rsid w:val="004A44AA"/>
    <w:rsid w:val="004A474A"/>
    <w:rsid w:val="004A4767"/>
    <w:rsid w:val="004A5140"/>
    <w:rsid w:val="004A5396"/>
    <w:rsid w:val="004A5C5F"/>
    <w:rsid w:val="004A5F8B"/>
    <w:rsid w:val="004A6A2E"/>
    <w:rsid w:val="004A6F44"/>
    <w:rsid w:val="004A72B5"/>
    <w:rsid w:val="004B194B"/>
    <w:rsid w:val="004B194F"/>
    <w:rsid w:val="004B21BD"/>
    <w:rsid w:val="004B2461"/>
    <w:rsid w:val="004B27EE"/>
    <w:rsid w:val="004B2A30"/>
    <w:rsid w:val="004B2C0F"/>
    <w:rsid w:val="004B2F6B"/>
    <w:rsid w:val="004B3955"/>
    <w:rsid w:val="004B3F0C"/>
    <w:rsid w:val="004B43F5"/>
    <w:rsid w:val="004B48B2"/>
    <w:rsid w:val="004B543B"/>
    <w:rsid w:val="004B5A5E"/>
    <w:rsid w:val="004B657F"/>
    <w:rsid w:val="004B69FC"/>
    <w:rsid w:val="004B6A42"/>
    <w:rsid w:val="004B7840"/>
    <w:rsid w:val="004B7F25"/>
    <w:rsid w:val="004C00A7"/>
    <w:rsid w:val="004C13B4"/>
    <w:rsid w:val="004C1F7D"/>
    <w:rsid w:val="004C2191"/>
    <w:rsid w:val="004C2261"/>
    <w:rsid w:val="004C2DD4"/>
    <w:rsid w:val="004C2E3E"/>
    <w:rsid w:val="004C3757"/>
    <w:rsid w:val="004C409F"/>
    <w:rsid w:val="004C4440"/>
    <w:rsid w:val="004C5378"/>
    <w:rsid w:val="004C54A8"/>
    <w:rsid w:val="004C59C6"/>
    <w:rsid w:val="004C6FB0"/>
    <w:rsid w:val="004C729B"/>
    <w:rsid w:val="004C760E"/>
    <w:rsid w:val="004C7F3E"/>
    <w:rsid w:val="004C7F8B"/>
    <w:rsid w:val="004D099A"/>
    <w:rsid w:val="004D15CC"/>
    <w:rsid w:val="004D1965"/>
    <w:rsid w:val="004D358F"/>
    <w:rsid w:val="004D3FB2"/>
    <w:rsid w:val="004D4D25"/>
    <w:rsid w:val="004D51C1"/>
    <w:rsid w:val="004D552D"/>
    <w:rsid w:val="004D5809"/>
    <w:rsid w:val="004D62EC"/>
    <w:rsid w:val="004D7F2A"/>
    <w:rsid w:val="004E0220"/>
    <w:rsid w:val="004E0604"/>
    <w:rsid w:val="004E12D1"/>
    <w:rsid w:val="004E130D"/>
    <w:rsid w:val="004E1A5A"/>
    <w:rsid w:val="004E1E27"/>
    <w:rsid w:val="004E1F5C"/>
    <w:rsid w:val="004E1FBA"/>
    <w:rsid w:val="004E23D1"/>
    <w:rsid w:val="004E25D7"/>
    <w:rsid w:val="004E2BA8"/>
    <w:rsid w:val="004E3895"/>
    <w:rsid w:val="004E3A72"/>
    <w:rsid w:val="004E53BC"/>
    <w:rsid w:val="004E5B56"/>
    <w:rsid w:val="004E6065"/>
    <w:rsid w:val="004E63EE"/>
    <w:rsid w:val="004E6849"/>
    <w:rsid w:val="004E72BB"/>
    <w:rsid w:val="004E758F"/>
    <w:rsid w:val="004F0137"/>
    <w:rsid w:val="004F138C"/>
    <w:rsid w:val="004F1DB6"/>
    <w:rsid w:val="004F2191"/>
    <w:rsid w:val="004F23EA"/>
    <w:rsid w:val="004F39D5"/>
    <w:rsid w:val="004F42C9"/>
    <w:rsid w:val="004F49FF"/>
    <w:rsid w:val="004F5F92"/>
    <w:rsid w:val="004F6949"/>
    <w:rsid w:val="004F6B23"/>
    <w:rsid w:val="004F6DC4"/>
    <w:rsid w:val="00500714"/>
    <w:rsid w:val="005009DF"/>
    <w:rsid w:val="00501E5A"/>
    <w:rsid w:val="00501FBE"/>
    <w:rsid w:val="005032F5"/>
    <w:rsid w:val="00505A6B"/>
    <w:rsid w:val="005078DF"/>
    <w:rsid w:val="00507B6B"/>
    <w:rsid w:val="00507CB2"/>
    <w:rsid w:val="00510AF5"/>
    <w:rsid w:val="00510BAC"/>
    <w:rsid w:val="00511CE4"/>
    <w:rsid w:val="00511CED"/>
    <w:rsid w:val="00511F52"/>
    <w:rsid w:val="00512042"/>
    <w:rsid w:val="00513131"/>
    <w:rsid w:val="005131ED"/>
    <w:rsid w:val="0051396A"/>
    <w:rsid w:val="00513DDE"/>
    <w:rsid w:val="00515208"/>
    <w:rsid w:val="0051629C"/>
    <w:rsid w:val="005166D4"/>
    <w:rsid w:val="00516ADD"/>
    <w:rsid w:val="0051724C"/>
    <w:rsid w:val="00517535"/>
    <w:rsid w:val="005175F7"/>
    <w:rsid w:val="00517B02"/>
    <w:rsid w:val="00517C73"/>
    <w:rsid w:val="0052068C"/>
    <w:rsid w:val="00520A38"/>
    <w:rsid w:val="00521B15"/>
    <w:rsid w:val="005221AF"/>
    <w:rsid w:val="00522CAE"/>
    <w:rsid w:val="00523A96"/>
    <w:rsid w:val="00523E19"/>
    <w:rsid w:val="00524BE7"/>
    <w:rsid w:val="00525031"/>
    <w:rsid w:val="005250BD"/>
    <w:rsid w:val="00525155"/>
    <w:rsid w:val="005254D6"/>
    <w:rsid w:val="005255DB"/>
    <w:rsid w:val="0052676B"/>
    <w:rsid w:val="00527078"/>
    <w:rsid w:val="00527783"/>
    <w:rsid w:val="00527C49"/>
    <w:rsid w:val="005303A5"/>
    <w:rsid w:val="005307B6"/>
    <w:rsid w:val="00530A8E"/>
    <w:rsid w:val="00531254"/>
    <w:rsid w:val="00531A1B"/>
    <w:rsid w:val="00531A3F"/>
    <w:rsid w:val="005321A9"/>
    <w:rsid w:val="0053260C"/>
    <w:rsid w:val="00533004"/>
    <w:rsid w:val="00533A8C"/>
    <w:rsid w:val="0053404D"/>
    <w:rsid w:val="00534352"/>
    <w:rsid w:val="0053542C"/>
    <w:rsid w:val="0053591F"/>
    <w:rsid w:val="00535C4D"/>
    <w:rsid w:val="00535C7E"/>
    <w:rsid w:val="0053673F"/>
    <w:rsid w:val="005368BD"/>
    <w:rsid w:val="00536937"/>
    <w:rsid w:val="00540D31"/>
    <w:rsid w:val="00540E67"/>
    <w:rsid w:val="00541219"/>
    <w:rsid w:val="00541523"/>
    <w:rsid w:val="005415FF"/>
    <w:rsid w:val="00541CFC"/>
    <w:rsid w:val="00542239"/>
    <w:rsid w:val="0054253F"/>
    <w:rsid w:val="005428A6"/>
    <w:rsid w:val="00542A46"/>
    <w:rsid w:val="005438EA"/>
    <w:rsid w:val="0054440A"/>
    <w:rsid w:val="0054543A"/>
    <w:rsid w:val="005454C6"/>
    <w:rsid w:val="005457F5"/>
    <w:rsid w:val="0054701B"/>
    <w:rsid w:val="00550173"/>
    <w:rsid w:val="005509D8"/>
    <w:rsid w:val="00550C2D"/>
    <w:rsid w:val="0055174D"/>
    <w:rsid w:val="005521CA"/>
    <w:rsid w:val="005523BB"/>
    <w:rsid w:val="00552526"/>
    <w:rsid w:val="00552849"/>
    <w:rsid w:val="00552ADB"/>
    <w:rsid w:val="00553352"/>
    <w:rsid w:val="00553F87"/>
    <w:rsid w:val="00554B02"/>
    <w:rsid w:val="00554EA8"/>
    <w:rsid w:val="005558BC"/>
    <w:rsid w:val="00555CC3"/>
    <w:rsid w:val="00555CF3"/>
    <w:rsid w:val="0055612A"/>
    <w:rsid w:val="00556469"/>
    <w:rsid w:val="00556BEA"/>
    <w:rsid w:val="005577C7"/>
    <w:rsid w:val="00560783"/>
    <w:rsid w:val="005609BB"/>
    <w:rsid w:val="00560DAD"/>
    <w:rsid w:val="00563A45"/>
    <w:rsid w:val="005648C2"/>
    <w:rsid w:val="00564986"/>
    <w:rsid w:val="00564BC3"/>
    <w:rsid w:val="00565031"/>
    <w:rsid w:val="005661BA"/>
    <w:rsid w:val="0056687D"/>
    <w:rsid w:val="005669CC"/>
    <w:rsid w:val="00566C7D"/>
    <w:rsid w:val="00566D5F"/>
    <w:rsid w:val="00567869"/>
    <w:rsid w:val="005678F2"/>
    <w:rsid w:val="0057057F"/>
    <w:rsid w:val="005706DD"/>
    <w:rsid w:val="00571219"/>
    <w:rsid w:val="005719EB"/>
    <w:rsid w:val="00572133"/>
    <w:rsid w:val="0057217C"/>
    <w:rsid w:val="00572624"/>
    <w:rsid w:val="00572B4E"/>
    <w:rsid w:val="005733C9"/>
    <w:rsid w:val="0057362E"/>
    <w:rsid w:val="00574600"/>
    <w:rsid w:val="005747BB"/>
    <w:rsid w:val="00574E52"/>
    <w:rsid w:val="00575141"/>
    <w:rsid w:val="00575F3F"/>
    <w:rsid w:val="00576182"/>
    <w:rsid w:val="00576729"/>
    <w:rsid w:val="00576B92"/>
    <w:rsid w:val="00576DE2"/>
    <w:rsid w:val="00576E6D"/>
    <w:rsid w:val="005777B9"/>
    <w:rsid w:val="005778B4"/>
    <w:rsid w:val="005802EA"/>
    <w:rsid w:val="005804CE"/>
    <w:rsid w:val="005827B8"/>
    <w:rsid w:val="005829E2"/>
    <w:rsid w:val="00582B6B"/>
    <w:rsid w:val="00583474"/>
    <w:rsid w:val="00583668"/>
    <w:rsid w:val="005836AC"/>
    <w:rsid w:val="00583BD2"/>
    <w:rsid w:val="0058424D"/>
    <w:rsid w:val="005843AA"/>
    <w:rsid w:val="005849F8"/>
    <w:rsid w:val="00584ECB"/>
    <w:rsid w:val="005859A6"/>
    <w:rsid w:val="00585BF7"/>
    <w:rsid w:val="00585CA4"/>
    <w:rsid w:val="005868F1"/>
    <w:rsid w:val="00586AD3"/>
    <w:rsid w:val="00586D58"/>
    <w:rsid w:val="0059012E"/>
    <w:rsid w:val="00590431"/>
    <w:rsid w:val="005904A6"/>
    <w:rsid w:val="00590ABA"/>
    <w:rsid w:val="0059172D"/>
    <w:rsid w:val="005922CD"/>
    <w:rsid w:val="00592857"/>
    <w:rsid w:val="00592C4E"/>
    <w:rsid w:val="0059362B"/>
    <w:rsid w:val="00594799"/>
    <w:rsid w:val="005949E2"/>
    <w:rsid w:val="005951D1"/>
    <w:rsid w:val="005954F9"/>
    <w:rsid w:val="00595C43"/>
    <w:rsid w:val="00595F1A"/>
    <w:rsid w:val="00596754"/>
    <w:rsid w:val="005975C0"/>
    <w:rsid w:val="005A1171"/>
    <w:rsid w:val="005A17A6"/>
    <w:rsid w:val="005A1AEA"/>
    <w:rsid w:val="005A1B26"/>
    <w:rsid w:val="005A1F0C"/>
    <w:rsid w:val="005A22CF"/>
    <w:rsid w:val="005A27CD"/>
    <w:rsid w:val="005A2966"/>
    <w:rsid w:val="005A358C"/>
    <w:rsid w:val="005A35DB"/>
    <w:rsid w:val="005A4704"/>
    <w:rsid w:val="005A53EB"/>
    <w:rsid w:val="005A5872"/>
    <w:rsid w:val="005A6334"/>
    <w:rsid w:val="005A7BFC"/>
    <w:rsid w:val="005B0676"/>
    <w:rsid w:val="005B0ACF"/>
    <w:rsid w:val="005B11CE"/>
    <w:rsid w:val="005B17FF"/>
    <w:rsid w:val="005B1BA8"/>
    <w:rsid w:val="005B1EF5"/>
    <w:rsid w:val="005B1FA6"/>
    <w:rsid w:val="005B2292"/>
    <w:rsid w:val="005B263F"/>
    <w:rsid w:val="005B2D07"/>
    <w:rsid w:val="005B3FAC"/>
    <w:rsid w:val="005B48D0"/>
    <w:rsid w:val="005B4963"/>
    <w:rsid w:val="005B4B57"/>
    <w:rsid w:val="005B4D0C"/>
    <w:rsid w:val="005B50A8"/>
    <w:rsid w:val="005B5155"/>
    <w:rsid w:val="005B7163"/>
    <w:rsid w:val="005B74AC"/>
    <w:rsid w:val="005B7F1C"/>
    <w:rsid w:val="005C0114"/>
    <w:rsid w:val="005C071C"/>
    <w:rsid w:val="005C12A0"/>
    <w:rsid w:val="005C1C60"/>
    <w:rsid w:val="005C1FB0"/>
    <w:rsid w:val="005C262C"/>
    <w:rsid w:val="005C2B23"/>
    <w:rsid w:val="005C3D16"/>
    <w:rsid w:val="005C3FD6"/>
    <w:rsid w:val="005C3FF2"/>
    <w:rsid w:val="005C4E07"/>
    <w:rsid w:val="005C53D1"/>
    <w:rsid w:val="005C5A44"/>
    <w:rsid w:val="005C5B88"/>
    <w:rsid w:val="005C5C93"/>
    <w:rsid w:val="005C694D"/>
    <w:rsid w:val="005C6B15"/>
    <w:rsid w:val="005C6BE4"/>
    <w:rsid w:val="005C6F06"/>
    <w:rsid w:val="005C754E"/>
    <w:rsid w:val="005C7711"/>
    <w:rsid w:val="005C7C46"/>
    <w:rsid w:val="005C7C4E"/>
    <w:rsid w:val="005D0113"/>
    <w:rsid w:val="005D0386"/>
    <w:rsid w:val="005D0A22"/>
    <w:rsid w:val="005D0CAE"/>
    <w:rsid w:val="005D174F"/>
    <w:rsid w:val="005D1D7B"/>
    <w:rsid w:val="005D29C8"/>
    <w:rsid w:val="005D46B7"/>
    <w:rsid w:val="005D4EEC"/>
    <w:rsid w:val="005D71D4"/>
    <w:rsid w:val="005D72D8"/>
    <w:rsid w:val="005D771D"/>
    <w:rsid w:val="005D7801"/>
    <w:rsid w:val="005D78E4"/>
    <w:rsid w:val="005D78EF"/>
    <w:rsid w:val="005E0021"/>
    <w:rsid w:val="005E0828"/>
    <w:rsid w:val="005E095E"/>
    <w:rsid w:val="005E12FE"/>
    <w:rsid w:val="005E14BA"/>
    <w:rsid w:val="005E1E9A"/>
    <w:rsid w:val="005E1F7C"/>
    <w:rsid w:val="005E24CA"/>
    <w:rsid w:val="005E3875"/>
    <w:rsid w:val="005E407C"/>
    <w:rsid w:val="005E4521"/>
    <w:rsid w:val="005E4719"/>
    <w:rsid w:val="005E52C7"/>
    <w:rsid w:val="005E579E"/>
    <w:rsid w:val="005E61B2"/>
    <w:rsid w:val="005E6651"/>
    <w:rsid w:val="005E6B5F"/>
    <w:rsid w:val="005E6DAB"/>
    <w:rsid w:val="005E7AF0"/>
    <w:rsid w:val="005F0B85"/>
    <w:rsid w:val="005F1611"/>
    <w:rsid w:val="005F18CD"/>
    <w:rsid w:val="005F2339"/>
    <w:rsid w:val="005F2547"/>
    <w:rsid w:val="005F25F4"/>
    <w:rsid w:val="005F303B"/>
    <w:rsid w:val="005F3680"/>
    <w:rsid w:val="005F482B"/>
    <w:rsid w:val="005F4CBB"/>
    <w:rsid w:val="005F4DCF"/>
    <w:rsid w:val="005F4E1C"/>
    <w:rsid w:val="005F515A"/>
    <w:rsid w:val="005F5219"/>
    <w:rsid w:val="005F5942"/>
    <w:rsid w:val="005F6684"/>
    <w:rsid w:val="005F6C18"/>
    <w:rsid w:val="005F6C27"/>
    <w:rsid w:val="005F72FC"/>
    <w:rsid w:val="005F77FB"/>
    <w:rsid w:val="006002FD"/>
    <w:rsid w:val="006008BA"/>
    <w:rsid w:val="00600E61"/>
    <w:rsid w:val="006016F5"/>
    <w:rsid w:val="00601B2F"/>
    <w:rsid w:val="00602540"/>
    <w:rsid w:val="006036E5"/>
    <w:rsid w:val="00603985"/>
    <w:rsid w:val="00603C22"/>
    <w:rsid w:val="00603CD6"/>
    <w:rsid w:val="00603CDA"/>
    <w:rsid w:val="00604199"/>
    <w:rsid w:val="00604711"/>
    <w:rsid w:val="006048E6"/>
    <w:rsid w:val="006050E4"/>
    <w:rsid w:val="00605777"/>
    <w:rsid w:val="0060748E"/>
    <w:rsid w:val="00607508"/>
    <w:rsid w:val="00607623"/>
    <w:rsid w:val="00610076"/>
    <w:rsid w:val="006106E7"/>
    <w:rsid w:val="00611B5B"/>
    <w:rsid w:val="00612353"/>
    <w:rsid w:val="006128CF"/>
    <w:rsid w:val="00612A74"/>
    <w:rsid w:val="00613555"/>
    <w:rsid w:val="00613AE0"/>
    <w:rsid w:val="00613DE8"/>
    <w:rsid w:val="00613F6F"/>
    <w:rsid w:val="006142DA"/>
    <w:rsid w:val="006148CD"/>
    <w:rsid w:val="006164A0"/>
    <w:rsid w:val="0061716B"/>
    <w:rsid w:val="006179F6"/>
    <w:rsid w:val="00617C87"/>
    <w:rsid w:val="00617EAD"/>
    <w:rsid w:val="00617EE2"/>
    <w:rsid w:val="00620CF7"/>
    <w:rsid w:val="00621116"/>
    <w:rsid w:val="00621290"/>
    <w:rsid w:val="00621414"/>
    <w:rsid w:val="0062237C"/>
    <w:rsid w:val="006228F8"/>
    <w:rsid w:val="00623566"/>
    <w:rsid w:val="0062425F"/>
    <w:rsid w:val="0062468F"/>
    <w:rsid w:val="006247CC"/>
    <w:rsid w:val="00624888"/>
    <w:rsid w:val="006248CD"/>
    <w:rsid w:val="00625291"/>
    <w:rsid w:val="00625529"/>
    <w:rsid w:val="006256A8"/>
    <w:rsid w:val="00625A12"/>
    <w:rsid w:val="006260B3"/>
    <w:rsid w:val="0062775D"/>
    <w:rsid w:val="006278BD"/>
    <w:rsid w:val="0063132A"/>
    <w:rsid w:val="006317A3"/>
    <w:rsid w:val="006328B6"/>
    <w:rsid w:val="00632906"/>
    <w:rsid w:val="00633609"/>
    <w:rsid w:val="0063390C"/>
    <w:rsid w:val="006349B6"/>
    <w:rsid w:val="0063515D"/>
    <w:rsid w:val="006352CB"/>
    <w:rsid w:val="00635CD6"/>
    <w:rsid w:val="006365BC"/>
    <w:rsid w:val="00636CF8"/>
    <w:rsid w:val="00636E25"/>
    <w:rsid w:val="006378A9"/>
    <w:rsid w:val="0063792B"/>
    <w:rsid w:val="00637A89"/>
    <w:rsid w:val="00637E41"/>
    <w:rsid w:val="006402CE"/>
    <w:rsid w:val="0064106E"/>
    <w:rsid w:val="006411AC"/>
    <w:rsid w:val="006419A3"/>
    <w:rsid w:val="0064231A"/>
    <w:rsid w:val="0064258E"/>
    <w:rsid w:val="006426CB"/>
    <w:rsid w:val="006427FD"/>
    <w:rsid w:val="00642C4A"/>
    <w:rsid w:val="00642FFE"/>
    <w:rsid w:val="0064370D"/>
    <w:rsid w:val="00643800"/>
    <w:rsid w:val="0064401B"/>
    <w:rsid w:val="00644055"/>
    <w:rsid w:val="0064421A"/>
    <w:rsid w:val="00644958"/>
    <w:rsid w:val="00644FD4"/>
    <w:rsid w:val="00644FD7"/>
    <w:rsid w:val="00645370"/>
    <w:rsid w:val="0064579C"/>
    <w:rsid w:val="00647432"/>
    <w:rsid w:val="00650ADB"/>
    <w:rsid w:val="00650FAB"/>
    <w:rsid w:val="006510EB"/>
    <w:rsid w:val="00651AF3"/>
    <w:rsid w:val="0065254D"/>
    <w:rsid w:val="006532C5"/>
    <w:rsid w:val="0065415F"/>
    <w:rsid w:val="00655DD0"/>
    <w:rsid w:val="00656289"/>
    <w:rsid w:val="006568E2"/>
    <w:rsid w:val="00656C1F"/>
    <w:rsid w:val="00656DDD"/>
    <w:rsid w:val="00656F05"/>
    <w:rsid w:val="00656F80"/>
    <w:rsid w:val="006574D1"/>
    <w:rsid w:val="00660202"/>
    <w:rsid w:val="00660431"/>
    <w:rsid w:val="0066079D"/>
    <w:rsid w:val="006611AF"/>
    <w:rsid w:val="006613F9"/>
    <w:rsid w:val="006616AA"/>
    <w:rsid w:val="00661920"/>
    <w:rsid w:val="00661FC0"/>
    <w:rsid w:val="00662106"/>
    <w:rsid w:val="00662FAC"/>
    <w:rsid w:val="00664554"/>
    <w:rsid w:val="0066483A"/>
    <w:rsid w:val="0066553E"/>
    <w:rsid w:val="00665B1A"/>
    <w:rsid w:val="00666501"/>
    <w:rsid w:val="00666731"/>
    <w:rsid w:val="00667009"/>
    <w:rsid w:val="00667956"/>
    <w:rsid w:val="00667B29"/>
    <w:rsid w:val="0067045D"/>
    <w:rsid w:val="006711E4"/>
    <w:rsid w:val="0067142D"/>
    <w:rsid w:val="00671DC4"/>
    <w:rsid w:val="006721C3"/>
    <w:rsid w:val="00672456"/>
    <w:rsid w:val="00672863"/>
    <w:rsid w:val="00672BE7"/>
    <w:rsid w:val="00673205"/>
    <w:rsid w:val="00673764"/>
    <w:rsid w:val="0067490C"/>
    <w:rsid w:val="00674DB2"/>
    <w:rsid w:val="006750AD"/>
    <w:rsid w:val="006751F5"/>
    <w:rsid w:val="006758B4"/>
    <w:rsid w:val="00676018"/>
    <w:rsid w:val="0067602E"/>
    <w:rsid w:val="00677CA5"/>
    <w:rsid w:val="00680FA6"/>
    <w:rsid w:val="006822C6"/>
    <w:rsid w:val="00682C07"/>
    <w:rsid w:val="00684237"/>
    <w:rsid w:val="00684272"/>
    <w:rsid w:val="0068437D"/>
    <w:rsid w:val="00684EAE"/>
    <w:rsid w:val="00685B67"/>
    <w:rsid w:val="00686F3F"/>
    <w:rsid w:val="0068701A"/>
    <w:rsid w:val="0068722C"/>
    <w:rsid w:val="00687494"/>
    <w:rsid w:val="00690328"/>
    <w:rsid w:val="006903A1"/>
    <w:rsid w:val="0069051A"/>
    <w:rsid w:val="0069053A"/>
    <w:rsid w:val="006905A9"/>
    <w:rsid w:val="006907F7"/>
    <w:rsid w:val="00690A38"/>
    <w:rsid w:val="00690A9C"/>
    <w:rsid w:val="00690DE5"/>
    <w:rsid w:val="00691F74"/>
    <w:rsid w:val="006923D8"/>
    <w:rsid w:val="00692C19"/>
    <w:rsid w:val="00693D19"/>
    <w:rsid w:val="006943B7"/>
    <w:rsid w:val="006944D2"/>
    <w:rsid w:val="00695405"/>
    <w:rsid w:val="00695D60"/>
    <w:rsid w:val="006966F7"/>
    <w:rsid w:val="006968BE"/>
    <w:rsid w:val="006976B5"/>
    <w:rsid w:val="006977F4"/>
    <w:rsid w:val="00697C0A"/>
    <w:rsid w:val="006A03CC"/>
    <w:rsid w:val="006A06E1"/>
    <w:rsid w:val="006A105E"/>
    <w:rsid w:val="006A145D"/>
    <w:rsid w:val="006A19AB"/>
    <w:rsid w:val="006A1DBD"/>
    <w:rsid w:val="006A2083"/>
    <w:rsid w:val="006A26AF"/>
    <w:rsid w:val="006A2A92"/>
    <w:rsid w:val="006A362A"/>
    <w:rsid w:val="006A3F3C"/>
    <w:rsid w:val="006A4358"/>
    <w:rsid w:val="006A5040"/>
    <w:rsid w:val="006A51FA"/>
    <w:rsid w:val="006A6284"/>
    <w:rsid w:val="006A7557"/>
    <w:rsid w:val="006A75D6"/>
    <w:rsid w:val="006A7D99"/>
    <w:rsid w:val="006B0AE9"/>
    <w:rsid w:val="006B0D19"/>
    <w:rsid w:val="006B1075"/>
    <w:rsid w:val="006B1132"/>
    <w:rsid w:val="006B2C88"/>
    <w:rsid w:val="006B2F49"/>
    <w:rsid w:val="006B3EE9"/>
    <w:rsid w:val="006B52B4"/>
    <w:rsid w:val="006B570C"/>
    <w:rsid w:val="006B5F58"/>
    <w:rsid w:val="006B6E2F"/>
    <w:rsid w:val="006B70C6"/>
    <w:rsid w:val="006B763A"/>
    <w:rsid w:val="006B77D2"/>
    <w:rsid w:val="006B7B9B"/>
    <w:rsid w:val="006B7CE4"/>
    <w:rsid w:val="006C06DE"/>
    <w:rsid w:val="006C13BB"/>
    <w:rsid w:val="006C2A25"/>
    <w:rsid w:val="006C388F"/>
    <w:rsid w:val="006C4282"/>
    <w:rsid w:val="006C465D"/>
    <w:rsid w:val="006C475E"/>
    <w:rsid w:val="006C5157"/>
    <w:rsid w:val="006C550D"/>
    <w:rsid w:val="006C5F32"/>
    <w:rsid w:val="006C6D38"/>
    <w:rsid w:val="006C75C7"/>
    <w:rsid w:val="006C785E"/>
    <w:rsid w:val="006C7883"/>
    <w:rsid w:val="006D01BA"/>
    <w:rsid w:val="006D01EC"/>
    <w:rsid w:val="006D0CA0"/>
    <w:rsid w:val="006D1439"/>
    <w:rsid w:val="006D1466"/>
    <w:rsid w:val="006D1505"/>
    <w:rsid w:val="006D170B"/>
    <w:rsid w:val="006D2048"/>
    <w:rsid w:val="006D218E"/>
    <w:rsid w:val="006D244A"/>
    <w:rsid w:val="006D3319"/>
    <w:rsid w:val="006D38D8"/>
    <w:rsid w:val="006D3CB1"/>
    <w:rsid w:val="006D3DB8"/>
    <w:rsid w:val="006D4D2D"/>
    <w:rsid w:val="006D5330"/>
    <w:rsid w:val="006D547C"/>
    <w:rsid w:val="006D6AD3"/>
    <w:rsid w:val="006D7360"/>
    <w:rsid w:val="006D7617"/>
    <w:rsid w:val="006D796A"/>
    <w:rsid w:val="006D79C9"/>
    <w:rsid w:val="006D7B0D"/>
    <w:rsid w:val="006D7DC2"/>
    <w:rsid w:val="006E097C"/>
    <w:rsid w:val="006E0D94"/>
    <w:rsid w:val="006E12D4"/>
    <w:rsid w:val="006E1522"/>
    <w:rsid w:val="006E2439"/>
    <w:rsid w:val="006E2E0B"/>
    <w:rsid w:val="006E30C4"/>
    <w:rsid w:val="006E38A2"/>
    <w:rsid w:val="006E3CAC"/>
    <w:rsid w:val="006E3CEF"/>
    <w:rsid w:val="006E3D45"/>
    <w:rsid w:val="006E3D5D"/>
    <w:rsid w:val="006E3FD3"/>
    <w:rsid w:val="006E4900"/>
    <w:rsid w:val="006E50F8"/>
    <w:rsid w:val="006E567D"/>
    <w:rsid w:val="006E57E9"/>
    <w:rsid w:val="006E693D"/>
    <w:rsid w:val="006E7240"/>
    <w:rsid w:val="006E7986"/>
    <w:rsid w:val="006E7DBC"/>
    <w:rsid w:val="006F0162"/>
    <w:rsid w:val="006F10F9"/>
    <w:rsid w:val="006F135F"/>
    <w:rsid w:val="006F1DD1"/>
    <w:rsid w:val="006F2363"/>
    <w:rsid w:val="006F23F2"/>
    <w:rsid w:val="006F2C23"/>
    <w:rsid w:val="006F34A0"/>
    <w:rsid w:val="006F3EA6"/>
    <w:rsid w:val="006F45F5"/>
    <w:rsid w:val="006F4EC0"/>
    <w:rsid w:val="006F571B"/>
    <w:rsid w:val="006F586F"/>
    <w:rsid w:val="006F5F68"/>
    <w:rsid w:val="006F63F3"/>
    <w:rsid w:val="006F6C7F"/>
    <w:rsid w:val="006F7F48"/>
    <w:rsid w:val="007006F5"/>
    <w:rsid w:val="007020DD"/>
    <w:rsid w:val="00702409"/>
    <w:rsid w:val="007025DA"/>
    <w:rsid w:val="00703751"/>
    <w:rsid w:val="00703E83"/>
    <w:rsid w:val="00703FD5"/>
    <w:rsid w:val="00704A3F"/>
    <w:rsid w:val="00704C5B"/>
    <w:rsid w:val="00704F38"/>
    <w:rsid w:val="007054C2"/>
    <w:rsid w:val="00705551"/>
    <w:rsid w:val="0070570A"/>
    <w:rsid w:val="00706971"/>
    <w:rsid w:val="00707809"/>
    <w:rsid w:val="00707B3C"/>
    <w:rsid w:val="007107D3"/>
    <w:rsid w:val="007108B3"/>
    <w:rsid w:val="007112AD"/>
    <w:rsid w:val="007114AE"/>
    <w:rsid w:val="00711779"/>
    <w:rsid w:val="007117A5"/>
    <w:rsid w:val="00712636"/>
    <w:rsid w:val="007130C6"/>
    <w:rsid w:val="00713242"/>
    <w:rsid w:val="007144E9"/>
    <w:rsid w:val="007146DA"/>
    <w:rsid w:val="0071473C"/>
    <w:rsid w:val="00714B3A"/>
    <w:rsid w:val="00714F0F"/>
    <w:rsid w:val="00714FB6"/>
    <w:rsid w:val="00715255"/>
    <w:rsid w:val="007154DA"/>
    <w:rsid w:val="007158C3"/>
    <w:rsid w:val="00715ACA"/>
    <w:rsid w:val="00716B71"/>
    <w:rsid w:val="00717062"/>
    <w:rsid w:val="007173C0"/>
    <w:rsid w:val="00717770"/>
    <w:rsid w:val="00720F0C"/>
    <w:rsid w:val="00722219"/>
    <w:rsid w:val="00722240"/>
    <w:rsid w:val="0072225B"/>
    <w:rsid w:val="00722AFD"/>
    <w:rsid w:val="00722C68"/>
    <w:rsid w:val="00722EFF"/>
    <w:rsid w:val="0072370C"/>
    <w:rsid w:val="007241CD"/>
    <w:rsid w:val="0072482D"/>
    <w:rsid w:val="00724A74"/>
    <w:rsid w:val="00724E57"/>
    <w:rsid w:val="00725D82"/>
    <w:rsid w:val="007265DB"/>
    <w:rsid w:val="00726A42"/>
    <w:rsid w:val="00726D96"/>
    <w:rsid w:val="00726E70"/>
    <w:rsid w:val="00727053"/>
    <w:rsid w:val="007308D2"/>
    <w:rsid w:val="00730A92"/>
    <w:rsid w:val="00730ACC"/>
    <w:rsid w:val="00731F04"/>
    <w:rsid w:val="00732099"/>
    <w:rsid w:val="007324D9"/>
    <w:rsid w:val="00732A16"/>
    <w:rsid w:val="007334F8"/>
    <w:rsid w:val="00733512"/>
    <w:rsid w:val="00733933"/>
    <w:rsid w:val="007345DF"/>
    <w:rsid w:val="00734D07"/>
    <w:rsid w:val="00735962"/>
    <w:rsid w:val="00735F55"/>
    <w:rsid w:val="00735F7A"/>
    <w:rsid w:val="007361F5"/>
    <w:rsid w:val="00736FEA"/>
    <w:rsid w:val="00737464"/>
    <w:rsid w:val="00737708"/>
    <w:rsid w:val="0073784B"/>
    <w:rsid w:val="007379C8"/>
    <w:rsid w:val="00740099"/>
    <w:rsid w:val="007401B2"/>
    <w:rsid w:val="00740C43"/>
    <w:rsid w:val="0074167E"/>
    <w:rsid w:val="00741B46"/>
    <w:rsid w:val="00742995"/>
    <w:rsid w:val="0074317A"/>
    <w:rsid w:val="00743303"/>
    <w:rsid w:val="0074331F"/>
    <w:rsid w:val="007440C9"/>
    <w:rsid w:val="007440E4"/>
    <w:rsid w:val="00744133"/>
    <w:rsid w:val="007442F6"/>
    <w:rsid w:val="00744A19"/>
    <w:rsid w:val="00744B4A"/>
    <w:rsid w:val="00744E67"/>
    <w:rsid w:val="007451BA"/>
    <w:rsid w:val="00745832"/>
    <w:rsid w:val="007462CE"/>
    <w:rsid w:val="00746646"/>
    <w:rsid w:val="00746A14"/>
    <w:rsid w:val="007512FC"/>
    <w:rsid w:val="00752A3C"/>
    <w:rsid w:val="00753580"/>
    <w:rsid w:val="00753C5C"/>
    <w:rsid w:val="00753CF2"/>
    <w:rsid w:val="007542E2"/>
    <w:rsid w:val="00754759"/>
    <w:rsid w:val="00754872"/>
    <w:rsid w:val="00754F58"/>
    <w:rsid w:val="007552BA"/>
    <w:rsid w:val="00755C57"/>
    <w:rsid w:val="007560CD"/>
    <w:rsid w:val="00756205"/>
    <w:rsid w:val="0075663F"/>
    <w:rsid w:val="007569CA"/>
    <w:rsid w:val="00756D0E"/>
    <w:rsid w:val="00756E25"/>
    <w:rsid w:val="007575B8"/>
    <w:rsid w:val="00757758"/>
    <w:rsid w:val="00757B49"/>
    <w:rsid w:val="00757D91"/>
    <w:rsid w:val="0076122D"/>
    <w:rsid w:val="00761E9D"/>
    <w:rsid w:val="0076467D"/>
    <w:rsid w:val="00764765"/>
    <w:rsid w:val="00764BC5"/>
    <w:rsid w:val="00764EAC"/>
    <w:rsid w:val="007651D7"/>
    <w:rsid w:val="007657E4"/>
    <w:rsid w:val="00765DC3"/>
    <w:rsid w:val="00766057"/>
    <w:rsid w:val="0076759A"/>
    <w:rsid w:val="0076788B"/>
    <w:rsid w:val="00767949"/>
    <w:rsid w:val="00770227"/>
    <w:rsid w:val="00770C17"/>
    <w:rsid w:val="0077138F"/>
    <w:rsid w:val="0077188F"/>
    <w:rsid w:val="00771A26"/>
    <w:rsid w:val="0077294C"/>
    <w:rsid w:val="0077422F"/>
    <w:rsid w:val="00774ECE"/>
    <w:rsid w:val="007751E1"/>
    <w:rsid w:val="0077532C"/>
    <w:rsid w:val="007756AF"/>
    <w:rsid w:val="00775955"/>
    <w:rsid w:val="00775AFC"/>
    <w:rsid w:val="00775E64"/>
    <w:rsid w:val="0077628E"/>
    <w:rsid w:val="0077655B"/>
    <w:rsid w:val="00776C49"/>
    <w:rsid w:val="0077720F"/>
    <w:rsid w:val="007776F6"/>
    <w:rsid w:val="007804A6"/>
    <w:rsid w:val="00780CEF"/>
    <w:rsid w:val="0078140E"/>
    <w:rsid w:val="007815DB"/>
    <w:rsid w:val="00781803"/>
    <w:rsid w:val="00781A40"/>
    <w:rsid w:val="00781B38"/>
    <w:rsid w:val="00781C51"/>
    <w:rsid w:val="00781F67"/>
    <w:rsid w:val="00782506"/>
    <w:rsid w:val="00782FD0"/>
    <w:rsid w:val="0078381A"/>
    <w:rsid w:val="00784324"/>
    <w:rsid w:val="00784BA4"/>
    <w:rsid w:val="00784F3D"/>
    <w:rsid w:val="00785DF3"/>
    <w:rsid w:val="0078608A"/>
    <w:rsid w:val="007860BD"/>
    <w:rsid w:val="00786DF9"/>
    <w:rsid w:val="00787AA4"/>
    <w:rsid w:val="00787DD8"/>
    <w:rsid w:val="00791E65"/>
    <w:rsid w:val="00792B4F"/>
    <w:rsid w:val="00793117"/>
    <w:rsid w:val="00793C93"/>
    <w:rsid w:val="0079468C"/>
    <w:rsid w:val="00795119"/>
    <w:rsid w:val="007956FB"/>
    <w:rsid w:val="00796EAB"/>
    <w:rsid w:val="00797369"/>
    <w:rsid w:val="007A0A10"/>
    <w:rsid w:val="007A0C99"/>
    <w:rsid w:val="007A1935"/>
    <w:rsid w:val="007A2530"/>
    <w:rsid w:val="007A27FE"/>
    <w:rsid w:val="007A2E6B"/>
    <w:rsid w:val="007A3591"/>
    <w:rsid w:val="007A35D4"/>
    <w:rsid w:val="007A4AF6"/>
    <w:rsid w:val="007A4CB5"/>
    <w:rsid w:val="007A50D7"/>
    <w:rsid w:val="007A55F2"/>
    <w:rsid w:val="007A5DA9"/>
    <w:rsid w:val="007A60BC"/>
    <w:rsid w:val="007A62FD"/>
    <w:rsid w:val="007A6B73"/>
    <w:rsid w:val="007A7A31"/>
    <w:rsid w:val="007A7B3A"/>
    <w:rsid w:val="007A7CB4"/>
    <w:rsid w:val="007B0C57"/>
    <w:rsid w:val="007B197E"/>
    <w:rsid w:val="007B2CC3"/>
    <w:rsid w:val="007B3151"/>
    <w:rsid w:val="007B32E3"/>
    <w:rsid w:val="007B3FB0"/>
    <w:rsid w:val="007B4A2D"/>
    <w:rsid w:val="007B503E"/>
    <w:rsid w:val="007B5099"/>
    <w:rsid w:val="007B563B"/>
    <w:rsid w:val="007B5D4A"/>
    <w:rsid w:val="007B6EF5"/>
    <w:rsid w:val="007B749C"/>
    <w:rsid w:val="007B74AA"/>
    <w:rsid w:val="007C018B"/>
    <w:rsid w:val="007C0935"/>
    <w:rsid w:val="007C1541"/>
    <w:rsid w:val="007C1C4A"/>
    <w:rsid w:val="007C2F95"/>
    <w:rsid w:val="007C347A"/>
    <w:rsid w:val="007C35CF"/>
    <w:rsid w:val="007C3D64"/>
    <w:rsid w:val="007C402B"/>
    <w:rsid w:val="007C4B80"/>
    <w:rsid w:val="007C57C6"/>
    <w:rsid w:val="007C582A"/>
    <w:rsid w:val="007C6B10"/>
    <w:rsid w:val="007C6F4D"/>
    <w:rsid w:val="007C744A"/>
    <w:rsid w:val="007C79AE"/>
    <w:rsid w:val="007D0C1F"/>
    <w:rsid w:val="007D0E1D"/>
    <w:rsid w:val="007D1107"/>
    <w:rsid w:val="007D15F8"/>
    <w:rsid w:val="007D1620"/>
    <w:rsid w:val="007D20EE"/>
    <w:rsid w:val="007D2366"/>
    <w:rsid w:val="007D3392"/>
    <w:rsid w:val="007D3492"/>
    <w:rsid w:val="007D364F"/>
    <w:rsid w:val="007D3D37"/>
    <w:rsid w:val="007D4147"/>
    <w:rsid w:val="007D4A9B"/>
    <w:rsid w:val="007D4AF8"/>
    <w:rsid w:val="007D4E28"/>
    <w:rsid w:val="007D57BC"/>
    <w:rsid w:val="007D5A1F"/>
    <w:rsid w:val="007D5E28"/>
    <w:rsid w:val="007D60C1"/>
    <w:rsid w:val="007D610E"/>
    <w:rsid w:val="007D68E0"/>
    <w:rsid w:val="007D697C"/>
    <w:rsid w:val="007D7B2F"/>
    <w:rsid w:val="007E00B2"/>
    <w:rsid w:val="007E02B7"/>
    <w:rsid w:val="007E0B08"/>
    <w:rsid w:val="007E0B5A"/>
    <w:rsid w:val="007E10A3"/>
    <w:rsid w:val="007E1DC4"/>
    <w:rsid w:val="007E2C5A"/>
    <w:rsid w:val="007E35C9"/>
    <w:rsid w:val="007E3925"/>
    <w:rsid w:val="007E3D48"/>
    <w:rsid w:val="007E4A2E"/>
    <w:rsid w:val="007E5668"/>
    <w:rsid w:val="007E5CCE"/>
    <w:rsid w:val="007E5E48"/>
    <w:rsid w:val="007E5F2E"/>
    <w:rsid w:val="007E600C"/>
    <w:rsid w:val="007E6460"/>
    <w:rsid w:val="007E6629"/>
    <w:rsid w:val="007E6AB3"/>
    <w:rsid w:val="007E7007"/>
    <w:rsid w:val="007E7161"/>
    <w:rsid w:val="007E787F"/>
    <w:rsid w:val="007E7F81"/>
    <w:rsid w:val="007F0859"/>
    <w:rsid w:val="007F10EF"/>
    <w:rsid w:val="007F1620"/>
    <w:rsid w:val="007F19E4"/>
    <w:rsid w:val="007F2B27"/>
    <w:rsid w:val="007F303F"/>
    <w:rsid w:val="007F3617"/>
    <w:rsid w:val="007F41C8"/>
    <w:rsid w:val="007F557E"/>
    <w:rsid w:val="007F5D63"/>
    <w:rsid w:val="007F66B5"/>
    <w:rsid w:val="007F67FC"/>
    <w:rsid w:val="007F714D"/>
    <w:rsid w:val="007F770F"/>
    <w:rsid w:val="008001B0"/>
    <w:rsid w:val="0080034F"/>
    <w:rsid w:val="008004D0"/>
    <w:rsid w:val="00800640"/>
    <w:rsid w:val="00800AD0"/>
    <w:rsid w:val="00800E83"/>
    <w:rsid w:val="00800FF3"/>
    <w:rsid w:val="00801E9B"/>
    <w:rsid w:val="00801F44"/>
    <w:rsid w:val="008022C3"/>
    <w:rsid w:val="00802484"/>
    <w:rsid w:val="008039E8"/>
    <w:rsid w:val="00804381"/>
    <w:rsid w:val="00805FCE"/>
    <w:rsid w:val="00806196"/>
    <w:rsid w:val="00807619"/>
    <w:rsid w:val="00807B51"/>
    <w:rsid w:val="00810698"/>
    <w:rsid w:val="00810CDA"/>
    <w:rsid w:val="00810E8B"/>
    <w:rsid w:val="00811A6C"/>
    <w:rsid w:val="00811F69"/>
    <w:rsid w:val="0081231E"/>
    <w:rsid w:val="00813B5D"/>
    <w:rsid w:val="00814091"/>
    <w:rsid w:val="008148F3"/>
    <w:rsid w:val="0081496B"/>
    <w:rsid w:val="00814C1C"/>
    <w:rsid w:val="0081617A"/>
    <w:rsid w:val="008161D8"/>
    <w:rsid w:val="00816857"/>
    <w:rsid w:val="00816D65"/>
    <w:rsid w:val="00820177"/>
    <w:rsid w:val="00820536"/>
    <w:rsid w:val="008229F0"/>
    <w:rsid w:val="008238F4"/>
    <w:rsid w:val="00824371"/>
    <w:rsid w:val="00824C2F"/>
    <w:rsid w:val="00824DE1"/>
    <w:rsid w:val="008250B4"/>
    <w:rsid w:val="00825121"/>
    <w:rsid w:val="0082529B"/>
    <w:rsid w:val="0082541C"/>
    <w:rsid w:val="00827618"/>
    <w:rsid w:val="00830BF2"/>
    <w:rsid w:val="0083162C"/>
    <w:rsid w:val="00832484"/>
    <w:rsid w:val="00832512"/>
    <w:rsid w:val="0083314E"/>
    <w:rsid w:val="00833925"/>
    <w:rsid w:val="00833EA2"/>
    <w:rsid w:val="0083401E"/>
    <w:rsid w:val="00834022"/>
    <w:rsid w:val="008344EB"/>
    <w:rsid w:val="008348C9"/>
    <w:rsid w:val="008355F4"/>
    <w:rsid w:val="0083563A"/>
    <w:rsid w:val="00836F4C"/>
    <w:rsid w:val="00837197"/>
    <w:rsid w:val="0083766A"/>
    <w:rsid w:val="00840043"/>
    <w:rsid w:val="00840DB9"/>
    <w:rsid w:val="00840E28"/>
    <w:rsid w:val="008414F0"/>
    <w:rsid w:val="00841E20"/>
    <w:rsid w:val="008434F0"/>
    <w:rsid w:val="00843514"/>
    <w:rsid w:val="00843763"/>
    <w:rsid w:val="008439D1"/>
    <w:rsid w:val="0084437E"/>
    <w:rsid w:val="008443B2"/>
    <w:rsid w:val="0084464E"/>
    <w:rsid w:val="00844901"/>
    <w:rsid w:val="00844A3A"/>
    <w:rsid w:val="00844C2F"/>
    <w:rsid w:val="00845313"/>
    <w:rsid w:val="00845B4B"/>
    <w:rsid w:val="008460E6"/>
    <w:rsid w:val="008461BE"/>
    <w:rsid w:val="008461C8"/>
    <w:rsid w:val="00846A84"/>
    <w:rsid w:val="00846CF9"/>
    <w:rsid w:val="00846EE9"/>
    <w:rsid w:val="008473A1"/>
    <w:rsid w:val="008479F4"/>
    <w:rsid w:val="008502D1"/>
    <w:rsid w:val="00850973"/>
    <w:rsid w:val="00850E56"/>
    <w:rsid w:val="00850EB1"/>
    <w:rsid w:val="00850F0F"/>
    <w:rsid w:val="00851067"/>
    <w:rsid w:val="00853701"/>
    <w:rsid w:val="00853F21"/>
    <w:rsid w:val="008541C1"/>
    <w:rsid w:val="00854596"/>
    <w:rsid w:val="00855167"/>
    <w:rsid w:val="00855C7A"/>
    <w:rsid w:val="00856493"/>
    <w:rsid w:val="00856E7E"/>
    <w:rsid w:val="00860299"/>
    <w:rsid w:val="00860903"/>
    <w:rsid w:val="00860EDD"/>
    <w:rsid w:val="00861EFA"/>
    <w:rsid w:val="0086276A"/>
    <w:rsid w:val="00862D0C"/>
    <w:rsid w:val="00862DF3"/>
    <w:rsid w:val="00862F6F"/>
    <w:rsid w:val="008635DD"/>
    <w:rsid w:val="00864091"/>
    <w:rsid w:val="0086502E"/>
    <w:rsid w:val="00865E21"/>
    <w:rsid w:val="00866CF9"/>
    <w:rsid w:val="008670F2"/>
    <w:rsid w:val="00867BBB"/>
    <w:rsid w:val="00870709"/>
    <w:rsid w:val="00872049"/>
    <w:rsid w:val="0087239E"/>
    <w:rsid w:val="008723A9"/>
    <w:rsid w:val="00872807"/>
    <w:rsid w:val="00872FD2"/>
    <w:rsid w:val="008734D5"/>
    <w:rsid w:val="008736D6"/>
    <w:rsid w:val="00873A21"/>
    <w:rsid w:val="00874BE6"/>
    <w:rsid w:val="00874CCD"/>
    <w:rsid w:val="0087502C"/>
    <w:rsid w:val="008750FA"/>
    <w:rsid w:val="00875A15"/>
    <w:rsid w:val="008760B2"/>
    <w:rsid w:val="0087623A"/>
    <w:rsid w:val="00876518"/>
    <w:rsid w:val="00876610"/>
    <w:rsid w:val="00876716"/>
    <w:rsid w:val="008769EA"/>
    <w:rsid w:val="00877889"/>
    <w:rsid w:val="00880D44"/>
    <w:rsid w:val="00881106"/>
    <w:rsid w:val="00881F15"/>
    <w:rsid w:val="00882023"/>
    <w:rsid w:val="008820B5"/>
    <w:rsid w:val="0088253F"/>
    <w:rsid w:val="00882EFA"/>
    <w:rsid w:val="00883851"/>
    <w:rsid w:val="0088389F"/>
    <w:rsid w:val="00883E97"/>
    <w:rsid w:val="008844AD"/>
    <w:rsid w:val="0088515B"/>
    <w:rsid w:val="0088556B"/>
    <w:rsid w:val="00885AAA"/>
    <w:rsid w:val="008860BC"/>
    <w:rsid w:val="008860C3"/>
    <w:rsid w:val="008863AE"/>
    <w:rsid w:val="008870CD"/>
    <w:rsid w:val="008871EC"/>
    <w:rsid w:val="00887F34"/>
    <w:rsid w:val="0089051B"/>
    <w:rsid w:val="00890533"/>
    <w:rsid w:val="00890546"/>
    <w:rsid w:val="008906EB"/>
    <w:rsid w:val="00890D18"/>
    <w:rsid w:val="00891EA1"/>
    <w:rsid w:val="00891EBD"/>
    <w:rsid w:val="0089252D"/>
    <w:rsid w:val="00892998"/>
    <w:rsid w:val="00892E71"/>
    <w:rsid w:val="0089313B"/>
    <w:rsid w:val="0089335B"/>
    <w:rsid w:val="00893D25"/>
    <w:rsid w:val="00894482"/>
    <w:rsid w:val="0089450F"/>
    <w:rsid w:val="00894A92"/>
    <w:rsid w:val="00895EBA"/>
    <w:rsid w:val="00896919"/>
    <w:rsid w:val="00896F85"/>
    <w:rsid w:val="008971DE"/>
    <w:rsid w:val="008971F2"/>
    <w:rsid w:val="008974FB"/>
    <w:rsid w:val="008977F6"/>
    <w:rsid w:val="00897BEA"/>
    <w:rsid w:val="008A05ED"/>
    <w:rsid w:val="008A06AD"/>
    <w:rsid w:val="008A15A6"/>
    <w:rsid w:val="008A16D7"/>
    <w:rsid w:val="008A1BFF"/>
    <w:rsid w:val="008A2256"/>
    <w:rsid w:val="008A229E"/>
    <w:rsid w:val="008A236D"/>
    <w:rsid w:val="008A2945"/>
    <w:rsid w:val="008A2CC2"/>
    <w:rsid w:val="008A36CE"/>
    <w:rsid w:val="008A3A7B"/>
    <w:rsid w:val="008A483C"/>
    <w:rsid w:val="008A5287"/>
    <w:rsid w:val="008A590B"/>
    <w:rsid w:val="008A5914"/>
    <w:rsid w:val="008A5B5C"/>
    <w:rsid w:val="008A5CD5"/>
    <w:rsid w:val="008A6881"/>
    <w:rsid w:val="008B0491"/>
    <w:rsid w:val="008B04B3"/>
    <w:rsid w:val="008B0855"/>
    <w:rsid w:val="008B0DCA"/>
    <w:rsid w:val="008B1360"/>
    <w:rsid w:val="008B19B9"/>
    <w:rsid w:val="008B2A0E"/>
    <w:rsid w:val="008B2D6C"/>
    <w:rsid w:val="008B352E"/>
    <w:rsid w:val="008B3920"/>
    <w:rsid w:val="008B3A73"/>
    <w:rsid w:val="008B3F93"/>
    <w:rsid w:val="008B3FB6"/>
    <w:rsid w:val="008B4C75"/>
    <w:rsid w:val="008B5516"/>
    <w:rsid w:val="008B638C"/>
    <w:rsid w:val="008B6E59"/>
    <w:rsid w:val="008B73FA"/>
    <w:rsid w:val="008B7731"/>
    <w:rsid w:val="008B7857"/>
    <w:rsid w:val="008C0055"/>
    <w:rsid w:val="008C03F8"/>
    <w:rsid w:val="008C0560"/>
    <w:rsid w:val="008C136D"/>
    <w:rsid w:val="008C1A1F"/>
    <w:rsid w:val="008C211E"/>
    <w:rsid w:val="008C2AF6"/>
    <w:rsid w:val="008C2D75"/>
    <w:rsid w:val="008C389D"/>
    <w:rsid w:val="008C3BE0"/>
    <w:rsid w:val="008C58AE"/>
    <w:rsid w:val="008C5DCB"/>
    <w:rsid w:val="008C730C"/>
    <w:rsid w:val="008C7348"/>
    <w:rsid w:val="008C7A89"/>
    <w:rsid w:val="008C7B56"/>
    <w:rsid w:val="008D0398"/>
    <w:rsid w:val="008D068B"/>
    <w:rsid w:val="008D0824"/>
    <w:rsid w:val="008D0834"/>
    <w:rsid w:val="008D0BD4"/>
    <w:rsid w:val="008D1AC9"/>
    <w:rsid w:val="008D2650"/>
    <w:rsid w:val="008D3245"/>
    <w:rsid w:val="008D44E6"/>
    <w:rsid w:val="008D45C7"/>
    <w:rsid w:val="008D5EF8"/>
    <w:rsid w:val="008D6284"/>
    <w:rsid w:val="008D6A22"/>
    <w:rsid w:val="008D6A8B"/>
    <w:rsid w:val="008D6DA9"/>
    <w:rsid w:val="008D6E9A"/>
    <w:rsid w:val="008D77A1"/>
    <w:rsid w:val="008D794C"/>
    <w:rsid w:val="008E03DF"/>
    <w:rsid w:val="008E04CF"/>
    <w:rsid w:val="008E0AC1"/>
    <w:rsid w:val="008E188E"/>
    <w:rsid w:val="008E3C49"/>
    <w:rsid w:val="008E4BFF"/>
    <w:rsid w:val="008E50EF"/>
    <w:rsid w:val="008E5381"/>
    <w:rsid w:val="008E53B0"/>
    <w:rsid w:val="008E62EB"/>
    <w:rsid w:val="008E6F54"/>
    <w:rsid w:val="008E70D7"/>
    <w:rsid w:val="008E717B"/>
    <w:rsid w:val="008E749B"/>
    <w:rsid w:val="008E78BE"/>
    <w:rsid w:val="008F0912"/>
    <w:rsid w:val="008F0985"/>
    <w:rsid w:val="008F0A54"/>
    <w:rsid w:val="008F0BC4"/>
    <w:rsid w:val="008F107B"/>
    <w:rsid w:val="008F134C"/>
    <w:rsid w:val="008F13E1"/>
    <w:rsid w:val="008F15CB"/>
    <w:rsid w:val="008F15D6"/>
    <w:rsid w:val="008F23DA"/>
    <w:rsid w:val="008F2804"/>
    <w:rsid w:val="008F2FB3"/>
    <w:rsid w:val="008F4A03"/>
    <w:rsid w:val="008F54BE"/>
    <w:rsid w:val="008F5770"/>
    <w:rsid w:val="008F58EC"/>
    <w:rsid w:val="008F58F7"/>
    <w:rsid w:val="008F609B"/>
    <w:rsid w:val="008F62AE"/>
    <w:rsid w:val="008F6935"/>
    <w:rsid w:val="008F744D"/>
    <w:rsid w:val="008F7B04"/>
    <w:rsid w:val="008F7F44"/>
    <w:rsid w:val="00900264"/>
    <w:rsid w:val="00900304"/>
    <w:rsid w:val="0090049F"/>
    <w:rsid w:val="009004A9"/>
    <w:rsid w:val="00900C20"/>
    <w:rsid w:val="0090101F"/>
    <w:rsid w:val="009014D3"/>
    <w:rsid w:val="00901A66"/>
    <w:rsid w:val="009026C6"/>
    <w:rsid w:val="0090271E"/>
    <w:rsid w:val="00903919"/>
    <w:rsid w:val="00903EF4"/>
    <w:rsid w:val="009040F3"/>
    <w:rsid w:val="00904645"/>
    <w:rsid w:val="00904930"/>
    <w:rsid w:val="00906426"/>
    <w:rsid w:val="00906478"/>
    <w:rsid w:val="00907266"/>
    <w:rsid w:val="009106E8"/>
    <w:rsid w:val="009107ED"/>
    <w:rsid w:val="00910ED6"/>
    <w:rsid w:val="0091279B"/>
    <w:rsid w:val="00912BF4"/>
    <w:rsid w:val="009135D4"/>
    <w:rsid w:val="00913643"/>
    <w:rsid w:val="00913CF1"/>
    <w:rsid w:val="00914B6C"/>
    <w:rsid w:val="009151B8"/>
    <w:rsid w:val="0091524D"/>
    <w:rsid w:val="0091558B"/>
    <w:rsid w:val="00915BD5"/>
    <w:rsid w:val="00916011"/>
    <w:rsid w:val="0091687D"/>
    <w:rsid w:val="00916A26"/>
    <w:rsid w:val="009205DE"/>
    <w:rsid w:val="0092074F"/>
    <w:rsid w:val="009216F8"/>
    <w:rsid w:val="0092197E"/>
    <w:rsid w:val="00921ADE"/>
    <w:rsid w:val="00921BA0"/>
    <w:rsid w:val="00921C22"/>
    <w:rsid w:val="009223B4"/>
    <w:rsid w:val="009223E4"/>
    <w:rsid w:val="009225CC"/>
    <w:rsid w:val="009235E6"/>
    <w:rsid w:val="00923890"/>
    <w:rsid w:val="009239D8"/>
    <w:rsid w:val="00925F4E"/>
    <w:rsid w:val="00926300"/>
    <w:rsid w:val="00926BBC"/>
    <w:rsid w:val="00926F12"/>
    <w:rsid w:val="00927AA3"/>
    <w:rsid w:val="009301C6"/>
    <w:rsid w:val="009314BB"/>
    <w:rsid w:val="009328C5"/>
    <w:rsid w:val="00932A35"/>
    <w:rsid w:val="009332E2"/>
    <w:rsid w:val="009332F0"/>
    <w:rsid w:val="0093340F"/>
    <w:rsid w:val="00933D33"/>
    <w:rsid w:val="00933E3C"/>
    <w:rsid w:val="009343F3"/>
    <w:rsid w:val="00934483"/>
    <w:rsid w:val="009347B0"/>
    <w:rsid w:val="00934A3F"/>
    <w:rsid w:val="00935E0D"/>
    <w:rsid w:val="00935EC6"/>
    <w:rsid w:val="00936078"/>
    <w:rsid w:val="00940B7B"/>
    <w:rsid w:val="00941357"/>
    <w:rsid w:val="0094144C"/>
    <w:rsid w:val="0094189E"/>
    <w:rsid w:val="009429ED"/>
    <w:rsid w:val="009432E6"/>
    <w:rsid w:val="0094330B"/>
    <w:rsid w:val="00943764"/>
    <w:rsid w:val="00944B23"/>
    <w:rsid w:val="0094584E"/>
    <w:rsid w:val="00945BA4"/>
    <w:rsid w:val="00945C46"/>
    <w:rsid w:val="009467A4"/>
    <w:rsid w:val="009473BA"/>
    <w:rsid w:val="00950157"/>
    <w:rsid w:val="00951529"/>
    <w:rsid w:val="009518C9"/>
    <w:rsid w:val="00951964"/>
    <w:rsid w:val="00951C08"/>
    <w:rsid w:val="00951C6C"/>
    <w:rsid w:val="0095213E"/>
    <w:rsid w:val="00952310"/>
    <w:rsid w:val="009525B4"/>
    <w:rsid w:val="009526D1"/>
    <w:rsid w:val="00952B56"/>
    <w:rsid w:val="00952BEC"/>
    <w:rsid w:val="00953170"/>
    <w:rsid w:val="009532FC"/>
    <w:rsid w:val="00953FAA"/>
    <w:rsid w:val="00954ED1"/>
    <w:rsid w:val="00955241"/>
    <w:rsid w:val="009558AA"/>
    <w:rsid w:val="00955F07"/>
    <w:rsid w:val="00956B1D"/>
    <w:rsid w:val="0095716A"/>
    <w:rsid w:val="0095729F"/>
    <w:rsid w:val="00960011"/>
    <w:rsid w:val="0096019B"/>
    <w:rsid w:val="009602AE"/>
    <w:rsid w:val="00961215"/>
    <w:rsid w:val="00961858"/>
    <w:rsid w:val="00961C8B"/>
    <w:rsid w:val="00961ECE"/>
    <w:rsid w:val="0096201F"/>
    <w:rsid w:val="0096408E"/>
    <w:rsid w:val="00964734"/>
    <w:rsid w:val="009653D0"/>
    <w:rsid w:val="009656A4"/>
    <w:rsid w:val="00967804"/>
    <w:rsid w:val="00971D8C"/>
    <w:rsid w:val="0097256F"/>
    <w:rsid w:val="009725D4"/>
    <w:rsid w:val="00972B22"/>
    <w:rsid w:val="00972EE7"/>
    <w:rsid w:val="00973046"/>
    <w:rsid w:val="0097325D"/>
    <w:rsid w:val="00973747"/>
    <w:rsid w:val="0097427D"/>
    <w:rsid w:val="009743B0"/>
    <w:rsid w:val="00975D00"/>
    <w:rsid w:val="009762B7"/>
    <w:rsid w:val="00976401"/>
    <w:rsid w:val="00976545"/>
    <w:rsid w:val="00976684"/>
    <w:rsid w:val="00976AA4"/>
    <w:rsid w:val="00976F5E"/>
    <w:rsid w:val="0097763E"/>
    <w:rsid w:val="00977E2E"/>
    <w:rsid w:val="00977FE4"/>
    <w:rsid w:val="00980B27"/>
    <w:rsid w:val="00980E21"/>
    <w:rsid w:val="00982C74"/>
    <w:rsid w:val="00982E08"/>
    <w:rsid w:val="00983382"/>
    <w:rsid w:val="00983736"/>
    <w:rsid w:val="00985B03"/>
    <w:rsid w:val="00986137"/>
    <w:rsid w:val="0098717F"/>
    <w:rsid w:val="009873AC"/>
    <w:rsid w:val="00987CF0"/>
    <w:rsid w:val="009900DA"/>
    <w:rsid w:val="0099015C"/>
    <w:rsid w:val="0099066E"/>
    <w:rsid w:val="009908ED"/>
    <w:rsid w:val="009911A7"/>
    <w:rsid w:val="009912DC"/>
    <w:rsid w:val="009916C3"/>
    <w:rsid w:val="00991A0E"/>
    <w:rsid w:val="00991F65"/>
    <w:rsid w:val="00992851"/>
    <w:rsid w:val="009928E7"/>
    <w:rsid w:val="00992F55"/>
    <w:rsid w:val="009936AE"/>
    <w:rsid w:val="00993A98"/>
    <w:rsid w:val="00993BA6"/>
    <w:rsid w:val="00994010"/>
    <w:rsid w:val="00994161"/>
    <w:rsid w:val="00995B27"/>
    <w:rsid w:val="00995B69"/>
    <w:rsid w:val="009967E5"/>
    <w:rsid w:val="00996AB4"/>
    <w:rsid w:val="00996AC1"/>
    <w:rsid w:val="00996C4C"/>
    <w:rsid w:val="0099716B"/>
    <w:rsid w:val="009971AC"/>
    <w:rsid w:val="009975E0"/>
    <w:rsid w:val="0099790F"/>
    <w:rsid w:val="00997D9B"/>
    <w:rsid w:val="009A0A6F"/>
    <w:rsid w:val="009A14D9"/>
    <w:rsid w:val="009A299D"/>
    <w:rsid w:val="009A3916"/>
    <w:rsid w:val="009A41D3"/>
    <w:rsid w:val="009A5037"/>
    <w:rsid w:val="009A5176"/>
    <w:rsid w:val="009A53DD"/>
    <w:rsid w:val="009A5EA6"/>
    <w:rsid w:val="009A5F91"/>
    <w:rsid w:val="009A6AB8"/>
    <w:rsid w:val="009A6D64"/>
    <w:rsid w:val="009A7A0B"/>
    <w:rsid w:val="009B024B"/>
    <w:rsid w:val="009B0EBF"/>
    <w:rsid w:val="009B0FDD"/>
    <w:rsid w:val="009B17AC"/>
    <w:rsid w:val="009B1E47"/>
    <w:rsid w:val="009B2169"/>
    <w:rsid w:val="009B286A"/>
    <w:rsid w:val="009B3196"/>
    <w:rsid w:val="009B33A1"/>
    <w:rsid w:val="009B3564"/>
    <w:rsid w:val="009B39B4"/>
    <w:rsid w:val="009B3AB4"/>
    <w:rsid w:val="009B3B3D"/>
    <w:rsid w:val="009B4F59"/>
    <w:rsid w:val="009B50F7"/>
    <w:rsid w:val="009B5856"/>
    <w:rsid w:val="009B5AF9"/>
    <w:rsid w:val="009B6217"/>
    <w:rsid w:val="009B643F"/>
    <w:rsid w:val="009B6FCA"/>
    <w:rsid w:val="009B7087"/>
    <w:rsid w:val="009B70A9"/>
    <w:rsid w:val="009B7D19"/>
    <w:rsid w:val="009C0CCC"/>
    <w:rsid w:val="009C0F4E"/>
    <w:rsid w:val="009C19FF"/>
    <w:rsid w:val="009C1C61"/>
    <w:rsid w:val="009C1D15"/>
    <w:rsid w:val="009C1E73"/>
    <w:rsid w:val="009C1F68"/>
    <w:rsid w:val="009C22A6"/>
    <w:rsid w:val="009C267A"/>
    <w:rsid w:val="009C2945"/>
    <w:rsid w:val="009C4B08"/>
    <w:rsid w:val="009C4B66"/>
    <w:rsid w:val="009C4ED9"/>
    <w:rsid w:val="009C4F98"/>
    <w:rsid w:val="009C6672"/>
    <w:rsid w:val="009C694F"/>
    <w:rsid w:val="009C6ED2"/>
    <w:rsid w:val="009C73C1"/>
    <w:rsid w:val="009C77EE"/>
    <w:rsid w:val="009C7C1F"/>
    <w:rsid w:val="009C7EEA"/>
    <w:rsid w:val="009D01B4"/>
    <w:rsid w:val="009D0CCC"/>
    <w:rsid w:val="009D118C"/>
    <w:rsid w:val="009D134B"/>
    <w:rsid w:val="009D1400"/>
    <w:rsid w:val="009D2E9C"/>
    <w:rsid w:val="009D3F0B"/>
    <w:rsid w:val="009D4926"/>
    <w:rsid w:val="009D4A24"/>
    <w:rsid w:val="009D5485"/>
    <w:rsid w:val="009D5B46"/>
    <w:rsid w:val="009D5F35"/>
    <w:rsid w:val="009D62B5"/>
    <w:rsid w:val="009D7A1F"/>
    <w:rsid w:val="009D7D39"/>
    <w:rsid w:val="009E00F7"/>
    <w:rsid w:val="009E0131"/>
    <w:rsid w:val="009E1514"/>
    <w:rsid w:val="009E1647"/>
    <w:rsid w:val="009E18F1"/>
    <w:rsid w:val="009E1C41"/>
    <w:rsid w:val="009E1F03"/>
    <w:rsid w:val="009E2E3D"/>
    <w:rsid w:val="009E30C0"/>
    <w:rsid w:val="009E444F"/>
    <w:rsid w:val="009E48B9"/>
    <w:rsid w:val="009E4934"/>
    <w:rsid w:val="009E57F1"/>
    <w:rsid w:val="009E581A"/>
    <w:rsid w:val="009E5908"/>
    <w:rsid w:val="009E5B19"/>
    <w:rsid w:val="009E66E3"/>
    <w:rsid w:val="009E6961"/>
    <w:rsid w:val="009F0CC1"/>
    <w:rsid w:val="009F1848"/>
    <w:rsid w:val="009F1D81"/>
    <w:rsid w:val="009F2177"/>
    <w:rsid w:val="009F27FF"/>
    <w:rsid w:val="009F289B"/>
    <w:rsid w:val="009F3259"/>
    <w:rsid w:val="009F3386"/>
    <w:rsid w:val="009F368C"/>
    <w:rsid w:val="009F3B91"/>
    <w:rsid w:val="009F41B5"/>
    <w:rsid w:val="009F4666"/>
    <w:rsid w:val="009F481E"/>
    <w:rsid w:val="009F4923"/>
    <w:rsid w:val="009F63CE"/>
    <w:rsid w:val="009F6BF4"/>
    <w:rsid w:val="009F7C0B"/>
    <w:rsid w:val="009F7E0D"/>
    <w:rsid w:val="009F7EC8"/>
    <w:rsid w:val="00A0005C"/>
    <w:rsid w:val="00A00C75"/>
    <w:rsid w:val="00A00F09"/>
    <w:rsid w:val="00A01291"/>
    <w:rsid w:val="00A029E3"/>
    <w:rsid w:val="00A03058"/>
    <w:rsid w:val="00A03D3C"/>
    <w:rsid w:val="00A04120"/>
    <w:rsid w:val="00A04A8B"/>
    <w:rsid w:val="00A054AE"/>
    <w:rsid w:val="00A05E22"/>
    <w:rsid w:val="00A063A5"/>
    <w:rsid w:val="00A07010"/>
    <w:rsid w:val="00A07254"/>
    <w:rsid w:val="00A072FB"/>
    <w:rsid w:val="00A073B5"/>
    <w:rsid w:val="00A07D0A"/>
    <w:rsid w:val="00A10BF8"/>
    <w:rsid w:val="00A1157F"/>
    <w:rsid w:val="00A11759"/>
    <w:rsid w:val="00A11885"/>
    <w:rsid w:val="00A1212E"/>
    <w:rsid w:val="00A124FD"/>
    <w:rsid w:val="00A12849"/>
    <w:rsid w:val="00A12BFD"/>
    <w:rsid w:val="00A130CF"/>
    <w:rsid w:val="00A13140"/>
    <w:rsid w:val="00A131E5"/>
    <w:rsid w:val="00A13515"/>
    <w:rsid w:val="00A14761"/>
    <w:rsid w:val="00A14844"/>
    <w:rsid w:val="00A14ADA"/>
    <w:rsid w:val="00A14ADE"/>
    <w:rsid w:val="00A14B53"/>
    <w:rsid w:val="00A14D26"/>
    <w:rsid w:val="00A1511E"/>
    <w:rsid w:val="00A1543B"/>
    <w:rsid w:val="00A15A20"/>
    <w:rsid w:val="00A175C9"/>
    <w:rsid w:val="00A1765B"/>
    <w:rsid w:val="00A17743"/>
    <w:rsid w:val="00A17C74"/>
    <w:rsid w:val="00A20180"/>
    <w:rsid w:val="00A201A6"/>
    <w:rsid w:val="00A21143"/>
    <w:rsid w:val="00A214ED"/>
    <w:rsid w:val="00A216B8"/>
    <w:rsid w:val="00A221E2"/>
    <w:rsid w:val="00A222D3"/>
    <w:rsid w:val="00A22BE1"/>
    <w:rsid w:val="00A23384"/>
    <w:rsid w:val="00A23DA2"/>
    <w:rsid w:val="00A24615"/>
    <w:rsid w:val="00A24F55"/>
    <w:rsid w:val="00A252E3"/>
    <w:rsid w:val="00A265A8"/>
    <w:rsid w:val="00A26D7D"/>
    <w:rsid w:val="00A27232"/>
    <w:rsid w:val="00A272AB"/>
    <w:rsid w:val="00A3023D"/>
    <w:rsid w:val="00A3042A"/>
    <w:rsid w:val="00A309B5"/>
    <w:rsid w:val="00A30E54"/>
    <w:rsid w:val="00A3112D"/>
    <w:rsid w:val="00A32678"/>
    <w:rsid w:val="00A3400E"/>
    <w:rsid w:val="00A340BD"/>
    <w:rsid w:val="00A3488E"/>
    <w:rsid w:val="00A34E9D"/>
    <w:rsid w:val="00A35257"/>
    <w:rsid w:val="00A35AEF"/>
    <w:rsid w:val="00A35F00"/>
    <w:rsid w:val="00A36CB4"/>
    <w:rsid w:val="00A37B72"/>
    <w:rsid w:val="00A4000E"/>
    <w:rsid w:val="00A40A0E"/>
    <w:rsid w:val="00A41190"/>
    <w:rsid w:val="00A4169E"/>
    <w:rsid w:val="00A41BF2"/>
    <w:rsid w:val="00A41E65"/>
    <w:rsid w:val="00A423BB"/>
    <w:rsid w:val="00A42B16"/>
    <w:rsid w:val="00A4338B"/>
    <w:rsid w:val="00A43452"/>
    <w:rsid w:val="00A43CCD"/>
    <w:rsid w:val="00A44DBA"/>
    <w:rsid w:val="00A450EF"/>
    <w:rsid w:val="00A455A6"/>
    <w:rsid w:val="00A462F6"/>
    <w:rsid w:val="00A4642C"/>
    <w:rsid w:val="00A46A67"/>
    <w:rsid w:val="00A46D83"/>
    <w:rsid w:val="00A46EDF"/>
    <w:rsid w:val="00A47899"/>
    <w:rsid w:val="00A47F7E"/>
    <w:rsid w:val="00A47FEC"/>
    <w:rsid w:val="00A51BBD"/>
    <w:rsid w:val="00A51C10"/>
    <w:rsid w:val="00A53121"/>
    <w:rsid w:val="00A53A86"/>
    <w:rsid w:val="00A5430C"/>
    <w:rsid w:val="00A543B9"/>
    <w:rsid w:val="00A54A1C"/>
    <w:rsid w:val="00A54BC8"/>
    <w:rsid w:val="00A555F2"/>
    <w:rsid w:val="00A5595F"/>
    <w:rsid w:val="00A55C1E"/>
    <w:rsid w:val="00A55D0B"/>
    <w:rsid w:val="00A56290"/>
    <w:rsid w:val="00A563F6"/>
    <w:rsid w:val="00A567EB"/>
    <w:rsid w:val="00A56A34"/>
    <w:rsid w:val="00A57BA5"/>
    <w:rsid w:val="00A60E27"/>
    <w:rsid w:val="00A612BC"/>
    <w:rsid w:val="00A621CA"/>
    <w:rsid w:val="00A62A9B"/>
    <w:rsid w:val="00A632E2"/>
    <w:rsid w:val="00A6390F"/>
    <w:rsid w:val="00A63A82"/>
    <w:rsid w:val="00A64084"/>
    <w:rsid w:val="00A64366"/>
    <w:rsid w:val="00A64A73"/>
    <w:rsid w:val="00A64D9D"/>
    <w:rsid w:val="00A655ED"/>
    <w:rsid w:val="00A656E7"/>
    <w:rsid w:val="00A6593F"/>
    <w:rsid w:val="00A662C2"/>
    <w:rsid w:val="00A66DBE"/>
    <w:rsid w:val="00A6743E"/>
    <w:rsid w:val="00A702E3"/>
    <w:rsid w:val="00A70968"/>
    <w:rsid w:val="00A70CA3"/>
    <w:rsid w:val="00A70D24"/>
    <w:rsid w:val="00A70D89"/>
    <w:rsid w:val="00A713F9"/>
    <w:rsid w:val="00A714B7"/>
    <w:rsid w:val="00A7154B"/>
    <w:rsid w:val="00A7233A"/>
    <w:rsid w:val="00A7244B"/>
    <w:rsid w:val="00A72694"/>
    <w:rsid w:val="00A72C72"/>
    <w:rsid w:val="00A7308D"/>
    <w:rsid w:val="00A73465"/>
    <w:rsid w:val="00A73B36"/>
    <w:rsid w:val="00A750FD"/>
    <w:rsid w:val="00A762EC"/>
    <w:rsid w:val="00A76457"/>
    <w:rsid w:val="00A772FE"/>
    <w:rsid w:val="00A77635"/>
    <w:rsid w:val="00A80AC7"/>
    <w:rsid w:val="00A80D02"/>
    <w:rsid w:val="00A816D8"/>
    <w:rsid w:val="00A821F2"/>
    <w:rsid w:val="00A8263B"/>
    <w:rsid w:val="00A82B8A"/>
    <w:rsid w:val="00A83236"/>
    <w:rsid w:val="00A8444C"/>
    <w:rsid w:val="00A8483D"/>
    <w:rsid w:val="00A84DBF"/>
    <w:rsid w:val="00A84EA2"/>
    <w:rsid w:val="00A85396"/>
    <w:rsid w:val="00A85990"/>
    <w:rsid w:val="00A87138"/>
    <w:rsid w:val="00A87462"/>
    <w:rsid w:val="00A877C3"/>
    <w:rsid w:val="00A87BC7"/>
    <w:rsid w:val="00A87CD6"/>
    <w:rsid w:val="00A87F6B"/>
    <w:rsid w:val="00A9168C"/>
    <w:rsid w:val="00A917EA"/>
    <w:rsid w:val="00A9213F"/>
    <w:rsid w:val="00A9350A"/>
    <w:rsid w:val="00A94029"/>
    <w:rsid w:val="00A94968"/>
    <w:rsid w:val="00A9499D"/>
    <w:rsid w:val="00A94B7A"/>
    <w:rsid w:val="00A94D26"/>
    <w:rsid w:val="00A94E2C"/>
    <w:rsid w:val="00A95BF7"/>
    <w:rsid w:val="00A96240"/>
    <w:rsid w:val="00A96D16"/>
    <w:rsid w:val="00AA0295"/>
    <w:rsid w:val="00AA02EA"/>
    <w:rsid w:val="00AA04EF"/>
    <w:rsid w:val="00AA0564"/>
    <w:rsid w:val="00AA0F33"/>
    <w:rsid w:val="00AA1181"/>
    <w:rsid w:val="00AA2448"/>
    <w:rsid w:val="00AA26CC"/>
    <w:rsid w:val="00AA3A28"/>
    <w:rsid w:val="00AA401C"/>
    <w:rsid w:val="00AA4367"/>
    <w:rsid w:val="00AA447A"/>
    <w:rsid w:val="00AA5332"/>
    <w:rsid w:val="00AA5843"/>
    <w:rsid w:val="00AA744E"/>
    <w:rsid w:val="00AA7A40"/>
    <w:rsid w:val="00AA7B07"/>
    <w:rsid w:val="00AB02F8"/>
    <w:rsid w:val="00AB03D0"/>
    <w:rsid w:val="00AB0BC9"/>
    <w:rsid w:val="00AB0D8C"/>
    <w:rsid w:val="00AB1645"/>
    <w:rsid w:val="00AB1A73"/>
    <w:rsid w:val="00AB212F"/>
    <w:rsid w:val="00AB24A0"/>
    <w:rsid w:val="00AB274E"/>
    <w:rsid w:val="00AB29AB"/>
    <w:rsid w:val="00AB3482"/>
    <w:rsid w:val="00AB3B1D"/>
    <w:rsid w:val="00AB497A"/>
    <w:rsid w:val="00AB4F6B"/>
    <w:rsid w:val="00AB55A9"/>
    <w:rsid w:val="00AB56A0"/>
    <w:rsid w:val="00AB5CF8"/>
    <w:rsid w:val="00AB5ECF"/>
    <w:rsid w:val="00AB5FD4"/>
    <w:rsid w:val="00AB617D"/>
    <w:rsid w:val="00AB6424"/>
    <w:rsid w:val="00AB6DB6"/>
    <w:rsid w:val="00AB713D"/>
    <w:rsid w:val="00AB73CE"/>
    <w:rsid w:val="00AB7445"/>
    <w:rsid w:val="00AB7F94"/>
    <w:rsid w:val="00AC1401"/>
    <w:rsid w:val="00AC1757"/>
    <w:rsid w:val="00AC1793"/>
    <w:rsid w:val="00AC1A6A"/>
    <w:rsid w:val="00AC1D4A"/>
    <w:rsid w:val="00AC306A"/>
    <w:rsid w:val="00AC36D9"/>
    <w:rsid w:val="00AC3718"/>
    <w:rsid w:val="00AC37CD"/>
    <w:rsid w:val="00AC3A0D"/>
    <w:rsid w:val="00AC44EC"/>
    <w:rsid w:val="00AC457C"/>
    <w:rsid w:val="00AC4A1D"/>
    <w:rsid w:val="00AC50F6"/>
    <w:rsid w:val="00AC5160"/>
    <w:rsid w:val="00AC5493"/>
    <w:rsid w:val="00AC5DCC"/>
    <w:rsid w:val="00AC6196"/>
    <w:rsid w:val="00AC674C"/>
    <w:rsid w:val="00AC685A"/>
    <w:rsid w:val="00AC7707"/>
    <w:rsid w:val="00AC7BD2"/>
    <w:rsid w:val="00AC7E49"/>
    <w:rsid w:val="00AD1B44"/>
    <w:rsid w:val="00AD2D03"/>
    <w:rsid w:val="00AD4525"/>
    <w:rsid w:val="00AD4D2C"/>
    <w:rsid w:val="00AD5512"/>
    <w:rsid w:val="00AD6BB1"/>
    <w:rsid w:val="00AD6FF1"/>
    <w:rsid w:val="00AD7C8C"/>
    <w:rsid w:val="00AE025A"/>
    <w:rsid w:val="00AE025D"/>
    <w:rsid w:val="00AE137C"/>
    <w:rsid w:val="00AE15DE"/>
    <w:rsid w:val="00AE22EE"/>
    <w:rsid w:val="00AE2429"/>
    <w:rsid w:val="00AE35E3"/>
    <w:rsid w:val="00AE441C"/>
    <w:rsid w:val="00AE488C"/>
    <w:rsid w:val="00AE4A55"/>
    <w:rsid w:val="00AE5473"/>
    <w:rsid w:val="00AE5786"/>
    <w:rsid w:val="00AE5B49"/>
    <w:rsid w:val="00AE5F25"/>
    <w:rsid w:val="00AE673C"/>
    <w:rsid w:val="00AE7019"/>
    <w:rsid w:val="00AE78DB"/>
    <w:rsid w:val="00AE7952"/>
    <w:rsid w:val="00AE7F6D"/>
    <w:rsid w:val="00AF0215"/>
    <w:rsid w:val="00AF0613"/>
    <w:rsid w:val="00AF0EA2"/>
    <w:rsid w:val="00AF105A"/>
    <w:rsid w:val="00AF108E"/>
    <w:rsid w:val="00AF10EB"/>
    <w:rsid w:val="00AF3D75"/>
    <w:rsid w:val="00AF41A5"/>
    <w:rsid w:val="00AF4A45"/>
    <w:rsid w:val="00AF4E54"/>
    <w:rsid w:val="00AF5A1B"/>
    <w:rsid w:val="00AF5B6D"/>
    <w:rsid w:val="00AF5D7C"/>
    <w:rsid w:val="00AF6117"/>
    <w:rsid w:val="00AF63EE"/>
    <w:rsid w:val="00AF6F6A"/>
    <w:rsid w:val="00AF75F7"/>
    <w:rsid w:val="00AF79E4"/>
    <w:rsid w:val="00B010F7"/>
    <w:rsid w:val="00B014D6"/>
    <w:rsid w:val="00B017DB"/>
    <w:rsid w:val="00B01A23"/>
    <w:rsid w:val="00B01CEB"/>
    <w:rsid w:val="00B027C4"/>
    <w:rsid w:val="00B03A9F"/>
    <w:rsid w:val="00B03FC9"/>
    <w:rsid w:val="00B04C2A"/>
    <w:rsid w:val="00B04E90"/>
    <w:rsid w:val="00B05ED7"/>
    <w:rsid w:val="00B065A2"/>
    <w:rsid w:val="00B065B2"/>
    <w:rsid w:val="00B06C81"/>
    <w:rsid w:val="00B07B28"/>
    <w:rsid w:val="00B07E1B"/>
    <w:rsid w:val="00B106BD"/>
    <w:rsid w:val="00B10DF6"/>
    <w:rsid w:val="00B1241C"/>
    <w:rsid w:val="00B1303F"/>
    <w:rsid w:val="00B131FA"/>
    <w:rsid w:val="00B14433"/>
    <w:rsid w:val="00B14810"/>
    <w:rsid w:val="00B14B48"/>
    <w:rsid w:val="00B14D90"/>
    <w:rsid w:val="00B14E91"/>
    <w:rsid w:val="00B15601"/>
    <w:rsid w:val="00B1670A"/>
    <w:rsid w:val="00B16886"/>
    <w:rsid w:val="00B169DC"/>
    <w:rsid w:val="00B16C5C"/>
    <w:rsid w:val="00B175F0"/>
    <w:rsid w:val="00B17B98"/>
    <w:rsid w:val="00B17F46"/>
    <w:rsid w:val="00B20423"/>
    <w:rsid w:val="00B21507"/>
    <w:rsid w:val="00B21A2B"/>
    <w:rsid w:val="00B225AC"/>
    <w:rsid w:val="00B22F8C"/>
    <w:rsid w:val="00B23E71"/>
    <w:rsid w:val="00B25970"/>
    <w:rsid w:val="00B25F67"/>
    <w:rsid w:val="00B265F2"/>
    <w:rsid w:val="00B26770"/>
    <w:rsid w:val="00B27ABE"/>
    <w:rsid w:val="00B27E8B"/>
    <w:rsid w:val="00B30413"/>
    <w:rsid w:val="00B304F0"/>
    <w:rsid w:val="00B30630"/>
    <w:rsid w:val="00B30760"/>
    <w:rsid w:val="00B31E81"/>
    <w:rsid w:val="00B329B5"/>
    <w:rsid w:val="00B335F8"/>
    <w:rsid w:val="00B33E40"/>
    <w:rsid w:val="00B33E69"/>
    <w:rsid w:val="00B34235"/>
    <w:rsid w:val="00B346F2"/>
    <w:rsid w:val="00B35572"/>
    <w:rsid w:val="00B35931"/>
    <w:rsid w:val="00B3735D"/>
    <w:rsid w:val="00B375F4"/>
    <w:rsid w:val="00B37782"/>
    <w:rsid w:val="00B37C66"/>
    <w:rsid w:val="00B40495"/>
    <w:rsid w:val="00B4050C"/>
    <w:rsid w:val="00B408FD"/>
    <w:rsid w:val="00B40965"/>
    <w:rsid w:val="00B409A3"/>
    <w:rsid w:val="00B40FC0"/>
    <w:rsid w:val="00B411E1"/>
    <w:rsid w:val="00B4138D"/>
    <w:rsid w:val="00B41C93"/>
    <w:rsid w:val="00B4351D"/>
    <w:rsid w:val="00B4362E"/>
    <w:rsid w:val="00B43793"/>
    <w:rsid w:val="00B4382F"/>
    <w:rsid w:val="00B4383F"/>
    <w:rsid w:val="00B43E30"/>
    <w:rsid w:val="00B43FC0"/>
    <w:rsid w:val="00B443B8"/>
    <w:rsid w:val="00B44556"/>
    <w:rsid w:val="00B4471A"/>
    <w:rsid w:val="00B44E91"/>
    <w:rsid w:val="00B45861"/>
    <w:rsid w:val="00B46454"/>
    <w:rsid w:val="00B46771"/>
    <w:rsid w:val="00B46E52"/>
    <w:rsid w:val="00B4726F"/>
    <w:rsid w:val="00B4786C"/>
    <w:rsid w:val="00B505F2"/>
    <w:rsid w:val="00B50664"/>
    <w:rsid w:val="00B50CB9"/>
    <w:rsid w:val="00B5129A"/>
    <w:rsid w:val="00B514B3"/>
    <w:rsid w:val="00B51BEE"/>
    <w:rsid w:val="00B52468"/>
    <w:rsid w:val="00B52741"/>
    <w:rsid w:val="00B528C9"/>
    <w:rsid w:val="00B52CC0"/>
    <w:rsid w:val="00B532FC"/>
    <w:rsid w:val="00B534D5"/>
    <w:rsid w:val="00B541A6"/>
    <w:rsid w:val="00B543A3"/>
    <w:rsid w:val="00B552D3"/>
    <w:rsid w:val="00B560FA"/>
    <w:rsid w:val="00B5622A"/>
    <w:rsid w:val="00B566C0"/>
    <w:rsid w:val="00B56A10"/>
    <w:rsid w:val="00B62674"/>
    <w:rsid w:val="00B62749"/>
    <w:rsid w:val="00B62B59"/>
    <w:rsid w:val="00B63E29"/>
    <w:rsid w:val="00B646DA"/>
    <w:rsid w:val="00B66823"/>
    <w:rsid w:val="00B66C0F"/>
    <w:rsid w:val="00B67023"/>
    <w:rsid w:val="00B6799A"/>
    <w:rsid w:val="00B701F1"/>
    <w:rsid w:val="00B70263"/>
    <w:rsid w:val="00B70339"/>
    <w:rsid w:val="00B70CD5"/>
    <w:rsid w:val="00B72432"/>
    <w:rsid w:val="00B73CFC"/>
    <w:rsid w:val="00B742D2"/>
    <w:rsid w:val="00B811EA"/>
    <w:rsid w:val="00B81472"/>
    <w:rsid w:val="00B81B7E"/>
    <w:rsid w:val="00B822DF"/>
    <w:rsid w:val="00B824CA"/>
    <w:rsid w:val="00B82F97"/>
    <w:rsid w:val="00B835DA"/>
    <w:rsid w:val="00B83B6A"/>
    <w:rsid w:val="00B83FC2"/>
    <w:rsid w:val="00B8401C"/>
    <w:rsid w:val="00B84192"/>
    <w:rsid w:val="00B8428E"/>
    <w:rsid w:val="00B848F6"/>
    <w:rsid w:val="00B84D08"/>
    <w:rsid w:val="00B8508D"/>
    <w:rsid w:val="00B854A5"/>
    <w:rsid w:val="00B854F6"/>
    <w:rsid w:val="00B85B75"/>
    <w:rsid w:val="00B85E19"/>
    <w:rsid w:val="00B86273"/>
    <w:rsid w:val="00B872B0"/>
    <w:rsid w:val="00B8751F"/>
    <w:rsid w:val="00B90119"/>
    <w:rsid w:val="00B90182"/>
    <w:rsid w:val="00B90E10"/>
    <w:rsid w:val="00B910E9"/>
    <w:rsid w:val="00B9153E"/>
    <w:rsid w:val="00B9227F"/>
    <w:rsid w:val="00B92A42"/>
    <w:rsid w:val="00B92EE7"/>
    <w:rsid w:val="00B931DE"/>
    <w:rsid w:val="00B932B9"/>
    <w:rsid w:val="00B939B7"/>
    <w:rsid w:val="00B93BBF"/>
    <w:rsid w:val="00B93D45"/>
    <w:rsid w:val="00B93DA9"/>
    <w:rsid w:val="00B93DDD"/>
    <w:rsid w:val="00B94795"/>
    <w:rsid w:val="00B947B6"/>
    <w:rsid w:val="00B94EF2"/>
    <w:rsid w:val="00B95210"/>
    <w:rsid w:val="00B95B9D"/>
    <w:rsid w:val="00B95F8F"/>
    <w:rsid w:val="00B96C0D"/>
    <w:rsid w:val="00B96D4C"/>
    <w:rsid w:val="00B97403"/>
    <w:rsid w:val="00B978D2"/>
    <w:rsid w:val="00BA05EC"/>
    <w:rsid w:val="00BA08E7"/>
    <w:rsid w:val="00BA1BFF"/>
    <w:rsid w:val="00BA1DDB"/>
    <w:rsid w:val="00BA1EC4"/>
    <w:rsid w:val="00BA2DC8"/>
    <w:rsid w:val="00BA2EEF"/>
    <w:rsid w:val="00BA32FE"/>
    <w:rsid w:val="00BA3670"/>
    <w:rsid w:val="00BA3AB4"/>
    <w:rsid w:val="00BA3E64"/>
    <w:rsid w:val="00BA41D8"/>
    <w:rsid w:val="00BA4556"/>
    <w:rsid w:val="00BA60D7"/>
    <w:rsid w:val="00BA6A7F"/>
    <w:rsid w:val="00BA6B18"/>
    <w:rsid w:val="00BA6BAA"/>
    <w:rsid w:val="00BA6E1A"/>
    <w:rsid w:val="00BA764C"/>
    <w:rsid w:val="00BB041F"/>
    <w:rsid w:val="00BB17D3"/>
    <w:rsid w:val="00BB19F0"/>
    <w:rsid w:val="00BB19F6"/>
    <w:rsid w:val="00BB2182"/>
    <w:rsid w:val="00BB29A3"/>
    <w:rsid w:val="00BB2BDD"/>
    <w:rsid w:val="00BB3A07"/>
    <w:rsid w:val="00BB4374"/>
    <w:rsid w:val="00BB4FED"/>
    <w:rsid w:val="00BB52E7"/>
    <w:rsid w:val="00BB60FB"/>
    <w:rsid w:val="00BB746E"/>
    <w:rsid w:val="00BC08F2"/>
    <w:rsid w:val="00BC16AA"/>
    <w:rsid w:val="00BC229B"/>
    <w:rsid w:val="00BC24BE"/>
    <w:rsid w:val="00BC264E"/>
    <w:rsid w:val="00BC306F"/>
    <w:rsid w:val="00BC3CC7"/>
    <w:rsid w:val="00BC431B"/>
    <w:rsid w:val="00BC449A"/>
    <w:rsid w:val="00BC44A4"/>
    <w:rsid w:val="00BC4698"/>
    <w:rsid w:val="00BC4A96"/>
    <w:rsid w:val="00BC4E02"/>
    <w:rsid w:val="00BC5609"/>
    <w:rsid w:val="00BC56E2"/>
    <w:rsid w:val="00BC60A9"/>
    <w:rsid w:val="00BC64DD"/>
    <w:rsid w:val="00BC6638"/>
    <w:rsid w:val="00BC6696"/>
    <w:rsid w:val="00BC68F2"/>
    <w:rsid w:val="00BC694A"/>
    <w:rsid w:val="00BC6A8C"/>
    <w:rsid w:val="00BC764B"/>
    <w:rsid w:val="00BC7909"/>
    <w:rsid w:val="00BC795B"/>
    <w:rsid w:val="00BC7BAA"/>
    <w:rsid w:val="00BD0F31"/>
    <w:rsid w:val="00BD11D1"/>
    <w:rsid w:val="00BD1D9B"/>
    <w:rsid w:val="00BD1EEE"/>
    <w:rsid w:val="00BD2A56"/>
    <w:rsid w:val="00BD2F47"/>
    <w:rsid w:val="00BD3830"/>
    <w:rsid w:val="00BD3C5E"/>
    <w:rsid w:val="00BD585C"/>
    <w:rsid w:val="00BD5F2E"/>
    <w:rsid w:val="00BD6592"/>
    <w:rsid w:val="00BD665C"/>
    <w:rsid w:val="00BD67B5"/>
    <w:rsid w:val="00BD7525"/>
    <w:rsid w:val="00BD7A6E"/>
    <w:rsid w:val="00BE05AF"/>
    <w:rsid w:val="00BE08AB"/>
    <w:rsid w:val="00BE102C"/>
    <w:rsid w:val="00BE1179"/>
    <w:rsid w:val="00BE1980"/>
    <w:rsid w:val="00BE1B7D"/>
    <w:rsid w:val="00BE2911"/>
    <w:rsid w:val="00BE2BF4"/>
    <w:rsid w:val="00BE2C9E"/>
    <w:rsid w:val="00BE312C"/>
    <w:rsid w:val="00BE3354"/>
    <w:rsid w:val="00BE4558"/>
    <w:rsid w:val="00BE4B95"/>
    <w:rsid w:val="00BE5032"/>
    <w:rsid w:val="00BE564C"/>
    <w:rsid w:val="00BE67F8"/>
    <w:rsid w:val="00BE6B3D"/>
    <w:rsid w:val="00BE714D"/>
    <w:rsid w:val="00BE72BE"/>
    <w:rsid w:val="00BE76BA"/>
    <w:rsid w:val="00BE76E8"/>
    <w:rsid w:val="00BE789D"/>
    <w:rsid w:val="00BE7924"/>
    <w:rsid w:val="00BE79E1"/>
    <w:rsid w:val="00BE7C24"/>
    <w:rsid w:val="00BF0135"/>
    <w:rsid w:val="00BF02C4"/>
    <w:rsid w:val="00BF0551"/>
    <w:rsid w:val="00BF055C"/>
    <w:rsid w:val="00BF0AB1"/>
    <w:rsid w:val="00BF0C11"/>
    <w:rsid w:val="00BF0F45"/>
    <w:rsid w:val="00BF1277"/>
    <w:rsid w:val="00BF141D"/>
    <w:rsid w:val="00BF1470"/>
    <w:rsid w:val="00BF1E58"/>
    <w:rsid w:val="00BF243C"/>
    <w:rsid w:val="00BF2AFB"/>
    <w:rsid w:val="00BF2FD5"/>
    <w:rsid w:val="00BF3BB0"/>
    <w:rsid w:val="00BF3BCB"/>
    <w:rsid w:val="00BF58FB"/>
    <w:rsid w:val="00BF59D8"/>
    <w:rsid w:val="00BF5A99"/>
    <w:rsid w:val="00BF5EFD"/>
    <w:rsid w:val="00BF646D"/>
    <w:rsid w:val="00BF77E5"/>
    <w:rsid w:val="00BF79DD"/>
    <w:rsid w:val="00BF7EA4"/>
    <w:rsid w:val="00C004FE"/>
    <w:rsid w:val="00C00DAC"/>
    <w:rsid w:val="00C01221"/>
    <w:rsid w:val="00C012C4"/>
    <w:rsid w:val="00C0178D"/>
    <w:rsid w:val="00C01F0A"/>
    <w:rsid w:val="00C02224"/>
    <w:rsid w:val="00C03719"/>
    <w:rsid w:val="00C03D1E"/>
    <w:rsid w:val="00C045C6"/>
    <w:rsid w:val="00C0479E"/>
    <w:rsid w:val="00C04BCD"/>
    <w:rsid w:val="00C04E27"/>
    <w:rsid w:val="00C055DA"/>
    <w:rsid w:val="00C058CE"/>
    <w:rsid w:val="00C0600F"/>
    <w:rsid w:val="00C064D5"/>
    <w:rsid w:val="00C068B2"/>
    <w:rsid w:val="00C0725B"/>
    <w:rsid w:val="00C07708"/>
    <w:rsid w:val="00C07C65"/>
    <w:rsid w:val="00C101BE"/>
    <w:rsid w:val="00C10DAA"/>
    <w:rsid w:val="00C110C9"/>
    <w:rsid w:val="00C11512"/>
    <w:rsid w:val="00C11DA0"/>
    <w:rsid w:val="00C12D1C"/>
    <w:rsid w:val="00C138C2"/>
    <w:rsid w:val="00C1443B"/>
    <w:rsid w:val="00C146BD"/>
    <w:rsid w:val="00C14D88"/>
    <w:rsid w:val="00C15C0C"/>
    <w:rsid w:val="00C15C3F"/>
    <w:rsid w:val="00C15F8D"/>
    <w:rsid w:val="00C161A7"/>
    <w:rsid w:val="00C1642C"/>
    <w:rsid w:val="00C16E12"/>
    <w:rsid w:val="00C16E35"/>
    <w:rsid w:val="00C16EAC"/>
    <w:rsid w:val="00C177AC"/>
    <w:rsid w:val="00C179C5"/>
    <w:rsid w:val="00C20013"/>
    <w:rsid w:val="00C20D27"/>
    <w:rsid w:val="00C22587"/>
    <w:rsid w:val="00C22610"/>
    <w:rsid w:val="00C2280B"/>
    <w:rsid w:val="00C228B7"/>
    <w:rsid w:val="00C238DE"/>
    <w:rsid w:val="00C23F2C"/>
    <w:rsid w:val="00C24553"/>
    <w:rsid w:val="00C25195"/>
    <w:rsid w:val="00C252E0"/>
    <w:rsid w:val="00C256F3"/>
    <w:rsid w:val="00C25E11"/>
    <w:rsid w:val="00C26EB5"/>
    <w:rsid w:val="00C27289"/>
    <w:rsid w:val="00C27E18"/>
    <w:rsid w:val="00C27F31"/>
    <w:rsid w:val="00C304DF"/>
    <w:rsid w:val="00C307B8"/>
    <w:rsid w:val="00C30D73"/>
    <w:rsid w:val="00C31012"/>
    <w:rsid w:val="00C31345"/>
    <w:rsid w:val="00C32756"/>
    <w:rsid w:val="00C329C1"/>
    <w:rsid w:val="00C32D86"/>
    <w:rsid w:val="00C32E06"/>
    <w:rsid w:val="00C32F4D"/>
    <w:rsid w:val="00C33507"/>
    <w:rsid w:val="00C337BB"/>
    <w:rsid w:val="00C3403C"/>
    <w:rsid w:val="00C35FEA"/>
    <w:rsid w:val="00C361A2"/>
    <w:rsid w:val="00C366F8"/>
    <w:rsid w:val="00C36A8B"/>
    <w:rsid w:val="00C3722C"/>
    <w:rsid w:val="00C37274"/>
    <w:rsid w:val="00C40266"/>
    <w:rsid w:val="00C41413"/>
    <w:rsid w:val="00C41887"/>
    <w:rsid w:val="00C419CD"/>
    <w:rsid w:val="00C41A85"/>
    <w:rsid w:val="00C421F6"/>
    <w:rsid w:val="00C42C84"/>
    <w:rsid w:val="00C42D89"/>
    <w:rsid w:val="00C43D6B"/>
    <w:rsid w:val="00C4440D"/>
    <w:rsid w:val="00C44469"/>
    <w:rsid w:val="00C44E93"/>
    <w:rsid w:val="00C44F25"/>
    <w:rsid w:val="00C4591F"/>
    <w:rsid w:val="00C45CEC"/>
    <w:rsid w:val="00C463CF"/>
    <w:rsid w:val="00C4663C"/>
    <w:rsid w:val="00C46654"/>
    <w:rsid w:val="00C4714F"/>
    <w:rsid w:val="00C47972"/>
    <w:rsid w:val="00C47FA7"/>
    <w:rsid w:val="00C504B5"/>
    <w:rsid w:val="00C511BC"/>
    <w:rsid w:val="00C517B3"/>
    <w:rsid w:val="00C51DEF"/>
    <w:rsid w:val="00C51E30"/>
    <w:rsid w:val="00C520A5"/>
    <w:rsid w:val="00C521E3"/>
    <w:rsid w:val="00C53149"/>
    <w:rsid w:val="00C53683"/>
    <w:rsid w:val="00C53FD4"/>
    <w:rsid w:val="00C54482"/>
    <w:rsid w:val="00C545B4"/>
    <w:rsid w:val="00C54AED"/>
    <w:rsid w:val="00C54E0D"/>
    <w:rsid w:val="00C552B6"/>
    <w:rsid w:val="00C5533C"/>
    <w:rsid w:val="00C55589"/>
    <w:rsid w:val="00C56154"/>
    <w:rsid w:val="00C56172"/>
    <w:rsid w:val="00C56361"/>
    <w:rsid w:val="00C567BB"/>
    <w:rsid w:val="00C56F11"/>
    <w:rsid w:val="00C57214"/>
    <w:rsid w:val="00C57819"/>
    <w:rsid w:val="00C60560"/>
    <w:rsid w:val="00C605EE"/>
    <w:rsid w:val="00C60C19"/>
    <w:rsid w:val="00C60F51"/>
    <w:rsid w:val="00C61413"/>
    <w:rsid w:val="00C619C1"/>
    <w:rsid w:val="00C61B85"/>
    <w:rsid w:val="00C6211A"/>
    <w:rsid w:val="00C62275"/>
    <w:rsid w:val="00C62525"/>
    <w:rsid w:val="00C62636"/>
    <w:rsid w:val="00C6286B"/>
    <w:rsid w:val="00C632EE"/>
    <w:rsid w:val="00C63E52"/>
    <w:rsid w:val="00C63EE7"/>
    <w:rsid w:val="00C6453A"/>
    <w:rsid w:val="00C645F8"/>
    <w:rsid w:val="00C658D4"/>
    <w:rsid w:val="00C66049"/>
    <w:rsid w:val="00C667C1"/>
    <w:rsid w:val="00C6698C"/>
    <w:rsid w:val="00C66A0D"/>
    <w:rsid w:val="00C66B84"/>
    <w:rsid w:val="00C67309"/>
    <w:rsid w:val="00C713EE"/>
    <w:rsid w:val="00C72E07"/>
    <w:rsid w:val="00C73291"/>
    <w:rsid w:val="00C735CF"/>
    <w:rsid w:val="00C74143"/>
    <w:rsid w:val="00C7420B"/>
    <w:rsid w:val="00C74BC4"/>
    <w:rsid w:val="00C74F26"/>
    <w:rsid w:val="00C75147"/>
    <w:rsid w:val="00C753C6"/>
    <w:rsid w:val="00C76742"/>
    <w:rsid w:val="00C76C0C"/>
    <w:rsid w:val="00C76F23"/>
    <w:rsid w:val="00C77042"/>
    <w:rsid w:val="00C777BD"/>
    <w:rsid w:val="00C806CF"/>
    <w:rsid w:val="00C81685"/>
    <w:rsid w:val="00C819F4"/>
    <w:rsid w:val="00C82B94"/>
    <w:rsid w:val="00C82F53"/>
    <w:rsid w:val="00C835E7"/>
    <w:rsid w:val="00C83C2D"/>
    <w:rsid w:val="00C84C7D"/>
    <w:rsid w:val="00C84DA5"/>
    <w:rsid w:val="00C865A0"/>
    <w:rsid w:val="00C86B23"/>
    <w:rsid w:val="00C86EFB"/>
    <w:rsid w:val="00C86FCA"/>
    <w:rsid w:val="00C87118"/>
    <w:rsid w:val="00C87330"/>
    <w:rsid w:val="00C875C6"/>
    <w:rsid w:val="00C877C1"/>
    <w:rsid w:val="00C87BBD"/>
    <w:rsid w:val="00C87EBC"/>
    <w:rsid w:val="00C90EDA"/>
    <w:rsid w:val="00C90FDD"/>
    <w:rsid w:val="00C926E3"/>
    <w:rsid w:val="00C927EA"/>
    <w:rsid w:val="00C9290B"/>
    <w:rsid w:val="00C93ED3"/>
    <w:rsid w:val="00C94AC8"/>
    <w:rsid w:val="00C950C1"/>
    <w:rsid w:val="00C953C2"/>
    <w:rsid w:val="00C964BA"/>
    <w:rsid w:val="00C965FD"/>
    <w:rsid w:val="00C96E17"/>
    <w:rsid w:val="00C9760D"/>
    <w:rsid w:val="00C97621"/>
    <w:rsid w:val="00C97C8D"/>
    <w:rsid w:val="00CA03B1"/>
    <w:rsid w:val="00CA2DE7"/>
    <w:rsid w:val="00CA2EAD"/>
    <w:rsid w:val="00CA31B1"/>
    <w:rsid w:val="00CA3BDB"/>
    <w:rsid w:val="00CA417A"/>
    <w:rsid w:val="00CA4651"/>
    <w:rsid w:val="00CA4D0A"/>
    <w:rsid w:val="00CA4EF7"/>
    <w:rsid w:val="00CA505B"/>
    <w:rsid w:val="00CA6D88"/>
    <w:rsid w:val="00CA73E4"/>
    <w:rsid w:val="00CA7564"/>
    <w:rsid w:val="00CA7A86"/>
    <w:rsid w:val="00CB09B0"/>
    <w:rsid w:val="00CB0F2F"/>
    <w:rsid w:val="00CB1820"/>
    <w:rsid w:val="00CB2CA6"/>
    <w:rsid w:val="00CB38F0"/>
    <w:rsid w:val="00CB4A00"/>
    <w:rsid w:val="00CB4AF1"/>
    <w:rsid w:val="00CB4F18"/>
    <w:rsid w:val="00CB5F58"/>
    <w:rsid w:val="00CB65D1"/>
    <w:rsid w:val="00CB67E9"/>
    <w:rsid w:val="00CB6DDA"/>
    <w:rsid w:val="00CB7D3F"/>
    <w:rsid w:val="00CB7F99"/>
    <w:rsid w:val="00CC0996"/>
    <w:rsid w:val="00CC0D8C"/>
    <w:rsid w:val="00CC10F8"/>
    <w:rsid w:val="00CC150B"/>
    <w:rsid w:val="00CC1F9C"/>
    <w:rsid w:val="00CC2D87"/>
    <w:rsid w:val="00CC4019"/>
    <w:rsid w:val="00CC41C4"/>
    <w:rsid w:val="00CC4F2A"/>
    <w:rsid w:val="00CC5326"/>
    <w:rsid w:val="00CC5F6A"/>
    <w:rsid w:val="00CC61F6"/>
    <w:rsid w:val="00CC667A"/>
    <w:rsid w:val="00CC66BB"/>
    <w:rsid w:val="00CC6AA7"/>
    <w:rsid w:val="00CC6E0B"/>
    <w:rsid w:val="00CC6EE8"/>
    <w:rsid w:val="00CC7191"/>
    <w:rsid w:val="00CC7257"/>
    <w:rsid w:val="00CC7B53"/>
    <w:rsid w:val="00CC7F05"/>
    <w:rsid w:val="00CD059D"/>
    <w:rsid w:val="00CD0676"/>
    <w:rsid w:val="00CD15D5"/>
    <w:rsid w:val="00CD2553"/>
    <w:rsid w:val="00CD3B1E"/>
    <w:rsid w:val="00CD3BF5"/>
    <w:rsid w:val="00CD3E5E"/>
    <w:rsid w:val="00CD40EC"/>
    <w:rsid w:val="00CD419C"/>
    <w:rsid w:val="00CD45B2"/>
    <w:rsid w:val="00CD565A"/>
    <w:rsid w:val="00CD5778"/>
    <w:rsid w:val="00CD57DB"/>
    <w:rsid w:val="00CD5EB3"/>
    <w:rsid w:val="00CD6C15"/>
    <w:rsid w:val="00CD7252"/>
    <w:rsid w:val="00CD74B9"/>
    <w:rsid w:val="00CD79B4"/>
    <w:rsid w:val="00CD79DF"/>
    <w:rsid w:val="00CE0327"/>
    <w:rsid w:val="00CE045C"/>
    <w:rsid w:val="00CE0677"/>
    <w:rsid w:val="00CE09D9"/>
    <w:rsid w:val="00CE0C74"/>
    <w:rsid w:val="00CE0FB2"/>
    <w:rsid w:val="00CE1161"/>
    <w:rsid w:val="00CE1DF2"/>
    <w:rsid w:val="00CE30CF"/>
    <w:rsid w:val="00CE449A"/>
    <w:rsid w:val="00CE4828"/>
    <w:rsid w:val="00CE4E3F"/>
    <w:rsid w:val="00CE507E"/>
    <w:rsid w:val="00CE5B71"/>
    <w:rsid w:val="00CE647D"/>
    <w:rsid w:val="00CE6524"/>
    <w:rsid w:val="00CE6D15"/>
    <w:rsid w:val="00CE71D7"/>
    <w:rsid w:val="00CF034B"/>
    <w:rsid w:val="00CF1739"/>
    <w:rsid w:val="00CF1996"/>
    <w:rsid w:val="00CF1A87"/>
    <w:rsid w:val="00CF1DE1"/>
    <w:rsid w:val="00CF20CA"/>
    <w:rsid w:val="00CF2BF5"/>
    <w:rsid w:val="00CF2ED8"/>
    <w:rsid w:val="00CF302B"/>
    <w:rsid w:val="00CF3A41"/>
    <w:rsid w:val="00CF3C26"/>
    <w:rsid w:val="00CF3C86"/>
    <w:rsid w:val="00CF3EFE"/>
    <w:rsid w:val="00CF44B0"/>
    <w:rsid w:val="00CF48BF"/>
    <w:rsid w:val="00CF5595"/>
    <w:rsid w:val="00CF6165"/>
    <w:rsid w:val="00CF6517"/>
    <w:rsid w:val="00CF6776"/>
    <w:rsid w:val="00CF6946"/>
    <w:rsid w:val="00CF6BBF"/>
    <w:rsid w:val="00CF6C9F"/>
    <w:rsid w:val="00CF7164"/>
    <w:rsid w:val="00CF7622"/>
    <w:rsid w:val="00D004BD"/>
    <w:rsid w:val="00D00671"/>
    <w:rsid w:val="00D0068F"/>
    <w:rsid w:val="00D01314"/>
    <w:rsid w:val="00D015DD"/>
    <w:rsid w:val="00D02453"/>
    <w:rsid w:val="00D02764"/>
    <w:rsid w:val="00D02CC7"/>
    <w:rsid w:val="00D02D5F"/>
    <w:rsid w:val="00D04AD8"/>
    <w:rsid w:val="00D055E3"/>
    <w:rsid w:val="00D05BBF"/>
    <w:rsid w:val="00D05BF0"/>
    <w:rsid w:val="00D05C94"/>
    <w:rsid w:val="00D06038"/>
    <w:rsid w:val="00D0619D"/>
    <w:rsid w:val="00D064EA"/>
    <w:rsid w:val="00D07237"/>
    <w:rsid w:val="00D07EA0"/>
    <w:rsid w:val="00D10F68"/>
    <w:rsid w:val="00D113E7"/>
    <w:rsid w:val="00D114EF"/>
    <w:rsid w:val="00D1214D"/>
    <w:rsid w:val="00D12475"/>
    <w:rsid w:val="00D12725"/>
    <w:rsid w:val="00D13422"/>
    <w:rsid w:val="00D142C5"/>
    <w:rsid w:val="00D144B0"/>
    <w:rsid w:val="00D14F71"/>
    <w:rsid w:val="00D1546F"/>
    <w:rsid w:val="00D159BE"/>
    <w:rsid w:val="00D179C4"/>
    <w:rsid w:val="00D17A95"/>
    <w:rsid w:val="00D17C41"/>
    <w:rsid w:val="00D17D99"/>
    <w:rsid w:val="00D20595"/>
    <w:rsid w:val="00D21609"/>
    <w:rsid w:val="00D21EAF"/>
    <w:rsid w:val="00D22C07"/>
    <w:rsid w:val="00D23F61"/>
    <w:rsid w:val="00D245A6"/>
    <w:rsid w:val="00D24738"/>
    <w:rsid w:val="00D25870"/>
    <w:rsid w:val="00D25F39"/>
    <w:rsid w:val="00D26F56"/>
    <w:rsid w:val="00D27893"/>
    <w:rsid w:val="00D27A42"/>
    <w:rsid w:val="00D30408"/>
    <w:rsid w:val="00D309F6"/>
    <w:rsid w:val="00D3154B"/>
    <w:rsid w:val="00D31752"/>
    <w:rsid w:val="00D3223C"/>
    <w:rsid w:val="00D331FC"/>
    <w:rsid w:val="00D33D23"/>
    <w:rsid w:val="00D33D2D"/>
    <w:rsid w:val="00D33DEE"/>
    <w:rsid w:val="00D33F28"/>
    <w:rsid w:val="00D34011"/>
    <w:rsid w:val="00D3439E"/>
    <w:rsid w:val="00D34724"/>
    <w:rsid w:val="00D3629F"/>
    <w:rsid w:val="00D3640B"/>
    <w:rsid w:val="00D36BB0"/>
    <w:rsid w:val="00D36DB6"/>
    <w:rsid w:val="00D371EC"/>
    <w:rsid w:val="00D37C70"/>
    <w:rsid w:val="00D37C8E"/>
    <w:rsid w:val="00D37E9D"/>
    <w:rsid w:val="00D40DD3"/>
    <w:rsid w:val="00D41B63"/>
    <w:rsid w:val="00D41F6F"/>
    <w:rsid w:val="00D42005"/>
    <w:rsid w:val="00D42097"/>
    <w:rsid w:val="00D420D5"/>
    <w:rsid w:val="00D4266E"/>
    <w:rsid w:val="00D433C1"/>
    <w:rsid w:val="00D43A01"/>
    <w:rsid w:val="00D43A3C"/>
    <w:rsid w:val="00D43A6B"/>
    <w:rsid w:val="00D44D4D"/>
    <w:rsid w:val="00D456D8"/>
    <w:rsid w:val="00D461B3"/>
    <w:rsid w:val="00D4679E"/>
    <w:rsid w:val="00D46A4A"/>
    <w:rsid w:val="00D47598"/>
    <w:rsid w:val="00D475A8"/>
    <w:rsid w:val="00D478F8"/>
    <w:rsid w:val="00D47B1E"/>
    <w:rsid w:val="00D47DD5"/>
    <w:rsid w:val="00D503A5"/>
    <w:rsid w:val="00D5056D"/>
    <w:rsid w:val="00D50F23"/>
    <w:rsid w:val="00D5170A"/>
    <w:rsid w:val="00D51EEA"/>
    <w:rsid w:val="00D5257A"/>
    <w:rsid w:val="00D527EC"/>
    <w:rsid w:val="00D5342F"/>
    <w:rsid w:val="00D5385E"/>
    <w:rsid w:val="00D54242"/>
    <w:rsid w:val="00D5427A"/>
    <w:rsid w:val="00D54B28"/>
    <w:rsid w:val="00D554F4"/>
    <w:rsid w:val="00D55F55"/>
    <w:rsid w:val="00D56906"/>
    <w:rsid w:val="00D56E79"/>
    <w:rsid w:val="00D57316"/>
    <w:rsid w:val="00D57AEC"/>
    <w:rsid w:val="00D6026B"/>
    <w:rsid w:val="00D617DA"/>
    <w:rsid w:val="00D63415"/>
    <w:rsid w:val="00D63987"/>
    <w:rsid w:val="00D63DFC"/>
    <w:rsid w:val="00D642A9"/>
    <w:rsid w:val="00D64443"/>
    <w:rsid w:val="00D64BE7"/>
    <w:rsid w:val="00D655D4"/>
    <w:rsid w:val="00D662AB"/>
    <w:rsid w:val="00D67268"/>
    <w:rsid w:val="00D67628"/>
    <w:rsid w:val="00D67752"/>
    <w:rsid w:val="00D677D3"/>
    <w:rsid w:val="00D70554"/>
    <w:rsid w:val="00D70614"/>
    <w:rsid w:val="00D70938"/>
    <w:rsid w:val="00D70EEC"/>
    <w:rsid w:val="00D71CA0"/>
    <w:rsid w:val="00D7304B"/>
    <w:rsid w:val="00D739F2"/>
    <w:rsid w:val="00D74364"/>
    <w:rsid w:val="00D74D56"/>
    <w:rsid w:val="00D75613"/>
    <w:rsid w:val="00D75740"/>
    <w:rsid w:val="00D75A63"/>
    <w:rsid w:val="00D75BB4"/>
    <w:rsid w:val="00D767A5"/>
    <w:rsid w:val="00D769EC"/>
    <w:rsid w:val="00D77003"/>
    <w:rsid w:val="00D773BC"/>
    <w:rsid w:val="00D77687"/>
    <w:rsid w:val="00D77BC3"/>
    <w:rsid w:val="00D77D68"/>
    <w:rsid w:val="00D80F6F"/>
    <w:rsid w:val="00D8155C"/>
    <w:rsid w:val="00D8170E"/>
    <w:rsid w:val="00D821C2"/>
    <w:rsid w:val="00D826C7"/>
    <w:rsid w:val="00D82C4D"/>
    <w:rsid w:val="00D82CC1"/>
    <w:rsid w:val="00D82EEC"/>
    <w:rsid w:val="00D83B23"/>
    <w:rsid w:val="00D83D37"/>
    <w:rsid w:val="00D8457E"/>
    <w:rsid w:val="00D851C8"/>
    <w:rsid w:val="00D857F3"/>
    <w:rsid w:val="00D859E4"/>
    <w:rsid w:val="00D85BFC"/>
    <w:rsid w:val="00D85F90"/>
    <w:rsid w:val="00D860C6"/>
    <w:rsid w:val="00D87145"/>
    <w:rsid w:val="00D87790"/>
    <w:rsid w:val="00D87D1E"/>
    <w:rsid w:val="00D87D5F"/>
    <w:rsid w:val="00D9006E"/>
    <w:rsid w:val="00D904AC"/>
    <w:rsid w:val="00D905DF"/>
    <w:rsid w:val="00D90D9B"/>
    <w:rsid w:val="00D9146A"/>
    <w:rsid w:val="00D91F99"/>
    <w:rsid w:val="00D92708"/>
    <w:rsid w:val="00D929AB"/>
    <w:rsid w:val="00D92F8D"/>
    <w:rsid w:val="00D930B6"/>
    <w:rsid w:val="00D935E4"/>
    <w:rsid w:val="00D93728"/>
    <w:rsid w:val="00D9407E"/>
    <w:rsid w:val="00D9433C"/>
    <w:rsid w:val="00D94557"/>
    <w:rsid w:val="00D96432"/>
    <w:rsid w:val="00D9727A"/>
    <w:rsid w:val="00DA0BA6"/>
    <w:rsid w:val="00DA0C73"/>
    <w:rsid w:val="00DA1C9E"/>
    <w:rsid w:val="00DA2976"/>
    <w:rsid w:val="00DA4383"/>
    <w:rsid w:val="00DA49BF"/>
    <w:rsid w:val="00DA6917"/>
    <w:rsid w:val="00DA76C8"/>
    <w:rsid w:val="00DA7E93"/>
    <w:rsid w:val="00DA7EDE"/>
    <w:rsid w:val="00DA7F4F"/>
    <w:rsid w:val="00DB0BFA"/>
    <w:rsid w:val="00DB0E5D"/>
    <w:rsid w:val="00DB19DB"/>
    <w:rsid w:val="00DB1F4C"/>
    <w:rsid w:val="00DB229A"/>
    <w:rsid w:val="00DB2309"/>
    <w:rsid w:val="00DB39F6"/>
    <w:rsid w:val="00DB4159"/>
    <w:rsid w:val="00DB5281"/>
    <w:rsid w:val="00DB67D5"/>
    <w:rsid w:val="00DB68D6"/>
    <w:rsid w:val="00DB698D"/>
    <w:rsid w:val="00DB6D89"/>
    <w:rsid w:val="00DB7D77"/>
    <w:rsid w:val="00DC01C9"/>
    <w:rsid w:val="00DC07DD"/>
    <w:rsid w:val="00DC0931"/>
    <w:rsid w:val="00DC0C3A"/>
    <w:rsid w:val="00DC1860"/>
    <w:rsid w:val="00DC1C6E"/>
    <w:rsid w:val="00DC2268"/>
    <w:rsid w:val="00DC22B0"/>
    <w:rsid w:val="00DC22EB"/>
    <w:rsid w:val="00DC230A"/>
    <w:rsid w:val="00DC2491"/>
    <w:rsid w:val="00DC2676"/>
    <w:rsid w:val="00DC32C3"/>
    <w:rsid w:val="00DC3638"/>
    <w:rsid w:val="00DC3CF1"/>
    <w:rsid w:val="00DC42CC"/>
    <w:rsid w:val="00DC5200"/>
    <w:rsid w:val="00DC5316"/>
    <w:rsid w:val="00DC5EB4"/>
    <w:rsid w:val="00DC6353"/>
    <w:rsid w:val="00DC6B16"/>
    <w:rsid w:val="00DC71FE"/>
    <w:rsid w:val="00DC7B0C"/>
    <w:rsid w:val="00DD0FDA"/>
    <w:rsid w:val="00DD20C9"/>
    <w:rsid w:val="00DD213B"/>
    <w:rsid w:val="00DD2259"/>
    <w:rsid w:val="00DD3C42"/>
    <w:rsid w:val="00DD3C7B"/>
    <w:rsid w:val="00DD3F4F"/>
    <w:rsid w:val="00DD4755"/>
    <w:rsid w:val="00DD4C44"/>
    <w:rsid w:val="00DD4C73"/>
    <w:rsid w:val="00DD51DD"/>
    <w:rsid w:val="00DD61CF"/>
    <w:rsid w:val="00DD7187"/>
    <w:rsid w:val="00DD7F4E"/>
    <w:rsid w:val="00DE011F"/>
    <w:rsid w:val="00DE01BB"/>
    <w:rsid w:val="00DE11AB"/>
    <w:rsid w:val="00DE12AB"/>
    <w:rsid w:val="00DE12D6"/>
    <w:rsid w:val="00DE1A72"/>
    <w:rsid w:val="00DE25BF"/>
    <w:rsid w:val="00DE2628"/>
    <w:rsid w:val="00DE2717"/>
    <w:rsid w:val="00DE3832"/>
    <w:rsid w:val="00DE3E2D"/>
    <w:rsid w:val="00DE4043"/>
    <w:rsid w:val="00DE4674"/>
    <w:rsid w:val="00DE5B4B"/>
    <w:rsid w:val="00DE618C"/>
    <w:rsid w:val="00DE6B34"/>
    <w:rsid w:val="00DE7591"/>
    <w:rsid w:val="00DF1952"/>
    <w:rsid w:val="00DF21DA"/>
    <w:rsid w:val="00DF21F4"/>
    <w:rsid w:val="00DF2257"/>
    <w:rsid w:val="00DF2686"/>
    <w:rsid w:val="00DF2990"/>
    <w:rsid w:val="00DF30FF"/>
    <w:rsid w:val="00DF3265"/>
    <w:rsid w:val="00DF3989"/>
    <w:rsid w:val="00DF3AD4"/>
    <w:rsid w:val="00DF3EA8"/>
    <w:rsid w:val="00DF4209"/>
    <w:rsid w:val="00DF4530"/>
    <w:rsid w:val="00DF47F6"/>
    <w:rsid w:val="00DF5977"/>
    <w:rsid w:val="00DF5983"/>
    <w:rsid w:val="00DF65C7"/>
    <w:rsid w:val="00DF6974"/>
    <w:rsid w:val="00DF7F9A"/>
    <w:rsid w:val="00E00F66"/>
    <w:rsid w:val="00E0105E"/>
    <w:rsid w:val="00E0139C"/>
    <w:rsid w:val="00E017A8"/>
    <w:rsid w:val="00E01809"/>
    <w:rsid w:val="00E025E4"/>
    <w:rsid w:val="00E03896"/>
    <w:rsid w:val="00E0392D"/>
    <w:rsid w:val="00E04364"/>
    <w:rsid w:val="00E04704"/>
    <w:rsid w:val="00E057DC"/>
    <w:rsid w:val="00E05CDB"/>
    <w:rsid w:val="00E05F42"/>
    <w:rsid w:val="00E067AE"/>
    <w:rsid w:val="00E068C6"/>
    <w:rsid w:val="00E0714A"/>
    <w:rsid w:val="00E07A00"/>
    <w:rsid w:val="00E07F68"/>
    <w:rsid w:val="00E10494"/>
    <w:rsid w:val="00E10625"/>
    <w:rsid w:val="00E11414"/>
    <w:rsid w:val="00E1149F"/>
    <w:rsid w:val="00E12010"/>
    <w:rsid w:val="00E123D7"/>
    <w:rsid w:val="00E12949"/>
    <w:rsid w:val="00E15325"/>
    <w:rsid w:val="00E15476"/>
    <w:rsid w:val="00E158B9"/>
    <w:rsid w:val="00E1600B"/>
    <w:rsid w:val="00E165C2"/>
    <w:rsid w:val="00E16BBF"/>
    <w:rsid w:val="00E16ED7"/>
    <w:rsid w:val="00E17016"/>
    <w:rsid w:val="00E200F4"/>
    <w:rsid w:val="00E20469"/>
    <w:rsid w:val="00E2157A"/>
    <w:rsid w:val="00E218AC"/>
    <w:rsid w:val="00E218E2"/>
    <w:rsid w:val="00E2196C"/>
    <w:rsid w:val="00E21EB3"/>
    <w:rsid w:val="00E222C3"/>
    <w:rsid w:val="00E232E7"/>
    <w:rsid w:val="00E233F4"/>
    <w:rsid w:val="00E23CEA"/>
    <w:rsid w:val="00E23E16"/>
    <w:rsid w:val="00E2501F"/>
    <w:rsid w:val="00E2597D"/>
    <w:rsid w:val="00E259C2"/>
    <w:rsid w:val="00E260D6"/>
    <w:rsid w:val="00E263E0"/>
    <w:rsid w:val="00E303D1"/>
    <w:rsid w:val="00E3068E"/>
    <w:rsid w:val="00E30A7C"/>
    <w:rsid w:val="00E30BF7"/>
    <w:rsid w:val="00E30D99"/>
    <w:rsid w:val="00E31110"/>
    <w:rsid w:val="00E3141D"/>
    <w:rsid w:val="00E315C2"/>
    <w:rsid w:val="00E31B51"/>
    <w:rsid w:val="00E31B8D"/>
    <w:rsid w:val="00E32D01"/>
    <w:rsid w:val="00E32EA7"/>
    <w:rsid w:val="00E336C7"/>
    <w:rsid w:val="00E33A27"/>
    <w:rsid w:val="00E3414D"/>
    <w:rsid w:val="00E34642"/>
    <w:rsid w:val="00E34750"/>
    <w:rsid w:val="00E34762"/>
    <w:rsid w:val="00E348BD"/>
    <w:rsid w:val="00E34972"/>
    <w:rsid w:val="00E34E45"/>
    <w:rsid w:val="00E34ED1"/>
    <w:rsid w:val="00E35595"/>
    <w:rsid w:val="00E36193"/>
    <w:rsid w:val="00E36BB5"/>
    <w:rsid w:val="00E36DD0"/>
    <w:rsid w:val="00E37212"/>
    <w:rsid w:val="00E378DA"/>
    <w:rsid w:val="00E4021F"/>
    <w:rsid w:val="00E404E2"/>
    <w:rsid w:val="00E40F27"/>
    <w:rsid w:val="00E41197"/>
    <w:rsid w:val="00E41B7F"/>
    <w:rsid w:val="00E42F87"/>
    <w:rsid w:val="00E42FE9"/>
    <w:rsid w:val="00E4310A"/>
    <w:rsid w:val="00E437EF"/>
    <w:rsid w:val="00E4432C"/>
    <w:rsid w:val="00E44BA6"/>
    <w:rsid w:val="00E4518F"/>
    <w:rsid w:val="00E4531F"/>
    <w:rsid w:val="00E4549F"/>
    <w:rsid w:val="00E455A8"/>
    <w:rsid w:val="00E45940"/>
    <w:rsid w:val="00E460F2"/>
    <w:rsid w:val="00E4683A"/>
    <w:rsid w:val="00E46DD0"/>
    <w:rsid w:val="00E471E6"/>
    <w:rsid w:val="00E479CB"/>
    <w:rsid w:val="00E47C24"/>
    <w:rsid w:val="00E5166B"/>
    <w:rsid w:val="00E5166C"/>
    <w:rsid w:val="00E51B52"/>
    <w:rsid w:val="00E526FD"/>
    <w:rsid w:val="00E52D1C"/>
    <w:rsid w:val="00E52F1D"/>
    <w:rsid w:val="00E533D0"/>
    <w:rsid w:val="00E54175"/>
    <w:rsid w:val="00E546D9"/>
    <w:rsid w:val="00E54C7F"/>
    <w:rsid w:val="00E550DB"/>
    <w:rsid w:val="00E55A2F"/>
    <w:rsid w:val="00E55C1A"/>
    <w:rsid w:val="00E55F1F"/>
    <w:rsid w:val="00E56589"/>
    <w:rsid w:val="00E56D12"/>
    <w:rsid w:val="00E56DEE"/>
    <w:rsid w:val="00E5743B"/>
    <w:rsid w:val="00E57AEA"/>
    <w:rsid w:val="00E6029A"/>
    <w:rsid w:val="00E62390"/>
    <w:rsid w:val="00E62B8E"/>
    <w:rsid w:val="00E62D82"/>
    <w:rsid w:val="00E6309E"/>
    <w:rsid w:val="00E63DA4"/>
    <w:rsid w:val="00E64E1E"/>
    <w:rsid w:val="00E654FE"/>
    <w:rsid w:val="00E659DD"/>
    <w:rsid w:val="00E65AB4"/>
    <w:rsid w:val="00E65D4A"/>
    <w:rsid w:val="00E66111"/>
    <w:rsid w:val="00E670D3"/>
    <w:rsid w:val="00E67304"/>
    <w:rsid w:val="00E67E57"/>
    <w:rsid w:val="00E67FBF"/>
    <w:rsid w:val="00E702DF"/>
    <w:rsid w:val="00E71049"/>
    <w:rsid w:val="00E7155B"/>
    <w:rsid w:val="00E72573"/>
    <w:rsid w:val="00E72B60"/>
    <w:rsid w:val="00E72D6D"/>
    <w:rsid w:val="00E72D97"/>
    <w:rsid w:val="00E7376C"/>
    <w:rsid w:val="00E73FA8"/>
    <w:rsid w:val="00E74102"/>
    <w:rsid w:val="00E74281"/>
    <w:rsid w:val="00E743BD"/>
    <w:rsid w:val="00E7443F"/>
    <w:rsid w:val="00E7491C"/>
    <w:rsid w:val="00E76A4C"/>
    <w:rsid w:val="00E775D4"/>
    <w:rsid w:val="00E77AF2"/>
    <w:rsid w:val="00E80622"/>
    <w:rsid w:val="00E815CD"/>
    <w:rsid w:val="00E817C7"/>
    <w:rsid w:val="00E8180C"/>
    <w:rsid w:val="00E81A57"/>
    <w:rsid w:val="00E81DE6"/>
    <w:rsid w:val="00E824EE"/>
    <w:rsid w:val="00E8295D"/>
    <w:rsid w:val="00E82A7E"/>
    <w:rsid w:val="00E82CBB"/>
    <w:rsid w:val="00E83C52"/>
    <w:rsid w:val="00E83CAF"/>
    <w:rsid w:val="00E83F18"/>
    <w:rsid w:val="00E85EDE"/>
    <w:rsid w:val="00E861A1"/>
    <w:rsid w:val="00E8629C"/>
    <w:rsid w:val="00E86371"/>
    <w:rsid w:val="00E8638F"/>
    <w:rsid w:val="00E86A47"/>
    <w:rsid w:val="00E87C87"/>
    <w:rsid w:val="00E87F25"/>
    <w:rsid w:val="00E90706"/>
    <w:rsid w:val="00E90C9B"/>
    <w:rsid w:val="00E91161"/>
    <w:rsid w:val="00E91B34"/>
    <w:rsid w:val="00E9215C"/>
    <w:rsid w:val="00E92515"/>
    <w:rsid w:val="00E9269B"/>
    <w:rsid w:val="00E93408"/>
    <w:rsid w:val="00E93712"/>
    <w:rsid w:val="00E93B86"/>
    <w:rsid w:val="00E93DFA"/>
    <w:rsid w:val="00E958F5"/>
    <w:rsid w:val="00E95AAC"/>
    <w:rsid w:val="00E95C1F"/>
    <w:rsid w:val="00E95D01"/>
    <w:rsid w:val="00E9614E"/>
    <w:rsid w:val="00EA0388"/>
    <w:rsid w:val="00EA079D"/>
    <w:rsid w:val="00EA0BE6"/>
    <w:rsid w:val="00EA0D36"/>
    <w:rsid w:val="00EA2173"/>
    <w:rsid w:val="00EA2EB2"/>
    <w:rsid w:val="00EA37A0"/>
    <w:rsid w:val="00EA4065"/>
    <w:rsid w:val="00EA474F"/>
    <w:rsid w:val="00EA4ADD"/>
    <w:rsid w:val="00EA5177"/>
    <w:rsid w:val="00EA524B"/>
    <w:rsid w:val="00EA5378"/>
    <w:rsid w:val="00EA537E"/>
    <w:rsid w:val="00EA5883"/>
    <w:rsid w:val="00EA609B"/>
    <w:rsid w:val="00EA6FBB"/>
    <w:rsid w:val="00EA7542"/>
    <w:rsid w:val="00EB059C"/>
    <w:rsid w:val="00EB1D28"/>
    <w:rsid w:val="00EB2965"/>
    <w:rsid w:val="00EB2F5E"/>
    <w:rsid w:val="00EB35C0"/>
    <w:rsid w:val="00EB3812"/>
    <w:rsid w:val="00EB51D6"/>
    <w:rsid w:val="00EB619E"/>
    <w:rsid w:val="00EB6E64"/>
    <w:rsid w:val="00EB6F3E"/>
    <w:rsid w:val="00EB7B15"/>
    <w:rsid w:val="00EB7C81"/>
    <w:rsid w:val="00EB7CD8"/>
    <w:rsid w:val="00EC008B"/>
    <w:rsid w:val="00EC020E"/>
    <w:rsid w:val="00EC0EDB"/>
    <w:rsid w:val="00EC1055"/>
    <w:rsid w:val="00EC1530"/>
    <w:rsid w:val="00EC1588"/>
    <w:rsid w:val="00EC15E5"/>
    <w:rsid w:val="00EC163D"/>
    <w:rsid w:val="00EC27C7"/>
    <w:rsid w:val="00EC2C05"/>
    <w:rsid w:val="00EC3497"/>
    <w:rsid w:val="00EC3FC6"/>
    <w:rsid w:val="00EC4313"/>
    <w:rsid w:val="00EC488A"/>
    <w:rsid w:val="00EC612F"/>
    <w:rsid w:val="00EC6806"/>
    <w:rsid w:val="00EC6D87"/>
    <w:rsid w:val="00EC7641"/>
    <w:rsid w:val="00EC7D58"/>
    <w:rsid w:val="00ED022D"/>
    <w:rsid w:val="00ED0609"/>
    <w:rsid w:val="00ED0BEF"/>
    <w:rsid w:val="00ED1C39"/>
    <w:rsid w:val="00ED1DD5"/>
    <w:rsid w:val="00ED22A9"/>
    <w:rsid w:val="00ED31A6"/>
    <w:rsid w:val="00ED31DD"/>
    <w:rsid w:val="00ED35B8"/>
    <w:rsid w:val="00ED3D0E"/>
    <w:rsid w:val="00ED47BD"/>
    <w:rsid w:val="00ED5AF7"/>
    <w:rsid w:val="00ED6AB3"/>
    <w:rsid w:val="00ED74DA"/>
    <w:rsid w:val="00ED79CB"/>
    <w:rsid w:val="00EE008B"/>
    <w:rsid w:val="00EE086E"/>
    <w:rsid w:val="00EE096B"/>
    <w:rsid w:val="00EE0B2D"/>
    <w:rsid w:val="00EE0BA4"/>
    <w:rsid w:val="00EE32CE"/>
    <w:rsid w:val="00EE32F8"/>
    <w:rsid w:val="00EE339D"/>
    <w:rsid w:val="00EE3663"/>
    <w:rsid w:val="00EE36EB"/>
    <w:rsid w:val="00EE51FE"/>
    <w:rsid w:val="00EE58BD"/>
    <w:rsid w:val="00EE616E"/>
    <w:rsid w:val="00EE6993"/>
    <w:rsid w:val="00EE6A41"/>
    <w:rsid w:val="00EE6BB0"/>
    <w:rsid w:val="00EE6D78"/>
    <w:rsid w:val="00EE6DE6"/>
    <w:rsid w:val="00EE7207"/>
    <w:rsid w:val="00EE76A8"/>
    <w:rsid w:val="00EE7E49"/>
    <w:rsid w:val="00EF06CE"/>
    <w:rsid w:val="00EF094A"/>
    <w:rsid w:val="00EF1392"/>
    <w:rsid w:val="00EF156D"/>
    <w:rsid w:val="00EF17B8"/>
    <w:rsid w:val="00EF18D9"/>
    <w:rsid w:val="00EF19B4"/>
    <w:rsid w:val="00EF200D"/>
    <w:rsid w:val="00EF22F1"/>
    <w:rsid w:val="00EF2685"/>
    <w:rsid w:val="00EF2F71"/>
    <w:rsid w:val="00EF30BD"/>
    <w:rsid w:val="00EF3592"/>
    <w:rsid w:val="00EF45A0"/>
    <w:rsid w:val="00EF4F82"/>
    <w:rsid w:val="00EF4FBD"/>
    <w:rsid w:val="00EF5ED6"/>
    <w:rsid w:val="00EF60E5"/>
    <w:rsid w:val="00EF67FB"/>
    <w:rsid w:val="00EF6D18"/>
    <w:rsid w:val="00EF7EC0"/>
    <w:rsid w:val="00EF7EF2"/>
    <w:rsid w:val="00F010F7"/>
    <w:rsid w:val="00F01311"/>
    <w:rsid w:val="00F01913"/>
    <w:rsid w:val="00F01A76"/>
    <w:rsid w:val="00F01F55"/>
    <w:rsid w:val="00F02398"/>
    <w:rsid w:val="00F023DA"/>
    <w:rsid w:val="00F02F81"/>
    <w:rsid w:val="00F030F5"/>
    <w:rsid w:val="00F036C1"/>
    <w:rsid w:val="00F03CBE"/>
    <w:rsid w:val="00F03FC6"/>
    <w:rsid w:val="00F042A6"/>
    <w:rsid w:val="00F045D1"/>
    <w:rsid w:val="00F04948"/>
    <w:rsid w:val="00F05312"/>
    <w:rsid w:val="00F058E7"/>
    <w:rsid w:val="00F0685A"/>
    <w:rsid w:val="00F06B26"/>
    <w:rsid w:val="00F07B50"/>
    <w:rsid w:val="00F1108E"/>
    <w:rsid w:val="00F1167D"/>
    <w:rsid w:val="00F123FB"/>
    <w:rsid w:val="00F124B5"/>
    <w:rsid w:val="00F12820"/>
    <w:rsid w:val="00F12FD8"/>
    <w:rsid w:val="00F1308E"/>
    <w:rsid w:val="00F136B7"/>
    <w:rsid w:val="00F13C0A"/>
    <w:rsid w:val="00F13D31"/>
    <w:rsid w:val="00F14948"/>
    <w:rsid w:val="00F1581C"/>
    <w:rsid w:val="00F15EF1"/>
    <w:rsid w:val="00F1651A"/>
    <w:rsid w:val="00F1651B"/>
    <w:rsid w:val="00F174FE"/>
    <w:rsid w:val="00F17970"/>
    <w:rsid w:val="00F2077D"/>
    <w:rsid w:val="00F20796"/>
    <w:rsid w:val="00F2087C"/>
    <w:rsid w:val="00F20EB6"/>
    <w:rsid w:val="00F215D5"/>
    <w:rsid w:val="00F21BF4"/>
    <w:rsid w:val="00F21F39"/>
    <w:rsid w:val="00F22163"/>
    <w:rsid w:val="00F2216E"/>
    <w:rsid w:val="00F221E9"/>
    <w:rsid w:val="00F22221"/>
    <w:rsid w:val="00F2273D"/>
    <w:rsid w:val="00F22BD1"/>
    <w:rsid w:val="00F22DFB"/>
    <w:rsid w:val="00F23237"/>
    <w:rsid w:val="00F23EE4"/>
    <w:rsid w:val="00F25211"/>
    <w:rsid w:val="00F2536B"/>
    <w:rsid w:val="00F26A07"/>
    <w:rsid w:val="00F26D3D"/>
    <w:rsid w:val="00F2724A"/>
    <w:rsid w:val="00F277EB"/>
    <w:rsid w:val="00F308BF"/>
    <w:rsid w:val="00F3176C"/>
    <w:rsid w:val="00F31ACF"/>
    <w:rsid w:val="00F31C04"/>
    <w:rsid w:val="00F31E82"/>
    <w:rsid w:val="00F31FE3"/>
    <w:rsid w:val="00F320D4"/>
    <w:rsid w:val="00F322B3"/>
    <w:rsid w:val="00F325AF"/>
    <w:rsid w:val="00F3264E"/>
    <w:rsid w:val="00F32F2A"/>
    <w:rsid w:val="00F32F33"/>
    <w:rsid w:val="00F330B5"/>
    <w:rsid w:val="00F3438F"/>
    <w:rsid w:val="00F35141"/>
    <w:rsid w:val="00F35167"/>
    <w:rsid w:val="00F36046"/>
    <w:rsid w:val="00F36729"/>
    <w:rsid w:val="00F36DB2"/>
    <w:rsid w:val="00F36EE8"/>
    <w:rsid w:val="00F372D4"/>
    <w:rsid w:val="00F376A3"/>
    <w:rsid w:val="00F40929"/>
    <w:rsid w:val="00F40D70"/>
    <w:rsid w:val="00F413BE"/>
    <w:rsid w:val="00F42372"/>
    <w:rsid w:val="00F424AF"/>
    <w:rsid w:val="00F42899"/>
    <w:rsid w:val="00F42B31"/>
    <w:rsid w:val="00F43560"/>
    <w:rsid w:val="00F4376D"/>
    <w:rsid w:val="00F439CE"/>
    <w:rsid w:val="00F4401D"/>
    <w:rsid w:val="00F4423C"/>
    <w:rsid w:val="00F44936"/>
    <w:rsid w:val="00F455B1"/>
    <w:rsid w:val="00F45C24"/>
    <w:rsid w:val="00F469CF"/>
    <w:rsid w:val="00F46D77"/>
    <w:rsid w:val="00F46F02"/>
    <w:rsid w:val="00F47D16"/>
    <w:rsid w:val="00F50BF1"/>
    <w:rsid w:val="00F50C19"/>
    <w:rsid w:val="00F50CD6"/>
    <w:rsid w:val="00F50E31"/>
    <w:rsid w:val="00F510B4"/>
    <w:rsid w:val="00F51324"/>
    <w:rsid w:val="00F51847"/>
    <w:rsid w:val="00F52433"/>
    <w:rsid w:val="00F52C88"/>
    <w:rsid w:val="00F53C9E"/>
    <w:rsid w:val="00F54E69"/>
    <w:rsid w:val="00F55336"/>
    <w:rsid w:val="00F55AC0"/>
    <w:rsid w:val="00F55B92"/>
    <w:rsid w:val="00F55EAC"/>
    <w:rsid w:val="00F5615C"/>
    <w:rsid w:val="00F56BA5"/>
    <w:rsid w:val="00F56D56"/>
    <w:rsid w:val="00F5730F"/>
    <w:rsid w:val="00F57B95"/>
    <w:rsid w:val="00F57BED"/>
    <w:rsid w:val="00F6040D"/>
    <w:rsid w:val="00F60996"/>
    <w:rsid w:val="00F60FB1"/>
    <w:rsid w:val="00F61CD4"/>
    <w:rsid w:val="00F62025"/>
    <w:rsid w:val="00F62183"/>
    <w:rsid w:val="00F63640"/>
    <w:rsid w:val="00F64D91"/>
    <w:rsid w:val="00F65176"/>
    <w:rsid w:val="00F651B1"/>
    <w:rsid w:val="00F65909"/>
    <w:rsid w:val="00F659FA"/>
    <w:rsid w:val="00F6657D"/>
    <w:rsid w:val="00F66C06"/>
    <w:rsid w:val="00F66E51"/>
    <w:rsid w:val="00F67082"/>
    <w:rsid w:val="00F67454"/>
    <w:rsid w:val="00F67D3F"/>
    <w:rsid w:val="00F67EFE"/>
    <w:rsid w:val="00F70800"/>
    <w:rsid w:val="00F70D7D"/>
    <w:rsid w:val="00F71006"/>
    <w:rsid w:val="00F72DC7"/>
    <w:rsid w:val="00F72E77"/>
    <w:rsid w:val="00F732A3"/>
    <w:rsid w:val="00F73F90"/>
    <w:rsid w:val="00F746D0"/>
    <w:rsid w:val="00F749C4"/>
    <w:rsid w:val="00F76B3B"/>
    <w:rsid w:val="00F779FB"/>
    <w:rsid w:val="00F77EA6"/>
    <w:rsid w:val="00F77FA7"/>
    <w:rsid w:val="00F80953"/>
    <w:rsid w:val="00F81639"/>
    <w:rsid w:val="00F81B4A"/>
    <w:rsid w:val="00F82A48"/>
    <w:rsid w:val="00F8409C"/>
    <w:rsid w:val="00F84E19"/>
    <w:rsid w:val="00F8537F"/>
    <w:rsid w:val="00F856A5"/>
    <w:rsid w:val="00F856D0"/>
    <w:rsid w:val="00F85B66"/>
    <w:rsid w:val="00F85C5D"/>
    <w:rsid w:val="00F85CFF"/>
    <w:rsid w:val="00F87B59"/>
    <w:rsid w:val="00F91428"/>
    <w:rsid w:val="00F91B18"/>
    <w:rsid w:val="00F91F2F"/>
    <w:rsid w:val="00F925D5"/>
    <w:rsid w:val="00F92F5A"/>
    <w:rsid w:val="00F9440D"/>
    <w:rsid w:val="00F94759"/>
    <w:rsid w:val="00F95B48"/>
    <w:rsid w:val="00F97BD9"/>
    <w:rsid w:val="00FA04A3"/>
    <w:rsid w:val="00FA05BD"/>
    <w:rsid w:val="00FA1210"/>
    <w:rsid w:val="00FA1719"/>
    <w:rsid w:val="00FA29E7"/>
    <w:rsid w:val="00FA38E2"/>
    <w:rsid w:val="00FA5155"/>
    <w:rsid w:val="00FA5833"/>
    <w:rsid w:val="00FA697F"/>
    <w:rsid w:val="00FA6A30"/>
    <w:rsid w:val="00FA6AED"/>
    <w:rsid w:val="00FA7AC4"/>
    <w:rsid w:val="00FA7CC5"/>
    <w:rsid w:val="00FB0CE2"/>
    <w:rsid w:val="00FB0E55"/>
    <w:rsid w:val="00FB1CC6"/>
    <w:rsid w:val="00FB294F"/>
    <w:rsid w:val="00FB2F11"/>
    <w:rsid w:val="00FB3C06"/>
    <w:rsid w:val="00FB4392"/>
    <w:rsid w:val="00FB4742"/>
    <w:rsid w:val="00FB48D0"/>
    <w:rsid w:val="00FB520F"/>
    <w:rsid w:val="00FB590F"/>
    <w:rsid w:val="00FB5FE9"/>
    <w:rsid w:val="00FB625E"/>
    <w:rsid w:val="00FB643A"/>
    <w:rsid w:val="00FB66B5"/>
    <w:rsid w:val="00FB6A89"/>
    <w:rsid w:val="00FC0E2E"/>
    <w:rsid w:val="00FC1702"/>
    <w:rsid w:val="00FC1901"/>
    <w:rsid w:val="00FC19C0"/>
    <w:rsid w:val="00FC2063"/>
    <w:rsid w:val="00FC241B"/>
    <w:rsid w:val="00FC2990"/>
    <w:rsid w:val="00FC33C4"/>
    <w:rsid w:val="00FC3A29"/>
    <w:rsid w:val="00FC4086"/>
    <w:rsid w:val="00FC437D"/>
    <w:rsid w:val="00FC4A33"/>
    <w:rsid w:val="00FC4C4A"/>
    <w:rsid w:val="00FC4C9E"/>
    <w:rsid w:val="00FC568E"/>
    <w:rsid w:val="00FC5729"/>
    <w:rsid w:val="00FC6248"/>
    <w:rsid w:val="00FC6AE2"/>
    <w:rsid w:val="00FC6B42"/>
    <w:rsid w:val="00FC6EA7"/>
    <w:rsid w:val="00FC7F54"/>
    <w:rsid w:val="00FD08B4"/>
    <w:rsid w:val="00FD09DA"/>
    <w:rsid w:val="00FD0B04"/>
    <w:rsid w:val="00FD1404"/>
    <w:rsid w:val="00FD152F"/>
    <w:rsid w:val="00FD1766"/>
    <w:rsid w:val="00FD1916"/>
    <w:rsid w:val="00FD3120"/>
    <w:rsid w:val="00FD317C"/>
    <w:rsid w:val="00FD3B05"/>
    <w:rsid w:val="00FD4BE6"/>
    <w:rsid w:val="00FD5CEC"/>
    <w:rsid w:val="00FD6206"/>
    <w:rsid w:val="00FD6B79"/>
    <w:rsid w:val="00FD6C39"/>
    <w:rsid w:val="00FD6D56"/>
    <w:rsid w:val="00FD71BD"/>
    <w:rsid w:val="00FD74DC"/>
    <w:rsid w:val="00FD78EF"/>
    <w:rsid w:val="00FE01AC"/>
    <w:rsid w:val="00FE0C21"/>
    <w:rsid w:val="00FE10F8"/>
    <w:rsid w:val="00FE15BB"/>
    <w:rsid w:val="00FE1D71"/>
    <w:rsid w:val="00FE2AB1"/>
    <w:rsid w:val="00FE2CE3"/>
    <w:rsid w:val="00FE4087"/>
    <w:rsid w:val="00FE4A9B"/>
    <w:rsid w:val="00FE4B36"/>
    <w:rsid w:val="00FE5E9A"/>
    <w:rsid w:val="00FE5EF0"/>
    <w:rsid w:val="00FE6018"/>
    <w:rsid w:val="00FE62A7"/>
    <w:rsid w:val="00FE6E3C"/>
    <w:rsid w:val="00FE7BEC"/>
    <w:rsid w:val="00FF0D55"/>
    <w:rsid w:val="00FF169E"/>
    <w:rsid w:val="00FF2038"/>
    <w:rsid w:val="00FF21D6"/>
    <w:rsid w:val="00FF2792"/>
    <w:rsid w:val="00FF30B0"/>
    <w:rsid w:val="00FF326E"/>
    <w:rsid w:val="00FF3459"/>
    <w:rsid w:val="00FF39A8"/>
    <w:rsid w:val="00FF4539"/>
    <w:rsid w:val="00FF4995"/>
    <w:rsid w:val="00FF4D99"/>
    <w:rsid w:val="00FF5088"/>
    <w:rsid w:val="00FF5D5C"/>
    <w:rsid w:val="00FF617B"/>
    <w:rsid w:val="00FF67B2"/>
    <w:rsid w:val="00FF6D6B"/>
    <w:rsid w:val="00FF7B2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aab0f0,#aad3f2"/>
    </o:shapedefaults>
    <o:shapelayout v:ext="edit">
      <o:idmap v:ext="edit" data="1"/>
    </o:shapelayout>
  </w:shapeDefaults>
  <w:decimalSymbol w:val=","/>
  <w:listSeparator w:val=";"/>
  <w14:docId w14:val="1E41D365"/>
  <w15:docId w15:val="{BE332E64-E123-4859-B79D-5AE803B4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7191"/>
    <w:pPr>
      <w:spacing w:after="200" w:line="276" w:lineRule="auto"/>
    </w:pPr>
    <w:rPr>
      <w:sz w:val="22"/>
      <w:szCs w:val="22"/>
    </w:rPr>
  </w:style>
  <w:style w:type="paragraph" w:styleId="Nadpis1">
    <w:name w:val="heading 1"/>
    <w:basedOn w:val="Normlny"/>
    <w:next w:val="Normlny"/>
    <w:link w:val="Nadpis1Char"/>
    <w:uiPriority w:val="9"/>
    <w:qFormat/>
    <w:rsid w:val="008670F2"/>
    <w:pPr>
      <w:keepNext/>
      <w:keepLines/>
      <w:spacing w:before="480" w:after="0"/>
      <w:outlineLvl w:val="0"/>
    </w:pPr>
    <w:rPr>
      <w:rFonts w:asciiTheme="majorHAnsi" w:eastAsiaTheme="majorEastAsia" w:hAnsiTheme="majorHAnsi" w:cstheme="majorBidi"/>
      <w:b/>
      <w:bCs/>
      <w:color w:val="2C9ADC"/>
      <w:sz w:val="28"/>
      <w:szCs w:val="28"/>
    </w:rPr>
  </w:style>
  <w:style w:type="paragraph" w:styleId="Nadpis2">
    <w:name w:val="heading 2"/>
    <w:basedOn w:val="Normlny"/>
    <w:next w:val="Normlny"/>
    <w:link w:val="Nadpis2Char"/>
    <w:uiPriority w:val="9"/>
    <w:unhideWhenUsed/>
    <w:qFormat/>
    <w:rsid w:val="008670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E81DE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2761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7">
    <w:name w:val="heading 7"/>
    <w:basedOn w:val="Odsekzoznamu"/>
    <w:next w:val="Normlny"/>
    <w:link w:val="Nadpis7Char"/>
    <w:uiPriority w:val="9"/>
    <w:qFormat/>
    <w:rsid w:val="00EC6D87"/>
    <w:pPr>
      <w:numPr>
        <w:ilvl w:val="1"/>
        <w:numId w:val="2"/>
      </w:numPr>
      <w:tabs>
        <w:tab w:val="left" w:pos="426"/>
      </w:tabs>
      <w:ind w:left="284" w:hanging="284"/>
      <w:outlineLvl w:val="6"/>
    </w:pPr>
    <w:rPr>
      <w:rFonts w:ascii="Arial Narrow" w:hAnsi="Arial Narrow"/>
      <w:b/>
      <w:sz w:val="28"/>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670F2"/>
    <w:rPr>
      <w:rFonts w:asciiTheme="majorHAnsi" w:eastAsiaTheme="majorEastAsia" w:hAnsiTheme="majorHAnsi" w:cstheme="majorBidi"/>
      <w:b/>
      <w:bCs/>
      <w:color w:val="2C9ADC"/>
      <w:sz w:val="28"/>
      <w:szCs w:val="28"/>
    </w:rPr>
  </w:style>
  <w:style w:type="character" w:customStyle="1" w:styleId="Nadpis2Char">
    <w:name w:val="Nadpis 2 Char"/>
    <w:basedOn w:val="Predvolenpsmoodseku"/>
    <w:link w:val="Nadpis2"/>
    <w:uiPriority w:val="9"/>
    <w:rsid w:val="008670F2"/>
    <w:rPr>
      <w:rFonts w:asciiTheme="majorHAnsi" w:eastAsiaTheme="majorEastAsia" w:hAnsiTheme="majorHAnsi" w:cstheme="majorBidi"/>
      <w:b/>
      <w:bCs/>
      <w:color w:val="4F81BD" w:themeColor="accent1"/>
      <w:sz w:val="26"/>
      <w:szCs w:val="26"/>
    </w:rPr>
  </w:style>
  <w:style w:type="paragraph" w:styleId="Hlavika">
    <w:name w:val="header"/>
    <w:basedOn w:val="Normlny"/>
    <w:link w:val="HlavikaChar"/>
    <w:uiPriority w:val="99"/>
    <w:unhideWhenUsed/>
    <w:rsid w:val="005B2D0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B2D07"/>
    <w:rPr>
      <w:sz w:val="22"/>
      <w:szCs w:val="22"/>
    </w:rPr>
  </w:style>
  <w:style w:type="paragraph" w:styleId="Pta">
    <w:name w:val="footer"/>
    <w:basedOn w:val="Normlny"/>
    <w:link w:val="PtaChar"/>
    <w:uiPriority w:val="99"/>
    <w:unhideWhenUsed/>
    <w:rsid w:val="005B2D07"/>
    <w:pPr>
      <w:tabs>
        <w:tab w:val="center" w:pos="4536"/>
        <w:tab w:val="right" w:pos="9072"/>
      </w:tabs>
      <w:spacing w:after="0" w:line="240" w:lineRule="auto"/>
    </w:pPr>
  </w:style>
  <w:style w:type="character" w:customStyle="1" w:styleId="PtaChar">
    <w:name w:val="Päta Char"/>
    <w:basedOn w:val="Predvolenpsmoodseku"/>
    <w:link w:val="Pta"/>
    <w:uiPriority w:val="99"/>
    <w:rsid w:val="005B2D07"/>
    <w:rPr>
      <w:sz w:val="22"/>
      <w:szCs w:val="22"/>
    </w:rPr>
  </w:style>
  <w:style w:type="paragraph" w:styleId="Textbubliny">
    <w:name w:val="Balloon Text"/>
    <w:basedOn w:val="Normlny"/>
    <w:link w:val="TextbublinyChar"/>
    <w:uiPriority w:val="99"/>
    <w:semiHidden/>
    <w:unhideWhenUsed/>
    <w:rsid w:val="00C9762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97621"/>
    <w:rPr>
      <w:rFonts w:ascii="Tahoma" w:hAnsi="Tahoma" w:cs="Tahoma"/>
      <w:sz w:val="16"/>
      <w:szCs w:val="16"/>
    </w:rPr>
  </w:style>
  <w:style w:type="paragraph" w:styleId="Hlavikaobsahu">
    <w:name w:val="TOC Heading"/>
    <w:basedOn w:val="Nadpis1"/>
    <w:next w:val="Normlny"/>
    <w:uiPriority w:val="39"/>
    <w:unhideWhenUsed/>
    <w:qFormat/>
    <w:rsid w:val="00D371EC"/>
    <w:pPr>
      <w:outlineLvl w:val="9"/>
    </w:pPr>
    <w:rPr>
      <w:color w:val="365F91" w:themeColor="accent1" w:themeShade="BF"/>
      <w:lang w:eastAsia="en-US"/>
    </w:rPr>
  </w:style>
  <w:style w:type="paragraph" w:styleId="Obsah1">
    <w:name w:val="toc 1"/>
    <w:basedOn w:val="Normlny"/>
    <w:next w:val="Normlny"/>
    <w:autoRedefine/>
    <w:uiPriority w:val="39"/>
    <w:unhideWhenUsed/>
    <w:rsid w:val="0089051B"/>
    <w:pPr>
      <w:tabs>
        <w:tab w:val="left" w:pos="284"/>
        <w:tab w:val="right" w:leader="dot" w:pos="8550"/>
      </w:tabs>
      <w:spacing w:after="120" w:line="240" w:lineRule="auto"/>
    </w:pPr>
    <w:rPr>
      <w:rFonts w:ascii="NeueHaasGroteskDisp W02 Bd" w:hAnsi="NeueHaasGroteskDisp W02 Bd"/>
      <w:noProof/>
    </w:rPr>
  </w:style>
  <w:style w:type="paragraph" w:styleId="Obsah2">
    <w:name w:val="toc 2"/>
    <w:basedOn w:val="Normlny"/>
    <w:next w:val="Normlny"/>
    <w:autoRedefine/>
    <w:uiPriority w:val="39"/>
    <w:unhideWhenUsed/>
    <w:rsid w:val="00CD6C15"/>
    <w:pPr>
      <w:tabs>
        <w:tab w:val="left" w:pos="709"/>
        <w:tab w:val="right" w:leader="dot" w:pos="8554"/>
      </w:tabs>
      <w:spacing w:after="100"/>
      <w:ind w:left="220"/>
    </w:pPr>
    <w:rPr>
      <w:rFonts w:ascii="NeueHaasGroteskText W02" w:hAnsi="NeueHaasGroteskText W02"/>
      <w:noProof/>
    </w:rPr>
  </w:style>
  <w:style w:type="character" w:styleId="Hypertextovprepojenie">
    <w:name w:val="Hyperlink"/>
    <w:basedOn w:val="Predvolenpsmoodseku"/>
    <w:uiPriority w:val="99"/>
    <w:unhideWhenUsed/>
    <w:rsid w:val="00D371EC"/>
    <w:rPr>
      <w:color w:val="0000FF" w:themeColor="hyperlink"/>
      <w:u w:val="single"/>
    </w:rPr>
  </w:style>
  <w:style w:type="paragraph" w:styleId="Odsekzoznamu">
    <w:name w:val="List Paragraph"/>
    <w:aliases w:val="body,Odsek zoznamu2"/>
    <w:basedOn w:val="Normlny"/>
    <w:link w:val="OdsekzoznamuChar"/>
    <w:uiPriority w:val="34"/>
    <w:qFormat/>
    <w:rsid w:val="00727053"/>
    <w:pPr>
      <w:ind w:left="720"/>
      <w:contextualSpacing/>
    </w:pPr>
  </w:style>
  <w:style w:type="character" w:customStyle="1" w:styleId="OdsekzoznamuChar">
    <w:name w:val="Odsek zoznamu Char"/>
    <w:aliases w:val="body Char,Odsek zoznamu2 Char"/>
    <w:basedOn w:val="Predvolenpsmoodseku"/>
    <w:link w:val="Odsekzoznamu"/>
    <w:uiPriority w:val="34"/>
    <w:rsid w:val="00C04E27"/>
    <w:rPr>
      <w:sz w:val="22"/>
      <w:szCs w:val="22"/>
      <w:lang w:val="en-GB"/>
    </w:rPr>
  </w:style>
  <w:style w:type="table" w:styleId="Mriekatabuky">
    <w:name w:val="Table Grid"/>
    <w:basedOn w:val="Normlnatabuka"/>
    <w:uiPriority w:val="59"/>
    <w:rsid w:val="00CF7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Schriftart: 9 pt,Schriftart: 10 pt,Schriftart: 8 pt,_Poznámka pod čiarou,Footnote Text Char2,Footnote Text Char1 Char,Footnote Text Char2 Char Char,Footnote Text Char1 Char Char Char Char Char Char,f"/>
    <w:basedOn w:val="Normlny"/>
    <w:link w:val="TextpoznmkypodiarouChar"/>
    <w:uiPriority w:val="99"/>
    <w:unhideWhenUsed/>
    <w:qFormat/>
    <w:rsid w:val="008E03DF"/>
    <w:pPr>
      <w:spacing w:after="0" w:line="240" w:lineRule="auto"/>
    </w:pPr>
    <w:rPr>
      <w:rFonts w:asciiTheme="minorHAnsi" w:eastAsiaTheme="minorHAnsi" w:hAnsiTheme="minorHAnsi" w:cstheme="minorBidi"/>
      <w:sz w:val="20"/>
      <w:szCs w:val="20"/>
      <w:lang w:eastAsia="en-US"/>
    </w:rPr>
  </w:style>
  <w:style w:type="character" w:customStyle="1" w:styleId="TextpoznmkypodiarouChar">
    <w:name w:val="Text poznámky pod čiarou Char"/>
    <w:aliases w:val="Text poznámky pod čiarou 007 Char,Schriftart: 9 pt Char,Schriftart: 10 pt Char,Schriftart: 8 pt Char,_Poznámka pod čiarou Char,Footnote Text Char2 Char,Footnote Text Char1 Char Char,Footnote Text Char2 Char Char Char,f Char"/>
    <w:basedOn w:val="Predvolenpsmoodseku"/>
    <w:link w:val="Textpoznmkypodiarou"/>
    <w:uiPriority w:val="99"/>
    <w:rsid w:val="008E03DF"/>
    <w:rPr>
      <w:rFonts w:asciiTheme="minorHAnsi" w:eastAsiaTheme="minorHAnsi" w:hAnsiTheme="minorHAnsi" w:cstheme="minorBidi"/>
      <w:lang w:eastAsia="en-US"/>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basedOn w:val="Predvolenpsmoodseku"/>
    <w:uiPriority w:val="99"/>
    <w:unhideWhenUsed/>
    <w:qFormat/>
    <w:rsid w:val="008E03DF"/>
    <w:rPr>
      <w:vertAlign w:val="superscript"/>
    </w:rPr>
  </w:style>
  <w:style w:type="character" w:styleId="Odkaznakomentr">
    <w:name w:val="annotation reference"/>
    <w:basedOn w:val="Predvolenpsmoodseku"/>
    <w:uiPriority w:val="99"/>
    <w:unhideWhenUsed/>
    <w:rsid w:val="00395962"/>
    <w:rPr>
      <w:sz w:val="16"/>
      <w:szCs w:val="16"/>
    </w:rPr>
  </w:style>
  <w:style w:type="paragraph" w:styleId="Textkomentra">
    <w:name w:val="annotation text"/>
    <w:basedOn w:val="Normlny"/>
    <w:link w:val="TextkomentraChar"/>
    <w:uiPriority w:val="99"/>
    <w:unhideWhenUsed/>
    <w:rsid w:val="00395962"/>
    <w:pPr>
      <w:spacing w:line="240" w:lineRule="auto"/>
    </w:pPr>
    <w:rPr>
      <w:sz w:val="20"/>
      <w:szCs w:val="20"/>
    </w:rPr>
  </w:style>
  <w:style w:type="character" w:customStyle="1" w:styleId="TextkomentraChar">
    <w:name w:val="Text komentára Char"/>
    <w:basedOn w:val="Predvolenpsmoodseku"/>
    <w:link w:val="Textkomentra"/>
    <w:uiPriority w:val="99"/>
    <w:rsid w:val="00395962"/>
    <w:rPr>
      <w:lang w:val="en-GB"/>
    </w:rPr>
  </w:style>
  <w:style w:type="paragraph" w:styleId="Predmetkomentra">
    <w:name w:val="annotation subject"/>
    <w:basedOn w:val="Textkomentra"/>
    <w:next w:val="Textkomentra"/>
    <w:link w:val="PredmetkomentraChar"/>
    <w:uiPriority w:val="99"/>
    <w:semiHidden/>
    <w:unhideWhenUsed/>
    <w:rsid w:val="00395962"/>
    <w:rPr>
      <w:b/>
      <w:bCs/>
    </w:rPr>
  </w:style>
  <w:style w:type="character" w:customStyle="1" w:styleId="PredmetkomentraChar">
    <w:name w:val="Predmet komentára Char"/>
    <w:basedOn w:val="TextkomentraChar"/>
    <w:link w:val="Predmetkomentra"/>
    <w:uiPriority w:val="99"/>
    <w:semiHidden/>
    <w:rsid w:val="00395962"/>
    <w:rPr>
      <w:b/>
      <w:bCs/>
      <w:lang w:val="en-GB"/>
    </w:rPr>
  </w:style>
  <w:style w:type="paragraph" w:styleId="Nzov">
    <w:name w:val="Title"/>
    <w:basedOn w:val="Normlny"/>
    <w:next w:val="Normlny"/>
    <w:link w:val="NzovChar"/>
    <w:uiPriority w:val="10"/>
    <w:qFormat/>
    <w:rsid w:val="009521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zovChar">
    <w:name w:val="Názov Char"/>
    <w:basedOn w:val="Predvolenpsmoodseku"/>
    <w:link w:val="Nzov"/>
    <w:uiPriority w:val="10"/>
    <w:rsid w:val="0095213E"/>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Default">
    <w:name w:val="Default"/>
    <w:rsid w:val="000E0B03"/>
    <w:pPr>
      <w:autoSpaceDE w:val="0"/>
      <w:autoSpaceDN w:val="0"/>
      <w:adjustRightInd w:val="0"/>
    </w:pPr>
    <w:rPr>
      <w:rFonts w:ascii="Times New Roman" w:hAnsi="Times New Roman"/>
      <w:color w:val="000000"/>
      <w:sz w:val="24"/>
      <w:szCs w:val="24"/>
    </w:rPr>
  </w:style>
  <w:style w:type="paragraph" w:styleId="Bezriadkovania">
    <w:name w:val="No Spacing"/>
    <w:uiPriority w:val="1"/>
    <w:qFormat/>
    <w:rsid w:val="00F04948"/>
    <w:rPr>
      <w:sz w:val="22"/>
      <w:szCs w:val="22"/>
      <w:lang w:val="en-GB"/>
    </w:rPr>
  </w:style>
  <w:style w:type="paragraph" w:customStyle="1" w:styleId="Pa2">
    <w:name w:val="Pa2"/>
    <w:basedOn w:val="Default"/>
    <w:next w:val="Default"/>
    <w:uiPriority w:val="99"/>
    <w:rsid w:val="00BF055C"/>
    <w:pPr>
      <w:spacing w:line="631" w:lineRule="atLeast"/>
    </w:pPr>
    <w:rPr>
      <w:rFonts w:ascii="PF Square Sans Pro" w:eastAsiaTheme="minorHAnsi" w:hAnsi="PF Square Sans Pro" w:cstheme="minorBidi"/>
      <w:color w:val="auto"/>
      <w:lang w:eastAsia="en-US"/>
    </w:rPr>
  </w:style>
  <w:style w:type="character" w:styleId="CitciaHTML">
    <w:name w:val="HTML Cite"/>
    <w:basedOn w:val="Predvolenpsmoodseku"/>
    <w:uiPriority w:val="99"/>
    <w:semiHidden/>
    <w:unhideWhenUsed/>
    <w:rsid w:val="00CE449A"/>
    <w:rPr>
      <w:i/>
      <w:iCs/>
    </w:rPr>
  </w:style>
  <w:style w:type="character" w:customStyle="1" w:styleId="slug-pub-date">
    <w:name w:val="slug-pub-date"/>
    <w:basedOn w:val="Predvolenpsmoodseku"/>
    <w:rsid w:val="00CE449A"/>
  </w:style>
  <w:style w:type="character" w:customStyle="1" w:styleId="slug-vol">
    <w:name w:val="slug-vol"/>
    <w:basedOn w:val="Predvolenpsmoodseku"/>
    <w:rsid w:val="00CE449A"/>
  </w:style>
  <w:style w:type="character" w:customStyle="1" w:styleId="slug-issue">
    <w:name w:val="slug-issue"/>
    <w:basedOn w:val="Predvolenpsmoodseku"/>
    <w:rsid w:val="00CE449A"/>
  </w:style>
  <w:style w:type="character" w:customStyle="1" w:styleId="slug-pages">
    <w:name w:val="slug-pages"/>
    <w:basedOn w:val="Predvolenpsmoodseku"/>
    <w:rsid w:val="00CE449A"/>
  </w:style>
  <w:style w:type="paragraph" w:styleId="Revzia">
    <w:name w:val="Revision"/>
    <w:hidden/>
    <w:uiPriority w:val="99"/>
    <w:semiHidden/>
    <w:rsid w:val="00FC6AE2"/>
    <w:rPr>
      <w:sz w:val="22"/>
      <w:szCs w:val="22"/>
      <w:lang w:val="en-GB"/>
    </w:rPr>
  </w:style>
  <w:style w:type="character" w:customStyle="1" w:styleId="Nadpis3Char">
    <w:name w:val="Nadpis 3 Char"/>
    <w:basedOn w:val="Predvolenpsmoodseku"/>
    <w:link w:val="Nadpis3"/>
    <w:uiPriority w:val="9"/>
    <w:semiHidden/>
    <w:rsid w:val="00E81DE6"/>
    <w:rPr>
      <w:rFonts w:asciiTheme="majorHAnsi" w:eastAsiaTheme="majorEastAsia" w:hAnsiTheme="majorHAnsi" w:cstheme="majorBidi"/>
      <w:b/>
      <w:bCs/>
      <w:color w:val="4F81BD" w:themeColor="accent1"/>
      <w:sz w:val="22"/>
      <w:szCs w:val="22"/>
      <w:lang w:val="en-GB"/>
    </w:rPr>
  </w:style>
  <w:style w:type="character" w:customStyle="1" w:styleId="Nadpis4Char">
    <w:name w:val="Nadpis 4 Char"/>
    <w:basedOn w:val="Predvolenpsmoodseku"/>
    <w:link w:val="Nadpis4"/>
    <w:uiPriority w:val="9"/>
    <w:semiHidden/>
    <w:rsid w:val="00827618"/>
    <w:rPr>
      <w:rFonts w:asciiTheme="majorHAnsi" w:eastAsiaTheme="majorEastAsia" w:hAnsiTheme="majorHAnsi" w:cstheme="majorBidi"/>
      <w:b/>
      <w:bCs/>
      <w:i/>
      <w:iCs/>
      <w:color w:val="4F81BD" w:themeColor="accent1"/>
      <w:sz w:val="22"/>
      <w:szCs w:val="22"/>
      <w:lang w:val="en-GB"/>
    </w:rPr>
  </w:style>
  <w:style w:type="character" w:customStyle="1" w:styleId="Nadpis7Char">
    <w:name w:val="Nadpis 7 Char"/>
    <w:basedOn w:val="Predvolenpsmoodseku"/>
    <w:link w:val="Nadpis7"/>
    <w:uiPriority w:val="9"/>
    <w:rsid w:val="00EC6D87"/>
    <w:rPr>
      <w:rFonts w:ascii="Arial Narrow" w:hAnsi="Arial Narrow"/>
      <w:b/>
      <w:sz w:val="28"/>
      <w:szCs w:val="28"/>
      <w:lang w:eastAsia="en-US"/>
    </w:rPr>
  </w:style>
  <w:style w:type="paragraph" w:styleId="Zkladntext">
    <w:name w:val="Body Text"/>
    <w:basedOn w:val="Normlny"/>
    <w:link w:val="ZkladntextChar"/>
    <w:uiPriority w:val="99"/>
    <w:semiHidden/>
    <w:unhideWhenUsed/>
    <w:rsid w:val="00D87D5F"/>
    <w:pPr>
      <w:spacing w:before="120" w:after="120" w:line="240" w:lineRule="auto"/>
      <w:jc w:val="both"/>
    </w:pPr>
    <w:rPr>
      <w:rFonts w:eastAsia="Calibri"/>
      <w:sz w:val="20"/>
      <w:szCs w:val="20"/>
      <w:lang w:eastAsia="en-US"/>
    </w:rPr>
  </w:style>
  <w:style w:type="character" w:customStyle="1" w:styleId="ZkladntextChar">
    <w:name w:val="Základný text Char"/>
    <w:basedOn w:val="Predvolenpsmoodseku"/>
    <w:link w:val="Zkladntext"/>
    <w:uiPriority w:val="99"/>
    <w:semiHidden/>
    <w:rsid w:val="00D87D5F"/>
    <w:rPr>
      <w:rFonts w:eastAsia="Calibri"/>
      <w:lang w:eastAsia="en-US"/>
    </w:rPr>
  </w:style>
  <w:style w:type="paragraph" w:customStyle="1" w:styleId="titulok">
    <w:name w:val="titulok"/>
    <w:basedOn w:val="Normlny"/>
    <w:uiPriority w:val="99"/>
    <w:rsid w:val="00C1642C"/>
    <w:pPr>
      <w:spacing w:before="100" w:beforeAutospacing="1" w:after="100" w:afterAutospacing="1" w:line="240" w:lineRule="auto"/>
      <w:jc w:val="center"/>
    </w:pPr>
    <w:rPr>
      <w:rFonts w:ascii="Arial" w:eastAsia="Calibri" w:hAnsi="Arial" w:cs="Arial"/>
      <w:b/>
      <w:bCs/>
      <w:color w:val="007060"/>
      <w:sz w:val="24"/>
      <w:szCs w:val="24"/>
    </w:rPr>
  </w:style>
  <w:style w:type="paragraph" w:customStyle="1" w:styleId="Point0number">
    <w:name w:val="Point 0 (number)"/>
    <w:basedOn w:val="Normlny"/>
    <w:uiPriority w:val="99"/>
    <w:rsid w:val="00C1642C"/>
    <w:pPr>
      <w:spacing w:before="120" w:after="120" w:line="240" w:lineRule="auto"/>
      <w:jc w:val="both"/>
    </w:pPr>
    <w:rPr>
      <w:rFonts w:ascii="Times New Roman" w:hAnsi="Times New Roman"/>
      <w:sz w:val="24"/>
      <w:szCs w:val="24"/>
      <w:lang w:val="en-GB" w:eastAsia="en-US"/>
    </w:rPr>
  </w:style>
  <w:style w:type="paragraph" w:styleId="Popis">
    <w:name w:val="caption"/>
    <w:basedOn w:val="Normlny"/>
    <w:next w:val="Normlny"/>
    <w:uiPriority w:val="35"/>
    <w:unhideWhenUsed/>
    <w:qFormat/>
    <w:rsid w:val="00227691"/>
    <w:pPr>
      <w:spacing w:after="0" w:line="240" w:lineRule="auto"/>
    </w:pPr>
    <w:rPr>
      <w:rFonts w:ascii="Arial Narrow" w:hAnsi="Arial Narrow"/>
      <w:b/>
      <w:bCs/>
      <w:color w:val="2C9ADC"/>
      <w:sz w:val="20"/>
      <w:szCs w:val="18"/>
    </w:rPr>
  </w:style>
  <w:style w:type="paragraph" w:styleId="Podtitul">
    <w:name w:val="Subtitle"/>
    <w:aliases w:val="graf"/>
    <w:basedOn w:val="Normlny"/>
    <w:next w:val="Normlny"/>
    <w:link w:val="PodtitulChar"/>
    <w:uiPriority w:val="11"/>
    <w:qFormat/>
    <w:rsid w:val="00227691"/>
    <w:pPr>
      <w:numPr>
        <w:ilvl w:val="1"/>
      </w:numPr>
      <w:spacing w:after="0"/>
    </w:pPr>
    <w:rPr>
      <w:rFonts w:ascii="Arial Narrow" w:eastAsiaTheme="majorEastAsia" w:hAnsi="Arial Narrow" w:cstheme="majorBidi"/>
      <w:b/>
      <w:iCs/>
      <w:color w:val="2C9ADC"/>
      <w:spacing w:val="15"/>
      <w:sz w:val="20"/>
      <w:szCs w:val="24"/>
    </w:rPr>
  </w:style>
  <w:style w:type="character" w:customStyle="1" w:styleId="PodtitulChar">
    <w:name w:val="Podtitul Char"/>
    <w:aliases w:val="graf Char"/>
    <w:basedOn w:val="Predvolenpsmoodseku"/>
    <w:link w:val="Podtitul"/>
    <w:uiPriority w:val="11"/>
    <w:rsid w:val="00227691"/>
    <w:rPr>
      <w:rFonts w:ascii="Arial Narrow" w:eastAsiaTheme="majorEastAsia" w:hAnsi="Arial Narrow" w:cstheme="majorBidi"/>
      <w:b/>
      <w:iCs/>
      <w:color w:val="2C9ADC"/>
      <w:spacing w:val="15"/>
      <w:szCs w:val="24"/>
    </w:rPr>
  </w:style>
  <w:style w:type="paragraph" w:customStyle="1" w:styleId="CharChar1">
    <w:name w:val="Char Char1"/>
    <w:basedOn w:val="Normlny"/>
    <w:rsid w:val="00A22BE1"/>
    <w:pPr>
      <w:spacing w:after="160" w:line="240" w:lineRule="exact"/>
    </w:pPr>
    <w:rPr>
      <w:rFonts w:ascii="Tahoma" w:hAnsi="Tahoma" w:cs="Tahoma"/>
      <w:sz w:val="20"/>
      <w:szCs w:val="20"/>
      <w:lang w:val="en-US" w:eastAsia="en-US"/>
    </w:rPr>
  </w:style>
  <w:style w:type="table" w:customStyle="1" w:styleId="Mriekatabuky6">
    <w:name w:val="Mriežka tabuľky6"/>
    <w:basedOn w:val="Normlnatabuka"/>
    <w:next w:val="Mriekatabuky"/>
    <w:uiPriority w:val="59"/>
    <w:locked/>
    <w:rsid w:val="006E3C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1">
    <w:name w:val="Mriežka tabuľky41"/>
    <w:basedOn w:val="Normlnatabuka"/>
    <w:next w:val="Mriekatabuky"/>
    <w:uiPriority w:val="59"/>
    <w:rsid w:val="006E3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7E7007"/>
  </w:style>
  <w:style w:type="paragraph" w:styleId="Zoznamobrzkov">
    <w:name w:val="table of figures"/>
    <w:basedOn w:val="Normlny"/>
    <w:next w:val="Normlny"/>
    <w:uiPriority w:val="99"/>
    <w:unhideWhenUsed/>
    <w:rsid w:val="005D29C8"/>
    <w:pPr>
      <w:spacing w:after="0"/>
    </w:pPr>
  </w:style>
  <w:style w:type="character" w:styleId="PouitHypertextovPrepojenie">
    <w:name w:val="FollowedHyperlink"/>
    <w:basedOn w:val="Predvolenpsmoodseku"/>
    <w:uiPriority w:val="99"/>
    <w:semiHidden/>
    <w:unhideWhenUsed/>
    <w:rsid w:val="002A1264"/>
    <w:rPr>
      <w:color w:val="800080" w:themeColor="followedHyperlink"/>
      <w:u w:val="single"/>
    </w:rPr>
  </w:style>
  <w:style w:type="character" w:styleId="Zstupntext">
    <w:name w:val="Placeholder Text"/>
    <w:basedOn w:val="Predvolenpsmoodseku"/>
    <w:uiPriority w:val="99"/>
    <w:semiHidden/>
    <w:rsid w:val="00AC44EC"/>
    <w:rPr>
      <w:rFonts w:ascii="Times New Roman" w:hAnsi="Times New Roman" w:cs="Times New Roman"/>
      <w:color w:val="000000"/>
    </w:rPr>
  </w:style>
  <w:style w:type="paragraph" w:customStyle="1" w:styleId="CharChar14">
    <w:name w:val="Char Char14"/>
    <w:basedOn w:val="Normlny"/>
    <w:rsid w:val="000362F9"/>
    <w:pPr>
      <w:spacing w:after="160" w:line="240" w:lineRule="exact"/>
    </w:pPr>
    <w:rPr>
      <w:rFonts w:ascii="Tahoma" w:hAnsi="Tahoma" w:cs="Tahoma"/>
      <w:sz w:val="20"/>
      <w:szCs w:val="20"/>
      <w:lang w:val="en-US" w:eastAsia="en-US"/>
    </w:rPr>
  </w:style>
  <w:style w:type="paragraph" w:customStyle="1" w:styleId="CharChar13">
    <w:name w:val="Char Char13"/>
    <w:basedOn w:val="Normlny"/>
    <w:rsid w:val="000736A4"/>
    <w:pPr>
      <w:spacing w:after="160" w:line="240" w:lineRule="exact"/>
    </w:pPr>
    <w:rPr>
      <w:rFonts w:ascii="Tahoma" w:hAnsi="Tahoma" w:cs="Tahoma"/>
      <w:sz w:val="20"/>
      <w:szCs w:val="20"/>
      <w:lang w:val="en-US" w:eastAsia="en-US"/>
    </w:rPr>
  </w:style>
  <w:style w:type="character" w:styleId="Jemnodkaz">
    <w:name w:val="Subtle Reference"/>
    <w:uiPriority w:val="31"/>
    <w:qFormat/>
    <w:rsid w:val="00682C07"/>
    <w:rPr>
      <w:rFonts w:eastAsia="Times New Roman" w:cs="Times New Roman"/>
      <w:bCs/>
      <w:i/>
      <w:sz w:val="18"/>
      <w:lang w:eastAsia="zh-TW"/>
    </w:rPr>
  </w:style>
  <w:style w:type="paragraph" w:customStyle="1" w:styleId="Tabuka">
    <w:name w:val="Tabuľka"/>
    <w:basedOn w:val="Podtitul"/>
    <w:qFormat/>
    <w:rsid w:val="00682C07"/>
    <w:pPr>
      <w:numPr>
        <w:ilvl w:val="0"/>
      </w:numPr>
      <w:pBdr>
        <w:top w:val="nil"/>
        <w:left w:val="nil"/>
        <w:bottom w:val="nil"/>
        <w:right w:val="nil"/>
        <w:between w:val="nil"/>
        <w:bar w:val="nil"/>
      </w:pBdr>
      <w:spacing w:after="200" w:line="240" w:lineRule="auto"/>
    </w:pPr>
    <w:rPr>
      <w:rFonts w:eastAsia="Arial Narrow" w:cs="Arial Narrow"/>
      <w:bCs/>
      <w:iCs w:val="0"/>
      <w:color w:val="4F81BD" w:themeColor="accent1"/>
      <w:spacing w:val="0"/>
      <w:szCs w:val="20"/>
      <w:bdr w:val="nil"/>
    </w:rPr>
  </w:style>
  <w:style w:type="paragraph" w:customStyle="1" w:styleId="Graf">
    <w:name w:val="Graf"/>
    <w:qFormat/>
    <w:rsid w:val="009135D4"/>
    <w:pPr>
      <w:spacing w:after="200" w:line="276" w:lineRule="auto"/>
    </w:pPr>
    <w:rPr>
      <w:rFonts w:ascii="Arial Narrow" w:eastAsia="Arial Narrow" w:hAnsi="Arial Narrow" w:cs="Arial Narrow"/>
      <w:b/>
      <w:bCs/>
      <w:color w:val="4F81BD" w:themeColor="accent1"/>
      <w:szCs w:val="36"/>
      <w:lang w:eastAsia="en-US"/>
    </w:rPr>
  </w:style>
  <w:style w:type="paragraph" w:customStyle="1" w:styleId="CharChar12">
    <w:name w:val="Char Char12"/>
    <w:basedOn w:val="Normlny"/>
    <w:rsid w:val="007D2366"/>
    <w:pPr>
      <w:spacing w:after="160" w:line="240" w:lineRule="exact"/>
    </w:pPr>
    <w:rPr>
      <w:rFonts w:ascii="Tahoma" w:hAnsi="Tahoma" w:cs="Tahoma"/>
      <w:sz w:val="20"/>
      <w:szCs w:val="20"/>
      <w:lang w:val="en-US" w:eastAsia="en-US"/>
    </w:rPr>
  </w:style>
  <w:style w:type="paragraph" w:customStyle="1" w:styleId="CharChar11">
    <w:name w:val="Char Char11"/>
    <w:basedOn w:val="Normlny"/>
    <w:rsid w:val="007D2366"/>
    <w:pPr>
      <w:spacing w:after="160" w:line="240" w:lineRule="exact"/>
    </w:pPr>
    <w:rPr>
      <w:rFonts w:ascii="Tahoma" w:hAnsi="Tahoma" w:cs="Tahoma"/>
      <w:sz w:val="20"/>
      <w:szCs w:val="20"/>
      <w:lang w:val="en-US" w:eastAsia="en-US"/>
    </w:rPr>
  </w:style>
  <w:style w:type="table" w:customStyle="1" w:styleId="Mriekatabuky1">
    <w:name w:val="Mriežka tabuľky1"/>
    <w:basedOn w:val="Normlnatabuka"/>
    <w:uiPriority w:val="59"/>
    <w:rsid w:val="007D236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ykonajzoznam">
    <w:name w:val="Vykonajú_zoznam"/>
    <w:basedOn w:val="Normlny"/>
    <w:uiPriority w:val="99"/>
    <w:rsid w:val="007D2366"/>
    <w:pPr>
      <w:autoSpaceDE w:val="0"/>
      <w:autoSpaceDN w:val="0"/>
      <w:spacing w:after="0" w:line="240" w:lineRule="auto"/>
      <w:ind w:left="1418"/>
    </w:pPr>
    <w:rPr>
      <w:rFonts w:ascii="Times New Roman" w:hAnsi="Times New Roman"/>
      <w:sz w:val="20"/>
      <w:szCs w:val="20"/>
      <w:lang w:eastAsia="en-US"/>
    </w:rPr>
  </w:style>
  <w:style w:type="character" w:styleId="Siln">
    <w:name w:val="Strong"/>
    <w:basedOn w:val="Predvolenpsmoodseku"/>
    <w:uiPriority w:val="22"/>
    <w:qFormat/>
    <w:rsid w:val="008F2FB3"/>
    <w:rPr>
      <w:b/>
      <w:bCs/>
    </w:rPr>
  </w:style>
  <w:style w:type="paragraph" w:styleId="Normlnywebov">
    <w:name w:val="Normal (Web)"/>
    <w:basedOn w:val="Normlny"/>
    <w:uiPriority w:val="99"/>
    <w:unhideWhenUsed/>
    <w:rsid w:val="008F2FB3"/>
    <w:pPr>
      <w:spacing w:before="100" w:beforeAutospacing="1" w:after="100" w:afterAutospacing="1" w:line="240" w:lineRule="auto"/>
    </w:pPr>
    <w:rPr>
      <w:rFonts w:ascii="Times New Roman" w:hAnsi="Times New Roman"/>
      <w:sz w:val="24"/>
      <w:szCs w:val="24"/>
    </w:rPr>
  </w:style>
  <w:style w:type="paragraph" w:customStyle="1" w:styleId="default0">
    <w:name w:val="default"/>
    <w:basedOn w:val="Normlny"/>
    <w:rsid w:val="00AC7707"/>
    <w:pPr>
      <w:spacing w:after="0" w:line="240" w:lineRule="auto"/>
    </w:pPr>
    <w:rPr>
      <w:rFonts w:ascii="Times New Roman" w:eastAsiaTheme="minorHAnsi" w:hAnsi="Times New Roman"/>
      <w:color w:val="000000"/>
      <w:sz w:val="24"/>
      <w:szCs w:val="24"/>
    </w:rPr>
  </w:style>
  <w:style w:type="character" w:customStyle="1" w:styleId="leaf">
    <w:name w:val="leaf"/>
    <w:basedOn w:val="Predvolenpsmoodseku"/>
    <w:rsid w:val="002549AE"/>
  </w:style>
  <w:style w:type="paragraph" w:customStyle="1" w:styleId="doc-ti2">
    <w:name w:val="doc-ti2"/>
    <w:basedOn w:val="Normlny"/>
    <w:rsid w:val="006164A0"/>
    <w:pPr>
      <w:spacing w:before="240" w:after="120" w:line="312" w:lineRule="atLeast"/>
      <w:jc w:val="center"/>
    </w:pPr>
    <w:rPr>
      <w:rFonts w:ascii="Times New Roman" w:hAnsi="Times New Roman"/>
      <w:b/>
      <w:bCs/>
      <w:sz w:val="24"/>
      <w:szCs w:val="24"/>
    </w:rPr>
  </w:style>
  <w:style w:type="character" w:styleId="Zvraznenie">
    <w:name w:val="Emphasis"/>
    <w:basedOn w:val="Predvolenpsmoodseku"/>
    <w:uiPriority w:val="20"/>
    <w:qFormat/>
    <w:rsid w:val="00B46E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151">
      <w:bodyDiv w:val="1"/>
      <w:marLeft w:val="0"/>
      <w:marRight w:val="0"/>
      <w:marTop w:val="0"/>
      <w:marBottom w:val="0"/>
      <w:divBdr>
        <w:top w:val="none" w:sz="0" w:space="0" w:color="auto"/>
        <w:left w:val="none" w:sz="0" w:space="0" w:color="auto"/>
        <w:bottom w:val="none" w:sz="0" w:space="0" w:color="auto"/>
        <w:right w:val="none" w:sz="0" w:space="0" w:color="auto"/>
      </w:divBdr>
    </w:div>
    <w:div w:id="12000826">
      <w:bodyDiv w:val="1"/>
      <w:marLeft w:val="0"/>
      <w:marRight w:val="0"/>
      <w:marTop w:val="0"/>
      <w:marBottom w:val="0"/>
      <w:divBdr>
        <w:top w:val="none" w:sz="0" w:space="0" w:color="auto"/>
        <w:left w:val="none" w:sz="0" w:space="0" w:color="auto"/>
        <w:bottom w:val="none" w:sz="0" w:space="0" w:color="auto"/>
        <w:right w:val="none" w:sz="0" w:space="0" w:color="auto"/>
      </w:divBdr>
    </w:div>
    <w:div w:id="18169326">
      <w:bodyDiv w:val="1"/>
      <w:marLeft w:val="0"/>
      <w:marRight w:val="0"/>
      <w:marTop w:val="0"/>
      <w:marBottom w:val="0"/>
      <w:divBdr>
        <w:top w:val="none" w:sz="0" w:space="0" w:color="auto"/>
        <w:left w:val="none" w:sz="0" w:space="0" w:color="auto"/>
        <w:bottom w:val="none" w:sz="0" w:space="0" w:color="auto"/>
        <w:right w:val="none" w:sz="0" w:space="0" w:color="auto"/>
      </w:divBdr>
    </w:div>
    <w:div w:id="50202551">
      <w:bodyDiv w:val="1"/>
      <w:marLeft w:val="0"/>
      <w:marRight w:val="0"/>
      <w:marTop w:val="0"/>
      <w:marBottom w:val="0"/>
      <w:divBdr>
        <w:top w:val="none" w:sz="0" w:space="0" w:color="auto"/>
        <w:left w:val="none" w:sz="0" w:space="0" w:color="auto"/>
        <w:bottom w:val="none" w:sz="0" w:space="0" w:color="auto"/>
        <w:right w:val="none" w:sz="0" w:space="0" w:color="auto"/>
      </w:divBdr>
    </w:div>
    <w:div w:id="64381552">
      <w:bodyDiv w:val="1"/>
      <w:marLeft w:val="0"/>
      <w:marRight w:val="0"/>
      <w:marTop w:val="0"/>
      <w:marBottom w:val="0"/>
      <w:divBdr>
        <w:top w:val="none" w:sz="0" w:space="0" w:color="auto"/>
        <w:left w:val="none" w:sz="0" w:space="0" w:color="auto"/>
        <w:bottom w:val="none" w:sz="0" w:space="0" w:color="auto"/>
        <w:right w:val="none" w:sz="0" w:space="0" w:color="auto"/>
      </w:divBdr>
    </w:div>
    <w:div w:id="64453973">
      <w:bodyDiv w:val="1"/>
      <w:marLeft w:val="0"/>
      <w:marRight w:val="0"/>
      <w:marTop w:val="0"/>
      <w:marBottom w:val="0"/>
      <w:divBdr>
        <w:top w:val="none" w:sz="0" w:space="0" w:color="auto"/>
        <w:left w:val="none" w:sz="0" w:space="0" w:color="auto"/>
        <w:bottom w:val="none" w:sz="0" w:space="0" w:color="auto"/>
        <w:right w:val="none" w:sz="0" w:space="0" w:color="auto"/>
      </w:divBdr>
    </w:div>
    <w:div w:id="69277869">
      <w:bodyDiv w:val="1"/>
      <w:marLeft w:val="0"/>
      <w:marRight w:val="0"/>
      <w:marTop w:val="0"/>
      <w:marBottom w:val="0"/>
      <w:divBdr>
        <w:top w:val="none" w:sz="0" w:space="0" w:color="auto"/>
        <w:left w:val="none" w:sz="0" w:space="0" w:color="auto"/>
        <w:bottom w:val="none" w:sz="0" w:space="0" w:color="auto"/>
        <w:right w:val="none" w:sz="0" w:space="0" w:color="auto"/>
      </w:divBdr>
    </w:div>
    <w:div w:id="74477201">
      <w:bodyDiv w:val="1"/>
      <w:marLeft w:val="0"/>
      <w:marRight w:val="0"/>
      <w:marTop w:val="0"/>
      <w:marBottom w:val="0"/>
      <w:divBdr>
        <w:top w:val="none" w:sz="0" w:space="0" w:color="auto"/>
        <w:left w:val="none" w:sz="0" w:space="0" w:color="auto"/>
        <w:bottom w:val="none" w:sz="0" w:space="0" w:color="auto"/>
        <w:right w:val="none" w:sz="0" w:space="0" w:color="auto"/>
      </w:divBdr>
    </w:div>
    <w:div w:id="86191208">
      <w:bodyDiv w:val="1"/>
      <w:marLeft w:val="0"/>
      <w:marRight w:val="0"/>
      <w:marTop w:val="0"/>
      <w:marBottom w:val="0"/>
      <w:divBdr>
        <w:top w:val="none" w:sz="0" w:space="0" w:color="auto"/>
        <w:left w:val="none" w:sz="0" w:space="0" w:color="auto"/>
        <w:bottom w:val="none" w:sz="0" w:space="0" w:color="auto"/>
        <w:right w:val="none" w:sz="0" w:space="0" w:color="auto"/>
      </w:divBdr>
    </w:div>
    <w:div w:id="93480981">
      <w:bodyDiv w:val="1"/>
      <w:marLeft w:val="0"/>
      <w:marRight w:val="0"/>
      <w:marTop w:val="0"/>
      <w:marBottom w:val="0"/>
      <w:divBdr>
        <w:top w:val="none" w:sz="0" w:space="0" w:color="auto"/>
        <w:left w:val="none" w:sz="0" w:space="0" w:color="auto"/>
        <w:bottom w:val="none" w:sz="0" w:space="0" w:color="auto"/>
        <w:right w:val="none" w:sz="0" w:space="0" w:color="auto"/>
      </w:divBdr>
    </w:div>
    <w:div w:id="97068301">
      <w:bodyDiv w:val="1"/>
      <w:marLeft w:val="0"/>
      <w:marRight w:val="0"/>
      <w:marTop w:val="0"/>
      <w:marBottom w:val="0"/>
      <w:divBdr>
        <w:top w:val="none" w:sz="0" w:space="0" w:color="auto"/>
        <w:left w:val="none" w:sz="0" w:space="0" w:color="auto"/>
        <w:bottom w:val="none" w:sz="0" w:space="0" w:color="auto"/>
        <w:right w:val="none" w:sz="0" w:space="0" w:color="auto"/>
      </w:divBdr>
    </w:div>
    <w:div w:id="124126478">
      <w:bodyDiv w:val="1"/>
      <w:marLeft w:val="0"/>
      <w:marRight w:val="0"/>
      <w:marTop w:val="0"/>
      <w:marBottom w:val="0"/>
      <w:divBdr>
        <w:top w:val="none" w:sz="0" w:space="0" w:color="auto"/>
        <w:left w:val="none" w:sz="0" w:space="0" w:color="auto"/>
        <w:bottom w:val="none" w:sz="0" w:space="0" w:color="auto"/>
        <w:right w:val="none" w:sz="0" w:space="0" w:color="auto"/>
      </w:divBdr>
    </w:div>
    <w:div w:id="138304733">
      <w:bodyDiv w:val="1"/>
      <w:marLeft w:val="0"/>
      <w:marRight w:val="0"/>
      <w:marTop w:val="0"/>
      <w:marBottom w:val="0"/>
      <w:divBdr>
        <w:top w:val="none" w:sz="0" w:space="0" w:color="auto"/>
        <w:left w:val="none" w:sz="0" w:space="0" w:color="auto"/>
        <w:bottom w:val="none" w:sz="0" w:space="0" w:color="auto"/>
        <w:right w:val="none" w:sz="0" w:space="0" w:color="auto"/>
      </w:divBdr>
    </w:div>
    <w:div w:id="138497150">
      <w:bodyDiv w:val="1"/>
      <w:marLeft w:val="0"/>
      <w:marRight w:val="0"/>
      <w:marTop w:val="0"/>
      <w:marBottom w:val="0"/>
      <w:divBdr>
        <w:top w:val="none" w:sz="0" w:space="0" w:color="auto"/>
        <w:left w:val="none" w:sz="0" w:space="0" w:color="auto"/>
        <w:bottom w:val="none" w:sz="0" w:space="0" w:color="auto"/>
        <w:right w:val="none" w:sz="0" w:space="0" w:color="auto"/>
      </w:divBdr>
    </w:div>
    <w:div w:id="139345510">
      <w:bodyDiv w:val="1"/>
      <w:marLeft w:val="0"/>
      <w:marRight w:val="0"/>
      <w:marTop w:val="0"/>
      <w:marBottom w:val="0"/>
      <w:divBdr>
        <w:top w:val="none" w:sz="0" w:space="0" w:color="auto"/>
        <w:left w:val="none" w:sz="0" w:space="0" w:color="auto"/>
        <w:bottom w:val="none" w:sz="0" w:space="0" w:color="auto"/>
        <w:right w:val="none" w:sz="0" w:space="0" w:color="auto"/>
      </w:divBdr>
    </w:div>
    <w:div w:id="149492367">
      <w:bodyDiv w:val="1"/>
      <w:marLeft w:val="0"/>
      <w:marRight w:val="0"/>
      <w:marTop w:val="0"/>
      <w:marBottom w:val="0"/>
      <w:divBdr>
        <w:top w:val="none" w:sz="0" w:space="0" w:color="auto"/>
        <w:left w:val="none" w:sz="0" w:space="0" w:color="auto"/>
        <w:bottom w:val="none" w:sz="0" w:space="0" w:color="auto"/>
        <w:right w:val="none" w:sz="0" w:space="0" w:color="auto"/>
      </w:divBdr>
    </w:div>
    <w:div w:id="156389291">
      <w:bodyDiv w:val="1"/>
      <w:marLeft w:val="0"/>
      <w:marRight w:val="0"/>
      <w:marTop w:val="0"/>
      <w:marBottom w:val="0"/>
      <w:divBdr>
        <w:top w:val="none" w:sz="0" w:space="0" w:color="auto"/>
        <w:left w:val="none" w:sz="0" w:space="0" w:color="auto"/>
        <w:bottom w:val="none" w:sz="0" w:space="0" w:color="auto"/>
        <w:right w:val="none" w:sz="0" w:space="0" w:color="auto"/>
      </w:divBdr>
    </w:div>
    <w:div w:id="164976842">
      <w:bodyDiv w:val="1"/>
      <w:marLeft w:val="0"/>
      <w:marRight w:val="0"/>
      <w:marTop w:val="0"/>
      <w:marBottom w:val="0"/>
      <w:divBdr>
        <w:top w:val="none" w:sz="0" w:space="0" w:color="auto"/>
        <w:left w:val="none" w:sz="0" w:space="0" w:color="auto"/>
        <w:bottom w:val="none" w:sz="0" w:space="0" w:color="auto"/>
        <w:right w:val="none" w:sz="0" w:space="0" w:color="auto"/>
      </w:divBdr>
    </w:div>
    <w:div w:id="167642583">
      <w:bodyDiv w:val="1"/>
      <w:marLeft w:val="0"/>
      <w:marRight w:val="0"/>
      <w:marTop w:val="0"/>
      <w:marBottom w:val="0"/>
      <w:divBdr>
        <w:top w:val="none" w:sz="0" w:space="0" w:color="auto"/>
        <w:left w:val="none" w:sz="0" w:space="0" w:color="auto"/>
        <w:bottom w:val="none" w:sz="0" w:space="0" w:color="auto"/>
        <w:right w:val="none" w:sz="0" w:space="0" w:color="auto"/>
      </w:divBdr>
    </w:div>
    <w:div w:id="168256279">
      <w:bodyDiv w:val="1"/>
      <w:marLeft w:val="0"/>
      <w:marRight w:val="0"/>
      <w:marTop w:val="0"/>
      <w:marBottom w:val="0"/>
      <w:divBdr>
        <w:top w:val="none" w:sz="0" w:space="0" w:color="auto"/>
        <w:left w:val="none" w:sz="0" w:space="0" w:color="auto"/>
        <w:bottom w:val="none" w:sz="0" w:space="0" w:color="auto"/>
        <w:right w:val="none" w:sz="0" w:space="0" w:color="auto"/>
      </w:divBdr>
    </w:div>
    <w:div w:id="171146235">
      <w:bodyDiv w:val="1"/>
      <w:marLeft w:val="0"/>
      <w:marRight w:val="0"/>
      <w:marTop w:val="0"/>
      <w:marBottom w:val="0"/>
      <w:divBdr>
        <w:top w:val="none" w:sz="0" w:space="0" w:color="auto"/>
        <w:left w:val="none" w:sz="0" w:space="0" w:color="auto"/>
        <w:bottom w:val="none" w:sz="0" w:space="0" w:color="auto"/>
        <w:right w:val="none" w:sz="0" w:space="0" w:color="auto"/>
      </w:divBdr>
    </w:div>
    <w:div w:id="187528923">
      <w:bodyDiv w:val="1"/>
      <w:marLeft w:val="0"/>
      <w:marRight w:val="0"/>
      <w:marTop w:val="0"/>
      <w:marBottom w:val="0"/>
      <w:divBdr>
        <w:top w:val="none" w:sz="0" w:space="0" w:color="auto"/>
        <w:left w:val="none" w:sz="0" w:space="0" w:color="auto"/>
        <w:bottom w:val="none" w:sz="0" w:space="0" w:color="auto"/>
        <w:right w:val="none" w:sz="0" w:space="0" w:color="auto"/>
      </w:divBdr>
    </w:div>
    <w:div w:id="219026007">
      <w:bodyDiv w:val="1"/>
      <w:marLeft w:val="0"/>
      <w:marRight w:val="0"/>
      <w:marTop w:val="0"/>
      <w:marBottom w:val="0"/>
      <w:divBdr>
        <w:top w:val="none" w:sz="0" w:space="0" w:color="auto"/>
        <w:left w:val="none" w:sz="0" w:space="0" w:color="auto"/>
        <w:bottom w:val="none" w:sz="0" w:space="0" w:color="auto"/>
        <w:right w:val="none" w:sz="0" w:space="0" w:color="auto"/>
      </w:divBdr>
      <w:divsChild>
        <w:div w:id="723598958">
          <w:marLeft w:val="0"/>
          <w:marRight w:val="0"/>
          <w:marTop w:val="0"/>
          <w:marBottom w:val="0"/>
          <w:divBdr>
            <w:top w:val="none" w:sz="0" w:space="0" w:color="auto"/>
            <w:left w:val="none" w:sz="0" w:space="0" w:color="auto"/>
            <w:bottom w:val="none" w:sz="0" w:space="0" w:color="auto"/>
            <w:right w:val="none" w:sz="0" w:space="0" w:color="auto"/>
          </w:divBdr>
          <w:divsChild>
            <w:div w:id="2097290059">
              <w:marLeft w:val="0"/>
              <w:marRight w:val="0"/>
              <w:marTop w:val="0"/>
              <w:marBottom w:val="0"/>
              <w:divBdr>
                <w:top w:val="none" w:sz="0" w:space="0" w:color="auto"/>
                <w:left w:val="none" w:sz="0" w:space="0" w:color="auto"/>
                <w:bottom w:val="none" w:sz="0" w:space="0" w:color="auto"/>
                <w:right w:val="none" w:sz="0" w:space="0" w:color="auto"/>
              </w:divBdr>
              <w:divsChild>
                <w:div w:id="55207336">
                  <w:marLeft w:val="0"/>
                  <w:marRight w:val="0"/>
                  <w:marTop w:val="0"/>
                  <w:marBottom w:val="0"/>
                  <w:divBdr>
                    <w:top w:val="none" w:sz="0" w:space="0" w:color="auto"/>
                    <w:left w:val="none" w:sz="0" w:space="0" w:color="auto"/>
                    <w:bottom w:val="none" w:sz="0" w:space="0" w:color="auto"/>
                    <w:right w:val="none" w:sz="0" w:space="0" w:color="auto"/>
                  </w:divBdr>
                  <w:divsChild>
                    <w:div w:id="4644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297073">
      <w:bodyDiv w:val="1"/>
      <w:marLeft w:val="0"/>
      <w:marRight w:val="0"/>
      <w:marTop w:val="0"/>
      <w:marBottom w:val="0"/>
      <w:divBdr>
        <w:top w:val="none" w:sz="0" w:space="0" w:color="auto"/>
        <w:left w:val="none" w:sz="0" w:space="0" w:color="auto"/>
        <w:bottom w:val="none" w:sz="0" w:space="0" w:color="auto"/>
        <w:right w:val="none" w:sz="0" w:space="0" w:color="auto"/>
      </w:divBdr>
    </w:div>
    <w:div w:id="249627859">
      <w:bodyDiv w:val="1"/>
      <w:marLeft w:val="0"/>
      <w:marRight w:val="0"/>
      <w:marTop w:val="0"/>
      <w:marBottom w:val="0"/>
      <w:divBdr>
        <w:top w:val="none" w:sz="0" w:space="0" w:color="auto"/>
        <w:left w:val="none" w:sz="0" w:space="0" w:color="auto"/>
        <w:bottom w:val="none" w:sz="0" w:space="0" w:color="auto"/>
        <w:right w:val="none" w:sz="0" w:space="0" w:color="auto"/>
      </w:divBdr>
    </w:div>
    <w:div w:id="302540889">
      <w:bodyDiv w:val="1"/>
      <w:marLeft w:val="0"/>
      <w:marRight w:val="0"/>
      <w:marTop w:val="0"/>
      <w:marBottom w:val="0"/>
      <w:divBdr>
        <w:top w:val="none" w:sz="0" w:space="0" w:color="auto"/>
        <w:left w:val="none" w:sz="0" w:space="0" w:color="auto"/>
        <w:bottom w:val="none" w:sz="0" w:space="0" w:color="auto"/>
        <w:right w:val="none" w:sz="0" w:space="0" w:color="auto"/>
      </w:divBdr>
    </w:div>
    <w:div w:id="312607635">
      <w:bodyDiv w:val="1"/>
      <w:marLeft w:val="0"/>
      <w:marRight w:val="0"/>
      <w:marTop w:val="0"/>
      <w:marBottom w:val="0"/>
      <w:divBdr>
        <w:top w:val="none" w:sz="0" w:space="0" w:color="auto"/>
        <w:left w:val="none" w:sz="0" w:space="0" w:color="auto"/>
        <w:bottom w:val="none" w:sz="0" w:space="0" w:color="auto"/>
        <w:right w:val="none" w:sz="0" w:space="0" w:color="auto"/>
      </w:divBdr>
    </w:div>
    <w:div w:id="328874386">
      <w:bodyDiv w:val="1"/>
      <w:marLeft w:val="0"/>
      <w:marRight w:val="0"/>
      <w:marTop w:val="0"/>
      <w:marBottom w:val="0"/>
      <w:divBdr>
        <w:top w:val="none" w:sz="0" w:space="0" w:color="auto"/>
        <w:left w:val="none" w:sz="0" w:space="0" w:color="auto"/>
        <w:bottom w:val="none" w:sz="0" w:space="0" w:color="auto"/>
        <w:right w:val="none" w:sz="0" w:space="0" w:color="auto"/>
      </w:divBdr>
    </w:div>
    <w:div w:id="332226423">
      <w:bodyDiv w:val="1"/>
      <w:marLeft w:val="0"/>
      <w:marRight w:val="0"/>
      <w:marTop w:val="0"/>
      <w:marBottom w:val="0"/>
      <w:divBdr>
        <w:top w:val="none" w:sz="0" w:space="0" w:color="auto"/>
        <w:left w:val="none" w:sz="0" w:space="0" w:color="auto"/>
        <w:bottom w:val="none" w:sz="0" w:space="0" w:color="auto"/>
        <w:right w:val="none" w:sz="0" w:space="0" w:color="auto"/>
      </w:divBdr>
    </w:div>
    <w:div w:id="344793445">
      <w:bodyDiv w:val="1"/>
      <w:marLeft w:val="0"/>
      <w:marRight w:val="0"/>
      <w:marTop w:val="0"/>
      <w:marBottom w:val="0"/>
      <w:divBdr>
        <w:top w:val="none" w:sz="0" w:space="0" w:color="auto"/>
        <w:left w:val="none" w:sz="0" w:space="0" w:color="auto"/>
        <w:bottom w:val="none" w:sz="0" w:space="0" w:color="auto"/>
        <w:right w:val="none" w:sz="0" w:space="0" w:color="auto"/>
      </w:divBdr>
    </w:div>
    <w:div w:id="369645178">
      <w:bodyDiv w:val="1"/>
      <w:marLeft w:val="0"/>
      <w:marRight w:val="0"/>
      <w:marTop w:val="0"/>
      <w:marBottom w:val="0"/>
      <w:divBdr>
        <w:top w:val="none" w:sz="0" w:space="0" w:color="auto"/>
        <w:left w:val="none" w:sz="0" w:space="0" w:color="auto"/>
        <w:bottom w:val="none" w:sz="0" w:space="0" w:color="auto"/>
        <w:right w:val="none" w:sz="0" w:space="0" w:color="auto"/>
      </w:divBdr>
    </w:div>
    <w:div w:id="382146434">
      <w:bodyDiv w:val="1"/>
      <w:marLeft w:val="0"/>
      <w:marRight w:val="0"/>
      <w:marTop w:val="0"/>
      <w:marBottom w:val="0"/>
      <w:divBdr>
        <w:top w:val="none" w:sz="0" w:space="0" w:color="auto"/>
        <w:left w:val="none" w:sz="0" w:space="0" w:color="auto"/>
        <w:bottom w:val="none" w:sz="0" w:space="0" w:color="auto"/>
        <w:right w:val="none" w:sz="0" w:space="0" w:color="auto"/>
      </w:divBdr>
    </w:div>
    <w:div w:id="390035940">
      <w:bodyDiv w:val="1"/>
      <w:marLeft w:val="0"/>
      <w:marRight w:val="0"/>
      <w:marTop w:val="0"/>
      <w:marBottom w:val="0"/>
      <w:divBdr>
        <w:top w:val="none" w:sz="0" w:space="0" w:color="auto"/>
        <w:left w:val="none" w:sz="0" w:space="0" w:color="auto"/>
        <w:bottom w:val="none" w:sz="0" w:space="0" w:color="auto"/>
        <w:right w:val="none" w:sz="0" w:space="0" w:color="auto"/>
      </w:divBdr>
    </w:div>
    <w:div w:id="398868016">
      <w:bodyDiv w:val="1"/>
      <w:marLeft w:val="0"/>
      <w:marRight w:val="0"/>
      <w:marTop w:val="0"/>
      <w:marBottom w:val="0"/>
      <w:divBdr>
        <w:top w:val="none" w:sz="0" w:space="0" w:color="auto"/>
        <w:left w:val="none" w:sz="0" w:space="0" w:color="auto"/>
        <w:bottom w:val="none" w:sz="0" w:space="0" w:color="auto"/>
        <w:right w:val="none" w:sz="0" w:space="0" w:color="auto"/>
      </w:divBdr>
    </w:div>
    <w:div w:id="431244419">
      <w:bodyDiv w:val="1"/>
      <w:marLeft w:val="0"/>
      <w:marRight w:val="0"/>
      <w:marTop w:val="0"/>
      <w:marBottom w:val="0"/>
      <w:divBdr>
        <w:top w:val="none" w:sz="0" w:space="0" w:color="auto"/>
        <w:left w:val="none" w:sz="0" w:space="0" w:color="auto"/>
        <w:bottom w:val="none" w:sz="0" w:space="0" w:color="auto"/>
        <w:right w:val="none" w:sz="0" w:space="0" w:color="auto"/>
      </w:divBdr>
    </w:div>
    <w:div w:id="466975151">
      <w:bodyDiv w:val="1"/>
      <w:marLeft w:val="0"/>
      <w:marRight w:val="0"/>
      <w:marTop w:val="0"/>
      <w:marBottom w:val="0"/>
      <w:divBdr>
        <w:top w:val="none" w:sz="0" w:space="0" w:color="auto"/>
        <w:left w:val="none" w:sz="0" w:space="0" w:color="auto"/>
        <w:bottom w:val="none" w:sz="0" w:space="0" w:color="auto"/>
        <w:right w:val="none" w:sz="0" w:space="0" w:color="auto"/>
      </w:divBdr>
    </w:div>
    <w:div w:id="473718995">
      <w:bodyDiv w:val="1"/>
      <w:marLeft w:val="0"/>
      <w:marRight w:val="0"/>
      <w:marTop w:val="0"/>
      <w:marBottom w:val="0"/>
      <w:divBdr>
        <w:top w:val="none" w:sz="0" w:space="0" w:color="auto"/>
        <w:left w:val="none" w:sz="0" w:space="0" w:color="auto"/>
        <w:bottom w:val="none" w:sz="0" w:space="0" w:color="auto"/>
        <w:right w:val="none" w:sz="0" w:space="0" w:color="auto"/>
      </w:divBdr>
    </w:div>
    <w:div w:id="492183632">
      <w:bodyDiv w:val="1"/>
      <w:marLeft w:val="0"/>
      <w:marRight w:val="0"/>
      <w:marTop w:val="0"/>
      <w:marBottom w:val="0"/>
      <w:divBdr>
        <w:top w:val="none" w:sz="0" w:space="0" w:color="auto"/>
        <w:left w:val="none" w:sz="0" w:space="0" w:color="auto"/>
        <w:bottom w:val="none" w:sz="0" w:space="0" w:color="auto"/>
        <w:right w:val="none" w:sz="0" w:space="0" w:color="auto"/>
      </w:divBdr>
    </w:div>
    <w:div w:id="496774463">
      <w:bodyDiv w:val="1"/>
      <w:marLeft w:val="0"/>
      <w:marRight w:val="0"/>
      <w:marTop w:val="0"/>
      <w:marBottom w:val="0"/>
      <w:divBdr>
        <w:top w:val="none" w:sz="0" w:space="0" w:color="auto"/>
        <w:left w:val="none" w:sz="0" w:space="0" w:color="auto"/>
        <w:bottom w:val="none" w:sz="0" w:space="0" w:color="auto"/>
        <w:right w:val="none" w:sz="0" w:space="0" w:color="auto"/>
      </w:divBdr>
    </w:div>
    <w:div w:id="506411649">
      <w:bodyDiv w:val="1"/>
      <w:marLeft w:val="0"/>
      <w:marRight w:val="0"/>
      <w:marTop w:val="0"/>
      <w:marBottom w:val="0"/>
      <w:divBdr>
        <w:top w:val="none" w:sz="0" w:space="0" w:color="auto"/>
        <w:left w:val="none" w:sz="0" w:space="0" w:color="auto"/>
        <w:bottom w:val="none" w:sz="0" w:space="0" w:color="auto"/>
        <w:right w:val="none" w:sz="0" w:space="0" w:color="auto"/>
      </w:divBdr>
    </w:div>
    <w:div w:id="524682723">
      <w:bodyDiv w:val="1"/>
      <w:marLeft w:val="0"/>
      <w:marRight w:val="0"/>
      <w:marTop w:val="0"/>
      <w:marBottom w:val="0"/>
      <w:divBdr>
        <w:top w:val="none" w:sz="0" w:space="0" w:color="auto"/>
        <w:left w:val="none" w:sz="0" w:space="0" w:color="auto"/>
        <w:bottom w:val="none" w:sz="0" w:space="0" w:color="auto"/>
        <w:right w:val="none" w:sz="0" w:space="0" w:color="auto"/>
      </w:divBdr>
    </w:div>
    <w:div w:id="548151667">
      <w:bodyDiv w:val="1"/>
      <w:marLeft w:val="0"/>
      <w:marRight w:val="0"/>
      <w:marTop w:val="0"/>
      <w:marBottom w:val="0"/>
      <w:divBdr>
        <w:top w:val="none" w:sz="0" w:space="0" w:color="auto"/>
        <w:left w:val="none" w:sz="0" w:space="0" w:color="auto"/>
        <w:bottom w:val="none" w:sz="0" w:space="0" w:color="auto"/>
        <w:right w:val="none" w:sz="0" w:space="0" w:color="auto"/>
      </w:divBdr>
    </w:div>
    <w:div w:id="549146789">
      <w:bodyDiv w:val="1"/>
      <w:marLeft w:val="0"/>
      <w:marRight w:val="0"/>
      <w:marTop w:val="0"/>
      <w:marBottom w:val="0"/>
      <w:divBdr>
        <w:top w:val="none" w:sz="0" w:space="0" w:color="auto"/>
        <w:left w:val="none" w:sz="0" w:space="0" w:color="auto"/>
        <w:bottom w:val="none" w:sz="0" w:space="0" w:color="auto"/>
        <w:right w:val="none" w:sz="0" w:space="0" w:color="auto"/>
      </w:divBdr>
    </w:div>
    <w:div w:id="569925616">
      <w:bodyDiv w:val="1"/>
      <w:marLeft w:val="0"/>
      <w:marRight w:val="0"/>
      <w:marTop w:val="0"/>
      <w:marBottom w:val="0"/>
      <w:divBdr>
        <w:top w:val="none" w:sz="0" w:space="0" w:color="auto"/>
        <w:left w:val="none" w:sz="0" w:space="0" w:color="auto"/>
        <w:bottom w:val="none" w:sz="0" w:space="0" w:color="auto"/>
        <w:right w:val="none" w:sz="0" w:space="0" w:color="auto"/>
      </w:divBdr>
    </w:div>
    <w:div w:id="610891568">
      <w:bodyDiv w:val="1"/>
      <w:marLeft w:val="0"/>
      <w:marRight w:val="0"/>
      <w:marTop w:val="0"/>
      <w:marBottom w:val="0"/>
      <w:divBdr>
        <w:top w:val="none" w:sz="0" w:space="0" w:color="auto"/>
        <w:left w:val="none" w:sz="0" w:space="0" w:color="auto"/>
        <w:bottom w:val="none" w:sz="0" w:space="0" w:color="auto"/>
        <w:right w:val="none" w:sz="0" w:space="0" w:color="auto"/>
      </w:divBdr>
    </w:div>
    <w:div w:id="632298900">
      <w:bodyDiv w:val="1"/>
      <w:marLeft w:val="0"/>
      <w:marRight w:val="0"/>
      <w:marTop w:val="0"/>
      <w:marBottom w:val="0"/>
      <w:divBdr>
        <w:top w:val="none" w:sz="0" w:space="0" w:color="auto"/>
        <w:left w:val="none" w:sz="0" w:space="0" w:color="auto"/>
        <w:bottom w:val="none" w:sz="0" w:space="0" w:color="auto"/>
        <w:right w:val="none" w:sz="0" w:space="0" w:color="auto"/>
      </w:divBdr>
    </w:div>
    <w:div w:id="642538748">
      <w:bodyDiv w:val="1"/>
      <w:marLeft w:val="0"/>
      <w:marRight w:val="0"/>
      <w:marTop w:val="0"/>
      <w:marBottom w:val="0"/>
      <w:divBdr>
        <w:top w:val="none" w:sz="0" w:space="0" w:color="auto"/>
        <w:left w:val="none" w:sz="0" w:space="0" w:color="auto"/>
        <w:bottom w:val="none" w:sz="0" w:space="0" w:color="auto"/>
        <w:right w:val="none" w:sz="0" w:space="0" w:color="auto"/>
      </w:divBdr>
    </w:div>
    <w:div w:id="646933938">
      <w:bodyDiv w:val="1"/>
      <w:marLeft w:val="0"/>
      <w:marRight w:val="0"/>
      <w:marTop w:val="0"/>
      <w:marBottom w:val="0"/>
      <w:divBdr>
        <w:top w:val="none" w:sz="0" w:space="0" w:color="auto"/>
        <w:left w:val="none" w:sz="0" w:space="0" w:color="auto"/>
        <w:bottom w:val="none" w:sz="0" w:space="0" w:color="auto"/>
        <w:right w:val="none" w:sz="0" w:space="0" w:color="auto"/>
      </w:divBdr>
    </w:div>
    <w:div w:id="682588625">
      <w:bodyDiv w:val="1"/>
      <w:marLeft w:val="0"/>
      <w:marRight w:val="0"/>
      <w:marTop w:val="0"/>
      <w:marBottom w:val="0"/>
      <w:divBdr>
        <w:top w:val="none" w:sz="0" w:space="0" w:color="auto"/>
        <w:left w:val="none" w:sz="0" w:space="0" w:color="auto"/>
        <w:bottom w:val="none" w:sz="0" w:space="0" w:color="auto"/>
        <w:right w:val="none" w:sz="0" w:space="0" w:color="auto"/>
      </w:divBdr>
    </w:div>
    <w:div w:id="711803803">
      <w:bodyDiv w:val="1"/>
      <w:marLeft w:val="0"/>
      <w:marRight w:val="0"/>
      <w:marTop w:val="0"/>
      <w:marBottom w:val="0"/>
      <w:divBdr>
        <w:top w:val="none" w:sz="0" w:space="0" w:color="auto"/>
        <w:left w:val="none" w:sz="0" w:space="0" w:color="auto"/>
        <w:bottom w:val="none" w:sz="0" w:space="0" w:color="auto"/>
        <w:right w:val="none" w:sz="0" w:space="0" w:color="auto"/>
      </w:divBdr>
    </w:div>
    <w:div w:id="714431043">
      <w:bodyDiv w:val="1"/>
      <w:marLeft w:val="0"/>
      <w:marRight w:val="0"/>
      <w:marTop w:val="0"/>
      <w:marBottom w:val="0"/>
      <w:divBdr>
        <w:top w:val="none" w:sz="0" w:space="0" w:color="auto"/>
        <w:left w:val="none" w:sz="0" w:space="0" w:color="auto"/>
        <w:bottom w:val="none" w:sz="0" w:space="0" w:color="auto"/>
        <w:right w:val="none" w:sz="0" w:space="0" w:color="auto"/>
      </w:divBdr>
    </w:div>
    <w:div w:id="725878544">
      <w:bodyDiv w:val="1"/>
      <w:marLeft w:val="0"/>
      <w:marRight w:val="0"/>
      <w:marTop w:val="0"/>
      <w:marBottom w:val="0"/>
      <w:divBdr>
        <w:top w:val="none" w:sz="0" w:space="0" w:color="auto"/>
        <w:left w:val="none" w:sz="0" w:space="0" w:color="auto"/>
        <w:bottom w:val="none" w:sz="0" w:space="0" w:color="auto"/>
        <w:right w:val="none" w:sz="0" w:space="0" w:color="auto"/>
      </w:divBdr>
    </w:div>
    <w:div w:id="740835005">
      <w:bodyDiv w:val="1"/>
      <w:marLeft w:val="0"/>
      <w:marRight w:val="0"/>
      <w:marTop w:val="0"/>
      <w:marBottom w:val="0"/>
      <w:divBdr>
        <w:top w:val="none" w:sz="0" w:space="0" w:color="auto"/>
        <w:left w:val="none" w:sz="0" w:space="0" w:color="auto"/>
        <w:bottom w:val="none" w:sz="0" w:space="0" w:color="auto"/>
        <w:right w:val="none" w:sz="0" w:space="0" w:color="auto"/>
      </w:divBdr>
      <w:divsChild>
        <w:div w:id="1801069668">
          <w:marLeft w:val="0"/>
          <w:marRight w:val="0"/>
          <w:marTop w:val="0"/>
          <w:marBottom w:val="0"/>
          <w:divBdr>
            <w:top w:val="none" w:sz="0" w:space="0" w:color="auto"/>
            <w:left w:val="none" w:sz="0" w:space="0" w:color="auto"/>
            <w:bottom w:val="none" w:sz="0" w:space="0" w:color="auto"/>
            <w:right w:val="none" w:sz="0" w:space="0" w:color="auto"/>
          </w:divBdr>
          <w:divsChild>
            <w:div w:id="313684045">
              <w:marLeft w:val="0"/>
              <w:marRight w:val="0"/>
              <w:marTop w:val="0"/>
              <w:marBottom w:val="0"/>
              <w:divBdr>
                <w:top w:val="none" w:sz="0" w:space="0" w:color="auto"/>
                <w:left w:val="none" w:sz="0" w:space="0" w:color="auto"/>
                <w:bottom w:val="none" w:sz="0" w:space="0" w:color="auto"/>
                <w:right w:val="none" w:sz="0" w:space="0" w:color="auto"/>
              </w:divBdr>
              <w:divsChild>
                <w:div w:id="428238295">
                  <w:marLeft w:val="0"/>
                  <w:marRight w:val="0"/>
                  <w:marTop w:val="0"/>
                  <w:marBottom w:val="0"/>
                  <w:divBdr>
                    <w:top w:val="none" w:sz="0" w:space="0" w:color="auto"/>
                    <w:left w:val="none" w:sz="0" w:space="0" w:color="auto"/>
                    <w:bottom w:val="none" w:sz="0" w:space="0" w:color="auto"/>
                    <w:right w:val="none" w:sz="0" w:space="0" w:color="auto"/>
                  </w:divBdr>
                  <w:divsChild>
                    <w:div w:id="1111316967">
                      <w:marLeft w:val="1"/>
                      <w:marRight w:val="1"/>
                      <w:marTop w:val="0"/>
                      <w:marBottom w:val="0"/>
                      <w:divBdr>
                        <w:top w:val="none" w:sz="0" w:space="0" w:color="auto"/>
                        <w:left w:val="none" w:sz="0" w:space="0" w:color="auto"/>
                        <w:bottom w:val="none" w:sz="0" w:space="0" w:color="auto"/>
                        <w:right w:val="none" w:sz="0" w:space="0" w:color="auto"/>
                      </w:divBdr>
                      <w:divsChild>
                        <w:div w:id="1226257713">
                          <w:marLeft w:val="0"/>
                          <w:marRight w:val="0"/>
                          <w:marTop w:val="0"/>
                          <w:marBottom w:val="0"/>
                          <w:divBdr>
                            <w:top w:val="none" w:sz="0" w:space="0" w:color="auto"/>
                            <w:left w:val="none" w:sz="0" w:space="0" w:color="auto"/>
                            <w:bottom w:val="none" w:sz="0" w:space="0" w:color="auto"/>
                            <w:right w:val="none" w:sz="0" w:space="0" w:color="auto"/>
                          </w:divBdr>
                          <w:divsChild>
                            <w:div w:id="106124142">
                              <w:marLeft w:val="0"/>
                              <w:marRight w:val="0"/>
                              <w:marTop w:val="0"/>
                              <w:marBottom w:val="360"/>
                              <w:divBdr>
                                <w:top w:val="none" w:sz="0" w:space="0" w:color="auto"/>
                                <w:left w:val="none" w:sz="0" w:space="0" w:color="auto"/>
                                <w:bottom w:val="none" w:sz="0" w:space="0" w:color="auto"/>
                                <w:right w:val="none" w:sz="0" w:space="0" w:color="auto"/>
                              </w:divBdr>
                              <w:divsChild>
                                <w:div w:id="1587955243">
                                  <w:marLeft w:val="0"/>
                                  <w:marRight w:val="0"/>
                                  <w:marTop w:val="0"/>
                                  <w:marBottom w:val="0"/>
                                  <w:divBdr>
                                    <w:top w:val="none" w:sz="0" w:space="0" w:color="auto"/>
                                    <w:left w:val="none" w:sz="0" w:space="0" w:color="auto"/>
                                    <w:bottom w:val="none" w:sz="0" w:space="0" w:color="auto"/>
                                    <w:right w:val="none" w:sz="0" w:space="0" w:color="auto"/>
                                  </w:divBdr>
                                  <w:divsChild>
                                    <w:div w:id="1735660264">
                                      <w:marLeft w:val="0"/>
                                      <w:marRight w:val="0"/>
                                      <w:marTop w:val="0"/>
                                      <w:marBottom w:val="0"/>
                                      <w:divBdr>
                                        <w:top w:val="none" w:sz="0" w:space="0" w:color="auto"/>
                                        <w:left w:val="none" w:sz="0" w:space="0" w:color="auto"/>
                                        <w:bottom w:val="none" w:sz="0" w:space="0" w:color="auto"/>
                                        <w:right w:val="none" w:sz="0" w:space="0" w:color="auto"/>
                                      </w:divBdr>
                                      <w:divsChild>
                                        <w:div w:id="1471820089">
                                          <w:marLeft w:val="0"/>
                                          <w:marRight w:val="0"/>
                                          <w:marTop w:val="0"/>
                                          <w:marBottom w:val="0"/>
                                          <w:divBdr>
                                            <w:top w:val="none" w:sz="0" w:space="0" w:color="auto"/>
                                            <w:left w:val="none" w:sz="0" w:space="0" w:color="auto"/>
                                            <w:bottom w:val="none" w:sz="0" w:space="0" w:color="auto"/>
                                            <w:right w:val="none" w:sz="0" w:space="0" w:color="auto"/>
                                          </w:divBdr>
                                          <w:divsChild>
                                            <w:div w:id="1924028508">
                                              <w:marLeft w:val="0"/>
                                              <w:marRight w:val="0"/>
                                              <w:marTop w:val="0"/>
                                              <w:marBottom w:val="0"/>
                                              <w:divBdr>
                                                <w:top w:val="none" w:sz="0" w:space="0" w:color="auto"/>
                                                <w:left w:val="none" w:sz="0" w:space="0" w:color="auto"/>
                                                <w:bottom w:val="none" w:sz="0" w:space="0" w:color="auto"/>
                                                <w:right w:val="none" w:sz="0" w:space="0" w:color="auto"/>
                                              </w:divBdr>
                                              <w:divsChild>
                                                <w:div w:id="4302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609971">
      <w:bodyDiv w:val="1"/>
      <w:marLeft w:val="0"/>
      <w:marRight w:val="0"/>
      <w:marTop w:val="0"/>
      <w:marBottom w:val="0"/>
      <w:divBdr>
        <w:top w:val="none" w:sz="0" w:space="0" w:color="auto"/>
        <w:left w:val="none" w:sz="0" w:space="0" w:color="auto"/>
        <w:bottom w:val="none" w:sz="0" w:space="0" w:color="auto"/>
        <w:right w:val="none" w:sz="0" w:space="0" w:color="auto"/>
      </w:divBdr>
    </w:div>
    <w:div w:id="742138619">
      <w:bodyDiv w:val="1"/>
      <w:marLeft w:val="0"/>
      <w:marRight w:val="0"/>
      <w:marTop w:val="0"/>
      <w:marBottom w:val="0"/>
      <w:divBdr>
        <w:top w:val="none" w:sz="0" w:space="0" w:color="auto"/>
        <w:left w:val="none" w:sz="0" w:space="0" w:color="auto"/>
        <w:bottom w:val="none" w:sz="0" w:space="0" w:color="auto"/>
        <w:right w:val="none" w:sz="0" w:space="0" w:color="auto"/>
      </w:divBdr>
    </w:div>
    <w:div w:id="742918124">
      <w:bodyDiv w:val="1"/>
      <w:marLeft w:val="0"/>
      <w:marRight w:val="0"/>
      <w:marTop w:val="0"/>
      <w:marBottom w:val="0"/>
      <w:divBdr>
        <w:top w:val="none" w:sz="0" w:space="0" w:color="auto"/>
        <w:left w:val="none" w:sz="0" w:space="0" w:color="auto"/>
        <w:bottom w:val="none" w:sz="0" w:space="0" w:color="auto"/>
        <w:right w:val="none" w:sz="0" w:space="0" w:color="auto"/>
      </w:divBdr>
    </w:div>
    <w:div w:id="744113090">
      <w:bodyDiv w:val="1"/>
      <w:marLeft w:val="0"/>
      <w:marRight w:val="0"/>
      <w:marTop w:val="0"/>
      <w:marBottom w:val="0"/>
      <w:divBdr>
        <w:top w:val="none" w:sz="0" w:space="0" w:color="auto"/>
        <w:left w:val="none" w:sz="0" w:space="0" w:color="auto"/>
        <w:bottom w:val="none" w:sz="0" w:space="0" w:color="auto"/>
        <w:right w:val="none" w:sz="0" w:space="0" w:color="auto"/>
      </w:divBdr>
    </w:div>
    <w:div w:id="760567759">
      <w:bodyDiv w:val="1"/>
      <w:marLeft w:val="0"/>
      <w:marRight w:val="0"/>
      <w:marTop w:val="0"/>
      <w:marBottom w:val="0"/>
      <w:divBdr>
        <w:top w:val="none" w:sz="0" w:space="0" w:color="auto"/>
        <w:left w:val="none" w:sz="0" w:space="0" w:color="auto"/>
        <w:bottom w:val="none" w:sz="0" w:space="0" w:color="auto"/>
        <w:right w:val="none" w:sz="0" w:space="0" w:color="auto"/>
      </w:divBdr>
    </w:div>
    <w:div w:id="779035355">
      <w:bodyDiv w:val="1"/>
      <w:marLeft w:val="0"/>
      <w:marRight w:val="0"/>
      <w:marTop w:val="0"/>
      <w:marBottom w:val="0"/>
      <w:divBdr>
        <w:top w:val="none" w:sz="0" w:space="0" w:color="auto"/>
        <w:left w:val="none" w:sz="0" w:space="0" w:color="auto"/>
        <w:bottom w:val="none" w:sz="0" w:space="0" w:color="auto"/>
        <w:right w:val="none" w:sz="0" w:space="0" w:color="auto"/>
      </w:divBdr>
    </w:div>
    <w:div w:id="808519982">
      <w:bodyDiv w:val="1"/>
      <w:marLeft w:val="0"/>
      <w:marRight w:val="0"/>
      <w:marTop w:val="0"/>
      <w:marBottom w:val="0"/>
      <w:divBdr>
        <w:top w:val="none" w:sz="0" w:space="0" w:color="auto"/>
        <w:left w:val="none" w:sz="0" w:space="0" w:color="auto"/>
        <w:bottom w:val="none" w:sz="0" w:space="0" w:color="auto"/>
        <w:right w:val="none" w:sz="0" w:space="0" w:color="auto"/>
      </w:divBdr>
    </w:div>
    <w:div w:id="812450771">
      <w:bodyDiv w:val="1"/>
      <w:marLeft w:val="0"/>
      <w:marRight w:val="0"/>
      <w:marTop w:val="0"/>
      <w:marBottom w:val="0"/>
      <w:divBdr>
        <w:top w:val="none" w:sz="0" w:space="0" w:color="auto"/>
        <w:left w:val="none" w:sz="0" w:space="0" w:color="auto"/>
        <w:bottom w:val="none" w:sz="0" w:space="0" w:color="auto"/>
        <w:right w:val="none" w:sz="0" w:space="0" w:color="auto"/>
      </w:divBdr>
    </w:div>
    <w:div w:id="823811317">
      <w:bodyDiv w:val="1"/>
      <w:marLeft w:val="0"/>
      <w:marRight w:val="0"/>
      <w:marTop w:val="0"/>
      <w:marBottom w:val="0"/>
      <w:divBdr>
        <w:top w:val="none" w:sz="0" w:space="0" w:color="auto"/>
        <w:left w:val="none" w:sz="0" w:space="0" w:color="auto"/>
        <w:bottom w:val="none" w:sz="0" w:space="0" w:color="auto"/>
        <w:right w:val="none" w:sz="0" w:space="0" w:color="auto"/>
      </w:divBdr>
    </w:div>
    <w:div w:id="830633446">
      <w:bodyDiv w:val="1"/>
      <w:marLeft w:val="0"/>
      <w:marRight w:val="0"/>
      <w:marTop w:val="0"/>
      <w:marBottom w:val="0"/>
      <w:divBdr>
        <w:top w:val="none" w:sz="0" w:space="0" w:color="auto"/>
        <w:left w:val="none" w:sz="0" w:space="0" w:color="auto"/>
        <w:bottom w:val="none" w:sz="0" w:space="0" w:color="auto"/>
        <w:right w:val="none" w:sz="0" w:space="0" w:color="auto"/>
      </w:divBdr>
    </w:div>
    <w:div w:id="841550746">
      <w:bodyDiv w:val="1"/>
      <w:marLeft w:val="0"/>
      <w:marRight w:val="0"/>
      <w:marTop w:val="0"/>
      <w:marBottom w:val="0"/>
      <w:divBdr>
        <w:top w:val="none" w:sz="0" w:space="0" w:color="auto"/>
        <w:left w:val="none" w:sz="0" w:space="0" w:color="auto"/>
        <w:bottom w:val="none" w:sz="0" w:space="0" w:color="auto"/>
        <w:right w:val="none" w:sz="0" w:space="0" w:color="auto"/>
      </w:divBdr>
    </w:div>
    <w:div w:id="878739403">
      <w:bodyDiv w:val="1"/>
      <w:marLeft w:val="0"/>
      <w:marRight w:val="0"/>
      <w:marTop w:val="0"/>
      <w:marBottom w:val="0"/>
      <w:divBdr>
        <w:top w:val="none" w:sz="0" w:space="0" w:color="auto"/>
        <w:left w:val="none" w:sz="0" w:space="0" w:color="auto"/>
        <w:bottom w:val="none" w:sz="0" w:space="0" w:color="auto"/>
        <w:right w:val="none" w:sz="0" w:space="0" w:color="auto"/>
      </w:divBdr>
    </w:div>
    <w:div w:id="918831205">
      <w:bodyDiv w:val="1"/>
      <w:marLeft w:val="0"/>
      <w:marRight w:val="0"/>
      <w:marTop w:val="0"/>
      <w:marBottom w:val="0"/>
      <w:divBdr>
        <w:top w:val="none" w:sz="0" w:space="0" w:color="auto"/>
        <w:left w:val="none" w:sz="0" w:space="0" w:color="auto"/>
        <w:bottom w:val="none" w:sz="0" w:space="0" w:color="auto"/>
        <w:right w:val="none" w:sz="0" w:space="0" w:color="auto"/>
      </w:divBdr>
    </w:div>
    <w:div w:id="919948141">
      <w:bodyDiv w:val="1"/>
      <w:marLeft w:val="0"/>
      <w:marRight w:val="0"/>
      <w:marTop w:val="0"/>
      <w:marBottom w:val="0"/>
      <w:divBdr>
        <w:top w:val="none" w:sz="0" w:space="0" w:color="auto"/>
        <w:left w:val="none" w:sz="0" w:space="0" w:color="auto"/>
        <w:bottom w:val="none" w:sz="0" w:space="0" w:color="auto"/>
        <w:right w:val="none" w:sz="0" w:space="0" w:color="auto"/>
      </w:divBdr>
    </w:div>
    <w:div w:id="960188176">
      <w:bodyDiv w:val="1"/>
      <w:marLeft w:val="0"/>
      <w:marRight w:val="0"/>
      <w:marTop w:val="0"/>
      <w:marBottom w:val="0"/>
      <w:divBdr>
        <w:top w:val="none" w:sz="0" w:space="0" w:color="auto"/>
        <w:left w:val="none" w:sz="0" w:space="0" w:color="auto"/>
        <w:bottom w:val="none" w:sz="0" w:space="0" w:color="auto"/>
        <w:right w:val="none" w:sz="0" w:space="0" w:color="auto"/>
      </w:divBdr>
    </w:div>
    <w:div w:id="965696661">
      <w:bodyDiv w:val="1"/>
      <w:marLeft w:val="0"/>
      <w:marRight w:val="0"/>
      <w:marTop w:val="0"/>
      <w:marBottom w:val="0"/>
      <w:divBdr>
        <w:top w:val="none" w:sz="0" w:space="0" w:color="auto"/>
        <w:left w:val="none" w:sz="0" w:space="0" w:color="auto"/>
        <w:bottom w:val="none" w:sz="0" w:space="0" w:color="auto"/>
        <w:right w:val="none" w:sz="0" w:space="0" w:color="auto"/>
      </w:divBdr>
    </w:div>
    <w:div w:id="979530168">
      <w:bodyDiv w:val="1"/>
      <w:marLeft w:val="0"/>
      <w:marRight w:val="0"/>
      <w:marTop w:val="0"/>
      <w:marBottom w:val="0"/>
      <w:divBdr>
        <w:top w:val="none" w:sz="0" w:space="0" w:color="auto"/>
        <w:left w:val="none" w:sz="0" w:space="0" w:color="auto"/>
        <w:bottom w:val="none" w:sz="0" w:space="0" w:color="auto"/>
        <w:right w:val="none" w:sz="0" w:space="0" w:color="auto"/>
      </w:divBdr>
    </w:div>
    <w:div w:id="980426976">
      <w:bodyDiv w:val="1"/>
      <w:marLeft w:val="0"/>
      <w:marRight w:val="0"/>
      <w:marTop w:val="0"/>
      <w:marBottom w:val="0"/>
      <w:divBdr>
        <w:top w:val="none" w:sz="0" w:space="0" w:color="auto"/>
        <w:left w:val="none" w:sz="0" w:space="0" w:color="auto"/>
        <w:bottom w:val="none" w:sz="0" w:space="0" w:color="auto"/>
        <w:right w:val="none" w:sz="0" w:space="0" w:color="auto"/>
      </w:divBdr>
    </w:div>
    <w:div w:id="989865874">
      <w:bodyDiv w:val="1"/>
      <w:marLeft w:val="0"/>
      <w:marRight w:val="0"/>
      <w:marTop w:val="0"/>
      <w:marBottom w:val="0"/>
      <w:divBdr>
        <w:top w:val="none" w:sz="0" w:space="0" w:color="auto"/>
        <w:left w:val="none" w:sz="0" w:space="0" w:color="auto"/>
        <w:bottom w:val="none" w:sz="0" w:space="0" w:color="auto"/>
        <w:right w:val="none" w:sz="0" w:space="0" w:color="auto"/>
      </w:divBdr>
    </w:div>
    <w:div w:id="1004165521">
      <w:bodyDiv w:val="1"/>
      <w:marLeft w:val="0"/>
      <w:marRight w:val="0"/>
      <w:marTop w:val="0"/>
      <w:marBottom w:val="0"/>
      <w:divBdr>
        <w:top w:val="none" w:sz="0" w:space="0" w:color="auto"/>
        <w:left w:val="none" w:sz="0" w:space="0" w:color="auto"/>
        <w:bottom w:val="none" w:sz="0" w:space="0" w:color="auto"/>
        <w:right w:val="none" w:sz="0" w:space="0" w:color="auto"/>
      </w:divBdr>
    </w:div>
    <w:div w:id="1022976524">
      <w:bodyDiv w:val="1"/>
      <w:marLeft w:val="0"/>
      <w:marRight w:val="0"/>
      <w:marTop w:val="0"/>
      <w:marBottom w:val="0"/>
      <w:divBdr>
        <w:top w:val="none" w:sz="0" w:space="0" w:color="auto"/>
        <w:left w:val="none" w:sz="0" w:space="0" w:color="auto"/>
        <w:bottom w:val="none" w:sz="0" w:space="0" w:color="auto"/>
        <w:right w:val="none" w:sz="0" w:space="0" w:color="auto"/>
      </w:divBdr>
    </w:div>
    <w:div w:id="1026710475">
      <w:bodyDiv w:val="1"/>
      <w:marLeft w:val="0"/>
      <w:marRight w:val="0"/>
      <w:marTop w:val="0"/>
      <w:marBottom w:val="0"/>
      <w:divBdr>
        <w:top w:val="none" w:sz="0" w:space="0" w:color="auto"/>
        <w:left w:val="none" w:sz="0" w:space="0" w:color="auto"/>
        <w:bottom w:val="none" w:sz="0" w:space="0" w:color="auto"/>
        <w:right w:val="none" w:sz="0" w:space="0" w:color="auto"/>
      </w:divBdr>
    </w:div>
    <w:div w:id="1028488413">
      <w:bodyDiv w:val="1"/>
      <w:marLeft w:val="0"/>
      <w:marRight w:val="0"/>
      <w:marTop w:val="0"/>
      <w:marBottom w:val="0"/>
      <w:divBdr>
        <w:top w:val="none" w:sz="0" w:space="0" w:color="auto"/>
        <w:left w:val="none" w:sz="0" w:space="0" w:color="auto"/>
        <w:bottom w:val="none" w:sz="0" w:space="0" w:color="auto"/>
        <w:right w:val="none" w:sz="0" w:space="0" w:color="auto"/>
      </w:divBdr>
    </w:div>
    <w:div w:id="1042176012">
      <w:bodyDiv w:val="1"/>
      <w:marLeft w:val="0"/>
      <w:marRight w:val="0"/>
      <w:marTop w:val="0"/>
      <w:marBottom w:val="0"/>
      <w:divBdr>
        <w:top w:val="none" w:sz="0" w:space="0" w:color="auto"/>
        <w:left w:val="none" w:sz="0" w:space="0" w:color="auto"/>
        <w:bottom w:val="none" w:sz="0" w:space="0" w:color="auto"/>
        <w:right w:val="none" w:sz="0" w:space="0" w:color="auto"/>
      </w:divBdr>
    </w:div>
    <w:div w:id="1043751407">
      <w:bodyDiv w:val="1"/>
      <w:marLeft w:val="0"/>
      <w:marRight w:val="0"/>
      <w:marTop w:val="0"/>
      <w:marBottom w:val="0"/>
      <w:divBdr>
        <w:top w:val="none" w:sz="0" w:space="0" w:color="auto"/>
        <w:left w:val="none" w:sz="0" w:space="0" w:color="auto"/>
        <w:bottom w:val="none" w:sz="0" w:space="0" w:color="auto"/>
        <w:right w:val="none" w:sz="0" w:space="0" w:color="auto"/>
      </w:divBdr>
    </w:div>
    <w:div w:id="1056272075">
      <w:bodyDiv w:val="1"/>
      <w:marLeft w:val="0"/>
      <w:marRight w:val="0"/>
      <w:marTop w:val="0"/>
      <w:marBottom w:val="0"/>
      <w:divBdr>
        <w:top w:val="none" w:sz="0" w:space="0" w:color="auto"/>
        <w:left w:val="none" w:sz="0" w:space="0" w:color="auto"/>
        <w:bottom w:val="none" w:sz="0" w:space="0" w:color="auto"/>
        <w:right w:val="none" w:sz="0" w:space="0" w:color="auto"/>
      </w:divBdr>
    </w:div>
    <w:div w:id="1056735025">
      <w:bodyDiv w:val="1"/>
      <w:marLeft w:val="0"/>
      <w:marRight w:val="0"/>
      <w:marTop w:val="0"/>
      <w:marBottom w:val="0"/>
      <w:divBdr>
        <w:top w:val="none" w:sz="0" w:space="0" w:color="auto"/>
        <w:left w:val="none" w:sz="0" w:space="0" w:color="auto"/>
        <w:bottom w:val="none" w:sz="0" w:space="0" w:color="auto"/>
        <w:right w:val="none" w:sz="0" w:space="0" w:color="auto"/>
      </w:divBdr>
    </w:div>
    <w:div w:id="1072508285">
      <w:bodyDiv w:val="1"/>
      <w:marLeft w:val="0"/>
      <w:marRight w:val="0"/>
      <w:marTop w:val="0"/>
      <w:marBottom w:val="0"/>
      <w:divBdr>
        <w:top w:val="none" w:sz="0" w:space="0" w:color="auto"/>
        <w:left w:val="none" w:sz="0" w:space="0" w:color="auto"/>
        <w:bottom w:val="none" w:sz="0" w:space="0" w:color="auto"/>
        <w:right w:val="none" w:sz="0" w:space="0" w:color="auto"/>
      </w:divBdr>
    </w:div>
    <w:div w:id="1110661558">
      <w:bodyDiv w:val="1"/>
      <w:marLeft w:val="0"/>
      <w:marRight w:val="0"/>
      <w:marTop w:val="0"/>
      <w:marBottom w:val="0"/>
      <w:divBdr>
        <w:top w:val="none" w:sz="0" w:space="0" w:color="auto"/>
        <w:left w:val="none" w:sz="0" w:space="0" w:color="auto"/>
        <w:bottom w:val="none" w:sz="0" w:space="0" w:color="auto"/>
        <w:right w:val="none" w:sz="0" w:space="0" w:color="auto"/>
      </w:divBdr>
    </w:div>
    <w:div w:id="1110977457">
      <w:bodyDiv w:val="1"/>
      <w:marLeft w:val="0"/>
      <w:marRight w:val="0"/>
      <w:marTop w:val="0"/>
      <w:marBottom w:val="0"/>
      <w:divBdr>
        <w:top w:val="none" w:sz="0" w:space="0" w:color="auto"/>
        <w:left w:val="none" w:sz="0" w:space="0" w:color="auto"/>
        <w:bottom w:val="none" w:sz="0" w:space="0" w:color="auto"/>
        <w:right w:val="none" w:sz="0" w:space="0" w:color="auto"/>
      </w:divBdr>
    </w:div>
    <w:div w:id="1112095475">
      <w:bodyDiv w:val="1"/>
      <w:marLeft w:val="0"/>
      <w:marRight w:val="0"/>
      <w:marTop w:val="0"/>
      <w:marBottom w:val="0"/>
      <w:divBdr>
        <w:top w:val="none" w:sz="0" w:space="0" w:color="auto"/>
        <w:left w:val="none" w:sz="0" w:space="0" w:color="auto"/>
        <w:bottom w:val="none" w:sz="0" w:space="0" w:color="auto"/>
        <w:right w:val="none" w:sz="0" w:space="0" w:color="auto"/>
      </w:divBdr>
    </w:div>
    <w:div w:id="1115826755">
      <w:bodyDiv w:val="1"/>
      <w:marLeft w:val="0"/>
      <w:marRight w:val="0"/>
      <w:marTop w:val="0"/>
      <w:marBottom w:val="0"/>
      <w:divBdr>
        <w:top w:val="none" w:sz="0" w:space="0" w:color="auto"/>
        <w:left w:val="none" w:sz="0" w:space="0" w:color="auto"/>
        <w:bottom w:val="none" w:sz="0" w:space="0" w:color="auto"/>
        <w:right w:val="none" w:sz="0" w:space="0" w:color="auto"/>
      </w:divBdr>
      <w:divsChild>
        <w:div w:id="963270614">
          <w:marLeft w:val="446"/>
          <w:marRight w:val="0"/>
          <w:marTop w:val="120"/>
          <w:marBottom w:val="0"/>
          <w:divBdr>
            <w:top w:val="none" w:sz="0" w:space="0" w:color="auto"/>
            <w:left w:val="none" w:sz="0" w:space="0" w:color="auto"/>
            <w:bottom w:val="none" w:sz="0" w:space="0" w:color="auto"/>
            <w:right w:val="none" w:sz="0" w:space="0" w:color="auto"/>
          </w:divBdr>
        </w:div>
      </w:divsChild>
    </w:div>
    <w:div w:id="1130172584">
      <w:bodyDiv w:val="1"/>
      <w:marLeft w:val="0"/>
      <w:marRight w:val="0"/>
      <w:marTop w:val="0"/>
      <w:marBottom w:val="0"/>
      <w:divBdr>
        <w:top w:val="none" w:sz="0" w:space="0" w:color="auto"/>
        <w:left w:val="none" w:sz="0" w:space="0" w:color="auto"/>
        <w:bottom w:val="none" w:sz="0" w:space="0" w:color="auto"/>
        <w:right w:val="none" w:sz="0" w:space="0" w:color="auto"/>
      </w:divBdr>
    </w:div>
    <w:div w:id="1147164202">
      <w:bodyDiv w:val="1"/>
      <w:marLeft w:val="0"/>
      <w:marRight w:val="0"/>
      <w:marTop w:val="0"/>
      <w:marBottom w:val="0"/>
      <w:divBdr>
        <w:top w:val="none" w:sz="0" w:space="0" w:color="auto"/>
        <w:left w:val="none" w:sz="0" w:space="0" w:color="auto"/>
        <w:bottom w:val="none" w:sz="0" w:space="0" w:color="auto"/>
        <w:right w:val="none" w:sz="0" w:space="0" w:color="auto"/>
      </w:divBdr>
    </w:div>
    <w:div w:id="1151210327">
      <w:bodyDiv w:val="1"/>
      <w:marLeft w:val="0"/>
      <w:marRight w:val="0"/>
      <w:marTop w:val="0"/>
      <w:marBottom w:val="0"/>
      <w:divBdr>
        <w:top w:val="none" w:sz="0" w:space="0" w:color="auto"/>
        <w:left w:val="none" w:sz="0" w:space="0" w:color="auto"/>
        <w:bottom w:val="none" w:sz="0" w:space="0" w:color="auto"/>
        <w:right w:val="none" w:sz="0" w:space="0" w:color="auto"/>
      </w:divBdr>
    </w:div>
    <w:div w:id="1180388853">
      <w:bodyDiv w:val="1"/>
      <w:marLeft w:val="0"/>
      <w:marRight w:val="0"/>
      <w:marTop w:val="0"/>
      <w:marBottom w:val="0"/>
      <w:divBdr>
        <w:top w:val="none" w:sz="0" w:space="0" w:color="auto"/>
        <w:left w:val="none" w:sz="0" w:space="0" w:color="auto"/>
        <w:bottom w:val="none" w:sz="0" w:space="0" w:color="auto"/>
        <w:right w:val="none" w:sz="0" w:space="0" w:color="auto"/>
      </w:divBdr>
    </w:div>
    <w:div w:id="1199274066">
      <w:bodyDiv w:val="1"/>
      <w:marLeft w:val="0"/>
      <w:marRight w:val="0"/>
      <w:marTop w:val="0"/>
      <w:marBottom w:val="0"/>
      <w:divBdr>
        <w:top w:val="none" w:sz="0" w:space="0" w:color="auto"/>
        <w:left w:val="none" w:sz="0" w:space="0" w:color="auto"/>
        <w:bottom w:val="none" w:sz="0" w:space="0" w:color="auto"/>
        <w:right w:val="none" w:sz="0" w:space="0" w:color="auto"/>
      </w:divBdr>
      <w:divsChild>
        <w:div w:id="1715890669">
          <w:marLeft w:val="0"/>
          <w:marRight w:val="0"/>
          <w:marTop w:val="0"/>
          <w:marBottom w:val="0"/>
          <w:divBdr>
            <w:top w:val="none" w:sz="0" w:space="0" w:color="auto"/>
            <w:left w:val="none" w:sz="0" w:space="0" w:color="auto"/>
            <w:bottom w:val="none" w:sz="0" w:space="0" w:color="auto"/>
            <w:right w:val="none" w:sz="0" w:space="0" w:color="auto"/>
          </w:divBdr>
          <w:divsChild>
            <w:div w:id="927542861">
              <w:marLeft w:val="0"/>
              <w:marRight w:val="0"/>
              <w:marTop w:val="0"/>
              <w:marBottom w:val="0"/>
              <w:divBdr>
                <w:top w:val="none" w:sz="0" w:space="0" w:color="auto"/>
                <w:left w:val="none" w:sz="0" w:space="0" w:color="auto"/>
                <w:bottom w:val="none" w:sz="0" w:space="0" w:color="auto"/>
                <w:right w:val="none" w:sz="0" w:space="0" w:color="auto"/>
              </w:divBdr>
              <w:divsChild>
                <w:div w:id="1736391869">
                  <w:marLeft w:val="0"/>
                  <w:marRight w:val="0"/>
                  <w:marTop w:val="0"/>
                  <w:marBottom w:val="0"/>
                  <w:divBdr>
                    <w:top w:val="none" w:sz="0" w:space="0" w:color="auto"/>
                    <w:left w:val="none" w:sz="0" w:space="0" w:color="auto"/>
                    <w:bottom w:val="none" w:sz="0" w:space="0" w:color="auto"/>
                    <w:right w:val="none" w:sz="0" w:space="0" w:color="auto"/>
                  </w:divBdr>
                  <w:divsChild>
                    <w:div w:id="955215599">
                      <w:marLeft w:val="0"/>
                      <w:marRight w:val="0"/>
                      <w:marTop w:val="0"/>
                      <w:marBottom w:val="0"/>
                      <w:divBdr>
                        <w:top w:val="none" w:sz="0" w:space="0" w:color="auto"/>
                        <w:left w:val="none" w:sz="0" w:space="0" w:color="auto"/>
                        <w:bottom w:val="none" w:sz="0" w:space="0" w:color="auto"/>
                        <w:right w:val="none" w:sz="0" w:space="0" w:color="auto"/>
                      </w:divBdr>
                      <w:divsChild>
                        <w:div w:id="11366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968780">
      <w:bodyDiv w:val="1"/>
      <w:marLeft w:val="0"/>
      <w:marRight w:val="0"/>
      <w:marTop w:val="0"/>
      <w:marBottom w:val="0"/>
      <w:divBdr>
        <w:top w:val="none" w:sz="0" w:space="0" w:color="auto"/>
        <w:left w:val="none" w:sz="0" w:space="0" w:color="auto"/>
        <w:bottom w:val="none" w:sz="0" w:space="0" w:color="auto"/>
        <w:right w:val="none" w:sz="0" w:space="0" w:color="auto"/>
      </w:divBdr>
    </w:div>
    <w:div w:id="1227062741">
      <w:bodyDiv w:val="1"/>
      <w:marLeft w:val="0"/>
      <w:marRight w:val="0"/>
      <w:marTop w:val="0"/>
      <w:marBottom w:val="0"/>
      <w:divBdr>
        <w:top w:val="none" w:sz="0" w:space="0" w:color="auto"/>
        <w:left w:val="none" w:sz="0" w:space="0" w:color="auto"/>
        <w:bottom w:val="none" w:sz="0" w:space="0" w:color="auto"/>
        <w:right w:val="none" w:sz="0" w:space="0" w:color="auto"/>
      </w:divBdr>
    </w:div>
    <w:div w:id="1237398545">
      <w:bodyDiv w:val="1"/>
      <w:marLeft w:val="0"/>
      <w:marRight w:val="0"/>
      <w:marTop w:val="0"/>
      <w:marBottom w:val="0"/>
      <w:divBdr>
        <w:top w:val="none" w:sz="0" w:space="0" w:color="auto"/>
        <w:left w:val="none" w:sz="0" w:space="0" w:color="auto"/>
        <w:bottom w:val="none" w:sz="0" w:space="0" w:color="auto"/>
        <w:right w:val="none" w:sz="0" w:space="0" w:color="auto"/>
      </w:divBdr>
    </w:div>
    <w:div w:id="1255631887">
      <w:bodyDiv w:val="1"/>
      <w:marLeft w:val="0"/>
      <w:marRight w:val="0"/>
      <w:marTop w:val="0"/>
      <w:marBottom w:val="0"/>
      <w:divBdr>
        <w:top w:val="none" w:sz="0" w:space="0" w:color="auto"/>
        <w:left w:val="none" w:sz="0" w:space="0" w:color="auto"/>
        <w:bottom w:val="none" w:sz="0" w:space="0" w:color="auto"/>
        <w:right w:val="none" w:sz="0" w:space="0" w:color="auto"/>
      </w:divBdr>
    </w:div>
    <w:div w:id="1257329096">
      <w:bodyDiv w:val="1"/>
      <w:marLeft w:val="0"/>
      <w:marRight w:val="0"/>
      <w:marTop w:val="0"/>
      <w:marBottom w:val="0"/>
      <w:divBdr>
        <w:top w:val="none" w:sz="0" w:space="0" w:color="auto"/>
        <w:left w:val="none" w:sz="0" w:space="0" w:color="auto"/>
        <w:bottom w:val="none" w:sz="0" w:space="0" w:color="auto"/>
        <w:right w:val="none" w:sz="0" w:space="0" w:color="auto"/>
      </w:divBdr>
    </w:div>
    <w:div w:id="1263297116">
      <w:bodyDiv w:val="1"/>
      <w:marLeft w:val="0"/>
      <w:marRight w:val="0"/>
      <w:marTop w:val="0"/>
      <w:marBottom w:val="0"/>
      <w:divBdr>
        <w:top w:val="none" w:sz="0" w:space="0" w:color="auto"/>
        <w:left w:val="none" w:sz="0" w:space="0" w:color="auto"/>
        <w:bottom w:val="none" w:sz="0" w:space="0" w:color="auto"/>
        <w:right w:val="none" w:sz="0" w:space="0" w:color="auto"/>
      </w:divBdr>
    </w:div>
    <w:div w:id="1263876208">
      <w:bodyDiv w:val="1"/>
      <w:marLeft w:val="0"/>
      <w:marRight w:val="0"/>
      <w:marTop w:val="0"/>
      <w:marBottom w:val="0"/>
      <w:divBdr>
        <w:top w:val="none" w:sz="0" w:space="0" w:color="auto"/>
        <w:left w:val="none" w:sz="0" w:space="0" w:color="auto"/>
        <w:bottom w:val="none" w:sz="0" w:space="0" w:color="auto"/>
        <w:right w:val="none" w:sz="0" w:space="0" w:color="auto"/>
      </w:divBdr>
    </w:div>
    <w:div w:id="1288514178">
      <w:bodyDiv w:val="1"/>
      <w:marLeft w:val="0"/>
      <w:marRight w:val="0"/>
      <w:marTop w:val="0"/>
      <w:marBottom w:val="0"/>
      <w:divBdr>
        <w:top w:val="none" w:sz="0" w:space="0" w:color="auto"/>
        <w:left w:val="none" w:sz="0" w:space="0" w:color="auto"/>
        <w:bottom w:val="none" w:sz="0" w:space="0" w:color="auto"/>
        <w:right w:val="none" w:sz="0" w:space="0" w:color="auto"/>
      </w:divBdr>
    </w:div>
    <w:div w:id="1299648526">
      <w:bodyDiv w:val="1"/>
      <w:marLeft w:val="0"/>
      <w:marRight w:val="0"/>
      <w:marTop w:val="0"/>
      <w:marBottom w:val="0"/>
      <w:divBdr>
        <w:top w:val="none" w:sz="0" w:space="0" w:color="auto"/>
        <w:left w:val="none" w:sz="0" w:space="0" w:color="auto"/>
        <w:bottom w:val="none" w:sz="0" w:space="0" w:color="auto"/>
        <w:right w:val="none" w:sz="0" w:space="0" w:color="auto"/>
      </w:divBdr>
    </w:div>
    <w:div w:id="1300067928">
      <w:bodyDiv w:val="1"/>
      <w:marLeft w:val="0"/>
      <w:marRight w:val="0"/>
      <w:marTop w:val="0"/>
      <w:marBottom w:val="0"/>
      <w:divBdr>
        <w:top w:val="none" w:sz="0" w:space="0" w:color="auto"/>
        <w:left w:val="none" w:sz="0" w:space="0" w:color="auto"/>
        <w:bottom w:val="none" w:sz="0" w:space="0" w:color="auto"/>
        <w:right w:val="none" w:sz="0" w:space="0" w:color="auto"/>
      </w:divBdr>
    </w:div>
    <w:div w:id="1320886654">
      <w:bodyDiv w:val="1"/>
      <w:marLeft w:val="0"/>
      <w:marRight w:val="0"/>
      <w:marTop w:val="0"/>
      <w:marBottom w:val="0"/>
      <w:divBdr>
        <w:top w:val="none" w:sz="0" w:space="0" w:color="auto"/>
        <w:left w:val="none" w:sz="0" w:space="0" w:color="auto"/>
        <w:bottom w:val="none" w:sz="0" w:space="0" w:color="auto"/>
        <w:right w:val="none" w:sz="0" w:space="0" w:color="auto"/>
      </w:divBdr>
    </w:div>
    <w:div w:id="1331904123">
      <w:bodyDiv w:val="1"/>
      <w:marLeft w:val="0"/>
      <w:marRight w:val="0"/>
      <w:marTop w:val="0"/>
      <w:marBottom w:val="0"/>
      <w:divBdr>
        <w:top w:val="none" w:sz="0" w:space="0" w:color="auto"/>
        <w:left w:val="none" w:sz="0" w:space="0" w:color="auto"/>
        <w:bottom w:val="none" w:sz="0" w:space="0" w:color="auto"/>
        <w:right w:val="none" w:sz="0" w:space="0" w:color="auto"/>
      </w:divBdr>
    </w:div>
    <w:div w:id="1357341517">
      <w:bodyDiv w:val="1"/>
      <w:marLeft w:val="0"/>
      <w:marRight w:val="0"/>
      <w:marTop w:val="0"/>
      <w:marBottom w:val="0"/>
      <w:divBdr>
        <w:top w:val="none" w:sz="0" w:space="0" w:color="auto"/>
        <w:left w:val="none" w:sz="0" w:space="0" w:color="auto"/>
        <w:bottom w:val="none" w:sz="0" w:space="0" w:color="auto"/>
        <w:right w:val="none" w:sz="0" w:space="0" w:color="auto"/>
      </w:divBdr>
    </w:div>
    <w:div w:id="1392339352">
      <w:bodyDiv w:val="1"/>
      <w:marLeft w:val="0"/>
      <w:marRight w:val="0"/>
      <w:marTop w:val="0"/>
      <w:marBottom w:val="0"/>
      <w:divBdr>
        <w:top w:val="none" w:sz="0" w:space="0" w:color="auto"/>
        <w:left w:val="none" w:sz="0" w:space="0" w:color="auto"/>
        <w:bottom w:val="none" w:sz="0" w:space="0" w:color="auto"/>
        <w:right w:val="none" w:sz="0" w:space="0" w:color="auto"/>
      </w:divBdr>
    </w:div>
    <w:div w:id="1398630825">
      <w:bodyDiv w:val="1"/>
      <w:marLeft w:val="0"/>
      <w:marRight w:val="0"/>
      <w:marTop w:val="0"/>
      <w:marBottom w:val="0"/>
      <w:divBdr>
        <w:top w:val="none" w:sz="0" w:space="0" w:color="auto"/>
        <w:left w:val="none" w:sz="0" w:space="0" w:color="auto"/>
        <w:bottom w:val="none" w:sz="0" w:space="0" w:color="auto"/>
        <w:right w:val="none" w:sz="0" w:space="0" w:color="auto"/>
      </w:divBdr>
    </w:div>
    <w:div w:id="1448810291">
      <w:bodyDiv w:val="1"/>
      <w:marLeft w:val="0"/>
      <w:marRight w:val="0"/>
      <w:marTop w:val="0"/>
      <w:marBottom w:val="0"/>
      <w:divBdr>
        <w:top w:val="none" w:sz="0" w:space="0" w:color="auto"/>
        <w:left w:val="none" w:sz="0" w:space="0" w:color="auto"/>
        <w:bottom w:val="none" w:sz="0" w:space="0" w:color="auto"/>
        <w:right w:val="none" w:sz="0" w:space="0" w:color="auto"/>
      </w:divBdr>
    </w:div>
    <w:div w:id="1449816062">
      <w:bodyDiv w:val="1"/>
      <w:marLeft w:val="0"/>
      <w:marRight w:val="0"/>
      <w:marTop w:val="0"/>
      <w:marBottom w:val="0"/>
      <w:divBdr>
        <w:top w:val="none" w:sz="0" w:space="0" w:color="auto"/>
        <w:left w:val="none" w:sz="0" w:space="0" w:color="auto"/>
        <w:bottom w:val="none" w:sz="0" w:space="0" w:color="auto"/>
        <w:right w:val="none" w:sz="0" w:space="0" w:color="auto"/>
      </w:divBdr>
    </w:div>
    <w:div w:id="1476413924">
      <w:bodyDiv w:val="1"/>
      <w:marLeft w:val="0"/>
      <w:marRight w:val="0"/>
      <w:marTop w:val="0"/>
      <w:marBottom w:val="0"/>
      <w:divBdr>
        <w:top w:val="none" w:sz="0" w:space="0" w:color="auto"/>
        <w:left w:val="none" w:sz="0" w:space="0" w:color="auto"/>
        <w:bottom w:val="none" w:sz="0" w:space="0" w:color="auto"/>
        <w:right w:val="none" w:sz="0" w:space="0" w:color="auto"/>
      </w:divBdr>
    </w:div>
    <w:div w:id="1479955124">
      <w:bodyDiv w:val="1"/>
      <w:marLeft w:val="0"/>
      <w:marRight w:val="0"/>
      <w:marTop w:val="0"/>
      <w:marBottom w:val="0"/>
      <w:divBdr>
        <w:top w:val="none" w:sz="0" w:space="0" w:color="auto"/>
        <w:left w:val="none" w:sz="0" w:space="0" w:color="auto"/>
        <w:bottom w:val="none" w:sz="0" w:space="0" w:color="auto"/>
        <w:right w:val="none" w:sz="0" w:space="0" w:color="auto"/>
      </w:divBdr>
      <w:divsChild>
        <w:div w:id="1227296364">
          <w:marLeft w:val="0"/>
          <w:marRight w:val="0"/>
          <w:marTop w:val="0"/>
          <w:marBottom w:val="0"/>
          <w:divBdr>
            <w:top w:val="none" w:sz="0" w:space="0" w:color="auto"/>
            <w:left w:val="none" w:sz="0" w:space="0" w:color="auto"/>
            <w:bottom w:val="none" w:sz="0" w:space="0" w:color="auto"/>
            <w:right w:val="none" w:sz="0" w:space="0" w:color="auto"/>
          </w:divBdr>
          <w:divsChild>
            <w:div w:id="1976638611">
              <w:marLeft w:val="-225"/>
              <w:marRight w:val="-225"/>
              <w:marTop w:val="0"/>
              <w:marBottom w:val="0"/>
              <w:divBdr>
                <w:top w:val="none" w:sz="0" w:space="0" w:color="auto"/>
                <w:left w:val="none" w:sz="0" w:space="0" w:color="auto"/>
                <w:bottom w:val="none" w:sz="0" w:space="0" w:color="auto"/>
                <w:right w:val="none" w:sz="0" w:space="0" w:color="auto"/>
              </w:divBdr>
              <w:divsChild>
                <w:div w:id="13840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04132">
      <w:bodyDiv w:val="1"/>
      <w:marLeft w:val="0"/>
      <w:marRight w:val="0"/>
      <w:marTop w:val="0"/>
      <w:marBottom w:val="0"/>
      <w:divBdr>
        <w:top w:val="none" w:sz="0" w:space="0" w:color="auto"/>
        <w:left w:val="none" w:sz="0" w:space="0" w:color="auto"/>
        <w:bottom w:val="none" w:sz="0" w:space="0" w:color="auto"/>
        <w:right w:val="none" w:sz="0" w:space="0" w:color="auto"/>
      </w:divBdr>
    </w:div>
    <w:div w:id="1499269554">
      <w:bodyDiv w:val="1"/>
      <w:marLeft w:val="0"/>
      <w:marRight w:val="0"/>
      <w:marTop w:val="0"/>
      <w:marBottom w:val="0"/>
      <w:divBdr>
        <w:top w:val="none" w:sz="0" w:space="0" w:color="auto"/>
        <w:left w:val="none" w:sz="0" w:space="0" w:color="auto"/>
        <w:bottom w:val="none" w:sz="0" w:space="0" w:color="auto"/>
        <w:right w:val="none" w:sz="0" w:space="0" w:color="auto"/>
      </w:divBdr>
    </w:div>
    <w:div w:id="1509561773">
      <w:bodyDiv w:val="1"/>
      <w:marLeft w:val="0"/>
      <w:marRight w:val="0"/>
      <w:marTop w:val="0"/>
      <w:marBottom w:val="0"/>
      <w:divBdr>
        <w:top w:val="none" w:sz="0" w:space="0" w:color="auto"/>
        <w:left w:val="none" w:sz="0" w:space="0" w:color="auto"/>
        <w:bottom w:val="none" w:sz="0" w:space="0" w:color="auto"/>
        <w:right w:val="none" w:sz="0" w:space="0" w:color="auto"/>
      </w:divBdr>
    </w:div>
    <w:div w:id="1528908135">
      <w:bodyDiv w:val="1"/>
      <w:marLeft w:val="0"/>
      <w:marRight w:val="0"/>
      <w:marTop w:val="0"/>
      <w:marBottom w:val="0"/>
      <w:divBdr>
        <w:top w:val="none" w:sz="0" w:space="0" w:color="auto"/>
        <w:left w:val="none" w:sz="0" w:space="0" w:color="auto"/>
        <w:bottom w:val="none" w:sz="0" w:space="0" w:color="auto"/>
        <w:right w:val="none" w:sz="0" w:space="0" w:color="auto"/>
      </w:divBdr>
    </w:div>
    <w:div w:id="1533179546">
      <w:bodyDiv w:val="1"/>
      <w:marLeft w:val="0"/>
      <w:marRight w:val="0"/>
      <w:marTop w:val="0"/>
      <w:marBottom w:val="0"/>
      <w:divBdr>
        <w:top w:val="none" w:sz="0" w:space="0" w:color="auto"/>
        <w:left w:val="none" w:sz="0" w:space="0" w:color="auto"/>
        <w:bottom w:val="none" w:sz="0" w:space="0" w:color="auto"/>
        <w:right w:val="none" w:sz="0" w:space="0" w:color="auto"/>
      </w:divBdr>
    </w:div>
    <w:div w:id="1576014242">
      <w:bodyDiv w:val="1"/>
      <w:marLeft w:val="0"/>
      <w:marRight w:val="0"/>
      <w:marTop w:val="0"/>
      <w:marBottom w:val="0"/>
      <w:divBdr>
        <w:top w:val="none" w:sz="0" w:space="0" w:color="auto"/>
        <w:left w:val="none" w:sz="0" w:space="0" w:color="auto"/>
        <w:bottom w:val="none" w:sz="0" w:space="0" w:color="auto"/>
        <w:right w:val="none" w:sz="0" w:space="0" w:color="auto"/>
      </w:divBdr>
    </w:div>
    <w:div w:id="1585452259">
      <w:bodyDiv w:val="1"/>
      <w:marLeft w:val="0"/>
      <w:marRight w:val="0"/>
      <w:marTop w:val="0"/>
      <w:marBottom w:val="0"/>
      <w:divBdr>
        <w:top w:val="none" w:sz="0" w:space="0" w:color="auto"/>
        <w:left w:val="none" w:sz="0" w:space="0" w:color="auto"/>
        <w:bottom w:val="none" w:sz="0" w:space="0" w:color="auto"/>
        <w:right w:val="none" w:sz="0" w:space="0" w:color="auto"/>
      </w:divBdr>
    </w:div>
    <w:div w:id="1588344734">
      <w:bodyDiv w:val="1"/>
      <w:marLeft w:val="0"/>
      <w:marRight w:val="0"/>
      <w:marTop w:val="0"/>
      <w:marBottom w:val="0"/>
      <w:divBdr>
        <w:top w:val="none" w:sz="0" w:space="0" w:color="auto"/>
        <w:left w:val="none" w:sz="0" w:space="0" w:color="auto"/>
        <w:bottom w:val="none" w:sz="0" w:space="0" w:color="auto"/>
        <w:right w:val="none" w:sz="0" w:space="0" w:color="auto"/>
      </w:divBdr>
    </w:div>
    <w:div w:id="1606420090">
      <w:bodyDiv w:val="1"/>
      <w:marLeft w:val="0"/>
      <w:marRight w:val="0"/>
      <w:marTop w:val="0"/>
      <w:marBottom w:val="0"/>
      <w:divBdr>
        <w:top w:val="none" w:sz="0" w:space="0" w:color="auto"/>
        <w:left w:val="none" w:sz="0" w:space="0" w:color="auto"/>
        <w:bottom w:val="none" w:sz="0" w:space="0" w:color="auto"/>
        <w:right w:val="none" w:sz="0" w:space="0" w:color="auto"/>
      </w:divBdr>
    </w:div>
    <w:div w:id="1619605373">
      <w:bodyDiv w:val="1"/>
      <w:marLeft w:val="0"/>
      <w:marRight w:val="0"/>
      <w:marTop w:val="0"/>
      <w:marBottom w:val="0"/>
      <w:divBdr>
        <w:top w:val="none" w:sz="0" w:space="0" w:color="auto"/>
        <w:left w:val="none" w:sz="0" w:space="0" w:color="auto"/>
        <w:bottom w:val="none" w:sz="0" w:space="0" w:color="auto"/>
        <w:right w:val="none" w:sz="0" w:space="0" w:color="auto"/>
      </w:divBdr>
    </w:div>
    <w:div w:id="1629697317">
      <w:bodyDiv w:val="1"/>
      <w:marLeft w:val="0"/>
      <w:marRight w:val="0"/>
      <w:marTop w:val="0"/>
      <w:marBottom w:val="0"/>
      <w:divBdr>
        <w:top w:val="none" w:sz="0" w:space="0" w:color="auto"/>
        <w:left w:val="none" w:sz="0" w:space="0" w:color="auto"/>
        <w:bottom w:val="none" w:sz="0" w:space="0" w:color="auto"/>
        <w:right w:val="none" w:sz="0" w:space="0" w:color="auto"/>
      </w:divBdr>
    </w:div>
    <w:div w:id="1659924527">
      <w:bodyDiv w:val="1"/>
      <w:marLeft w:val="0"/>
      <w:marRight w:val="0"/>
      <w:marTop w:val="0"/>
      <w:marBottom w:val="0"/>
      <w:divBdr>
        <w:top w:val="none" w:sz="0" w:space="0" w:color="auto"/>
        <w:left w:val="none" w:sz="0" w:space="0" w:color="auto"/>
        <w:bottom w:val="none" w:sz="0" w:space="0" w:color="auto"/>
        <w:right w:val="none" w:sz="0" w:space="0" w:color="auto"/>
      </w:divBdr>
    </w:div>
    <w:div w:id="1676493580">
      <w:bodyDiv w:val="1"/>
      <w:marLeft w:val="0"/>
      <w:marRight w:val="0"/>
      <w:marTop w:val="0"/>
      <w:marBottom w:val="0"/>
      <w:divBdr>
        <w:top w:val="none" w:sz="0" w:space="0" w:color="auto"/>
        <w:left w:val="none" w:sz="0" w:space="0" w:color="auto"/>
        <w:bottom w:val="none" w:sz="0" w:space="0" w:color="auto"/>
        <w:right w:val="none" w:sz="0" w:space="0" w:color="auto"/>
      </w:divBdr>
    </w:div>
    <w:div w:id="1693726683">
      <w:bodyDiv w:val="1"/>
      <w:marLeft w:val="0"/>
      <w:marRight w:val="0"/>
      <w:marTop w:val="0"/>
      <w:marBottom w:val="0"/>
      <w:divBdr>
        <w:top w:val="none" w:sz="0" w:space="0" w:color="auto"/>
        <w:left w:val="none" w:sz="0" w:space="0" w:color="auto"/>
        <w:bottom w:val="none" w:sz="0" w:space="0" w:color="auto"/>
        <w:right w:val="none" w:sz="0" w:space="0" w:color="auto"/>
      </w:divBdr>
    </w:div>
    <w:div w:id="1735198726">
      <w:bodyDiv w:val="1"/>
      <w:marLeft w:val="0"/>
      <w:marRight w:val="0"/>
      <w:marTop w:val="0"/>
      <w:marBottom w:val="0"/>
      <w:divBdr>
        <w:top w:val="none" w:sz="0" w:space="0" w:color="auto"/>
        <w:left w:val="none" w:sz="0" w:space="0" w:color="auto"/>
        <w:bottom w:val="none" w:sz="0" w:space="0" w:color="auto"/>
        <w:right w:val="none" w:sz="0" w:space="0" w:color="auto"/>
      </w:divBdr>
    </w:div>
    <w:div w:id="1740907214">
      <w:bodyDiv w:val="1"/>
      <w:marLeft w:val="0"/>
      <w:marRight w:val="0"/>
      <w:marTop w:val="0"/>
      <w:marBottom w:val="0"/>
      <w:divBdr>
        <w:top w:val="none" w:sz="0" w:space="0" w:color="auto"/>
        <w:left w:val="none" w:sz="0" w:space="0" w:color="auto"/>
        <w:bottom w:val="none" w:sz="0" w:space="0" w:color="auto"/>
        <w:right w:val="none" w:sz="0" w:space="0" w:color="auto"/>
      </w:divBdr>
    </w:div>
    <w:div w:id="1744334951">
      <w:bodyDiv w:val="1"/>
      <w:marLeft w:val="0"/>
      <w:marRight w:val="0"/>
      <w:marTop w:val="0"/>
      <w:marBottom w:val="0"/>
      <w:divBdr>
        <w:top w:val="none" w:sz="0" w:space="0" w:color="auto"/>
        <w:left w:val="none" w:sz="0" w:space="0" w:color="auto"/>
        <w:bottom w:val="none" w:sz="0" w:space="0" w:color="auto"/>
        <w:right w:val="none" w:sz="0" w:space="0" w:color="auto"/>
      </w:divBdr>
    </w:div>
    <w:div w:id="1758861080">
      <w:bodyDiv w:val="1"/>
      <w:marLeft w:val="0"/>
      <w:marRight w:val="0"/>
      <w:marTop w:val="0"/>
      <w:marBottom w:val="0"/>
      <w:divBdr>
        <w:top w:val="none" w:sz="0" w:space="0" w:color="auto"/>
        <w:left w:val="none" w:sz="0" w:space="0" w:color="auto"/>
        <w:bottom w:val="none" w:sz="0" w:space="0" w:color="auto"/>
        <w:right w:val="none" w:sz="0" w:space="0" w:color="auto"/>
      </w:divBdr>
    </w:div>
    <w:div w:id="1766917071">
      <w:bodyDiv w:val="1"/>
      <w:marLeft w:val="0"/>
      <w:marRight w:val="0"/>
      <w:marTop w:val="0"/>
      <w:marBottom w:val="0"/>
      <w:divBdr>
        <w:top w:val="none" w:sz="0" w:space="0" w:color="auto"/>
        <w:left w:val="none" w:sz="0" w:space="0" w:color="auto"/>
        <w:bottom w:val="none" w:sz="0" w:space="0" w:color="auto"/>
        <w:right w:val="none" w:sz="0" w:space="0" w:color="auto"/>
      </w:divBdr>
    </w:div>
    <w:div w:id="1771318528">
      <w:bodyDiv w:val="1"/>
      <w:marLeft w:val="0"/>
      <w:marRight w:val="0"/>
      <w:marTop w:val="0"/>
      <w:marBottom w:val="0"/>
      <w:divBdr>
        <w:top w:val="none" w:sz="0" w:space="0" w:color="auto"/>
        <w:left w:val="none" w:sz="0" w:space="0" w:color="auto"/>
        <w:bottom w:val="none" w:sz="0" w:space="0" w:color="auto"/>
        <w:right w:val="none" w:sz="0" w:space="0" w:color="auto"/>
      </w:divBdr>
    </w:div>
    <w:div w:id="1811358594">
      <w:bodyDiv w:val="1"/>
      <w:marLeft w:val="0"/>
      <w:marRight w:val="0"/>
      <w:marTop w:val="0"/>
      <w:marBottom w:val="0"/>
      <w:divBdr>
        <w:top w:val="none" w:sz="0" w:space="0" w:color="auto"/>
        <w:left w:val="none" w:sz="0" w:space="0" w:color="auto"/>
        <w:bottom w:val="none" w:sz="0" w:space="0" w:color="auto"/>
        <w:right w:val="none" w:sz="0" w:space="0" w:color="auto"/>
      </w:divBdr>
    </w:div>
    <w:div w:id="1824005050">
      <w:bodyDiv w:val="1"/>
      <w:marLeft w:val="0"/>
      <w:marRight w:val="0"/>
      <w:marTop w:val="0"/>
      <w:marBottom w:val="0"/>
      <w:divBdr>
        <w:top w:val="none" w:sz="0" w:space="0" w:color="auto"/>
        <w:left w:val="none" w:sz="0" w:space="0" w:color="auto"/>
        <w:bottom w:val="none" w:sz="0" w:space="0" w:color="auto"/>
        <w:right w:val="none" w:sz="0" w:space="0" w:color="auto"/>
      </w:divBdr>
    </w:div>
    <w:div w:id="1827240169">
      <w:bodyDiv w:val="1"/>
      <w:marLeft w:val="0"/>
      <w:marRight w:val="0"/>
      <w:marTop w:val="0"/>
      <w:marBottom w:val="0"/>
      <w:divBdr>
        <w:top w:val="none" w:sz="0" w:space="0" w:color="auto"/>
        <w:left w:val="none" w:sz="0" w:space="0" w:color="auto"/>
        <w:bottom w:val="none" w:sz="0" w:space="0" w:color="auto"/>
        <w:right w:val="none" w:sz="0" w:space="0" w:color="auto"/>
      </w:divBdr>
    </w:div>
    <w:div w:id="1851941684">
      <w:bodyDiv w:val="1"/>
      <w:marLeft w:val="0"/>
      <w:marRight w:val="0"/>
      <w:marTop w:val="0"/>
      <w:marBottom w:val="0"/>
      <w:divBdr>
        <w:top w:val="none" w:sz="0" w:space="0" w:color="auto"/>
        <w:left w:val="none" w:sz="0" w:space="0" w:color="auto"/>
        <w:bottom w:val="none" w:sz="0" w:space="0" w:color="auto"/>
        <w:right w:val="none" w:sz="0" w:space="0" w:color="auto"/>
      </w:divBdr>
    </w:div>
    <w:div w:id="1855534941">
      <w:bodyDiv w:val="1"/>
      <w:marLeft w:val="0"/>
      <w:marRight w:val="0"/>
      <w:marTop w:val="0"/>
      <w:marBottom w:val="0"/>
      <w:divBdr>
        <w:top w:val="none" w:sz="0" w:space="0" w:color="auto"/>
        <w:left w:val="none" w:sz="0" w:space="0" w:color="auto"/>
        <w:bottom w:val="none" w:sz="0" w:space="0" w:color="auto"/>
        <w:right w:val="none" w:sz="0" w:space="0" w:color="auto"/>
      </w:divBdr>
    </w:div>
    <w:div w:id="1855804349">
      <w:bodyDiv w:val="1"/>
      <w:marLeft w:val="0"/>
      <w:marRight w:val="0"/>
      <w:marTop w:val="0"/>
      <w:marBottom w:val="0"/>
      <w:divBdr>
        <w:top w:val="none" w:sz="0" w:space="0" w:color="auto"/>
        <w:left w:val="none" w:sz="0" w:space="0" w:color="auto"/>
        <w:bottom w:val="none" w:sz="0" w:space="0" w:color="auto"/>
        <w:right w:val="none" w:sz="0" w:space="0" w:color="auto"/>
      </w:divBdr>
    </w:div>
    <w:div w:id="1860318653">
      <w:bodyDiv w:val="1"/>
      <w:marLeft w:val="0"/>
      <w:marRight w:val="0"/>
      <w:marTop w:val="0"/>
      <w:marBottom w:val="0"/>
      <w:divBdr>
        <w:top w:val="none" w:sz="0" w:space="0" w:color="auto"/>
        <w:left w:val="none" w:sz="0" w:space="0" w:color="auto"/>
        <w:bottom w:val="none" w:sz="0" w:space="0" w:color="auto"/>
        <w:right w:val="none" w:sz="0" w:space="0" w:color="auto"/>
      </w:divBdr>
    </w:div>
    <w:div w:id="1863593765">
      <w:bodyDiv w:val="1"/>
      <w:marLeft w:val="0"/>
      <w:marRight w:val="0"/>
      <w:marTop w:val="0"/>
      <w:marBottom w:val="0"/>
      <w:divBdr>
        <w:top w:val="none" w:sz="0" w:space="0" w:color="auto"/>
        <w:left w:val="none" w:sz="0" w:space="0" w:color="auto"/>
        <w:bottom w:val="none" w:sz="0" w:space="0" w:color="auto"/>
        <w:right w:val="none" w:sz="0" w:space="0" w:color="auto"/>
      </w:divBdr>
    </w:div>
    <w:div w:id="1863594376">
      <w:bodyDiv w:val="1"/>
      <w:marLeft w:val="0"/>
      <w:marRight w:val="0"/>
      <w:marTop w:val="0"/>
      <w:marBottom w:val="0"/>
      <w:divBdr>
        <w:top w:val="none" w:sz="0" w:space="0" w:color="auto"/>
        <w:left w:val="none" w:sz="0" w:space="0" w:color="auto"/>
        <w:bottom w:val="none" w:sz="0" w:space="0" w:color="auto"/>
        <w:right w:val="none" w:sz="0" w:space="0" w:color="auto"/>
      </w:divBdr>
    </w:div>
    <w:div w:id="1899241341">
      <w:bodyDiv w:val="1"/>
      <w:marLeft w:val="0"/>
      <w:marRight w:val="0"/>
      <w:marTop w:val="0"/>
      <w:marBottom w:val="0"/>
      <w:divBdr>
        <w:top w:val="none" w:sz="0" w:space="0" w:color="auto"/>
        <w:left w:val="none" w:sz="0" w:space="0" w:color="auto"/>
        <w:bottom w:val="none" w:sz="0" w:space="0" w:color="auto"/>
        <w:right w:val="none" w:sz="0" w:space="0" w:color="auto"/>
      </w:divBdr>
    </w:div>
    <w:div w:id="1905337279">
      <w:bodyDiv w:val="1"/>
      <w:marLeft w:val="0"/>
      <w:marRight w:val="0"/>
      <w:marTop w:val="0"/>
      <w:marBottom w:val="0"/>
      <w:divBdr>
        <w:top w:val="none" w:sz="0" w:space="0" w:color="auto"/>
        <w:left w:val="none" w:sz="0" w:space="0" w:color="auto"/>
        <w:bottom w:val="none" w:sz="0" w:space="0" w:color="auto"/>
        <w:right w:val="none" w:sz="0" w:space="0" w:color="auto"/>
      </w:divBdr>
    </w:div>
    <w:div w:id="1950620678">
      <w:bodyDiv w:val="1"/>
      <w:marLeft w:val="0"/>
      <w:marRight w:val="0"/>
      <w:marTop w:val="0"/>
      <w:marBottom w:val="0"/>
      <w:divBdr>
        <w:top w:val="none" w:sz="0" w:space="0" w:color="auto"/>
        <w:left w:val="none" w:sz="0" w:space="0" w:color="auto"/>
        <w:bottom w:val="none" w:sz="0" w:space="0" w:color="auto"/>
        <w:right w:val="none" w:sz="0" w:space="0" w:color="auto"/>
      </w:divBdr>
    </w:div>
    <w:div w:id="1952205580">
      <w:bodyDiv w:val="1"/>
      <w:marLeft w:val="0"/>
      <w:marRight w:val="0"/>
      <w:marTop w:val="0"/>
      <w:marBottom w:val="0"/>
      <w:divBdr>
        <w:top w:val="none" w:sz="0" w:space="0" w:color="auto"/>
        <w:left w:val="none" w:sz="0" w:space="0" w:color="auto"/>
        <w:bottom w:val="none" w:sz="0" w:space="0" w:color="auto"/>
        <w:right w:val="none" w:sz="0" w:space="0" w:color="auto"/>
      </w:divBdr>
    </w:div>
    <w:div w:id="1965572714">
      <w:bodyDiv w:val="1"/>
      <w:marLeft w:val="0"/>
      <w:marRight w:val="0"/>
      <w:marTop w:val="0"/>
      <w:marBottom w:val="0"/>
      <w:divBdr>
        <w:top w:val="none" w:sz="0" w:space="0" w:color="auto"/>
        <w:left w:val="none" w:sz="0" w:space="0" w:color="auto"/>
        <w:bottom w:val="none" w:sz="0" w:space="0" w:color="auto"/>
        <w:right w:val="none" w:sz="0" w:space="0" w:color="auto"/>
      </w:divBdr>
    </w:div>
    <w:div w:id="1989237476">
      <w:bodyDiv w:val="1"/>
      <w:marLeft w:val="0"/>
      <w:marRight w:val="0"/>
      <w:marTop w:val="0"/>
      <w:marBottom w:val="0"/>
      <w:divBdr>
        <w:top w:val="none" w:sz="0" w:space="0" w:color="auto"/>
        <w:left w:val="none" w:sz="0" w:space="0" w:color="auto"/>
        <w:bottom w:val="none" w:sz="0" w:space="0" w:color="auto"/>
        <w:right w:val="none" w:sz="0" w:space="0" w:color="auto"/>
      </w:divBdr>
    </w:div>
    <w:div w:id="2016568957">
      <w:bodyDiv w:val="1"/>
      <w:marLeft w:val="0"/>
      <w:marRight w:val="0"/>
      <w:marTop w:val="0"/>
      <w:marBottom w:val="0"/>
      <w:divBdr>
        <w:top w:val="none" w:sz="0" w:space="0" w:color="auto"/>
        <w:left w:val="none" w:sz="0" w:space="0" w:color="auto"/>
        <w:bottom w:val="none" w:sz="0" w:space="0" w:color="auto"/>
        <w:right w:val="none" w:sz="0" w:space="0" w:color="auto"/>
      </w:divBdr>
    </w:div>
    <w:div w:id="2020884512">
      <w:bodyDiv w:val="1"/>
      <w:marLeft w:val="0"/>
      <w:marRight w:val="0"/>
      <w:marTop w:val="0"/>
      <w:marBottom w:val="0"/>
      <w:divBdr>
        <w:top w:val="none" w:sz="0" w:space="0" w:color="auto"/>
        <w:left w:val="none" w:sz="0" w:space="0" w:color="auto"/>
        <w:bottom w:val="none" w:sz="0" w:space="0" w:color="auto"/>
        <w:right w:val="none" w:sz="0" w:space="0" w:color="auto"/>
      </w:divBdr>
      <w:divsChild>
        <w:div w:id="905142742">
          <w:marLeft w:val="446"/>
          <w:marRight w:val="0"/>
          <w:marTop w:val="120"/>
          <w:marBottom w:val="0"/>
          <w:divBdr>
            <w:top w:val="none" w:sz="0" w:space="0" w:color="auto"/>
            <w:left w:val="none" w:sz="0" w:space="0" w:color="auto"/>
            <w:bottom w:val="none" w:sz="0" w:space="0" w:color="auto"/>
            <w:right w:val="none" w:sz="0" w:space="0" w:color="auto"/>
          </w:divBdr>
        </w:div>
      </w:divsChild>
    </w:div>
    <w:div w:id="2061703457">
      <w:bodyDiv w:val="1"/>
      <w:marLeft w:val="0"/>
      <w:marRight w:val="0"/>
      <w:marTop w:val="0"/>
      <w:marBottom w:val="0"/>
      <w:divBdr>
        <w:top w:val="none" w:sz="0" w:space="0" w:color="auto"/>
        <w:left w:val="none" w:sz="0" w:space="0" w:color="auto"/>
        <w:bottom w:val="none" w:sz="0" w:space="0" w:color="auto"/>
        <w:right w:val="none" w:sz="0" w:space="0" w:color="auto"/>
      </w:divBdr>
    </w:div>
    <w:div w:id="2069450141">
      <w:bodyDiv w:val="1"/>
      <w:marLeft w:val="0"/>
      <w:marRight w:val="0"/>
      <w:marTop w:val="0"/>
      <w:marBottom w:val="0"/>
      <w:divBdr>
        <w:top w:val="none" w:sz="0" w:space="0" w:color="auto"/>
        <w:left w:val="none" w:sz="0" w:space="0" w:color="auto"/>
        <w:bottom w:val="none" w:sz="0" w:space="0" w:color="auto"/>
        <w:right w:val="none" w:sz="0" w:space="0" w:color="auto"/>
      </w:divBdr>
    </w:div>
    <w:div w:id="2093962342">
      <w:bodyDiv w:val="1"/>
      <w:marLeft w:val="0"/>
      <w:marRight w:val="0"/>
      <w:marTop w:val="0"/>
      <w:marBottom w:val="0"/>
      <w:divBdr>
        <w:top w:val="none" w:sz="0" w:space="0" w:color="auto"/>
        <w:left w:val="none" w:sz="0" w:space="0" w:color="auto"/>
        <w:bottom w:val="none" w:sz="0" w:space="0" w:color="auto"/>
        <w:right w:val="none" w:sz="0" w:space="0" w:color="auto"/>
      </w:divBdr>
    </w:div>
    <w:div w:id="213005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chart" Target="charts/chart14.xml"/><Relationship Id="rId39" Type="http://schemas.openxmlformats.org/officeDocument/2006/relationships/chart" Target="charts/chart26.xml"/><Relationship Id="rId21" Type="http://schemas.openxmlformats.org/officeDocument/2006/relationships/chart" Target="charts/chart10.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chart" Target="charts/chart33.xml"/><Relationship Id="rId50" Type="http://schemas.openxmlformats.org/officeDocument/2006/relationships/chart" Target="charts/chart36.xml"/><Relationship Id="rId55" Type="http://schemas.openxmlformats.org/officeDocument/2006/relationships/hyperlink" Target="https://data.europa.eu/euodp/data/dataset/S2084_428_ENG"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rokovania.sk/Rokovanie.aspx/BodRokovaniaDetail?idMaterial=26460" TargetMode="External"/><Relationship Id="rId25" Type="http://schemas.openxmlformats.org/officeDocument/2006/relationships/chart" Target="charts/chart13.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chart" Target="charts/chart3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29" Type="http://schemas.openxmlformats.org/officeDocument/2006/relationships/chart" Target="charts/chart16.xml"/><Relationship Id="rId41" Type="http://schemas.openxmlformats.org/officeDocument/2006/relationships/chart" Target="charts/chart28.xml"/><Relationship Id="rId54" Type="http://schemas.openxmlformats.org/officeDocument/2006/relationships/hyperlink" Target="https://www.transparency.org/research/cpi/ov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2.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chart" Target="charts/chart31.xml"/><Relationship Id="rId53" Type="http://schemas.openxmlformats.org/officeDocument/2006/relationships/hyperlink" Target="http://www.doingbusiness.org/data/exploreeconomies/slovakia"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1.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chart" Target="charts/chart35.xm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8.xml"/><Relationship Id="rId31" Type="http://schemas.openxmlformats.org/officeDocument/2006/relationships/chart" Target="charts/chart18.xml"/><Relationship Id="rId44" Type="http://schemas.openxmlformats.org/officeDocument/2006/relationships/hyperlink" Target="http://www.finance.gov.sk/Default.aspx?CatID=11457" TargetMode="External"/><Relationship Id="rId52" Type="http://schemas.openxmlformats.org/officeDocument/2006/relationships/hyperlink" Target="http://ec.europa.eu/economy_finance/publications/european_economy/2015/pdf/ee3_e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hyperlink" Target="https://www.minedu.sk/uciace-sa-slovensko/" TargetMode="External"/><Relationship Id="rId27" Type="http://schemas.openxmlformats.org/officeDocument/2006/relationships/hyperlink" Target="http://fra.europa.eu/en/publication/2017/eumidis-ii-main-results" TargetMode="Externa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chart" Target="charts/chart34.xml"/><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chart" Target="charts/chart37.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ia.gov.sk/sk/dopytovo-orientovane-projekty/vyzvy/op-lz-dop-20173.2.102" TargetMode="External"/><Relationship Id="rId13" Type="http://schemas.openxmlformats.org/officeDocument/2006/relationships/hyperlink" Target="http://fra.europa.eu/en/publication/2017/eumidis-ii-main-results" TargetMode="External"/><Relationship Id="rId18" Type="http://schemas.openxmlformats.org/officeDocument/2006/relationships/hyperlink" Target="https://www.vicepremier.gov.sk/wp-content/uploads/2017/10/IP-Zdravotnictvo-FINAL.pdf" TargetMode="External"/><Relationship Id="rId26" Type="http://schemas.openxmlformats.org/officeDocument/2006/relationships/hyperlink" Target="https://www.vicepremier.gov.sk/wp-content/uploads/2017/10/Implementacny-plan-2018-Informatizacia.pdf" TargetMode="External"/><Relationship Id="rId3" Type="http://schemas.openxmlformats.org/officeDocument/2006/relationships/hyperlink" Target="https://www.vicepremier.gov.sk/index.php/hodnota-za-peniaze/implementacne-spravy/index.html" TargetMode="External"/><Relationship Id="rId21" Type="http://schemas.openxmlformats.org/officeDocument/2006/relationships/hyperlink" Target="https://www.coe.int/t/DGHL/cooperation/cepej/evaluation/2016/STAT/default.asp" TargetMode="External"/><Relationship Id="rId7" Type="http://schemas.openxmlformats.org/officeDocument/2006/relationships/hyperlink" Target="https://www.ia.gov.sk/sk/dopytovo-orientovane-projekty/vyzvy/op-lz-dop-20173.2.101" TargetMode="External"/><Relationship Id="rId12" Type="http://schemas.openxmlformats.org/officeDocument/2006/relationships/hyperlink" Target="https://www.minedu.sk/data/att/12686.pdf" TargetMode="External"/><Relationship Id="rId17" Type="http://schemas.openxmlformats.org/officeDocument/2006/relationships/hyperlink" Target="https://goo.gl/dSEHnC" TargetMode="External"/><Relationship Id="rId25" Type="http://schemas.openxmlformats.org/officeDocument/2006/relationships/hyperlink" Target="https://www.justice.gov.sk/Stranky/Ministerstvo/Sprava-k-stavu-justicie.aspx" TargetMode="External"/><Relationship Id="rId2" Type="http://schemas.openxmlformats.org/officeDocument/2006/relationships/hyperlink" Target="https://ec.europa.eu/info/sites/info/files/2017-european-semester-country-specific-recommendations-commission-recommendations_-_slovakia-sk.pdf" TargetMode="External"/><Relationship Id="rId16" Type="http://schemas.openxmlformats.org/officeDocument/2006/relationships/hyperlink" Target="http://www.finance.gov.sk/Default.aspx?CatID=11228" TargetMode="External"/><Relationship Id="rId20" Type="http://schemas.openxmlformats.org/officeDocument/2006/relationships/hyperlink" Target="https://www.vicepremier.gov.sk/wp-content/uploads/2017/10/IP-Zdravotnictvo-FINAL.pdf" TargetMode="External"/><Relationship Id="rId29" Type="http://schemas.openxmlformats.org/officeDocument/2006/relationships/hyperlink" Target="https://ec.europa.eu/info/publications/2018-european-semester-country-reports_en" TargetMode="External"/><Relationship Id="rId1" Type="http://schemas.openxmlformats.org/officeDocument/2006/relationships/hyperlink" Target="http://www.finance.gov.sk/Default.aspx?CatID=8789" TargetMode="External"/><Relationship Id="rId6" Type="http://schemas.openxmlformats.org/officeDocument/2006/relationships/hyperlink" Target="https://www.mpsvr.sk/files/slovensky/apdn_06122016_sk_final.pdf" TargetMode="External"/><Relationship Id="rId11" Type="http://schemas.openxmlformats.org/officeDocument/2006/relationships/hyperlink" Target="https://www.amnesty.org/download/Documents/POL1067002018ENGLISH.PDF" TargetMode="External"/><Relationship Id="rId24" Type="http://schemas.openxmlformats.org/officeDocument/2006/relationships/hyperlink" Target="http://www.finance.gov.sk/Default.aspx?CatID=11403" TargetMode="External"/><Relationship Id="rId5" Type="http://schemas.openxmlformats.org/officeDocument/2006/relationships/hyperlink" Target="https://goo.gl/dSEHnC" TargetMode="External"/><Relationship Id="rId15" Type="http://schemas.openxmlformats.org/officeDocument/2006/relationships/hyperlink" Target="http://www.finance.gov.sk/Default.aspx?CatID=11679" TargetMode="External"/><Relationship Id="rId23" Type="http://schemas.openxmlformats.org/officeDocument/2006/relationships/hyperlink" Target="https://www.imf.org/external/pubs/ft/sdn/2016/sdn1605.pdf" TargetMode="External"/><Relationship Id="rId28" Type="http://schemas.openxmlformats.org/officeDocument/2006/relationships/hyperlink" Target="http://ec.europa.eu/social/main.jsp?catId=325&amp;intPageId=3587&amp;langId=sk" TargetMode="External"/><Relationship Id="rId10" Type="http://schemas.openxmlformats.org/officeDocument/2006/relationships/hyperlink" Target="https://www.justice.gov.sk/Stranky/aktualitadetail.aspx?announcementID=2311" TargetMode="External"/><Relationship Id="rId19" Type="http://schemas.openxmlformats.org/officeDocument/2006/relationships/hyperlink" Target="http://www.finance.gov.sk/Default.aspx?CatID=8789" TargetMode="External"/><Relationship Id="rId4" Type="http://schemas.openxmlformats.org/officeDocument/2006/relationships/hyperlink" Target="http://www.finance.gov.sk/Default.aspx?CatID=11228" TargetMode="External"/><Relationship Id="rId9" Type="http://schemas.openxmlformats.org/officeDocument/2006/relationships/hyperlink" Target="http://transparency.sk/sk/ako-dobrou-hodnotou-za-peniaze-je-protischrankovy-zakon/" TargetMode="External"/><Relationship Id="rId14" Type="http://schemas.openxmlformats.org/officeDocument/2006/relationships/hyperlink" Target="https://slovak.statistics.sk/wps/portal/ext/products/informationmessages/inf_sprava_detail/69a2d269-516e-4239-9407-72ef7eb5e250/!ut/p/z1/rZRfc6IwFMU_Sx_6iLkkhMAjUA200QoIal520GKlLWiVwe2339B_065TdGc2L0zm_s7lzjl3giSaIVllTXGf1cWmyp7UfS7NXyELLNfVHQBXEAiub-KR7w0wTyiavgIed3yDCQBLcAqB4yeRHRICDkFSlVMxftPfxokDwSgKqCdcwsWHHn44Dpyn7xhQdrd_0zthGMYiTYGneAAB0TmMkgRgwF71g3iMHdvg3lV0q8oTD1uxMDGA_q7vAOTX8awbz1Pz08kVTUdk_Pn_DuC7njJQ5ViNlsYQw7H-CDjLvw5AdtubIonksqq39RrNN4t9ttb2j5dQVKvNrlRb1FS5tt_usublEpp9Xj-qr2ln-A6btkZ1M9cMTGzNNoBpDOcrli9ojim0bbfL4g7Nz6KnLd8RpGueACYfQNcqn1omeWpb5Hc7uZ9Yym0XOLeFDh77GziOc67yYj8GojM0bYr8gJKqtf8Jxf_oow_oGsliUfYOy7IHPWYxIIxZBjZskxLSPgjFw_OzdFTqm6rOf9do9j9jV_3xbugN79XYWb3W2o5odpZ0Wybvp7SIGfWj_mrYJ4ZcvBwu_gDhOPrq/dz/d5/L2dBISEvZ0FBIS9nQSEh/" TargetMode="External"/><Relationship Id="rId22" Type="http://schemas.openxmlformats.org/officeDocument/2006/relationships/hyperlink" Target="https://www.coe.int/t/DGHL/cooperation/cepej/evaluation/2016/STAT/default.asp" TargetMode="External"/><Relationship Id="rId27" Type="http://schemas.openxmlformats.org/officeDocument/2006/relationships/hyperlink" Target="https://www.itf-oecd.org/motorway-cost-estimation-review-slovakia"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file:///C:\Users\shidas\!D%20disk\Administration\NPR%202018\!Data_a_grafy\NPR_2018_Grafy_SH.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shidas\!D%20disk\Administration\NPR%202018\!Data_a_grafy\NPR_2018_Grafy_SH.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2.xml"/><Relationship Id="rId4" Type="http://schemas.openxmlformats.org/officeDocument/2006/relationships/oleObject" Target="file:///C:\Users\shidas\!D%20disk\Administration\NPR%202018\!Data_a_grafy\NPR_2018_Grafy_SH.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C:\Users\shidas\!D%20disk\Administration\NPR%202018\!Data_a_grafy\NPR_2018_Grafy_SH.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shidas\!D%20disk\Administration\NPR%202018\!Data_a_grafy\NPR_2018_Grafy_SH.xlsx" TargetMode="External"/></Relationships>
</file>

<file path=word/charts/_rels/chart16.xml.rels><?xml version="1.0" encoding="UTF-8" standalone="yes"?>
<Relationships xmlns="http://schemas.openxmlformats.org/package/2006/relationships"><Relationship Id="rId2" Type="http://schemas.openxmlformats.org/officeDocument/2006/relationships/oleObject" Target="file:///C:\Users\shidas\!D%20disk\Administration\NPR%202018\!Data_a_grafy\NPR_2018_Grafy_SH.xlsx" TargetMode="External"/><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oleObject" Target="file:///\\mf.mfsr.sk\DfsRoot\ADRESARE\IFP_NEW\4_STRUKTURAL\4_6_Projekty\Brain%20Gain-%20KIKA\Staz%20Sacherova%202017\excel\Vysledky%20Sacherova%20-%20suhrn_Rizi_pridani%20cudzinci%20bez%20RC.xlsx" TargetMode="External"/><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package" Target="../embeddings/H_rok_programu_Microsoft_Excel1.xlsx"/><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oleObject" Target="file:///\\mf.mfsr.sk\DfsRoot\ADRESARE\IFP_NEW\6_VSEOBECNE\6_4_Ludia\Kubala\06_Najomne_byvanie\EU_statistiky.xlsx" TargetMode="External"/><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NULL" TargetMode="External"/></Relationships>
</file>

<file path=word/charts/_rels/chart20.xml.rels><?xml version="1.0" encoding="UTF-8" standalone="yes"?>
<Relationships xmlns="http://schemas.openxmlformats.org/package/2006/relationships"><Relationship Id="rId2" Type="http://schemas.openxmlformats.org/officeDocument/2006/relationships/oleObject" Target="file:///\\mf.mfsr.sk\DfsRoot\ADRESARE\IFP_NEW\6_VSEOBECNE\6_4_Ludia\Kubala\06_Najomne_byvanie\Data_SFRB\Preh&#318;ad%20poskytnutej%20podpory%202003_2017.xlsx" TargetMode="External"/><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oleObject" Target="file:///\\mf.mfsr.sk\DfsRoot\ADRESARE\IFP_NEW\4_STRUKTURAL\4_6_Projekty\Zeny\Data\Zamestnanost%20zien_grafy.xlsx" TargetMode="External"/><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2" Type="http://schemas.openxmlformats.org/officeDocument/2006/relationships/oleObject" Target="file:///\\mf.mfsr.sk\DfsRoot\ADRESARE\IFP_NEW\4_STRUKTURAL\4_6_Projekty\Zeny\Data\Zamestnanost%20zien_grafy.xlsx" TargetMode="External"/><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NPR\2018_NPR\!Data_a_grafy\NPR_2018_Grafy.xlsx" TargetMode="External"/><Relationship Id="rId1" Type="http://schemas.openxmlformats.org/officeDocument/2006/relationships/themeOverride" Target="../theme/themeOverride22.xml"/></Relationships>
</file>

<file path=word/charts/_rels/chart24.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NPR\2018_NPR\!Data_a_grafy\NPR_2018_Grafy.xlsx" TargetMode="External"/><Relationship Id="rId1" Type="http://schemas.openxmlformats.org/officeDocument/2006/relationships/themeOverride" Target="../theme/themeOverride23.xml"/></Relationships>
</file>

<file path=word/charts/_rels/chart25.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NPR\2018_NPR\!Data_a_grafy\NPR_2018_Grafy.xlsx" TargetMode="External"/><Relationship Id="rId1" Type="http://schemas.openxmlformats.org/officeDocument/2006/relationships/themeOverride" Target="../theme/themeOverride24.xm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mf.mfsr.sk\DfsRoot\ADRESARE\IFP_NEW\5_MATERIALY\5_3_Strategicke_materialy\NPR\2018_NPR\!Data_a_grafy\NPR_2018_Grafy.xlsx" TargetMode="External"/></Relationships>
</file>

<file path=word/charts/_rels/chart27.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NPR\2018_NPR\!Data_a_grafy\NPR_2018_Grafy.xlsx" TargetMode="External"/><Relationship Id="rId1" Type="http://schemas.openxmlformats.org/officeDocument/2006/relationships/themeOverride" Target="../theme/themeOverride26.xml"/></Relationships>
</file>

<file path=word/charts/_rels/chart28.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NPR\2018_NPR\!Data_a_grafy\NPR_2018_Grafy.xlsx" TargetMode="External"/><Relationship Id="rId1" Type="http://schemas.openxmlformats.org/officeDocument/2006/relationships/themeOverride" Target="../theme/themeOverride27.xml"/></Relationships>
</file>

<file path=word/charts/_rels/chart29.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8.xml"/></Relationships>
</file>

<file path=word/charts/_rels/chart3.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NPR\2018_NPR\02_Podklady_NPR_2018\NPR_2018_makro.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9.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zlaffersova\Documents\04_NPR\_doprava%202018\doprava%20NPR%202018%20grafy.xlsx" TargetMode="External"/><Relationship Id="rId2" Type="http://schemas.microsoft.com/office/2011/relationships/chartColorStyle" Target="colors5.xml"/><Relationship Id="rId1" Type="http://schemas.microsoft.com/office/2011/relationships/chartStyle" Target="style5.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zlaffersova\Documents\04_NPR\_doprava%202018\doprava%20NPR%202018%20grafy.xlsx" TargetMode="External"/><Relationship Id="rId2" Type="http://schemas.microsoft.com/office/2011/relationships/chartColorStyle" Target="colors6.xml"/><Relationship Id="rId1" Type="http://schemas.microsoft.com/office/2011/relationships/chartStyle" Target="style6.xml"/></Relationships>
</file>

<file path=word/charts/_rels/chart33.xml.rels><?xml version="1.0" encoding="UTF-8" standalone="yes"?>
<Relationships xmlns="http://schemas.openxmlformats.org/package/2006/relationships"><Relationship Id="rId2" Type="http://schemas.openxmlformats.org/officeDocument/2006/relationships/oleObject" Target="file:///C:\Users\zlaffersova\Documents\04_NPR\_doprava%202018\doprava%20NPR%202018%20grafy.xlsx" TargetMode="External"/><Relationship Id="rId1" Type="http://schemas.openxmlformats.org/officeDocument/2006/relationships/themeOverride" Target="../theme/themeOverride30.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zlaffersova\Documents\04_NPR\_doprava%202018\doprava%20NPR%202018%20grafy.xlsx" TargetMode="External"/><Relationship Id="rId2" Type="http://schemas.microsoft.com/office/2011/relationships/chartColorStyle" Target="colors7.xml"/><Relationship Id="rId1" Type="http://schemas.microsoft.com/office/2011/relationships/chartStyle" Target="style7.xml"/></Relationships>
</file>

<file path=word/charts/_rels/chart35.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NPR\2018_NPR\!Data_a_grafy\NPR_2018_Grafy.xlsx" TargetMode="External"/><Relationship Id="rId1" Type="http://schemas.openxmlformats.org/officeDocument/2006/relationships/themeOverride" Target="../theme/themeOverride31.xml"/></Relationships>
</file>

<file path=word/charts/_rels/chart36.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NPR\2018_NPR\!Data_a_grafy\NPR_2018_Grafy.xlsx" TargetMode="External"/><Relationship Id="rId1" Type="http://schemas.openxmlformats.org/officeDocument/2006/relationships/themeOverride" Target="../theme/themeOverride32.xml"/></Relationships>
</file>

<file path=word/charts/_rels/chart37.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NPR\2018_NPR\!Data_a_grafy\NPR_2018_Grafy.xlsx" TargetMode="External"/><Relationship Id="rId1" Type="http://schemas.openxmlformats.org/officeDocument/2006/relationships/themeOverride" Target="../theme/themeOverride33.xml"/></Relationships>
</file>

<file path=word/charts/_rels/chart4.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NPR\2018_NPR\02_Podklady_NPR_2018\NPR_2018_makro.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shidas\AppData\Local\Microsoft\Windows\Temporary%20Internet%20Files\Content.Outlook\0T7P47TF\Zo&#353;it1.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jbukovina\Desktop\IFP\Agenda_JR\02_DPPO\!!!%20Progn&#243;za\Model%20od%20HV%20po%20da&#328;_201801_mes.prognozy.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zlaffersova\Documents\04_NPR\_skolstvo%202018\skolstvo%20NPR%202018.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zlaffersova\Documents\04_NPR\_skolstvo%202018\skolstvo%20NPR%202018.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zlaffersova\Documents\04_NPR\_skolstvo%202018\skolstvo%20NPR%202018.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209341887819573E-2"/>
          <c:y val="4.2759961127308101E-2"/>
          <c:w val="0.91336930105958991"/>
          <c:h val="0.51944006999125114"/>
        </c:manualLayout>
      </c:layout>
      <c:barChart>
        <c:barDir val="col"/>
        <c:grouping val="clustered"/>
        <c:varyColors val="0"/>
        <c:ser>
          <c:idx val="0"/>
          <c:order val="0"/>
          <c:spPr>
            <a:solidFill>
              <a:srgbClr val="2C9ADC"/>
            </a:solidFill>
          </c:spPr>
          <c:invertIfNegative val="0"/>
          <c:cat>
            <c:strRef>
              <c:f>'Tabuľky a grafy'!$A$90:$A$101</c:f>
              <c:strCache>
                <c:ptCount val="12"/>
                <c:pt idx="0">
                  <c:v>Základné školstvo </c:v>
                </c:pt>
                <c:pt idx="1">
                  <c:v>Trh práce</c:v>
                </c:pt>
                <c:pt idx="2">
                  <c:v>Zdravie</c:v>
                </c:pt>
                <c:pt idx="3">
                  <c:v>Kvalita výskumu a VŠ</c:v>
                </c:pt>
                <c:pt idx="4">
                  <c:v>Environmentálna udržateľnosť</c:v>
                </c:pt>
                <c:pt idx="5">
                  <c:v>Doprava</c:v>
                </c:pt>
                <c:pt idx="6">
                  <c:v>Príjem a bohatstvo</c:v>
                </c:pt>
                <c:pt idx="7">
                  <c:v>Bezpečnosť</c:v>
                </c:pt>
                <c:pt idx="8">
                  <c:v>Inovačná výkonnosť</c:v>
                </c:pt>
                <c:pt idx="9">
                  <c:v>Podnikateľské prostredie</c:v>
                </c:pt>
                <c:pt idx="10">
                  <c:v>Fiškálna udržateľnosť</c:v>
                </c:pt>
                <c:pt idx="11">
                  <c:v>Sociálna udržateľnosť</c:v>
                </c:pt>
              </c:strCache>
            </c:strRef>
          </c:cat>
          <c:val>
            <c:numRef>
              <c:f>'Tabuľky a grafy'!$B$90:$B$101</c:f>
              <c:numCache>
                <c:formatCode>0.00</c:formatCode>
                <c:ptCount val="12"/>
                <c:pt idx="0">
                  <c:v>-1.1178533993257116</c:v>
                </c:pt>
                <c:pt idx="1">
                  <c:v>-0.85717972546279464</c:v>
                </c:pt>
                <c:pt idx="2">
                  <c:v>-0.76</c:v>
                </c:pt>
                <c:pt idx="3">
                  <c:v>-0.74302525579964984</c:v>
                </c:pt>
                <c:pt idx="4">
                  <c:v>-0.62</c:v>
                </c:pt>
                <c:pt idx="5">
                  <c:v>-0.58904415408244826</c:v>
                </c:pt>
                <c:pt idx="6">
                  <c:v>-0.50300377914099514</c:v>
                </c:pt>
                <c:pt idx="7">
                  <c:v>-0.43636195405379341</c:v>
                </c:pt>
                <c:pt idx="8">
                  <c:v>-0.39753545523366157</c:v>
                </c:pt>
                <c:pt idx="9">
                  <c:v>-0.34129624846194606</c:v>
                </c:pt>
                <c:pt idx="10">
                  <c:v>-0.15696989897699035</c:v>
                </c:pt>
                <c:pt idx="11">
                  <c:v>0.87925951016732073</c:v>
                </c:pt>
              </c:numCache>
            </c:numRef>
          </c:val>
        </c:ser>
        <c:dLbls>
          <c:showLegendKey val="0"/>
          <c:showVal val="0"/>
          <c:showCatName val="0"/>
          <c:showSerName val="0"/>
          <c:showPercent val="0"/>
          <c:showBubbleSize val="0"/>
        </c:dLbls>
        <c:gapWidth val="150"/>
        <c:axId val="294862176"/>
        <c:axId val="294850224"/>
      </c:barChart>
      <c:catAx>
        <c:axId val="294862176"/>
        <c:scaling>
          <c:orientation val="minMax"/>
        </c:scaling>
        <c:delete val="0"/>
        <c:axPos val="b"/>
        <c:numFmt formatCode="General" sourceLinked="1"/>
        <c:majorTickMark val="in"/>
        <c:minorTickMark val="out"/>
        <c:tickLblPos val="low"/>
        <c:txPr>
          <a:bodyPr rot="-5400000" vert="horz"/>
          <a:lstStyle/>
          <a:p>
            <a:pPr>
              <a:defRPr/>
            </a:pPr>
            <a:endParaRPr lang="en-US"/>
          </a:p>
        </c:txPr>
        <c:crossAx val="294850224"/>
        <c:crosses val="autoZero"/>
        <c:auto val="1"/>
        <c:lblAlgn val="ctr"/>
        <c:lblOffset val="100"/>
        <c:noMultiLvlLbl val="0"/>
      </c:catAx>
      <c:valAx>
        <c:axId val="294850224"/>
        <c:scaling>
          <c:orientation val="minMax"/>
        </c:scaling>
        <c:delete val="0"/>
        <c:axPos val="l"/>
        <c:majorGridlines>
          <c:spPr>
            <a:ln>
              <a:solidFill>
                <a:schemeClr val="bg1">
                  <a:lumMod val="75000"/>
                </a:schemeClr>
              </a:solidFill>
              <a:prstDash val="sysDash"/>
            </a:ln>
          </c:spPr>
        </c:majorGridlines>
        <c:numFmt formatCode="0.0" sourceLinked="0"/>
        <c:majorTickMark val="out"/>
        <c:minorTickMark val="none"/>
        <c:tickLblPos val="nextTo"/>
        <c:crossAx val="294862176"/>
        <c:crosses val="autoZero"/>
        <c:crossBetween val="between"/>
      </c:valAx>
    </c:plotArea>
    <c:plotVisOnly val="1"/>
    <c:dispBlanksAs val="gap"/>
    <c:showDLblsOverMax val="0"/>
  </c:chart>
  <c:spPr>
    <a:ln>
      <a:noFill/>
    </a:ln>
  </c:spPr>
  <c:txPr>
    <a:bodyPr/>
    <a:lstStyle/>
    <a:p>
      <a:pPr>
        <a:defRPr sz="800">
          <a:solidFill>
            <a:sysClr val="windowText" lastClr="000000"/>
          </a:solidFill>
          <a:latin typeface="Arial Narrow" pitchFamily="34"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61189038346596"/>
          <c:y val="6.4545328963066223E-2"/>
          <c:w val="0.86669065452880845"/>
          <c:h val="0.65758291789661649"/>
        </c:manualLayout>
      </c:layout>
      <c:lineChart>
        <c:grouping val="standard"/>
        <c:varyColors val="0"/>
        <c:ser>
          <c:idx val="0"/>
          <c:order val="0"/>
          <c:tx>
            <c:strRef>
              <c:f>'42 vzdelávanie'!$A$54</c:f>
              <c:strCache>
                <c:ptCount val="1"/>
                <c:pt idx="0">
                  <c:v>Slovensko</c:v>
                </c:pt>
              </c:strCache>
            </c:strRef>
          </c:tx>
          <c:spPr>
            <a:ln w="19050" cap="rnd">
              <a:solidFill>
                <a:srgbClr val="2C9ADC"/>
              </a:solidFill>
              <a:round/>
            </a:ln>
            <a:effectLst/>
          </c:spPr>
          <c:marker>
            <c:symbol val="circle"/>
            <c:size val="5"/>
            <c:spPr>
              <a:solidFill>
                <a:srgbClr val="2C9ADC"/>
              </a:solidFill>
              <a:ln w="9525">
                <a:solidFill>
                  <a:srgbClr val="2C9ADC"/>
                </a:solidFill>
              </a:ln>
              <a:effectLst/>
            </c:spPr>
          </c:marker>
          <c:cat>
            <c:numRef>
              <c:f>'42 vzdelávanie'!$B$53:$E$53</c:f>
              <c:numCache>
                <c:formatCode>General</c:formatCode>
                <c:ptCount val="4"/>
                <c:pt idx="0">
                  <c:v>2006</c:v>
                </c:pt>
                <c:pt idx="1">
                  <c:v>2009</c:v>
                </c:pt>
                <c:pt idx="2">
                  <c:v>2012</c:v>
                </c:pt>
                <c:pt idx="3">
                  <c:v>2015</c:v>
                </c:pt>
              </c:numCache>
            </c:numRef>
          </c:cat>
          <c:val>
            <c:numRef>
              <c:f>'42 vzdelávanie'!$B$54:$E$54</c:f>
              <c:numCache>
                <c:formatCode>0</c:formatCode>
                <c:ptCount val="4"/>
                <c:pt idx="0">
                  <c:v>482</c:v>
                </c:pt>
                <c:pt idx="1">
                  <c:v>488</c:v>
                </c:pt>
                <c:pt idx="2">
                  <c:v>472.01080638581669</c:v>
                </c:pt>
                <c:pt idx="3">
                  <c:v>463</c:v>
                </c:pt>
              </c:numCache>
            </c:numRef>
          </c:val>
          <c:smooth val="0"/>
        </c:ser>
        <c:ser>
          <c:idx val="1"/>
          <c:order val="1"/>
          <c:tx>
            <c:strRef>
              <c:f>'42 vzdelávanie'!$A$55</c:f>
              <c:strCache>
                <c:ptCount val="1"/>
                <c:pt idx="0">
                  <c:v>V3</c:v>
                </c:pt>
              </c:strCache>
            </c:strRef>
          </c:tx>
          <c:spPr>
            <a:ln w="19050" cap="rnd">
              <a:solidFill>
                <a:srgbClr val="002060"/>
              </a:solidFill>
              <a:round/>
            </a:ln>
            <a:effectLst/>
          </c:spPr>
          <c:marker>
            <c:symbol val="circle"/>
            <c:size val="5"/>
            <c:spPr>
              <a:solidFill>
                <a:srgbClr val="002060"/>
              </a:solidFill>
              <a:ln w="9525">
                <a:solidFill>
                  <a:srgbClr val="002060"/>
                </a:solidFill>
              </a:ln>
              <a:effectLst/>
            </c:spPr>
          </c:marker>
          <c:cat>
            <c:numRef>
              <c:f>'42 vzdelávanie'!$B$53:$E$53</c:f>
              <c:numCache>
                <c:formatCode>General</c:formatCode>
                <c:ptCount val="4"/>
                <c:pt idx="0">
                  <c:v>2006</c:v>
                </c:pt>
                <c:pt idx="1">
                  <c:v>2009</c:v>
                </c:pt>
                <c:pt idx="2">
                  <c:v>2012</c:v>
                </c:pt>
                <c:pt idx="3">
                  <c:v>2015</c:v>
                </c:pt>
              </c:numCache>
            </c:numRef>
          </c:cat>
          <c:val>
            <c:numRef>
              <c:f>'42 vzdelávanie'!$B$55:$E$55</c:f>
              <c:numCache>
                <c:formatCode>0</c:formatCode>
                <c:ptCount val="4"/>
                <c:pt idx="0">
                  <c:v>498.26942788118077</c:v>
                </c:pt>
                <c:pt idx="1">
                  <c:v>495.66666666666669</c:v>
                </c:pt>
                <c:pt idx="2">
                  <c:v>502.41415528757881</c:v>
                </c:pt>
                <c:pt idx="3">
                  <c:v>489.66666666666669</c:v>
                </c:pt>
              </c:numCache>
            </c:numRef>
          </c:val>
          <c:smooth val="0"/>
        </c:ser>
        <c:ser>
          <c:idx val="2"/>
          <c:order val="2"/>
          <c:tx>
            <c:strRef>
              <c:f>'42 vzdelávanie'!$A$56</c:f>
              <c:strCache>
                <c:ptCount val="1"/>
                <c:pt idx="0">
                  <c:v>OECD priemer</c:v>
                </c:pt>
              </c:strCache>
            </c:strRef>
          </c:tx>
          <c:spPr>
            <a:ln w="19050" cap="rnd">
              <a:solidFill>
                <a:srgbClr val="AAD3F2"/>
              </a:solidFill>
              <a:round/>
            </a:ln>
            <a:effectLst/>
          </c:spPr>
          <c:marker>
            <c:symbol val="circle"/>
            <c:size val="5"/>
            <c:spPr>
              <a:solidFill>
                <a:srgbClr val="AAD3F2"/>
              </a:solidFill>
              <a:ln w="9525">
                <a:solidFill>
                  <a:srgbClr val="AAD3F2"/>
                </a:solidFill>
              </a:ln>
              <a:effectLst/>
            </c:spPr>
          </c:marker>
          <c:cat>
            <c:numRef>
              <c:f>'42 vzdelávanie'!$B$53:$E$53</c:f>
              <c:numCache>
                <c:formatCode>General</c:formatCode>
                <c:ptCount val="4"/>
                <c:pt idx="0">
                  <c:v>2006</c:v>
                </c:pt>
                <c:pt idx="1">
                  <c:v>2009</c:v>
                </c:pt>
                <c:pt idx="2">
                  <c:v>2012</c:v>
                </c:pt>
                <c:pt idx="3">
                  <c:v>2015</c:v>
                </c:pt>
              </c:numCache>
            </c:numRef>
          </c:cat>
          <c:val>
            <c:numRef>
              <c:f>'42 vzdelávanie'!$B$56:$E$56</c:f>
              <c:numCache>
                <c:formatCode>0</c:formatCode>
                <c:ptCount val="4"/>
                <c:pt idx="0">
                  <c:v>495.64868387022716</c:v>
                </c:pt>
                <c:pt idx="1">
                  <c:v>498.33333333333331</c:v>
                </c:pt>
                <c:pt idx="2">
                  <c:v>498.66666666666669</c:v>
                </c:pt>
                <c:pt idx="3">
                  <c:v>493.66666666666669</c:v>
                </c:pt>
              </c:numCache>
            </c:numRef>
          </c:val>
          <c:smooth val="0"/>
        </c:ser>
        <c:ser>
          <c:idx val="3"/>
          <c:order val="3"/>
          <c:tx>
            <c:strRef>
              <c:f>'42 vzdelávanie'!$A$57</c:f>
              <c:strCache>
                <c:ptCount val="1"/>
                <c:pt idx="0">
                  <c:v>Rumunsko</c:v>
                </c:pt>
              </c:strCache>
            </c:strRef>
          </c:tx>
          <c:spPr>
            <a:ln w="19050" cap="rnd">
              <a:solidFill>
                <a:sysClr val="window" lastClr="FFFFFF">
                  <a:lumMod val="65000"/>
                </a:sysClr>
              </a:solidFill>
              <a:round/>
            </a:ln>
            <a:effectLst/>
          </c:spPr>
          <c:marker>
            <c:symbol val="circle"/>
            <c:size val="5"/>
            <c:spPr>
              <a:solidFill>
                <a:sysClr val="window" lastClr="FFFFFF">
                  <a:lumMod val="65000"/>
                </a:sysClr>
              </a:solidFill>
              <a:ln w="9525">
                <a:solidFill>
                  <a:sysClr val="window" lastClr="FFFFFF">
                    <a:lumMod val="65000"/>
                  </a:sysClr>
                </a:solidFill>
              </a:ln>
              <a:effectLst/>
            </c:spPr>
          </c:marker>
          <c:cat>
            <c:numRef>
              <c:f>'42 vzdelávanie'!$B$53:$E$53</c:f>
              <c:numCache>
                <c:formatCode>General</c:formatCode>
                <c:ptCount val="4"/>
                <c:pt idx="0">
                  <c:v>2006</c:v>
                </c:pt>
                <c:pt idx="1">
                  <c:v>2009</c:v>
                </c:pt>
                <c:pt idx="2">
                  <c:v>2012</c:v>
                </c:pt>
                <c:pt idx="3">
                  <c:v>2015</c:v>
                </c:pt>
              </c:numCache>
            </c:numRef>
          </c:cat>
          <c:val>
            <c:numRef>
              <c:f>'42 vzdelávanie'!$B$57:$E$57</c:f>
              <c:numCache>
                <c:formatCode>0</c:formatCode>
                <c:ptCount val="4"/>
                <c:pt idx="0">
                  <c:v>409.66666666666669</c:v>
                </c:pt>
                <c:pt idx="1">
                  <c:v>426.33333333333331</c:v>
                </c:pt>
                <c:pt idx="2">
                  <c:v>440.47191244875438</c:v>
                </c:pt>
                <c:pt idx="3">
                  <c:v>437.66666666666669</c:v>
                </c:pt>
              </c:numCache>
            </c:numRef>
          </c:val>
          <c:smooth val="0"/>
        </c:ser>
        <c:ser>
          <c:idx val="4"/>
          <c:order val="4"/>
          <c:tx>
            <c:strRef>
              <c:f>'42 vzdelávanie'!$A$58</c:f>
              <c:strCache>
                <c:ptCount val="1"/>
                <c:pt idx="0">
                  <c:v>Bulharsko</c:v>
                </c:pt>
              </c:strCache>
            </c:strRef>
          </c:tx>
          <c:spPr>
            <a:ln w="19050"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cat>
            <c:numRef>
              <c:f>'42 vzdelávanie'!$B$53:$E$53</c:f>
              <c:numCache>
                <c:formatCode>General</c:formatCode>
                <c:ptCount val="4"/>
                <c:pt idx="0">
                  <c:v>2006</c:v>
                </c:pt>
                <c:pt idx="1">
                  <c:v>2009</c:v>
                </c:pt>
                <c:pt idx="2">
                  <c:v>2012</c:v>
                </c:pt>
                <c:pt idx="3">
                  <c:v>2015</c:v>
                </c:pt>
              </c:numCache>
            </c:numRef>
          </c:cat>
          <c:val>
            <c:numRef>
              <c:f>'42 vzdelávanie'!$B$58:$E$58</c:f>
              <c:numCache>
                <c:formatCode>0</c:formatCode>
                <c:ptCount val="4"/>
                <c:pt idx="0">
                  <c:v>416.33333333333331</c:v>
                </c:pt>
                <c:pt idx="1">
                  <c:v>431.93154130796034</c:v>
                </c:pt>
                <c:pt idx="2">
                  <c:v>440.34904823906385</c:v>
                </c:pt>
                <c:pt idx="3">
                  <c:v>439.66666666666669</c:v>
                </c:pt>
              </c:numCache>
            </c:numRef>
          </c:val>
          <c:smooth val="0"/>
        </c:ser>
        <c:dLbls>
          <c:showLegendKey val="0"/>
          <c:showVal val="0"/>
          <c:showCatName val="0"/>
          <c:showSerName val="0"/>
          <c:showPercent val="0"/>
          <c:showBubbleSize val="0"/>
        </c:dLbls>
        <c:marker val="1"/>
        <c:smooth val="0"/>
        <c:axId val="293000544"/>
        <c:axId val="296117944"/>
      </c:lineChart>
      <c:catAx>
        <c:axId val="293000544"/>
        <c:scaling>
          <c:orientation val="minMax"/>
        </c:scaling>
        <c:delete val="0"/>
        <c:axPos val="b"/>
        <c:numFmt formatCode="General" sourceLinked="1"/>
        <c:majorTickMark val="out"/>
        <c:minorTickMark val="none"/>
        <c:tickLblPos val="nextTo"/>
        <c:spPr>
          <a:noFill/>
          <a:ln w="9525" cap="flat" cmpd="sng" algn="ctr">
            <a:solidFill>
              <a:sysClr val="windowText" lastClr="000000">
                <a:lumMod val="50000"/>
                <a:lumOff val="50000"/>
              </a:sys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296117944"/>
        <c:crosses val="autoZero"/>
        <c:auto val="1"/>
        <c:lblAlgn val="ctr"/>
        <c:lblOffset val="100"/>
        <c:noMultiLvlLbl val="0"/>
      </c:catAx>
      <c:valAx>
        <c:axId val="296117944"/>
        <c:scaling>
          <c:orientation val="minMax"/>
          <c:min val="390"/>
        </c:scaling>
        <c:delete val="0"/>
        <c:axPos val="l"/>
        <c:majorGridlines>
          <c:spPr>
            <a:ln w="9525" cap="flat" cmpd="sng" algn="ctr">
              <a:solidFill>
                <a:sysClr val="window" lastClr="FFFFFF">
                  <a:lumMod val="75000"/>
                </a:sysClr>
              </a:solidFill>
              <a:prstDash val="sysDash"/>
              <a:round/>
            </a:ln>
            <a:effectLst/>
          </c:spPr>
        </c:majorGridlines>
        <c:numFmt formatCode="0" sourceLinked="1"/>
        <c:majorTickMark val="out"/>
        <c:minorTickMark val="none"/>
        <c:tickLblPos val="nextTo"/>
        <c:spPr>
          <a:noFill/>
          <a:ln>
            <a:solidFill>
              <a:sysClr val="windowText" lastClr="000000">
                <a:lumMod val="50000"/>
                <a:lumOff val="50000"/>
              </a:sys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293000544"/>
        <c:crosses val="autoZero"/>
        <c:crossBetween val="between"/>
      </c:valAx>
      <c:spPr>
        <a:noFill/>
        <a:ln>
          <a:noFill/>
        </a:ln>
        <a:effectLst/>
      </c:spPr>
    </c:plotArea>
    <c:legend>
      <c:legendPos val="b"/>
      <c:layout>
        <c:manualLayout>
          <c:xMode val="edge"/>
          <c:yMode val="edge"/>
          <c:x val="5.1254865038290631E-2"/>
          <c:y val="0.83178230409777998"/>
          <c:w val="0.90256730094572146"/>
          <c:h val="0.16821769590222005"/>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8.4437714516454654E-2"/>
          <c:w val="0.91819511922711794"/>
          <c:h val="0.69144515227053893"/>
        </c:manualLayout>
      </c:layout>
      <c:lineChart>
        <c:grouping val="standard"/>
        <c:varyColors val="0"/>
        <c:ser>
          <c:idx val="3"/>
          <c:order val="0"/>
          <c:tx>
            <c:strRef>
              <c:f>'43 trh práce'!$A$5</c:f>
              <c:strCache>
                <c:ptCount val="1"/>
                <c:pt idx="0">
                  <c:v>SK</c:v>
                </c:pt>
              </c:strCache>
            </c:strRef>
          </c:tx>
          <c:spPr>
            <a:ln w="22225">
              <a:solidFill>
                <a:srgbClr val="2C9ADC"/>
              </a:solidFill>
              <a:prstDash val="solid"/>
            </a:ln>
          </c:spPr>
          <c:marker>
            <c:symbol val="none"/>
          </c:marker>
          <c:cat>
            <c:strRef>
              <c:f>'43 trh práce'!$B$4:$AO$4</c:f>
              <c:strCache>
                <c:ptCount val="40"/>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pt idx="24">
                  <c:v>2014Q1</c:v>
                </c:pt>
                <c:pt idx="25">
                  <c:v>2014Q2</c:v>
                </c:pt>
                <c:pt idx="26">
                  <c:v>2014Q3</c:v>
                </c:pt>
                <c:pt idx="27">
                  <c:v>2014Q4</c:v>
                </c:pt>
                <c:pt idx="28">
                  <c:v>2015Q1</c:v>
                </c:pt>
                <c:pt idx="29">
                  <c:v>2015Q2</c:v>
                </c:pt>
                <c:pt idx="30">
                  <c:v>2015Q3</c:v>
                </c:pt>
                <c:pt idx="31">
                  <c:v>2015Q4</c:v>
                </c:pt>
                <c:pt idx="32">
                  <c:v>2016Q1</c:v>
                </c:pt>
                <c:pt idx="33">
                  <c:v>2016Q2</c:v>
                </c:pt>
                <c:pt idx="34">
                  <c:v>2016Q3</c:v>
                </c:pt>
                <c:pt idx="35">
                  <c:v>2016Q4</c:v>
                </c:pt>
                <c:pt idx="36">
                  <c:v>2017Q1</c:v>
                </c:pt>
                <c:pt idx="37">
                  <c:v>2017Q2</c:v>
                </c:pt>
                <c:pt idx="38">
                  <c:v>2017Q3</c:v>
                </c:pt>
                <c:pt idx="39">
                  <c:v>2017Q4</c:v>
                </c:pt>
              </c:strCache>
            </c:strRef>
          </c:cat>
          <c:val>
            <c:numRef>
              <c:f>'43 trh práce'!$B$5:$AO$5</c:f>
              <c:numCache>
                <c:formatCode>General</c:formatCode>
                <c:ptCount val="40"/>
                <c:pt idx="0">
                  <c:v>10.3</c:v>
                </c:pt>
                <c:pt idx="1">
                  <c:v>10.1</c:v>
                </c:pt>
                <c:pt idx="2">
                  <c:v>9.1</c:v>
                </c:pt>
                <c:pt idx="3">
                  <c:v>8.9</c:v>
                </c:pt>
                <c:pt idx="4">
                  <c:v>10.199999999999999</c:v>
                </c:pt>
                <c:pt idx="5">
                  <c:v>11.4</c:v>
                </c:pt>
                <c:pt idx="6">
                  <c:v>12.8</c:v>
                </c:pt>
                <c:pt idx="7">
                  <c:v>14.1</c:v>
                </c:pt>
                <c:pt idx="8">
                  <c:v>14.9</c:v>
                </c:pt>
                <c:pt idx="9">
                  <c:v>14.7</c:v>
                </c:pt>
                <c:pt idx="10">
                  <c:v>14.4</c:v>
                </c:pt>
                <c:pt idx="11">
                  <c:v>13.9</c:v>
                </c:pt>
                <c:pt idx="12">
                  <c:v>13.8</c:v>
                </c:pt>
                <c:pt idx="13">
                  <c:v>13.6</c:v>
                </c:pt>
                <c:pt idx="14">
                  <c:v>13.6</c:v>
                </c:pt>
                <c:pt idx="15">
                  <c:v>13.9</c:v>
                </c:pt>
                <c:pt idx="16">
                  <c:v>13.8</c:v>
                </c:pt>
                <c:pt idx="17">
                  <c:v>13.9</c:v>
                </c:pt>
                <c:pt idx="18">
                  <c:v>13.9</c:v>
                </c:pt>
                <c:pt idx="19">
                  <c:v>14.3</c:v>
                </c:pt>
                <c:pt idx="20">
                  <c:v>14.3</c:v>
                </c:pt>
                <c:pt idx="21">
                  <c:v>14.3</c:v>
                </c:pt>
                <c:pt idx="22">
                  <c:v>14.2</c:v>
                </c:pt>
                <c:pt idx="23">
                  <c:v>14.1</c:v>
                </c:pt>
                <c:pt idx="24">
                  <c:v>13.8</c:v>
                </c:pt>
                <c:pt idx="25">
                  <c:v>13.4</c:v>
                </c:pt>
                <c:pt idx="26">
                  <c:v>13</c:v>
                </c:pt>
                <c:pt idx="27">
                  <c:v>12.5</c:v>
                </c:pt>
                <c:pt idx="28">
                  <c:v>12.2</c:v>
                </c:pt>
                <c:pt idx="29">
                  <c:v>11.5</c:v>
                </c:pt>
                <c:pt idx="30">
                  <c:v>11.3</c:v>
                </c:pt>
                <c:pt idx="31">
                  <c:v>10.9</c:v>
                </c:pt>
                <c:pt idx="32">
                  <c:v>10.3</c:v>
                </c:pt>
                <c:pt idx="33">
                  <c:v>9.9</c:v>
                </c:pt>
                <c:pt idx="34">
                  <c:v>9.5</c:v>
                </c:pt>
                <c:pt idx="35">
                  <c:v>9</c:v>
                </c:pt>
                <c:pt idx="36">
                  <c:v>8.6</c:v>
                </c:pt>
                <c:pt idx="37">
                  <c:v>8.3000000000000007</c:v>
                </c:pt>
                <c:pt idx="38">
                  <c:v>8</c:v>
                </c:pt>
                <c:pt idx="39">
                  <c:v>7.5</c:v>
                </c:pt>
              </c:numCache>
            </c:numRef>
          </c:val>
          <c:smooth val="0"/>
          <c:extLst/>
        </c:ser>
        <c:ser>
          <c:idx val="5"/>
          <c:order val="1"/>
          <c:tx>
            <c:strRef>
              <c:f>'43 trh práce'!$A$6</c:f>
              <c:strCache>
                <c:ptCount val="1"/>
                <c:pt idx="0">
                  <c:v>CZ</c:v>
                </c:pt>
              </c:strCache>
            </c:strRef>
          </c:tx>
          <c:spPr>
            <a:ln w="22225">
              <a:solidFill>
                <a:srgbClr val="333F50"/>
              </a:solidFill>
              <a:prstDash val="dash"/>
            </a:ln>
          </c:spPr>
          <c:marker>
            <c:symbol val="none"/>
          </c:marker>
          <c:cat>
            <c:strRef>
              <c:f>'43 trh práce'!$B$4:$AO$4</c:f>
              <c:strCache>
                <c:ptCount val="40"/>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pt idx="24">
                  <c:v>2014Q1</c:v>
                </c:pt>
                <c:pt idx="25">
                  <c:v>2014Q2</c:v>
                </c:pt>
                <c:pt idx="26">
                  <c:v>2014Q3</c:v>
                </c:pt>
                <c:pt idx="27">
                  <c:v>2014Q4</c:v>
                </c:pt>
                <c:pt idx="28">
                  <c:v>2015Q1</c:v>
                </c:pt>
                <c:pt idx="29">
                  <c:v>2015Q2</c:v>
                </c:pt>
                <c:pt idx="30">
                  <c:v>2015Q3</c:v>
                </c:pt>
                <c:pt idx="31">
                  <c:v>2015Q4</c:v>
                </c:pt>
                <c:pt idx="32">
                  <c:v>2016Q1</c:v>
                </c:pt>
                <c:pt idx="33">
                  <c:v>2016Q2</c:v>
                </c:pt>
                <c:pt idx="34">
                  <c:v>2016Q3</c:v>
                </c:pt>
                <c:pt idx="35">
                  <c:v>2016Q4</c:v>
                </c:pt>
                <c:pt idx="36">
                  <c:v>2017Q1</c:v>
                </c:pt>
                <c:pt idx="37">
                  <c:v>2017Q2</c:v>
                </c:pt>
                <c:pt idx="38">
                  <c:v>2017Q3</c:v>
                </c:pt>
                <c:pt idx="39">
                  <c:v>2017Q4</c:v>
                </c:pt>
              </c:strCache>
            </c:strRef>
          </c:cat>
          <c:val>
            <c:numRef>
              <c:f>'43 trh práce'!$B$6:$AO$6</c:f>
              <c:numCache>
                <c:formatCode>General</c:formatCode>
                <c:ptCount val="40"/>
                <c:pt idx="0">
                  <c:v>4.5</c:v>
                </c:pt>
                <c:pt idx="1">
                  <c:v>4.3</c:v>
                </c:pt>
                <c:pt idx="2">
                  <c:v>4.3</c:v>
                </c:pt>
                <c:pt idx="3">
                  <c:v>4.5</c:v>
                </c:pt>
                <c:pt idx="4">
                  <c:v>5.6</c:v>
                </c:pt>
                <c:pt idx="5">
                  <c:v>6.5</c:v>
                </c:pt>
                <c:pt idx="6">
                  <c:v>7.2</c:v>
                </c:pt>
                <c:pt idx="7">
                  <c:v>7.4</c:v>
                </c:pt>
                <c:pt idx="8">
                  <c:v>7.8</c:v>
                </c:pt>
                <c:pt idx="9">
                  <c:v>7.3</c:v>
                </c:pt>
                <c:pt idx="10">
                  <c:v>7.1</c:v>
                </c:pt>
                <c:pt idx="11">
                  <c:v>7</c:v>
                </c:pt>
                <c:pt idx="12">
                  <c:v>6.9</c:v>
                </c:pt>
                <c:pt idx="13">
                  <c:v>6.8</c:v>
                </c:pt>
                <c:pt idx="14">
                  <c:v>6.5</c:v>
                </c:pt>
                <c:pt idx="15">
                  <c:v>6.5</c:v>
                </c:pt>
                <c:pt idx="16">
                  <c:v>6.8</c:v>
                </c:pt>
                <c:pt idx="17">
                  <c:v>6.9</c:v>
                </c:pt>
                <c:pt idx="18">
                  <c:v>7</c:v>
                </c:pt>
                <c:pt idx="19">
                  <c:v>7.2</c:v>
                </c:pt>
                <c:pt idx="20">
                  <c:v>7.2</c:v>
                </c:pt>
                <c:pt idx="21">
                  <c:v>7</c:v>
                </c:pt>
                <c:pt idx="22">
                  <c:v>6.9</c:v>
                </c:pt>
                <c:pt idx="23">
                  <c:v>6.8</c:v>
                </c:pt>
                <c:pt idx="24">
                  <c:v>6.6</c:v>
                </c:pt>
                <c:pt idx="25">
                  <c:v>6.2</c:v>
                </c:pt>
                <c:pt idx="26">
                  <c:v>5.9</c:v>
                </c:pt>
                <c:pt idx="27">
                  <c:v>5.8</c:v>
                </c:pt>
                <c:pt idx="28">
                  <c:v>5.8</c:v>
                </c:pt>
                <c:pt idx="29">
                  <c:v>5.0999999999999996</c:v>
                </c:pt>
                <c:pt idx="30">
                  <c:v>4.8</c:v>
                </c:pt>
                <c:pt idx="31">
                  <c:v>4.5</c:v>
                </c:pt>
                <c:pt idx="32">
                  <c:v>4.2</c:v>
                </c:pt>
                <c:pt idx="33">
                  <c:v>4</c:v>
                </c:pt>
                <c:pt idx="34">
                  <c:v>4</c:v>
                </c:pt>
                <c:pt idx="35">
                  <c:v>3.6</c:v>
                </c:pt>
                <c:pt idx="36">
                  <c:v>3.3</c:v>
                </c:pt>
                <c:pt idx="37">
                  <c:v>3</c:v>
                </c:pt>
                <c:pt idx="38">
                  <c:v>2.8</c:v>
                </c:pt>
                <c:pt idx="39">
                  <c:v>2.5</c:v>
                </c:pt>
              </c:numCache>
            </c:numRef>
          </c:val>
          <c:smooth val="0"/>
          <c:extLst/>
        </c:ser>
        <c:ser>
          <c:idx val="0"/>
          <c:order val="2"/>
          <c:tx>
            <c:strRef>
              <c:f>'43 trh práce'!$A$7</c:f>
              <c:strCache>
                <c:ptCount val="1"/>
                <c:pt idx="0">
                  <c:v>HU</c:v>
                </c:pt>
              </c:strCache>
            </c:strRef>
          </c:tx>
          <c:spPr>
            <a:ln w="19050">
              <a:solidFill>
                <a:srgbClr val="2C9ADC"/>
              </a:solidFill>
              <a:prstDash val="dash"/>
            </a:ln>
          </c:spPr>
          <c:marker>
            <c:symbol val="none"/>
          </c:marker>
          <c:cat>
            <c:strRef>
              <c:f>'43 trh práce'!$B$4:$AO$4</c:f>
              <c:strCache>
                <c:ptCount val="40"/>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pt idx="24">
                  <c:v>2014Q1</c:v>
                </c:pt>
                <c:pt idx="25">
                  <c:v>2014Q2</c:v>
                </c:pt>
                <c:pt idx="26">
                  <c:v>2014Q3</c:v>
                </c:pt>
                <c:pt idx="27">
                  <c:v>2014Q4</c:v>
                </c:pt>
                <c:pt idx="28">
                  <c:v>2015Q1</c:v>
                </c:pt>
                <c:pt idx="29">
                  <c:v>2015Q2</c:v>
                </c:pt>
                <c:pt idx="30">
                  <c:v>2015Q3</c:v>
                </c:pt>
                <c:pt idx="31">
                  <c:v>2015Q4</c:v>
                </c:pt>
                <c:pt idx="32">
                  <c:v>2016Q1</c:v>
                </c:pt>
                <c:pt idx="33">
                  <c:v>2016Q2</c:v>
                </c:pt>
                <c:pt idx="34">
                  <c:v>2016Q3</c:v>
                </c:pt>
                <c:pt idx="35">
                  <c:v>2016Q4</c:v>
                </c:pt>
                <c:pt idx="36">
                  <c:v>2017Q1</c:v>
                </c:pt>
                <c:pt idx="37">
                  <c:v>2017Q2</c:v>
                </c:pt>
                <c:pt idx="38">
                  <c:v>2017Q3</c:v>
                </c:pt>
                <c:pt idx="39">
                  <c:v>2017Q4</c:v>
                </c:pt>
              </c:strCache>
            </c:strRef>
          </c:cat>
          <c:val>
            <c:numRef>
              <c:f>'43 trh práce'!$B$7:$AO$7</c:f>
              <c:numCache>
                <c:formatCode>General</c:formatCode>
                <c:ptCount val="40"/>
                <c:pt idx="0">
                  <c:v>7.6</c:v>
                </c:pt>
                <c:pt idx="1">
                  <c:v>7.6</c:v>
                </c:pt>
                <c:pt idx="2">
                  <c:v>7.8</c:v>
                </c:pt>
                <c:pt idx="3">
                  <c:v>8.1999999999999993</c:v>
                </c:pt>
                <c:pt idx="4">
                  <c:v>9.3000000000000007</c:v>
                </c:pt>
                <c:pt idx="5">
                  <c:v>9.6999999999999993</c:v>
                </c:pt>
                <c:pt idx="6">
                  <c:v>10.4</c:v>
                </c:pt>
                <c:pt idx="7">
                  <c:v>10.7</c:v>
                </c:pt>
                <c:pt idx="8">
                  <c:v>11.2</c:v>
                </c:pt>
                <c:pt idx="9">
                  <c:v>11.3</c:v>
                </c:pt>
                <c:pt idx="10">
                  <c:v>11.1</c:v>
                </c:pt>
                <c:pt idx="11">
                  <c:v>11.1</c:v>
                </c:pt>
                <c:pt idx="12">
                  <c:v>11.2</c:v>
                </c:pt>
                <c:pt idx="13">
                  <c:v>11</c:v>
                </c:pt>
                <c:pt idx="14">
                  <c:v>11</c:v>
                </c:pt>
                <c:pt idx="15">
                  <c:v>11</c:v>
                </c:pt>
                <c:pt idx="16">
                  <c:v>11.4</c:v>
                </c:pt>
                <c:pt idx="17">
                  <c:v>11.1</c:v>
                </c:pt>
                <c:pt idx="18">
                  <c:v>10.7</c:v>
                </c:pt>
                <c:pt idx="19">
                  <c:v>10.9</c:v>
                </c:pt>
                <c:pt idx="20">
                  <c:v>10.9</c:v>
                </c:pt>
                <c:pt idx="21">
                  <c:v>10.3</c:v>
                </c:pt>
                <c:pt idx="22">
                  <c:v>10</c:v>
                </c:pt>
                <c:pt idx="23">
                  <c:v>9.1999999999999993</c:v>
                </c:pt>
                <c:pt idx="24">
                  <c:v>8</c:v>
                </c:pt>
                <c:pt idx="25">
                  <c:v>8.1</c:v>
                </c:pt>
                <c:pt idx="26">
                  <c:v>7.5</c:v>
                </c:pt>
                <c:pt idx="27">
                  <c:v>7.3</c:v>
                </c:pt>
                <c:pt idx="28">
                  <c:v>7.4</c:v>
                </c:pt>
                <c:pt idx="29">
                  <c:v>6.9</c:v>
                </c:pt>
                <c:pt idx="30">
                  <c:v>6.6</c:v>
                </c:pt>
                <c:pt idx="31">
                  <c:v>6.3</c:v>
                </c:pt>
                <c:pt idx="32">
                  <c:v>5.7</c:v>
                </c:pt>
                <c:pt idx="33">
                  <c:v>5.2</c:v>
                </c:pt>
                <c:pt idx="34">
                  <c:v>5</c:v>
                </c:pt>
                <c:pt idx="35">
                  <c:v>4.5</c:v>
                </c:pt>
                <c:pt idx="36">
                  <c:v>4.3</c:v>
                </c:pt>
                <c:pt idx="37">
                  <c:v>4.3</c:v>
                </c:pt>
                <c:pt idx="38">
                  <c:v>4.2</c:v>
                </c:pt>
              </c:numCache>
            </c:numRef>
          </c:val>
          <c:smooth val="0"/>
          <c:extLst/>
        </c:ser>
        <c:ser>
          <c:idx val="1"/>
          <c:order val="3"/>
          <c:tx>
            <c:strRef>
              <c:f>'43 trh práce'!$A$8</c:f>
              <c:strCache>
                <c:ptCount val="1"/>
                <c:pt idx="0">
                  <c:v>PL</c:v>
                </c:pt>
              </c:strCache>
            </c:strRef>
          </c:tx>
          <c:spPr>
            <a:ln w="22225">
              <a:solidFill>
                <a:srgbClr val="AAD3F2"/>
              </a:solidFill>
            </a:ln>
          </c:spPr>
          <c:marker>
            <c:symbol val="none"/>
          </c:marker>
          <c:cat>
            <c:strRef>
              <c:f>'43 trh práce'!$B$4:$AO$4</c:f>
              <c:strCache>
                <c:ptCount val="40"/>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pt idx="24">
                  <c:v>2014Q1</c:v>
                </c:pt>
                <c:pt idx="25">
                  <c:v>2014Q2</c:v>
                </c:pt>
                <c:pt idx="26">
                  <c:v>2014Q3</c:v>
                </c:pt>
                <c:pt idx="27">
                  <c:v>2014Q4</c:v>
                </c:pt>
                <c:pt idx="28">
                  <c:v>2015Q1</c:v>
                </c:pt>
                <c:pt idx="29">
                  <c:v>2015Q2</c:v>
                </c:pt>
                <c:pt idx="30">
                  <c:v>2015Q3</c:v>
                </c:pt>
                <c:pt idx="31">
                  <c:v>2015Q4</c:v>
                </c:pt>
                <c:pt idx="32">
                  <c:v>2016Q1</c:v>
                </c:pt>
                <c:pt idx="33">
                  <c:v>2016Q2</c:v>
                </c:pt>
                <c:pt idx="34">
                  <c:v>2016Q3</c:v>
                </c:pt>
                <c:pt idx="35">
                  <c:v>2016Q4</c:v>
                </c:pt>
                <c:pt idx="36">
                  <c:v>2017Q1</c:v>
                </c:pt>
                <c:pt idx="37">
                  <c:v>2017Q2</c:v>
                </c:pt>
                <c:pt idx="38">
                  <c:v>2017Q3</c:v>
                </c:pt>
                <c:pt idx="39">
                  <c:v>2017Q4</c:v>
                </c:pt>
              </c:strCache>
            </c:strRef>
          </c:cat>
          <c:val>
            <c:numRef>
              <c:f>'43 trh práce'!$B$8:$AO$8</c:f>
              <c:numCache>
                <c:formatCode>General</c:formatCode>
                <c:ptCount val="40"/>
                <c:pt idx="0">
                  <c:v>7.5</c:v>
                </c:pt>
                <c:pt idx="1">
                  <c:v>7.2</c:v>
                </c:pt>
                <c:pt idx="2">
                  <c:v>6.8</c:v>
                </c:pt>
                <c:pt idx="3">
                  <c:v>6.8</c:v>
                </c:pt>
                <c:pt idx="4">
                  <c:v>7.6</c:v>
                </c:pt>
                <c:pt idx="5">
                  <c:v>7.9</c:v>
                </c:pt>
                <c:pt idx="6">
                  <c:v>8.3000000000000007</c:v>
                </c:pt>
                <c:pt idx="7">
                  <c:v>8.6999999999999993</c:v>
                </c:pt>
                <c:pt idx="8">
                  <c:v>9.6999999999999993</c:v>
                </c:pt>
                <c:pt idx="9">
                  <c:v>9.6999999999999993</c:v>
                </c:pt>
                <c:pt idx="10">
                  <c:v>9.6</c:v>
                </c:pt>
                <c:pt idx="11">
                  <c:v>9.5</c:v>
                </c:pt>
                <c:pt idx="12">
                  <c:v>9.4</c:v>
                </c:pt>
                <c:pt idx="13">
                  <c:v>9.6</c:v>
                </c:pt>
                <c:pt idx="14">
                  <c:v>9.6999999999999993</c:v>
                </c:pt>
                <c:pt idx="15">
                  <c:v>9.9</c:v>
                </c:pt>
                <c:pt idx="16">
                  <c:v>9.9</c:v>
                </c:pt>
                <c:pt idx="17">
                  <c:v>10</c:v>
                </c:pt>
                <c:pt idx="18">
                  <c:v>10.3</c:v>
                </c:pt>
                <c:pt idx="19">
                  <c:v>10.4</c:v>
                </c:pt>
                <c:pt idx="20">
                  <c:v>10.5</c:v>
                </c:pt>
                <c:pt idx="21">
                  <c:v>10.5</c:v>
                </c:pt>
                <c:pt idx="22">
                  <c:v>10.3</c:v>
                </c:pt>
                <c:pt idx="23">
                  <c:v>10.1</c:v>
                </c:pt>
                <c:pt idx="24">
                  <c:v>9.8000000000000007</c:v>
                </c:pt>
                <c:pt idx="25">
                  <c:v>9.1999999999999993</c:v>
                </c:pt>
                <c:pt idx="26">
                  <c:v>8.6</c:v>
                </c:pt>
                <c:pt idx="27">
                  <c:v>8.3000000000000007</c:v>
                </c:pt>
                <c:pt idx="28">
                  <c:v>8</c:v>
                </c:pt>
                <c:pt idx="29">
                  <c:v>7.6</c:v>
                </c:pt>
                <c:pt idx="30">
                  <c:v>7.3</c:v>
                </c:pt>
                <c:pt idx="31">
                  <c:v>7</c:v>
                </c:pt>
                <c:pt idx="32">
                  <c:v>6.7</c:v>
                </c:pt>
                <c:pt idx="33">
                  <c:v>6.3</c:v>
                </c:pt>
                <c:pt idx="34">
                  <c:v>6</c:v>
                </c:pt>
                <c:pt idx="35">
                  <c:v>5.6</c:v>
                </c:pt>
                <c:pt idx="36">
                  <c:v>5.2</c:v>
                </c:pt>
                <c:pt idx="37">
                  <c:v>5.0999999999999996</c:v>
                </c:pt>
                <c:pt idx="38">
                  <c:v>4.8</c:v>
                </c:pt>
                <c:pt idx="39">
                  <c:v>4.5</c:v>
                </c:pt>
              </c:numCache>
            </c:numRef>
          </c:val>
          <c:smooth val="0"/>
          <c:extLst/>
        </c:ser>
        <c:ser>
          <c:idx val="2"/>
          <c:order val="4"/>
          <c:tx>
            <c:strRef>
              <c:f>'43 trh práce'!$A$9</c:f>
              <c:strCache>
                <c:ptCount val="1"/>
                <c:pt idx="0">
                  <c:v>EZ</c:v>
                </c:pt>
              </c:strCache>
            </c:strRef>
          </c:tx>
          <c:spPr>
            <a:ln w="22225">
              <a:solidFill>
                <a:sysClr val="window" lastClr="FFFFFF">
                  <a:lumMod val="50000"/>
                </a:sysClr>
              </a:solidFill>
            </a:ln>
          </c:spPr>
          <c:marker>
            <c:symbol val="none"/>
          </c:marker>
          <c:cat>
            <c:strRef>
              <c:f>'43 trh práce'!$B$4:$AO$4</c:f>
              <c:strCache>
                <c:ptCount val="40"/>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pt idx="24">
                  <c:v>2014Q1</c:v>
                </c:pt>
                <c:pt idx="25">
                  <c:v>2014Q2</c:v>
                </c:pt>
                <c:pt idx="26">
                  <c:v>2014Q3</c:v>
                </c:pt>
                <c:pt idx="27">
                  <c:v>2014Q4</c:v>
                </c:pt>
                <c:pt idx="28">
                  <c:v>2015Q1</c:v>
                </c:pt>
                <c:pt idx="29">
                  <c:v>2015Q2</c:v>
                </c:pt>
                <c:pt idx="30">
                  <c:v>2015Q3</c:v>
                </c:pt>
                <c:pt idx="31">
                  <c:v>2015Q4</c:v>
                </c:pt>
                <c:pt idx="32">
                  <c:v>2016Q1</c:v>
                </c:pt>
                <c:pt idx="33">
                  <c:v>2016Q2</c:v>
                </c:pt>
                <c:pt idx="34">
                  <c:v>2016Q3</c:v>
                </c:pt>
                <c:pt idx="35">
                  <c:v>2016Q4</c:v>
                </c:pt>
                <c:pt idx="36">
                  <c:v>2017Q1</c:v>
                </c:pt>
                <c:pt idx="37">
                  <c:v>2017Q2</c:v>
                </c:pt>
                <c:pt idx="38">
                  <c:v>2017Q3</c:v>
                </c:pt>
                <c:pt idx="39">
                  <c:v>2017Q4</c:v>
                </c:pt>
              </c:strCache>
            </c:strRef>
          </c:cat>
          <c:val>
            <c:numRef>
              <c:f>'43 trh práce'!$B$9:$AO$9</c:f>
              <c:numCache>
                <c:formatCode>General</c:formatCode>
                <c:ptCount val="40"/>
                <c:pt idx="0">
                  <c:v>7.3</c:v>
                </c:pt>
                <c:pt idx="1">
                  <c:v>7.4</c:v>
                </c:pt>
                <c:pt idx="2">
                  <c:v>7.6</c:v>
                </c:pt>
                <c:pt idx="3">
                  <c:v>8.1</c:v>
                </c:pt>
                <c:pt idx="4">
                  <c:v>9</c:v>
                </c:pt>
                <c:pt idx="5">
                  <c:v>9.6</c:v>
                </c:pt>
                <c:pt idx="6">
                  <c:v>9.9</c:v>
                </c:pt>
                <c:pt idx="7">
                  <c:v>10.1</c:v>
                </c:pt>
                <c:pt idx="8">
                  <c:v>10.199999999999999</c:v>
                </c:pt>
                <c:pt idx="9">
                  <c:v>10.3</c:v>
                </c:pt>
                <c:pt idx="10">
                  <c:v>10.199999999999999</c:v>
                </c:pt>
                <c:pt idx="11">
                  <c:v>10.199999999999999</c:v>
                </c:pt>
                <c:pt idx="12">
                  <c:v>10</c:v>
                </c:pt>
                <c:pt idx="13">
                  <c:v>10</c:v>
                </c:pt>
                <c:pt idx="14">
                  <c:v>10.3</c:v>
                </c:pt>
                <c:pt idx="15">
                  <c:v>10.6</c:v>
                </c:pt>
                <c:pt idx="16">
                  <c:v>10.9</c:v>
                </c:pt>
                <c:pt idx="17">
                  <c:v>11.3</c:v>
                </c:pt>
                <c:pt idx="18">
                  <c:v>11.5</c:v>
                </c:pt>
                <c:pt idx="19">
                  <c:v>11.8</c:v>
                </c:pt>
                <c:pt idx="20">
                  <c:v>12</c:v>
                </c:pt>
                <c:pt idx="21">
                  <c:v>12.1</c:v>
                </c:pt>
                <c:pt idx="22">
                  <c:v>12</c:v>
                </c:pt>
                <c:pt idx="23">
                  <c:v>11.9</c:v>
                </c:pt>
                <c:pt idx="24">
                  <c:v>11.9</c:v>
                </c:pt>
                <c:pt idx="25">
                  <c:v>11.6</c:v>
                </c:pt>
                <c:pt idx="26">
                  <c:v>11.5</c:v>
                </c:pt>
                <c:pt idx="27">
                  <c:v>11.5</c:v>
                </c:pt>
                <c:pt idx="28">
                  <c:v>11.2</c:v>
                </c:pt>
                <c:pt idx="29">
                  <c:v>11</c:v>
                </c:pt>
                <c:pt idx="30">
                  <c:v>10.7</c:v>
                </c:pt>
                <c:pt idx="31">
                  <c:v>10.5</c:v>
                </c:pt>
                <c:pt idx="32">
                  <c:v>10.3</c:v>
                </c:pt>
                <c:pt idx="33">
                  <c:v>10.199999999999999</c:v>
                </c:pt>
                <c:pt idx="34">
                  <c:v>9.9</c:v>
                </c:pt>
                <c:pt idx="35">
                  <c:v>9.6999999999999993</c:v>
                </c:pt>
                <c:pt idx="36">
                  <c:v>9.5</c:v>
                </c:pt>
                <c:pt idx="37">
                  <c:v>9.1999999999999993</c:v>
                </c:pt>
                <c:pt idx="38">
                  <c:v>9</c:v>
                </c:pt>
                <c:pt idx="39">
                  <c:v>8.8000000000000007</c:v>
                </c:pt>
              </c:numCache>
            </c:numRef>
          </c:val>
          <c:smooth val="0"/>
          <c:extLst/>
        </c:ser>
        <c:ser>
          <c:idx val="4"/>
          <c:order val="5"/>
          <c:tx>
            <c:strRef>
              <c:f>'43 trh práce'!$A$10</c:f>
              <c:strCache>
                <c:ptCount val="1"/>
                <c:pt idx="0">
                  <c:v>EÚ</c:v>
                </c:pt>
              </c:strCache>
            </c:strRef>
          </c:tx>
          <c:spPr>
            <a:ln w="22225">
              <a:solidFill>
                <a:sysClr val="windowText" lastClr="000000"/>
              </a:solidFill>
              <a:prstDash val="solid"/>
            </a:ln>
          </c:spPr>
          <c:marker>
            <c:symbol val="none"/>
          </c:marker>
          <c:cat>
            <c:strRef>
              <c:f>'43 trh práce'!$B$4:$AO$4</c:f>
              <c:strCache>
                <c:ptCount val="40"/>
                <c:pt idx="0">
                  <c:v>2008Q1</c:v>
                </c:pt>
                <c:pt idx="1">
                  <c:v>2008Q2</c:v>
                </c:pt>
                <c:pt idx="2">
                  <c:v>2008Q3</c:v>
                </c:pt>
                <c:pt idx="3">
                  <c:v>2008Q4</c:v>
                </c:pt>
                <c:pt idx="4">
                  <c:v>2009Q1</c:v>
                </c:pt>
                <c:pt idx="5">
                  <c:v>2009Q2</c:v>
                </c:pt>
                <c:pt idx="6">
                  <c:v>2009Q3</c:v>
                </c:pt>
                <c:pt idx="7">
                  <c:v>2009Q4</c:v>
                </c:pt>
                <c:pt idx="8">
                  <c:v>2010Q1</c:v>
                </c:pt>
                <c:pt idx="9">
                  <c:v>2010Q2</c:v>
                </c:pt>
                <c:pt idx="10">
                  <c:v>2010Q3</c:v>
                </c:pt>
                <c:pt idx="11">
                  <c:v>2010Q4</c:v>
                </c:pt>
                <c:pt idx="12">
                  <c:v>2011Q1</c:v>
                </c:pt>
                <c:pt idx="13">
                  <c:v>2011Q2</c:v>
                </c:pt>
                <c:pt idx="14">
                  <c:v>2011Q3</c:v>
                </c:pt>
                <c:pt idx="15">
                  <c:v>2011Q4</c:v>
                </c:pt>
                <c:pt idx="16">
                  <c:v>2012Q1</c:v>
                </c:pt>
                <c:pt idx="17">
                  <c:v>2012Q2</c:v>
                </c:pt>
                <c:pt idx="18">
                  <c:v>2012Q3</c:v>
                </c:pt>
                <c:pt idx="19">
                  <c:v>2012Q4</c:v>
                </c:pt>
                <c:pt idx="20">
                  <c:v>2013Q1</c:v>
                </c:pt>
                <c:pt idx="21">
                  <c:v>2013Q2</c:v>
                </c:pt>
                <c:pt idx="22">
                  <c:v>2013Q3</c:v>
                </c:pt>
                <c:pt idx="23">
                  <c:v>2013Q4</c:v>
                </c:pt>
                <c:pt idx="24">
                  <c:v>2014Q1</c:v>
                </c:pt>
                <c:pt idx="25">
                  <c:v>2014Q2</c:v>
                </c:pt>
                <c:pt idx="26">
                  <c:v>2014Q3</c:v>
                </c:pt>
                <c:pt idx="27">
                  <c:v>2014Q4</c:v>
                </c:pt>
                <c:pt idx="28">
                  <c:v>2015Q1</c:v>
                </c:pt>
                <c:pt idx="29">
                  <c:v>2015Q2</c:v>
                </c:pt>
                <c:pt idx="30">
                  <c:v>2015Q3</c:v>
                </c:pt>
                <c:pt idx="31">
                  <c:v>2015Q4</c:v>
                </c:pt>
                <c:pt idx="32">
                  <c:v>2016Q1</c:v>
                </c:pt>
                <c:pt idx="33">
                  <c:v>2016Q2</c:v>
                </c:pt>
                <c:pt idx="34">
                  <c:v>2016Q3</c:v>
                </c:pt>
                <c:pt idx="35">
                  <c:v>2016Q4</c:v>
                </c:pt>
                <c:pt idx="36">
                  <c:v>2017Q1</c:v>
                </c:pt>
                <c:pt idx="37">
                  <c:v>2017Q2</c:v>
                </c:pt>
                <c:pt idx="38">
                  <c:v>2017Q3</c:v>
                </c:pt>
                <c:pt idx="39">
                  <c:v>2017Q4</c:v>
                </c:pt>
              </c:strCache>
            </c:strRef>
          </c:cat>
          <c:val>
            <c:numRef>
              <c:f>'43 trh práce'!$B$10:$AO$10</c:f>
              <c:numCache>
                <c:formatCode>General</c:formatCode>
                <c:ptCount val="40"/>
                <c:pt idx="0">
                  <c:v>6.8</c:v>
                </c:pt>
                <c:pt idx="1">
                  <c:v>6.9</c:v>
                </c:pt>
                <c:pt idx="2">
                  <c:v>7</c:v>
                </c:pt>
                <c:pt idx="3">
                  <c:v>7.4</c:v>
                </c:pt>
                <c:pt idx="4">
                  <c:v>8.3000000000000007</c:v>
                </c:pt>
                <c:pt idx="5">
                  <c:v>8.9</c:v>
                </c:pt>
                <c:pt idx="6">
                  <c:v>9.1999999999999993</c:v>
                </c:pt>
                <c:pt idx="7">
                  <c:v>9.4</c:v>
                </c:pt>
                <c:pt idx="8">
                  <c:v>9.6999999999999993</c:v>
                </c:pt>
                <c:pt idx="9">
                  <c:v>9.6999999999999993</c:v>
                </c:pt>
                <c:pt idx="10">
                  <c:v>9.6</c:v>
                </c:pt>
                <c:pt idx="11">
                  <c:v>9.6</c:v>
                </c:pt>
                <c:pt idx="12">
                  <c:v>9.5</c:v>
                </c:pt>
                <c:pt idx="13">
                  <c:v>9.5</c:v>
                </c:pt>
                <c:pt idx="14">
                  <c:v>9.6999999999999993</c:v>
                </c:pt>
                <c:pt idx="15">
                  <c:v>10</c:v>
                </c:pt>
                <c:pt idx="16">
                  <c:v>10.199999999999999</c:v>
                </c:pt>
                <c:pt idx="17">
                  <c:v>10.4</c:v>
                </c:pt>
                <c:pt idx="18">
                  <c:v>10.6</c:v>
                </c:pt>
                <c:pt idx="19">
                  <c:v>10.8</c:v>
                </c:pt>
                <c:pt idx="20">
                  <c:v>11</c:v>
                </c:pt>
                <c:pt idx="21">
                  <c:v>11</c:v>
                </c:pt>
                <c:pt idx="22">
                  <c:v>10.9</c:v>
                </c:pt>
                <c:pt idx="23">
                  <c:v>10.7</c:v>
                </c:pt>
                <c:pt idx="24">
                  <c:v>10.6</c:v>
                </c:pt>
                <c:pt idx="25">
                  <c:v>10.3</c:v>
                </c:pt>
                <c:pt idx="26">
                  <c:v>10.1</c:v>
                </c:pt>
                <c:pt idx="27">
                  <c:v>10</c:v>
                </c:pt>
                <c:pt idx="28">
                  <c:v>9.8000000000000007</c:v>
                </c:pt>
                <c:pt idx="29">
                  <c:v>9.6</c:v>
                </c:pt>
                <c:pt idx="30">
                  <c:v>9.3000000000000007</c:v>
                </c:pt>
                <c:pt idx="31">
                  <c:v>9</c:v>
                </c:pt>
                <c:pt idx="32">
                  <c:v>8.8000000000000007</c:v>
                </c:pt>
                <c:pt idx="33">
                  <c:v>8.6999999999999993</c:v>
                </c:pt>
                <c:pt idx="34">
                  <c:v>8.5</c:v>
                </c:pt>
                <c:pt idx="35">
                  <c:v>8.1999999999999993</c:v>
                </c:pt>
                <c:pt idx="36">
                  <c:v>8</c:v>
                </c:pt>
                <c:pt idx="37">
                  <c:v>7.7</c:v>
                </c:pt>
                <c:pt idx="38">
                  <c:v>7.6</c:v>
                </c:pt>
                <c:pt idx="39">
                  <c:v>7.4</c:v>
                </c:pt>
              </c:numCache>
            </c:numRef>
          </c:val>
          <c:smooth val="0"/>
          <c:extLst/>
        </c:ser>
        <c:dLbls>
          <c:showLegendKey val="0"/>
          <c:showVal val="0"/>
          <c:showCatName val="0"/>
          <c:showSerName val="0"/>
          <c:showPercent val="0"/>
          <c:showBubbleSize val="0"/>
        </c:dLbls>
        <c:smooth val="0"/>
        <c:axId val="296118728"/>
        <c:axId val="296632192"/>
      </c:lineChart>
      <c:catAx>
        <c:axId val="296118728"/>
        <c:scaling>
          <c:orientation val="minMax"/>
        </c:scaling>
        <c:delete val="0"/>
        <c:axPos val="b"/>
        <c:numFmt formatCode="General" sourceLinked="0"/>
        <c:majorTickMark val="out"/>
        <c:minorTickMark val="none"/>
        <c:tickLblPos val="low"/>
        <c:txPr>
          <a:bodyPr rot="-5400000" vert="horz"/>
          <a:lstStyle/>
          <a:p>
            <a:pPr>
              <a:defRPr sz="800"/>
            </a:pPr>
            <a:endParaRPr lang="en-US"/>
          </a:p>
        </c:txPr>
        <c:crossAx val="296632192"/>
        <c:crosses val="autoZero"/>
        <c:auto val="1"/>
        <c:lblAlgn val="ctr"/>
        <c:lblOffset val="100"/>
        <c:noMultiLvlLbl val="0"/>
      </c:catAx>
      <c:valAx>
        <c:axId val="296632192"/>
        <c:scaling>
          <c:orientation val="minMax"/>
          <c:min val="2"/>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sz="800"/>
            </a:pPr>
            <a:endParaRPr lang="en-US"/>
          </a:p>
        </c:txPr>
        <c:crossAx val="296118728"/>
        <c:crosses val="autoZero"/>
        <c:crossBetween val="between"/>
      </c:valAx>
    </c:plotArea>
    <c:legend>
      <c:legendPos val="l"/>
      <c:layout>
        <c:manualLayout>
          <c:xMode val="edge"/>
          <c:yMode val="edge"/>
          <c:x val="7.2383961151808368E-2"/>
          <c:y val="6.1414588801399807E-3"/>
          <c:w val="0.91608254542263867"/>
          <c:h val="0.12197643263342083"/>
        </c:manualLayout>
      </c:layout>
      <c:overlay val="1"/>
      <c:spPr>
        <a:solidFill>
          <a:sysClr val="window" lastClr="FFFFFF"/>
        </a:solidFill>
      </c:spPr>
      <c:txPr>
        <a:bodyPr/>
        <a:lstStyle/>
        <a:p>
          <a:pPr>
            <a:defRPr sz="800"/>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Arial Narrow" pitchFamily="34" charset="0"/>
          <a:ea typeface="Calibri"/>
          <a:cs typeface="Calibri"/>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209341887819573E-2"/>
          <c:y val="4.2759961127308101E-2"/>
          <c:w val="0.82319540889081777"/>
          <c:h val="0.83952379158346835"/>
        </c:manualLayout>
      </c:layout>
      <c:barChart>
        <c:barDir val="col"/>
        <c:grouping val="clustered"/>
        <c:varyColors val="0"/>
        <c:ser>
          <c:idx val="0"/>
          <c:order val="0"/>
          <c:tx>
            <c:strRef>
              <c:f>'43 trh práce'!$B$77</c:f>
              <c:strCache>
                <c:ptCount val="1"/>
                <c:pt idx="0">
                  <c:v>3Q 2016 - ľavá os</c:v>
                </c:pt>
              </c:strCache>
            </c:strRef>
          </c:tx>
          <c:spPr>
            <a:solidFill>
              <a:srgbClr val="2C9ADC"/>
            </a:solidFill>
          </c:spPr>
          <c:invertIfNegative val="0"/>
          <c:cat>
            <c:strRef>
              <c:f>'43 trh práce'!$A$78:$A$82</c:f>
              <c:strCache>
                <c:ptCount val="5"/>
                <c:pt idx="0">
                  <c:v>SK</c:v>
                </c:pt>
                <c:pt idx="1">
                  <c:v>CZ</c:v>
                </c:pt>
                <c:pt idx="2">
                  <c:v>HU</c:v>
                </c:pt>
                <c:pt idx="3">
                  <c:v>PL</c:v>
                </c:pt>
                <c:pt idx="4">
                  <c:v>EÚ</c:v>
                </c:pt>
              </c:strCache>
            </c:strRef>
          </c:cat>
          <c:val>
            <c:numRef>
              <c:f>'43 trh práce'!$B$78:$B$82</c:f>
              <c:numCache>
                <c:formatCode>#\ ##0.0</c:formatCode>
                <c:ptCount val="5"/>
                <c:pt idx="0">
                  <c:v>5.6</c:v>
                </c:pt>
                <c:pt idx="1">
                  <c:v>1.6</c:v>
                </c:pt>
                <c:pt idx="2">
                  <c:v>2.2000000000000002</c:v>
                </c:pt>
                <c:pt idx="3">
                  <c:v>2</c:v>
                </c:pt>
                <c:pt idx="4">
                  <c:v>3.8</c:v>
                </c:pt>
              </c:numCache>
            </c:numRef>
          </c:val>
          <c:extLst/>
        </c:ser>
        <c:ser>
          <c:idx val="2"/>
          <c:order val="1"/>
          <c:tx>
            <c:strRef>
              <c:f>'43 trh práce'!$C$77</c:f>
              <c:strCache>
                <c:ptCount val="1"/>
                <c:pt idx="0">
                  <c:v>3Q 2017 - ľavá os</c:v>
                </c:pt>
              </c:strCache>
            </c:strRef>
          </c:tx>
          <c:spPr>
            <a:solidFill>
              <a:srgbClr val="AAD3F2"/>
            </a:solidFill>
          </c:spPr>
          <c:invertIfNegative val="0"/>
          <c:cat>
            <c:strRef>
              <c:f>'43 trh práce'!$A$78:$A$82</c:f>
              <c:strCache>
                <c:ptCount val="5"/>
                <c:pt idx="0">
                  <c:v>SK</c:v>
                </c:pt>
                <c:pt idx="1">
                  <c:v>CZ</c:v>
                </c:pt>
                <c:pt idx="2">
                  <c:v>HU</c:v>
                </c:pt>
                <c:pt idx="3">
                  <c:v>PL</c:v>
                </c:pt>
                <c:pt idx="4">
                  <c:v>EÚ</c:v>
                </c:pt>
              </c:strCache>
            </c:strRef>
          </c:cat>
          <c:val>
            <c:numRef>
              <c:f>'43 trh práce'!$C$78:$C$82</c:f>
              <c:numCache>
                <c:formatCode>#\ ##0.0</c:formatCode>
                <c:ptCount val="5"/>
                <c:pt idx="0">
                  <c:v>4.9000000000000004</c:v>
                </c:pt>
                <c:pt idx="1">
                  <c:v>0.9</c:v>
                </c:pt>
                <c:pt idx="2">
                  <c:v>1.5</c:v>
                </c:pt>
                <c:pt idx="3">
                  <c:v>1.5</c:v>
                </c:pt>
                <c:pt idx="4">
                  <c:v>3.3</c:v>
                </c:pt>
              </c:numCache>
            </c:numRef>
          </c:val>
          <c:extLst/>
        </c:ser>
        <c:dLbls>
          <c:showLegendKey val="0"/>
          <c:showVal val="0"/>
          <c:showCatName val="0"/>
          <c:showSerName val="0"/>
          <c:showPercent val="0"/>
          <c:showBubbleSize val="0"/>
        </c:dLbls>
        <c:gapWidth val="150"/>
        <c:axId val="296632976"/>
        <c:axId val="296633368"/>
      </c:barChart>
      <c:lineChart>
        <c:grouping val="standard"/>
        <c:varyColors val="0"/>
        <c:ser>
          <c:idx val="1"/>
          <c:order val="2"/>
          <c:tx>
            <c:strRef>
              <c:f>'43 trh práce'!$D$77</c:f>
              <c:strCache>
                <c:ptCount val="1"/>
                <c:pt idx="0">
                  <c:v>% podiel na celk. miere nezamestnanosti (3Q 2016)</c:v>
                </c:pt>
              </c:strCache>
            </c:strRef>
          </c:tx>
          <c:spPr>
            <a:ln w="28575">
              <a:noFill/>
            </a:ln>
          </c:spPr>
          <c:marker>
            <c:symbol val="diamond"/>
            <c:size val="7"/>
            <c:spPr>
              <a:solidFill>
                <a:srgbClr val="002060"/>
              </a:solidFill>
              <a:ln>
                <a:solidFill>
                  <a:srgbClr val="002060"/>
                </a:solidFill>
              </a:ln>
            </c:spPr>
          </c:marker>
          <c:cat>
            <c:strRef>
              <c:f>'43 trh práce'!$A$78:$A$82</c:f>
              <c:strCache>
                <c:ptCount val="5"/>
                <c:pt idx="0">
                  <c:v>SK</c:v>
                </c:pt>
                <c:pt idx="1">
                  <c:v>CZ</c:v>
                </c:pt>
                <c:pt idx="2">
                  <c:v>HU</c:v>
                </c:pt>
                <c:pt idx="3">
                  <c:v>PL</c:v>
                </c:pt>
                <c:pt idx="4">
                  <c:v>EÚ</c:v>
                </c:pt>
              </c:strCache>
            </c:strRef>
          </c:cat>
          <c:val>
            <c:numRef>
              <c:f>'43 trh práce'!$D$78:$D$82</c:f>
              <c:numCache>
                <c:formatCode>#\ ##0.0</c:formatCode>
                <c:ptCount val="5"/>
                <c:pt idx="0">
                  <c:v>59</c:v>
                </c:pt>
                <c:pt idx="1">
                  <c:v>39.299999999999997</c:v>
                </c:pt>
                <c:pt idx="2">
                  <c:v>45.6</c:v>
                </c:pt>
                <c:pt idx="3">
                  <c:v>33.700000000000003</c:v>
                </c:pt>
                <c:pt idx="4">
                  <c:v>46.2</c:v>
                </c:pt>
              </c:numCache>
            </c:numRef>
          </c:val>
          <c:smooth val="0"/>
          <c:extLst/>
        </c:ser>
        <c:ser>
          <c:idx val="3"/>
          <c:order val="3"/>
          <c:tx>
            <c:strRef>
              <c:f>'43 trh práce'!$E$77</c:f>
              <c:strCache>
                <c:ptCount val="1"/>
                <c:pt idx="0">
                  <c:v>% podiel na celk. miere nezamestnanosti (3Q 2017)</c:v>
                </c:pt>
              </c:strCache>
            </c:strRef>
          </c:tx>
          <c:spPr>
            <a:ln w="28575">
              <a:noFill/>
            </a:ln>
          </c:spPr>
          <c:marker>
            <c:symbol val="x"/>
            <c:size val="6"/>
          </c:marker>
          <c:cat>
            <c:strRef>
              <c:f>'43 trh práce'!$A$78:$A$82</c:f>
              <c:strCache>
                <c:ptCount val="5"/>
                <c:pt idx="0">
                  <c:v>SK</c:v>
                </c:pt>
                <c:pt idx="1">
                  <c:v>CZ</c:v>
                </c:pt>
                <c:pt idx="2">
                  <c:v>HU</c:v>
                </c:pt>
                <c:pt idx="3">
                  <c:v>PL</c:v>
                </c:pt>
                <c:pt idx="4">
                  <c:v>EÚ</c:v>
                </c:pt>
              </c:strCache>
            </c:strRef>
          </c:cat>
          <c:val>
            <c:numRef>
              <c:f>'43 trh práce'!$E$78:$E$82</c:f>
              <c:numCache>
                <c:formatCode>#\ ##0.0</c:formatCode>
                <c:ptCount val="5"/>
                <c:pt idx="0">
                  <c:v>61.7</c:v>
                </c:pt>
                <c:pt idx="1">
                  <c:v>32.9</c:v>
                </c:pt>
                <c:pt idx="2">
                  <c:v>37.9</c:v>
                </c:pt>
                <c:pt idx="3">
                  <c:v>32.6</c:v>
                </c:pt>
                <c:pt idx="4">
                  <c:v>44.7</c:v>
                </c:pt>
              </c:numCache>
            </c:numRef>
          </c:val>
          <c:smooth val="0"/>
          <c:extLst/>
        </c:ser>
        <c:dLbls>
          <c:showLegendKey val="0"/>
          <c:showVal val="0"/>
          <c:showCatName val="0"/>
          <c:showSerName val="0"/>
          <c:showPercent val="0"/>
          <c:showBubbleSize val="0"/>
        </c:dLbls>
        <c:marker val="1"/>
        <c:smooth val="0"/>
        <c:axId val="296633760"/>
        <c:axId val="296634152"/>
      </c:lineChart>
      <c:catAx>
        <c:axId val="296632976"/>
        <c:scaling>
          <c:orientation val="minMax"/>
        </c:scaling>
        <c:delete val="0"/>
        <c:axPos val="b"/>
        <c:numFmt formatCode="General" sourceLinked="1"/>
        <c:majorTickMark val="out"/>
        <c:minorTickMark val="none"/>
        <c:tickLblPos val="nextTo"/>
        <c:txPr>
          <a:bodyPr/>
          <a:lstStyle/>
          <a:p>
            <a:pPr>
              <a:defRPr sz="800"/>
            </a:pPr>
            <a:endParaRPr lang="en-US"/>
          </a:p>
        </c:txPr>
        <c:crossAx val="296633368"/>
        <c:crosses val="autoZero"/>
        <c:auto val="1"/>
        <c:lblAlgn val="ctr"/>
        <c:lblOffset val="100"/>
        <c:noMultiLvlLbl val="0"/>
      </c:catAx>
      <c:valAx>
        <c:axId val="296633368"/>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a:lstStyle/>
          <a:p>
            <a:pPr>
              <a:defRPr sz="800"/>
            </a:pPr>
            <a:endParaRPr lang="en-US"/>
          </a:p>
        </c:txPr>
        <c:crossAx val="296632976"/>
        <c:crosses val="autoZero"/>
        <c:crossBetween val="between"/>
      </c:valAx>
      <c:catAx>
        <c:axId val="296633760"/>
        <c:scaling>
          <c:orientation val="minMax"/>
        </c:scaling>
        <c:delete val="1"/>
        <c:axPos val="b"/>
        <c:numFmt formatCode="General" sourceLinked="1"/>
        <c:majorTickMark val="out"/>
        <c:minorTickMark val="none"/>
        <c:tickLblPos val="nextTo"/>
        <c:crossAx val="296634152"/>
        <c:crosses val="autoZero"/>
        <c:auto val="1"/>
        <c:lblAlgn val="ctr"/>
        <c:lblOffset val="100"/>
        <c:noMultiLvlLbl val="0"/>
      </c:catAx>
      <c:valAx>
        <c:axId val="296634152"/>
        <c:scaling>
          <c:orientation val="minMax"/>
        </c:scaling>
        <c:delete val="0"/>
        <c:axPos val="r"/>
        <c:numFmt formatCode="#,##0" sourceLinked="0"/>
        <c:majorTickMark val="out"/>
        <c:minorTickMark val="none"/>
        <c:tickLblPos val="nextTo"/>
        <c:txPr>
          <a:bodyPr/>
          <a:lstStyle/>
          <a:p>
            <a:pPr>
              <a:defRPr sz="800"/>
            </a:pPr>
            <a:endParaRPr lang="en-US"/>
          </a:p>
        </c:txPr>
        <c:crossAx val="296633760"/>
        <c:crosses val="max"/>
        <c:crossBetween val="between"/>
      </c:valAx>
    </c:plotArea>
    <c:legend>
      <c:legendPos val="r"/>
      <c:layout>
        <c:manualLayout>
          <c:xMode val="edge"/>
          <c:yMode val="edge"/>
          <c:x val="0.20648405046810095"/>
          <c:y val="2.2220025187434531E-2"/>
          <c:w val="0.70155232810465618"/>
          <c:h val="0.23235102338665067"/>
        </c:manualLayout>
      </c:layout>
      <c:overlay val="0"/>
      <c:spPr>
        <a:solidFill>
          <a:sysClr val="window" lastClr="FFFFFF"/>
        </a:solidFill>
      </c:spPr>
      <c:txPr>
        <a:bodyPr/>
        <a:lstStyle/>
        <a:p>
          <a:pPr>
            <a:defRPr sz="700"/>
          </a:pPr>
          <a:endParaRPr lang="en-US"/>
        </a:p>
      </c:txPr>
    </c:legend>
    <c:plotVisOnly val="1"/>
    <c:dispBlanksAs val="gap"/>
    <c:showDLblsOverMax val="0"/>
  </c:chart>
  <c:spPr>
    <a:ln>
      <a:noFill/>
    </a:ln>
  </c:spPr>
  <c:txPr>
    <a:bodyPr/>
    <a:lstStyle/>
    <a:p>
      <a:pPr>
        <a:defRPr>
          <a:latin typeface="Arial Narrow" pitchFamily="34" charset="0"/>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70381871280176"/>
          <c:y val="4.5128205128205132E-2"/>
          <c:w val="0.77134782447968642"/>
          <c:h val="0.80661935776546445"/>
        </c:manualLayout>
      </c:layout>
      <c:scatterChart>
        <c:scatterStyle val="lineMarker"/>
        <c:varyColors val="0"/>
        <c:ser>
          <c:idx val="0"/>
          <c:order val="0"/>
          <c:spPr>
            <a:ln w="25400" cap="rnd">
              <a:noFill/>
              <a:round/>
            </a:ln>
            <a:effectLst/>
          </c:spPr>
          <c:marker>
            <c:symbol val="circle"/>
            <c:size val="6"/>
            <c:spPr>
              <a:solidFill>
                <a:sysClr val="window" lastClr="FFFFFF">
                  <a:lumMod val="50000"/>
                </a:sysClr>
              </a:solidFill>
              <a:ln w="9525">
                <a:solidFill>
                  <a:sysClr val="window" lastClr="FFFFFF">
                    <a:lumMod val="50000"/>
                  </a:sysClr>
                </a:solidFill>
              </a:ln>
              <a:effectLst/>
            </c:spPr>
          </c:marker>
          <c:dPt>
            <c:idx val="2"/>
            <c:marker>
              <c:symbol val="circle"/>
              <c:size val="6"/>
              <c:spPr>
                <a:solidFill>
                  <a:sysClr val="windowText" lastClr="000000"/>
                </a:solidFill>
                <a:ln w="9525">
                  <a:solidFill>
                    <a:sysClr val="windowText" lastClr="000000"/>
                  </a:solidFill>
                </a:ln>
                <a:effectLst/>
              </c:spPr>
            </c:marker>
            <c:bubble3D val="0"/>
          </c:dPt>
          <c:dPt>
            <c:idx val="16"/>
            <c:marker>
              <c:symbol val="circle"/>
              <c:size val="6"/>
              <c:spPr>
                <a:solidFill>
                  <a:sysClr val="windowText" lastClr="000000"/>
                </a:solidFill>
                <a:ln w="9525">
                  <a:solidFill>
                    <a:sysClr val="windowText" lastClr="000000"/>
                  </a:solidFill>
                </a:ln>
                <a:effectLst/>
              </c:spPr>
            </c:marker>
            <c:bubble3D val="0"/>
          </c:dPt>
          <c:dPt>
            <c:idx val="20"/>
            <c:marker>
              <c:symbol val="circle"/>
              <c:size val="6"/>
              <c:spPr>
                <a:solidFill>
                  <a:sysClr val="windowText" lastClr="000000"/>
                </a:solidFill>
                <a:ln w="9525">
                  <a:solidFill>
                    <a:sysClr val="windowText" lastClr="000000"/>
                  </a:solidFill>
                </a:ln>
                <a:effectLst/>
              </c:spPr>
            </c:marker>
            <c:bubble3D val="0"/>
          </c:dPt>
          <c:dPt>
            <c:idx val="24"/>
            <c:marker>
              <c:symbol val="circle"/>
              <c:size val="6"/>
              <c:spPr>
                <a:solidFill>
                  <a:srgbClr val="2C9ADC"/>
                </a:solidFill>
                <a:ln w="9525">
                  <a:solidFill>
                    <a:srgbClr val="2C9ADC"/>
                  </a:solidFill>
                </a:ln>
                <a:effectLst/>
              </c:spPr>
            </c:marker>
            <c:bubble3D val="0"/>
          </c:dPt>
          <c:xVal>
            <c:numRef>
              <c:f>'43 trh práce'!$N$101:$N$128</c:f>
              <c:numCache>
                <c:formatCode>#\ ##0.0</c:formatCode>
                <c:ptCount val="28"/>
                <c:pt idx="0">
                  <c:v>42.9</c:v>
                </c:pt>
                <c:pt idx="1">
                  <c:v>38.200000000000003</c:v>
                </c:pt>
                <c:pt idx="2">
                  <c:v>30</c:v>
                </c:pt>
                <c:pt idx="3">
                  <c:v>63.8</c:v>
                </c:pt>
                <c:pt idx="4">
                  <c:v>52.4</c:v>
                </c:pt>
                <c:pt idx="5">
                  <c:v>48.3</c:v>
                </c:pt>
                <c:pt idx="6">
                  <c:v>42.5</c:v>
                </c:pt>
                <c:pt idx="7">
                  <c:v>53.9</c:v>
                </c:pt>
                <c:pt idx="8">
                  <c:v>67</c:v>
                </c:pt>
                <c:pt idx="9">
                  <c:v>47.5</c:v>
                </c:pt>
                <c:pt idx="10">
                  <c:v>33.4</c:v>
                </c:pt>
                <c:pt idx="11">
                  <c:v>51</c:v>
                </c:pt>
                <c:pt idx="12">
                  <c:v>50.9</c:v>
                </c:pt>
                <c:pt idx="13">
                  <c:v>44.9</c:v>
                </c:pt>
                <c:pt idx="14">
                  <c:v>25.9</c:v>
                </c:pt>
                <c:pt idx="15">
                  <c:v>46.7</c:v>
                </c:pt>
                <c:pt idx="16">
                  <c:v>42.2</c:v>
                </c:pt>
                <c:pt idx="17">
                  <c:v>59.1</c:v>
                </c:pt>
                <c:pt idx="18">
                  <c:v>64.2</c:v>
                </c:pt>
                <c:pt idx="19">
                  <c:v>54.4</c:v>
                </c:pt>
                <c:pt idx="20">
                  <c:v>27</c:v>
                </c:pt>
                <c:pt idx="21">
                  <c:v>65.3</c:v>
                </c:pt>
                <c:pt idx="22">
                  <c:v>44.9</c:v>
                </c:pt>
                <c:pt idx="23">
                  <c:v>38.1</c:v>
                </c:pt>
                <c:pt idx="24">
                  <c:v>29</c:v>
                </c:pt>
                <c:pt idx="25">
                  <c:v>46.8</c:v>
                </c:pt>
                <c:pt idx="26">
                  <c:v>57</c:v>
                </c:pt>
                <c:pt idx="27">
                  <c:v>63.8</c:v>
                </c:pt>
              </c:numCache>
            </c:numRef>
          </c:xVal>
          <c:yVal>
            <c:numRef>
              <c:f>'43 trh práce'!$O$101:$O$128</c:f>
              <c:numCache>
                <c:formatCode>#\ ##0.0</c:formatCode>
                <c:ptCount val="28"/>
                <c:pt idx="0">
                  <c:v>16.100000000000001</c:v>
                </c:pt>
                <c:pt idx="1">
                  <c:v>22.5</c:v>
                </c:pt>
                <c:pt idx="2">
                  <c:v>20.9</c:v>
                </c:pt>
                <c:pt idx="3">
                  <c:v>9.4</c:v>
                </c:pt>
                <c:pt idx="4">
                  <c:v>10.3</c:v>
                </c:pt>
                <c:pt idx="5">
                  <c:v>13.4</c:v>
                </c:pt>
                <c:pt idx="6">
                  <c:v>15.1</c:v>
                </c:pt>
                <c:pt idx="7">
                  <c:v>26.9</c:v>
                </c:pt>
                <c:pt idx="8">
                  <c:v>28.2</c:v>
                </c:pt>
                <c:pt idx="9">
                  <c:v>18.3</c:v>
                </c:pt>
                <c:pt idx="10">
                  <c:v>18.100000000000001</c:v>
                </c:pt>
                <c:pt idx="11">
                  <c:v>16</c:v>
                </c:pt>
                <c:pt idx="12">
                  <c:v>16.399999999999999</c:v>
                </c:pt>
                <c:pt idx="13">
                  <c:v>21.1</c:v>
                </c:pt>
                <c:pt idx="14">
                  <c:v>25.9</c:v>
                </c:pt>
                <c:pt idx="15">
                  <c:v>9.9</c:v>
                </c:pt>
                <c:pt idx="16">
                  <c:v>13.3</c:v>
                </c:pt>
                <c:pt idx="17">
                  <c:v>7.6</c:v>
                </c:pt>
                <c:pt idx="18">
                  <c:v>10</c:v>
                </c:pt>
                <c:pt idx="19">
                  <c:v>13</c:v>
                </c:pt>
                <c:pt idx="20">
                  <c:v>14.9</c:v>
                </c:pt>
                <c:pt idx="21">
                  <c:v>12.7</c:v>
                </c:pt>
                <c:pt idx="22">
                  <c:v>8.6</c:v>
                </c:pt>
                <c:pt idx="23">
                  <c:v>15.1</c:v>
                </c:pt>
                <c:pt idx="24">
                  <c:v>31.7</c:v>
                </c:pt>
                <c:pt idx="25">
                  <c:v>17.600000000000001</c:v>
                </c:pt>
                <c:pt idx="26">
                  <c:v>19.7</c:v>
                </c:pt>
                <c:pt idx="27">
                  <c:v>8.6</c:v>
                </c:pt>
              </c:numCache>
            </c:numRef>
          </c:yVal>
          <c:smooth val="0"/>
        </c:ser>
        <c:dLbls>
          <c:showLegendKey val="0"/>
          <c:showVal val="0"/>
          <c:showCatName val="0"/>
          <c:showSerName val="0"/>
          <c:showPercent val="0"/>
          <c:showBubbleSize val="0"/>
        </c:dLbls>
        <c:axId val="296635328"/>
        <c:axId val="296635720"/>
      </c:scatterChart>
      <c:valAx>
        <c:axId val="296635328"/>
        <c:scaling>
          <c:orientation val="minMax"/>
          <c:max val="70"/>
          <c:min val="2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1" i="0" u="none" strike="noStrike" kern="1200" baseline="0">
                    <a:solidFill>
                      <a:sysClr val="windowText" lastClr="000000"/>
                    </a:solidFill>
                    <a:latin typeface="Arial Narrow" panose="020B0606020202030204" pitchFamily="34" charset="0"/>
                    <a:ea typeface="+mn-ea"/>
                    <a:cs typeface="+mn-cs"/>
                  </a:defRPr>
                </a:pPr>
                <a:r>
                  <a:rPr lang="sk-SK" sz="800" b="1">
                    <a:solidFill>
                      <a:sysClr val="windowText" lastClr="000000"/>
                    </a:solidFill>
                  </a:rPr>
                  <a:t>Miera</a:t>
                </a:r>
                <a:r>
                  <a:rPr lang="sk-SK" sz="800" b="1" baseline="0">
                    <a:solidFill>
                      <a:sysClr val="windowText" lastClr="000000"/>
                    </a:solidFill>
                  </a:rPr>
                  <a:t> aktivity (15-64 r., ISCED 0-2)</a:t>
                </a:r>
                <a:endParaRPr lang="en-US" sz="800"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0" sourceLinked="0"/>
        <c:majorTickMark val="none"/>
        <c:minorTickMark val="none"/>
        <c:tickLblPos val="nextTo"/>
        <c:spPr>
          <a:noFill/>
          <a:ln w="9525" cap="flat" cmpd="sng" algn="ctr">
            <a:solidFill>
              <a:srgbClr val="868686"/>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296635720"/>
        <c:crosses val="autoZero"/>
        <c:crossBetween val="midCat"/>
        <c:majorUnit val="10"/>
      </c:valAx>
      <c:valAx>
        <c:axId val="296635720"/>
        <c:scaling>
          <c:orientation val="minMax"/>
          <c:max val="40"/>
        </c:scaling>
        <c:delete val="0"/>
        <c:axPos val="l"/>
        <c:majorGridlines>
          <c:spPr>
            <a:ln w="9525" cap="flat" cmpd="sng" algn="ctr">
              <a:solidFill>
                <a:schemeClr val="tx1">
                  <a:lumMod val="15000"/>
                  <a:lumOff val="85000"/>
                </a:schemeClr>
              </a:solidFill>
              <a:prstDash val="sysDot"/>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r>
                  <a:rPr lang="sk-SK" sz="800" b="0">
                    <a:solidFill>
                      <a:sysClr val="windowText" lastClr="000000"/>
                    </a:solidFill>
                  </a:rPr>
                  <a:t>Miera</a:t>
                </a:r>
                <a:r>
                  <a:rPr lang="sk-SK" sz="800" b="0" baseline="0">
                    <a:solidFill>
                      <a:sysClr val="windowText" lastClr="000000"/>
                    </a:solidFill>
                  </a:rPr>
                  <a:t> nezamestnanosti (15-64 r., ISCED 0-2)</a:t>
                </a:r>
                <a:endParaRPr lang="en-US" sz="800" b="0">
                  <a:solidFill>
                    <a:sysClr val="windowText" lastClr="000000"/>
                  </a:solidFill>
                </a:endParaRP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0" sourceLinked="0"/>
        <c:majorTickMark val="none"/>
        <c:minorTickMark val="none"/>
        <c:tickLblPos val="nextTo"/>
        <c:spPr>
          <a:noFill/>
          <a:ln w="9525" cap="flat" cmpd="sng" algn="ctr">
            <a:solidFill>
              <a:srgbClr val="868686"/>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29663532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en-US"/>
    </a:p>
  </c:txPr>
  <c:externalData r:id="rId4">
    <c:autoUpdate val="0"/>
  </c:externalData>
  <c:userShapes r:id="rId5"/>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1775135361698971E-2"/>
          <c:y val="4.2759961127308101E-2"/>
          <c:w val="0.9171713714004025"/>
          <c:h val="0.87780149903942417"/>
        </c:manualLayout>
      </c:layout>
      <c:barChart>
        <c:barDir val="col"/>
        <c:grouping val="clustered"/>
        <c:varyColors val="0"/>
        <c:ser>
          <c:idx val="0"/>
          <c:order val="0"/>
          <c:tx>
            <c:strRef>
              <c:f>'43 trh práce'!$B$188</c:f>
              <c:strCache>
                <c:ptCount val="1"/>
                <c:pt idx="0">
                  <c:v>Rómovia </c:v>
                </c:pt>
              </c:strCache>
            </c:strRef>
          </c:tx>
          <c:spPr>
            <a:solidFill>
              <a:srgbClr val="2C9ADC"/>
            </a:solidFill>
          </c:spPr>
          <c:invertIfNegative val="0"/>
          <c:cat>
            <c:strRef>
              <c:f>'43 trh práce'!$A$189:$A$190</c:f>
              <c:strCache>
                <c:ptCount val="2"/>
                <c:pt idx="0">
                  <c:v>Dosiahnuté SŠ a VŠ vzdelanie 
(16-64 r.)</c:v>
                </c:pt>
                <c:pt idx="1">
                  <c:v>Miera zamestnanosti 
(20-64 r.)</c:v>
                </c:pt>
              </c:strCache>
            </c:strRef>
          </c:cat>
          <c:val>
            <c:numRef>
              <c:f>'43 trh práce'!$B$189:$B$190</c:f>
              <c:numCache>
                <c:formatCode>General</c:formatCode>
                <c:ptCount val="2"/>
                <c:pt idx="0">
                  <c:v>32</c:v>
                </c:pt>
                <c:pt idx="1">
                  <c:v>43</c:v>
                </c:pt>
              </c:numCache>
            </c:numRef>
          </c:val>
          <c:extLst/>
        </c:ser>
        <c:ser>
          <c:idx val="2"/>
          <c:order val="1"/>
          <c:tx>
            <c:strRef>
              <c:f>'43 trh práce'!$C$188</c:f>
              <c:strCache>
                <c:ptCount val="1"/>
                <c:pt idx="0">
                  <c:v>Celá populácia (Eurostat)</c:v>
                </c:pt>
              </c:strCache>
            </c:strRef>
          </c:tx>
          <c:spPr>
            <a:solidFill>
              <a:srgbClr val="AAD3F2"/>
            </a:solidFill>
          </c:spPr>
          <c:invertIfNegative val="0"/>
          <c:cat>
            <c:strRef>
              <c:f>'43 trh práce'!$A$189:$A$190</c:f>
              <c:strCache>
                <c:ptCount val="2"/>
                <c:pt idx="0">
                  <c:v>Dosiahnuté SŠ a VŠ vzdelanie 
(16-64 r.)</c:v>
                </c:pt>
                <c:pt idx="1">
                  <c:v>Miera zamestnanosti 
(20-64 r.)</c:v>
                </c:pt>
              </c:strCache>
            </c:strRef>
          </c:cat>
          <c:val>
            <c:numRef>
              <c:f>'43 trh práce'!$C$189:$C$190</c:f>
              <c:numCache>
                <c:formatCode>General</c:formatCode>
                <c:ptCount val="2"/>
                <c:pt idx="0">
                  <c:v>86</c:v>
                </c:pt>
                <c:pt idx="1">
                  <c:v>70</c:v>
                </c:pt>
              </c:numCache>
            </c:numRef>
          </c:val>
          <c:extLst/>
        </c:ser>
        <c:dLbls>
          <c:showLegendKey val="0"/>
          <c:showVal val="0"/>
          <c:showCatName val="0"/>
          <c:showSerName val="0"/>
          <c:showPercent val="0"/>
          <c:showBubbleSize val="0"/>
        </c:dLbls>
        <c:gapWidth val="330"/>
        <c:overlap val="-16"/>
        <c:axId val="296636504"/>
        <c:axId val="296636896"/>
      </c:barChart>
      <c:catAx>
        <c:axId val="296636504"/>
        <c:scaling>
          <c:orientation val="minMax"/>
        </c:scaling>
        <c:delete val="0"/>
        <c:axPos val="b"/>
        <c:numFmt formatCode="General" sourceLinked="1"/>
        <c:majorTickMark val="out"/>
        <c:minorTickMark val="none"/>
        <c:tickLblPos val="nextTo"/>
        <c:txPr>
          <a:bodyPr/>
          <a:lstStyle/>
          <a:p>
            <a:pPr>
              <a:defRPr sz="800"/>
            </a:pPr>
            <a:endParaRPr lang="en-US"/>
          </a:p>
        </c:txPr>
        <c:crossAx val="296636896"/>
        <c:crosses val="autoZero"/>
        <c:auto val="1"/>
        <c:lblAlgn val="ctr"/>
        <c:lblOffset val="100"/>
        <c:noMultiLvlLbl val="0"/>
      </c:catAx>
      <c:valAx>
        <c:axId val="296636896"/>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a:lstStyle/>
          <a:p>
            <a:pPr>
              <a:defRPr sz="800"/>
            </a:pPr>
            <a:endParaRPr lang="en-US"/>
          </a:p>
        </c:txPr>
        <c:crossAx val="296636504"/>
        <c:crosses val="autoZero"/>
        <c:crossBetween val="between"/>
      </c:valAx>
    </c:plotArea>
    <c:legend>
      <c:legendPos val="r"/>
      <c:layout>
        <c:manualLayout>
          <c:xMode val="edge"/>
          <c:yMode val="edge"/>
          <c:x val="0.15440525570172672"/>
          <c:y val="5.1280143380135736E-2"/>
          <c:w val="0.77699662542182235"/>
          <c:h val="6.2798005953953726E-2"/>
        </c:manualLayout>
      </c:layout>
      <c:overlay val="0"/>
      <c:spPr>
        <a:solidFill>
          <a:sysClr val="window" lastClr="FFFFFF"/>
        </a:solidFill>
      </c:spPr>
      <c:txPr>
        <a:bodyPr/>
        <a:lstStyle/>
        <a:p>
          <a:pPr>
            <a:defRPr sz="800"/>
          </a:pPr>
          <a:endParaRPr lang="en-US"/>
        </a:p>
      </c:txPr>
    </c:legend>
    <c:plotVisOnly val="1"/>
    <c:dispBlanksAs val="gap"/>
    <c:showDLblsOverMax val="0"/>
  </c:chart>
  <c:spPr>
    <a:ln>
      <a:noFill/>
    </a:ln>
  </c:spPr>
  <c:txPr>
    <a:bodyPr/>
    <a:lstStyle/>
    <a:p>
      <a:pPr>
        <a:defRPr>
          <a:latin typeface="Arial Narrow" pitchFamily="34" charset="0"/>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02998040737866"/>
          <c:y val="4.2330529395796089E-2"/>
          <c:w val="0.76994898525008326"/>
          <c:h val="0.81593246790097185"/>
        </c:manualLayout>
      </c:layout>
      <c:scatterChart>
        <c:scatterStyle val="lineMarker"/>
        <c:varyColors val="0"/>
        <c:ser>
          <c:idx val="0"/>
          <c:order val="0"/>
          <c:spPr>
            <a:ln w="19050">
              <a:solidFill>
                <a:srgbClr val="2C9ADC"/>
              </a:solidFill>
            </a:ln>
          </c:spPr>
          <c:marker>
            <c:symbol val="circle"/>
            <c:size val="4"/>
            <c:spPr>
              <a:solidFill>
                <a:srgbClr val="2C9ADC"/>
              </a:solidFill>
              <a:ln>
                <a:noFill/>
              </a:ln>
            </c:spPr>
          </c:marker>
          <c:dPt>
            <c:idx val="0"/>
            <c:bubble3D val="0"/>
          </c:dPt>
          <c:dPt>
            <c:idx val="11"/>
            <c:marker>
              <c:spPr>
                <a:solidFill>
                  <a:schemeClr val="tx1"/>
                </a:solidFill>
                <a:ln>
                  <a:noFill/>
                </a:ln>
              </c:spPr>
            </c:marker>
            <c:bubble3D val="0"/>
          </c:dPt>
          <c:dPt>
            <c:idx val="23"/>
            <c:marker>
              <c:spPr>
                <a:solidFill>
                  <a:schemeClr val="tx1"/>
                </a:solidFill>
                <a:ln>
                  <a:noFill/>
                </a:ln>
              </c:spPr>
            </c:marker>
            <c:bubble3D val="0"/>
          </c:dPt>
          <c:dPt>
            <c:idx val="35"/>
            <c:marker>
              <c:spPr>
                <a:solidFill>
                  <a:schemeClr val="tx1"/>
                </a:solidFill>
                <a:ln>
                  <a:noFill/>
                </a:ln>
              </c:spPr>
            </c:marker>
            <c:bubble3D val="0"/>
          </c:dPt>
          <c:dPt>
            <c:idx val="46"/>
            <c:bubble3D val="0"/>
          </c:dPt>
          <c:dPt>
            <c:idx val="51"/>
            <c:marker>
              <c:spPr>
                <a:solidFill>
                  <a:schemeClr val="tx1"/>
                </a:solidFill>
                <a:ln>
                  <a:noFill/>
                </a:ln>
              </c:spPr>
            </c:marker>
            <c:bubble3D val="0"/>
          </c:dPt>
          <c:dPt>
            <c:idx val="59"/>
            <c:marker>
              <c:spPr>
                <a:solidFill>
                  <a:schemeClr val="tx1"/>
                </a:solidFill>
                <a:ln>
                  <a:noFill/>
                </a:ln>
              </c:spPr>
            </c:marker>
            <c:bubble3D val="0"/>
          </c:dPt>
          <c:dPt>
            <c:idx val="72"/>
            <c:marker>
              <c:spPr>
                <a:solidFill>
                  <a:schemeClr val="tx1"/>
                </a:solidFill>
                <a:ln>
                  <a:noFill/>
                </a:ln>
              </c:spPr>
            </c:marker>
            <c:bubble3D val="0"/>
          </c:dPt>
          <c:dPt>
            <c:idx val="80"/>
            <c:marker>
              <c:spPr>
                <a:solidFill>
                  <a:schemeClr val="tx1"/>
                </a:solidFill>
                <a:ln>
                  <a:noFill/>
                </a:ln>
              </c:spPr>
            </c:marker>
            <c:bubble3D val="0"/>
          </c:dPt>
          <c:dPt>
            <c:idx val="83"/>
            <c:marker>
              <c:spPr>
                <a:solidFill>
                  <a:schemeClr val="tx1"/>
                </a:solidFill>
                <a:ln>
                  <a:noFill/>
                </a:ln>
              </c:spPr>
            </c:marker>
            <c:bubble3D val="0"/>
          </c:dPt>
          <c:dPt>
            <c:idx val="104"/>
            <c:bubble3D val="0"/>
          </c:dPt>
          <c:dPt>
            <c:idx val="107"/>
            <c:marker>
              <c:spPr>
                <a:solidFill>
                  <a:schemeClr val="tx1"/>
                </a:solidFill>
                <a:ln>
                  <a:noFill/>
                </a:ln>
              </c:spPr>
            </c:marker>
            <c:bubble3D val="0"/>
          </c:dPt>
          <c:dPt>
            <c:idx val="119"/>
            <c:marker>
              <c:spPr>
                <a:solidFill>
                  <a:schemeClr val="tx1"/>
                </a:solidFill>
                <a:ln>
                  <a:noFill/>
                </a:ln>
              </c:spPr>
            </c:marker>
            <c:bubble3D val="0"/>
          </c:dPt>
          <c:dPt>
            <c:idx val="131"/>
            <c:marker>
              <c:spPr>
                <a:solidFill>
                  <a:schemeClr val="tx1"/>
                </a:solidFill>
                <a:ln>
                  <a:noFill/>
                </a:ln>
              </c:spPr>
            </c:marker>
            <c:bubble3D val="0"/>
          </c:dPt>
          <c:dPt>
            <c:idx val="136"/>
            <c:bubble3D val="0"/>
          </c:dPt>
          <c:dPt>
            <c:idx val="137"/>
            <c:bubble3D val="0"/>
          </c:dPt>
          <c:dPt>
            <c:idx val="139"/>
            <c:bubble3D val="0"/>
          </c:dPt>
          <c:dPt>
            <c:idx val="140"/>
            <c:bubble3D val="0"/>
          </c:dPt>
          <c:dPt>
            <c:idx val="141"/>
            <c:bubble3D val="0"/>
          </c:dPt>
          <c:dPt>
            <c:idx val="142"/>
            <c:bubble3D val="0"/>
          </c:dPt>
          <c:dPt>
            <c:idx val="143"/>
            <c:marker>
              <c:spPr>
                <a:solidFill>
                  <a:srgbClr val="FF0000"/>
                </a:solidFill>
                <a:ln>
                  <a:noFill/>
                </a:ln>
              </c:spPr>
            </c:marker>
            <c:bubble3D val="0"/>
          </c:dPt>
          <c:xVal>
            <c:numRef>
              <c:f>'\Users\shidas\!D disk\Administration\NPR 2018\[Data_labour_market.xlsx]M_LM_UR'!$FB$25:$KO$25</c:f>
              <c:numCache>
                <c:formatCode>General</c:formatCode>
                <c:ptCount val="144"/>
                <c:pt idx="0">
                  <c:v>11.104853034383289</c:v>
                </c:pt>
                <c:pt idx="1">
                  <c:v>11.064586950632494</c:v>
                </c:pt>
                <c:pt idx="2">
                  <c:v>11.023495409028602</c:v>
                </c:pt>
                <c:pt idx="3">
                  <c:v>11.019235386170823</c:v>
                </c:pt>
                <c:pt idx="4">
                  <c:v>10.797128404089841</c:v>
                </c:pt>
                <c:pt idx="5">
                  <c:v>10.623081856578164</c:v>
                </c:pt>
                <c:pt idx="6">
                  <c:v>10.32121789842957</c:v>
                </c:pt>
                <c:pt idx="7">
                  <c:v>10.096691050042841</c:v>
                </c:pt>
                <c:pt idx="8">
                  <c:v>9.8309686724811716</c:v>
                </c:pt>
                <c:pt idx="9">
                  <c:v>9.6052544376126292</c:v>
                </c:pt>
                <c:pt idx="10">
                  <c:v>9.4431404331214708</c:v>
                </c:pt>
                <c:pt idx="11">
                  <c:v>9.2638907687167293</c:v>
                </c:pt>
                <c:pt idx="12">
                  <c:v>8.99606229913989</c:v>
                </c:pt>
                <c:pt idx="13">
                  <c:v>8.8202109466724572</c:v>
                </c:pt>
                <c:pt idx="14">
                  <c:v>8.6188134950333453</c:v>
                </c:pt>
                <c:pt idx="15">
                  <c:v>8.4893639708748907</c:v>
                </c:pt>
                <c:pt idx="16">
                  <c:v>8.4472244789087263</c:v>
                </c:pt>
                <c:pt idx="17">
                  <c:v>8.4199889098973184</c:v>
                </c:pt>
                <c:pt idx="18">
                  <c:v>8.3522324621170227</c:v>
                </c:pt>
                <c:pt idx="19">
                  <c:v>8.3439621031677227</c:v>
                </c:pt>
                <c:pt idx="20">
                  <c:v>8.3381718755167036</c:v>
                </c:pt>
                <c:pt idx="21">
                  <c:v>8.203343626498782</c:v>
                </c:pt>
                <c:pt idx="22">
                  <c:v>8.0782588812281819</c:v>
                </c:pt>
                <c:pt idx="23">
                  <c:v>7.9396910980617044</c:v>
                </c:pt>
                <c:pt idx="24">
                  <c:v>7.7594137438285529</c:v>
                </c:pt>
                <c:pt idx="25">
                  <c:v>7.576257953077624</c:v>
                </c:pt>
                <c:pt idx="26">
                  <c:v>7.3604235394570132</c:v>
                </c:pt>
                <c:pt idx="27">
                  <c:v>7.3753998163375396</c:v>
                </c:pt>
                <c:pt idx="28">
                  <c:v>7.4907227198337782</c:v>
                </c:pt>
                <c:pt idx="29">
                  <c:v>7.4283172054002744</c:v>
                </c:pt>
                <c:pt idx="30">
                  <c:v>7.4894316192547228</c:v>
                </c:pt>
                <c:pt idx="31">
                  <c:v>7.4655476489223007</c:v>
                </c:pt>
                <c:pt idx="32">
                  <c:v>7.5579879043972262</c:v>
                </c:pt>
                <c:pt idx="33">
                  <c:v>7.7603258790462233</c:v>
                </c:pt>
                <c:pt idx="34">
                  <c:v>8.0937436441555359</c:v>
                </c:pt>
                <c:pt idx="35">
                  <c:v>8.4125669830854086</c:v>
                </c:pt>
                <c:pt idx="36">
                  <c:v>8.7491204269932918</c:v>
                </c:pt>
                <c:pt idx="37">
                  <c:v>9.4163054595546534</c:v>
                </c:pt>
                <c:pt idx="38">
                  <c:v>10.054715167500792</c:v>
                </c:pt>
                <c:pt idx="39">
                  <c:v>10.854077158922742</c:v>
                </c:pt>
                <c:pt idx="40">
                  <c:v>11.457886508160914</c:v>
                </c:pt>
                <c:pt idx="41">
                  <c:v>11.834149297278024</c:v>
                </c:pt>
                <c:pt idx="42">
                  <c:v>12.095893752672056</c:v>
                </c:pt>
                <c:pt idx="43">
                  <c:v>12.275432160668426</c:v>
                </c:pt>
                <c:pt idx="44">
                  <c:v>12.484890733800333</c:v>
                </c:pt>
                <c:pt idx="45">
                  <c:v>12.730018579439758</c:v>
                </c:pt>
                <c:pt idx="46">
                  <c:v>12.798522331711496</c:v>
                </c:pt>
                <c:pt idx="47">
                  <c:v>12.712873112305545</c:v>
                </c:pt>
                <c:pt idx="48">
                  <c:v>12.544148291194135</c:v>
                </c:pt>
                <c:pt idx="49">
                  <c:v>12.562007891767385</c:v>
                </c:pt>
                <c:pt idx="50">
                  <c:v>12.534942997785073</c:v>
                </c:pt>
                <c:pt idx="51">
                  <c:v>12.445333858829025</c:v>
                </c:pt>
                <c:pt idx="52">
                  <c:v>12.357008312948222</c:v>
                </c:pt>
                <c:pt idx="53">
                  <c:v>12.386371675589258</c:v>
                </c:pt>
                <c:pt idx="54">
                  <c:v>12.366087771924857</c:v>
                </c:pt>
                <c:pt idx="55">
                  <c:v>12.434535375343501</c:v>
                </c:pt>
                <c:pt idx="56">
                  <c:v>12.485498314870222</c:v>
                </c:pt>
                <c:pt idx="57">
                  <c:v>12.545278074733455</c:v>
                </c:pt>
                <c:pt idx="58">
                  <c:v>12.55357562173427</c:v>
                </c:pt>
                <c:pt idx="59">
                  <c:v>12.581048944496253</c:v>
                </c:pt>
                <c:pt idx="60">
                  <c:v>12.730378486430856</c:v>
                </c:pt>
                <c:pt idx="61">
                  <c:v>12.831401227223418</c:v>
                </c:pt>
                <c:pt idx="62">
                  <c:v>12.805566448659667</c:v>
                </c:pt>
                <c:pt idx="63">
                  <c:v>12.890580141791638</c:v>
                </c:pt>
                <c:pt idx="64">
                  <c:v>13.021786910410741</c:v>
                </c:pt>
                <c:pt idx="65">
                  <c:v>13.091238086725687</c:v>
                </c:pt>
                <c:pt idx="66">
                  <c:v>13.239811877495425</c:v>
                </c:pt>
                <c:pt idx="67">
                  <c:v>13.390061758816721</c:v>
                </c:pt>
                <c:pt idx="68">
                  <c:v>13.442234711109109</c:v>
                </c:pt>
                <c:pt idx="69">
                  <c:v>13.4847036637545</c:v>
                </c:pt>
                <c:pt idx="70">
                  <c:v>13.621670799720073</c:v>
                </c:pt>
                <c:pt idx="71">
                  <c:v>13.525956969842429</c:v>
                </c:pt>
                <c:pt idx="72">
                  <c:v>13.33062258071292</c:v>
                </c:pt>
                <c:pt idx="73">
                  <c:v>13.320819396604049</c:v>
                </c:pt>
                <c:pt idx="74">
                  <c:v>13.378723946778875</c:v>
                </c:pt>
                <c:pt idx="75">
                  <c:v>13.293244394558574</c:v>
                </c:pt>
                <c:pt idx="76">
                  <c:v>13.254355940251994</c:v>
                </c:pt>
                <c:pt idx="77">
                  <c:v>13.307797554013492</c:v>
                </c:pt>
                <c:pt idx="78">
                  <c:v>13.421650417377851</c:v>
                </c:pt>
                <c:pt idx="79">
                  <c:v>13.431322975875066</c:v>
                </c:pt>
                <c:pt idx="80">
                  <c:v>13.494461083831952</c:v>
                </c:pt>
                <c:pt idx="81">
                  <c:v>13.840719011165298</c:v>
                </c:pt>
                <c:pt idx="82">
                  <c:v>14.102287010250061</c:v>
                </c:pt>
                <c:pt idx="83">
                  <c:v>14.310389978217561</c:v>
                </c:pt>
                <c:pt idx="84">
                  <c:v>14.409363750673847</c:v>
                </c:pt>
                <c:pt idx="85">
                  <c:v>14.306468899541692</c:v>
                </c:pt>
                <c:pt idx="86">
                  <c:v>14.412632778987113</c:v>
                </c:pt>
                <c:pt idx="87">
                  <c:v>14.489141239223674</c:v>
                </c:pt>
                <c:pt idx="88">
                  <c:v>14.523180562250824</c:v>
                </c:pt>
                <c:pt idx="89">
                  <c:v>14.421135491687078</c:v>
                </c:pt>
                <c:pt idx="90">
                  <c:v>14.137776052162126</c:v>
                </c:pt>
                <c:pt idx="91">
                  <c:v>13.900198130399232</c:v>
                </c:pt>
                <c:pt idx="92">
                  <c:v>13.859730909435378</c:v>
                </c:pt>
                <c:pt idx="93">
                  <c:v>13.750546868824784</c:v>
                </c:pt>
                <c:pt idx="94">
                  <c:v>13.581681612256535</c:v>
                </c:pt>
                <c:pt idx="95">
                  <c:v>13.394266062559268</c:v>
                </c:pt>
                <c:pt idx="96">
                  <c:v>13.275216073908117</c:v>
                </c:pt>
                <c:pt idx="97">
                  <c:v>13.17544151024701</c:v>
                </c:pt>
                <c:pt idx="98">
                  <c:v>13.09860711599449</c:v>
                </c:pt>
                <c:pt idx="99">
                  <c:v>13.057889370830056</c:v>
                </c:pt>
                <c:pt idx="100">
                  <c:v>13.027743561934981</c:v>
                </c:pt>
                <c:pt idx="101">
                  <c:v>12.936332032123868</c:v>
                </c:pt>
                <c:pt idx="102">
                  <c:v>12.801597583924048</c:v>
                </c:pt>
                <c:pt idx="103">
                  <c:v>12.671121287642933</c:v>
                </c:pt>
                <c:pt idx="104">
                  <c:v>12.407262924285584</c:v>
                </c:pt>
                <c:pt idx="105">
                  <c:v>12.390692394488179</c:v>
                </c:pt>
                <c:pt idx="106">
                  <c:v>12.328615959553668</c:v>
                </c:pt>
                <c:pt idx="107">
                  <c:v>12.217243922432388</c:v>
                </c:pt>
                <c:pt idx="108">
                  <c:v>12.08031840936637</c:v>
                </c:pt>
                <c:pt idx="109">
                  <c:v>12.073249397996729</c:v>
                </c:pt>
                <c:pt idx="110">
                  <c:v>11.957377497387085</c:v>
                </c:pt>
                <c:pt idx="111">
                  <c:v>11.780853451367308</c:v>
                </c:pt>
                <c:pt idx="112">
                  <c:v>11.676679341088517</c:v>
                </c:pt>
                <c:pt idx="113">
                  <c:v>11.702642472821941</c:v>
                </c:pt>
                <c:pt idx="114">
                  <c:v>11.562576446891244</c:v>
                </c:pt>
                <c:pt idx="115">
                  <c:v>11.393572678727772</c:v>
                </c:pt>
                <c:pt idx="116">
                  <c:v>11.281733735942423</c:v>
                </c:pt>
                <c:pt idx="117">
                  <c:v>10.996470151867998</c:v>
                </c:pt>
                <c:pt idx="118">
                  <c:v>10.856727019346875</c:v>
                </c:pt>
                <c:pt idx="119">
                  <c:v>10.57931641937701</c:v>
                </c:pt>
                <c:pt idx="120">
                  <c:v>10.147117920297543</c:v>
                </c:pt>
                <c:pt idx="121">
                  <c:v>9.9121390874041442</c:v>
                </c:pt>
                <c:pt idx="122">
                  <c:v>9.8187906896395596</c:v>
                </c:pt>
                <c:pt idx="123">
                  <c:v>9.733489642434801</c:v>
                </c:pt>
                <c:pt idx="124">
                  <c:v>9.6488391596759762</c:v>
                </c:pt>
                <c:pt idx="125">
                  <c:v>9.5776293497313123</c:v>
                </c:pt>
                <c:pt idx="126">
                  <c:v>9.5032877148862358</c:v>
                </c:pt>
                <c:pt idx="127">
                  <c:v>9.4860476774162503</c:v>
                </c:pt>
                <c:pt idx="128">
                  <c:v>9.3173047618889111</c:v>
                </c:pt>
                <c:pt idx="129">
                  <c:v>9.0892423516593066</c:v>
                </c:pt>
                <c:pt idx="130">
                  <c:v>8.8634945235464055</c:v>
                </c:pt>
                <c:pt idx="131">
                  <c:v>8.6994419726107051</c:v>
                </c:pt>
                <c:pt idx="132">
                  <c:v>8.4628291680961407</c:v>
                </c:pt>
                <c:pt idx="133">
                  <c:v>8.2388687645291245</c:v>
                </c:pt>
                <c:pt idx="134">
                  <c:v>7.9840272240919496</c:v>
                </c:pt>
                <c:pt idx="135">
                  <c:v>7.7826519490584696</c:v>
                </c:pt>
                <c:pt idx="136">
                  <c:v>7.4830305983349943</c:v>
                </c:pt>
                <c:pt idx="137">
                  <c:v>7.0106449768558825</c:v>
                </c:pt>
                <c:pt idx="138">
                  <c:v>6.7721124866298883</c:v>
                </c:pt>
                <c:pt idx="139">
                  <c:v>6.5573943372338181</c:v>
                </c:pt>
                <c:pt idx="140">
                  <c:v>6.3207558818326985</c:v>
                </c:pt>
                <c:pt idx="141">
                  <c:v>6.1632602362793136</c:v>
                </c:pt>
                <c:pt idx="142">
                  <c:v>6.0204511168583936</c:v>
                </c:pt>
                <c:pt idx="143">
                  <c:v>5.8699375406150711</c:v>
                </c:pt>
              </c:numCache>
            </c:numRef>
          </c:xVal>
          <c:yVal>
            <c:numRef>
              <c:f>'\Users\shidas\!D disk\Administration\NPR 2018\[Data_labour_market.xlsx]M_LM_UR'!$FB$80:$KO$80</c:f>
              <c:numCache>
                <c:formatCode>General</c:formatCode>
                <c:ptCount val="144"/>
                <c:pt idx="0">
                  <c:v>0.6615787396117162</c:v>
                </c:pt>
                <c:pt idx="1">
                  <c:v>0.67645960765590529</c:v>
                </c:pt>
                <c:pt idx="2">
                  <c:v>0.7487048640379167</c:v>
                </c:pt>
                <c:pt idx="3">
                  <c:v>0.84810670392108678</c:v>
                </c:pt>
                <c:pt idx="4">
                  <c:v>0.93306638200391179</c:v>
                </c:pt>
                <c:pt idx="5">
                  <c:v>0.97249557797014619</c:v>
                </c:pt>
                <c:pt idx="6">
                  <c:v>0.9791050901100149</c:v>
                </c:pt>
                <c:pt idx="7">
                  <c:v>0.97883484839083545</c:v>
                </c:pt>
                <c:pt idx="8">
                  <c:v>1.0291946114753667</c:v>
                </c:pt>
                <c:pt idx="9">
                  <c:v>1.1051673801545916</c:v>
                </c:pt>
                <c:pt idx="10">
                  <c:v>1.0762892285431525</c:v>
                </c:pt>
                <c:pt idx="11">
                  <c:v>1.0796562457509298</c:v>
                </c:pt>
                <c:pt idx="12">
                  <c:v>1.1105032911945498</c:v>
                </c:pt>
                <c:pt idx="13">
                  <c:v>1.1237079425176308</c:v>
                </c:pt>
                <c:pt idx="14">
                  <c:v>1.1432518318143743</c:v>
                </c:pt>
                <c:pt idx="15">
                  <c:v>1.0408506710499734</c:v>
                </c:pt>
                <c:pt idx="16">
                  <c:v>1.0387060611042529</c:v>
                </c:pt>
                <c:pt idx="17">
                  <c:v>1.1117234610262476</c:v>
                </c:pt>
                <c:pt idx="18">
                  <c:v>1.0680381266758994</c:v>
                </c:pt>
                <c:pt idx="19">
                  <c:v>1.0142327249831848</c:v>
                </c:pt>
                <c:pt idx="20">
                  <c:v>1.0083688778688999</c:v>
                </c:pt>
                <c:pt idx="21">
                  <c:v>0.97876025384337917</c:v>
                </c:pt>
                <c:pt idx="22">
                  <c:v>1.0142628407433496</c:v>
                </c:pt>
                <c:pt idx="23">
                  <c:v>1.0016714825240951</c:v>
                </c:pt>
                <c:pt idx="24">
                  <c:v>0.98845202906107255</c:v>
                </c:pt>
                <c:pt idx="25">
                  <c:v>1.0276196397772763</c:v>
                </c:pt>
                <c:pt idx="26">
                  <c:v>0.86502069354986666</c:v>
                </c:pt>
                <c:pt idx="27">
                  <c:v>0.86024138400899108</c:v>
                </c:pt>
                <c:pt idx="28">
                  <c:v>0.82654454206166483</c:v>
                </c:pt>
                <c:pt idx="29">
                  <c:v>0.75772900019483169</c:v>
                </c:pt>
                <c:pt idx="30">
                  <c:v>0.6999339934022798</c:v>
                </c:pt>
                <c:pt idx="31">
                  <c:v>0.69182212328160064</c:v>
                </c:pt>
                <c:pt idx="32">
                  <c:v>0.65139658699880687</c:v>
                </c:pt>
                <c:pt idx="33">
                  <c:v>0.62215863203484423</c:v>
                </c:pt>
                <c:pt idx="34">
                  <c:v>0.5482918674418179</c:v>
                </c:pt>
                <c:pt idx="35">
                  <c:v>0.48735258741791754</c:v>
                </c:pt>
                <c:pt idx="36">
                  <c:v>0.40414619089730131</c:v>
                </c:pt>
                <c:pt idx="37">
                  <c:v>0.38883806345945549</c:v>
                </c:pt>
                <c:pt idx="38">
                  <c:v>0.32400812002994106</c:v>
                </c:pt>
                <c:pt idx="39">
                  <c:v>0.30012149606267413</c:v>
                </c:pt>
                <c:pt idx="40">
                  <c:v>0.26816773782322811</c:v>
                </c:pt>
                <c:pt idx="41">
                  <c:v>0.2422438635557243</c:v>
                </c:pt>
                <c:pt idx="42">
                  <c:v>0.24580292085406374</c:v>
                </c:pt>
                <c:pt idx="43">
                  <c:v>0.2520516952856216</c:v>
                </c:pt>
                <c:pt idx="44">
                  <c:v>0.24586840934160506</c:v>
                </c:pt>
                <c:pt idx="45">
                  <c:v>0.21508068189217133</c:v>
                </c:pt>
                <c:pt idx="46">
                  <c:v>0.20929538239522111</c:v>
                </c:pt>
                <c:pt idx="47">
                  <c:v>0.21891994398030479</c:v>
                </c:pt>
                <c:pt idx="48">
                  <c:v>0.2157904242493856</c:v>
                </c:pt>
                <c:pt idx="49">
                  <c:v>0.20487788862770345</c:v>
                </c:pt>
                <c:pt idx="50">
                  <c:v>0.24235333665825831</c:v>
                </c:pt>
                <c:pt idx="51">
                  <c:v>0.24399316115424208</c:v>
                </c:pt>
                <c:pt idx="52">
                  <c:v>0.23697628315784841</c:v>
                </c:pt>
                <c:pt idx="53">
                  <c:v>0.23941471010184792</c:v>
                </c:pt>
                <c:pt idx="54">
                  <c:v>0.24839392298855811</c:v>
                </c:pt>
                <c:pt idx="55">
                  <c:v>0.25668306412617231</c:v>
                </c:pt>
                <c:pt idx="56">
                  <c:v>0.25125445346898523</c:v>
                </c:pt>
                <c:pt idx="57">
                  <c:v>0.24204711648155769</c:v>
                </c:pt>
                <c:pt idx="58">
                  <c:v>0.29187665419891601</c:v>
                </c:pt>
                <c:pt idx="59">
                  <c:v>0.3064871504701836</c:v>
                </c:pt>
                <c:pt idx="60">
                  <c:v>0.32312037607237815</c:v>
                </c:pt>
                <c:pt idx="61">
                  <c:v>0.31782965164535831</c:v>
                </c:pt>
                <c:pt idx="62">
                  <c:v>0.34956920038014794</c:v>
                </c:pt>
                <c:pt idx="63">
                  <c:v>0.33061967928256158</c:v>
                </c:pt>
                <c:pt idx="64">
                  <c:v>0.32740756930255155</c:v>
                </c:pt>
                <c:pt idx="65">
                  <c:v>0.31945679096231433</c:v>
                </c:pt>
                <c:pt idx="66">
                  <c:v>0.26341399268239091</c:v>
                </c:pt>
                <c:pt idx="67">
                  <c:v>0.27155722544227212</c:v>
                </c:pt>
                <c:pt idx="68">
                  <c:v>0.30603609343240989</c:v>
                </c:pt>
                <c:pt idx="69">
                  <c:v>0.30324943452719932</c:v>
                </c:pt>
                <c:pt idx="70">
                  <c:v>0.30984526750201496</c:v>
                </c:pt>
                <c:pt idx="71">
                  <c:v>0.28928638665659373</c:v>
                </c:pt>
                <c:pt idx="72">
                  <c:v>0.25373406110443958</c:v>
                </c:pt>
                <c:pt idx="73">
                  <c:v>0.25778141674044974</c:v>
                </c:pt>
                <c:pt idx="74">
                  <c:v>0.22192559935339784</c:v>
                </c:pt>
                <c:pt idx="75">
                  <c:v>0.21649577692269845</c:v>
                </c:pt>
                <c:pt idx="76">
                  <c:v>0.20922720842260992</c:v>
                </c:pt>
                <c:pt idx="77">
                  <c:v>0.20167562112499782</c:v>
                </c:pt>
                <c:pt idx="78">
                  <c:v>0.20678206160784762</c:v>
                </c:pt>
                <c:pt idx="79">
                  <c:v>0.21754058121148953</c:v>
                </c:pt>
                <c:pt idx="80">
                  <c:v>0.17755555726394873</c:v>
                </c:pt>
                <c:pt idx="81">
                  <c:v>0.16732250953128264</c:v>
                </c:pt>
                <c:pt idx="82">
                  <c:v>0.1561313463708642</c:v>
                </c:pt>
                <c:pt idx="83">
                  <c:v>0.16438963989903035</c:v>
                </c:pt>
                <c:pt idx="84">
                  <c:v>0.17957970145918767</c:v>
                </c:pt>
                <c:pt idx="85">
                  <c:v>0.18710345989409724</c:v>
                </c:pt>
                <c:pt idx="86">
                  <c:v>0.18883043274043335</c:v>
                </c:pt>
                <c:pt idx="87">
                  <c:v>0.2011024217763478</c:v>
                </c:pt>
                <c:pt idx="88">
                  <c:v>0.20065851733694623</c:v>
                </c:pt>
                <c:pt idx="89">
                  <c:v>0.20547151307880601</c:v>
                </c:pt>
                <c:pt idx="90">
                  <c:v>0.22010212349852692</c:v>
                </c:pt>
                <c:pt idx="91">
                  <c:v>0.20331728053504691</c:v>
                </c:pt>
                <c:pt idx="92">
                  <c:v>0.21255914981412674</c:v>
                </c:pt>
                <c:pt idx="93">
                  <c:v>0.23480110230237528</c:v>
                </c:pt>
                <c:pt idx="94">
                  <c:v>0.24071711786646999</c:v>
                </c:pt>
                <c:pt idx="95">
                  <c:v>0.24635568511482517</c:v>
                </c:pt>
                <c:pt idx="96">
                  <c:v>0.18261204368717662</c:v>
                </c:pt>
                <c:pt idx="97">
                  <c:v>0.19612676886850028</c:v>
                </c:pt>
                <c:pt idx="98">
                  <c:v>0.19412566950627974</c:v>
                </c:pt>
                <c:pt idx="99">
                  <c:v>0.23690403931117479</c:v>
                </c:pt>
                <c:pt idx="100">
                  <c:v>0.29648991413404879</c:v>
                </c:pt>
                <c:pt idx="101">
                  <c:v>0.30266451613725259</c:v>
                </c:pt>
                <c:pt idx="102">
                  <c:v>0.31569232485849991</c:v>
                </c:pt>
                <c:pt idx="103">
                  <c:v>0.35687942233654368</c:v>
                </c:pt>
                <c:pt idx="104">
                  <c:v>0.3662966239718814</c:v>
                </c:pt>
                <c:pt idx="105">
                  <c:v>0.39255488887353501</c:v>
                </c:pt>
                <c:pt idx="106">
                  <c:v>0.40460351797233279</c:v>
                </c:pt>
                <c:pt idx="107">
                  <c:v>0.4170478528705534</c:v>
                </c:pt>
                <c:pt idx="108">
                  <c:v>0.42632718468354958</c:v>
                </c:pt>
                <c:pt idx="109">
                  <c:v>0.50428098423954182</c:v>
                </c:pt>
                <c:pt idx="110">
                  <c:v>0.61448662297730539</c:v>
                </c:pt>
                <c:pt idx="111">
                  <c:v>0.63090346944773146</c:v>
                </c:pt>
                <c:pt idx="112">
                  <c:v>0.76574859518454852</c:v>
                </c:pt>
                <c:pt idx="113">
                  <c:v>0.86272439858917083</c:v>
                </c:pt>
                <c:pt idx="114">
                  <c:v>0.92586993650833405</c:v>
                </c:pt>
                <c:pt idx="115">
                  <c:v>0.95187829984743955</c:v>
                </c:pt>
                <c:pt idx="116">
                  <c:v>1.0630754427817655</c:v>
                </c:pt>
                <c:pt idx="117">
                  <c:v>1.1312356080073174</c:v>
                </c:pt>
                <c:pt idx="118">
                  <c:v>1.3261386656504746</c:v>
                </c:pt>
                <c:pt idx="119">
                  <c:v>1.2485322042814311</c:v>
                </c:pt>
                <c:pt idx="120">
                  <c:v>1.3468439713176761</c:v>
                </c:pt>
                <c:pt idx="121">
                  <c:v>1.4538270943759077</c:v>
                </c:pt>
                <c:pt idx="122">
                  <c:v>1.3987991770378194</c:v>
                </c:pt>
                <c:pt idx="123">
                  <c:v>1.498374109293289</c:v>
                </c:pt>
                <c:pt idx="124">
                  <c:v>1.4090877237425634</c:v>
                </c:pt>
                <c:pt idx="125">
                  <c:v>1.370286751573212</c:v>
                </c:pt>
                <c:pt idx="126">
                  <c:v>1.3179273781602292</c:v>
                </c:pt>
                <c:pt idx="127">
                  <c:v>1.3588313616116623</c:v>
                </c:pt>
                <c:pt idx="128">
                  <c:v>1.3859374213902311</c:v>
                </c:pt>
                <c:pt idx="129">
                  <c:v>1.4054765875274668</c:v>
                </c:pt>
                <c:pt idx="130">
                  <c:v>1.4081735587827331</c:v>
                </c:pt>
                <c:pt idx="131">
                  <c:v>1.5661501304518068</c:v>
                </c:pt>
                <c:pt idx="132">
                  <c:v>1.6241151802630589</c:v>
                </c:pt>
                <c:pt idx="133">
                  <c:v>1.7145126274794538</c:v>
                </c:pt>
                <c:pt idx="134">
                  <c:v>1.7581689601801509</c:v>
                </c:pt>
                <c:pt idx="135">
                  <c:v>1.8589924843269749</c:v>
                </c:pt>
                <c:pt idx="136">
                  <c:v>1.9995990052188402</c:v>
                </c:pt>
                <c:pt idx="137">
                  <c:v>2.0345026760337883</c:v>
                </c:pt>
                <c:pt idx="138">
                  <c:v>2.1222829301623323</c:v>
                </c:pt>
                <c:pt idx="139">
                  <c:v>2.3475152774297641</c:v>
                </c:pt>
                <c:pt idx="140">
                  <c:v>2.5096920921073873</c:v>
                </c:pt>
                <c:pt idx="141">
                  <c:v>2.6153801383766488</c:v>
                </c:pt>
                <c:pt idx="142">
                  <c:v>2.7771722369122029</c:v>
                </c:pt>
                <c:pt idx="143">
                  <c:v>3.0334388776333143</c:v>
                </c:pt>
              </c:numCache>
            </c:numRef>
          </c:yVal>
          <c:smooth val="0"/>
        </c:ser>
        <c:dLbls>
          <c:showLegendKey val="0"/>
          <c:showVal val="0"/>
          <c:showCatName val="0"/>
          <c:showSerName val="0"/>
          <c:showPercent val="0"/>
          <c:showBubbleSize val="0"/>
        </c:dLbls>
        <c:axId val="296637680"/>
        <c:axId val="296638072"/>
      </c:scatterChart>
      <c:valAx>
        <c:axId val="296637680"/>
        <c:scaling>
          <c:orientation val="minMax"/>
          <c:min val="5.5"/>
        </c:scaling>
        <c:delete val="0"/>
        <c:axPos val="b"/>
        <c:title>
          <c:tx>
            <c:rich>
              <a:bodyPr/>
              <a:lstStyle/>
              <a:p>
                <a:pPr>
                  <a:defRPr b="0"/>
                </a:pPr>
                <a:r>
                  <a:rPr lang="sk-SK" b="0"/>
                  <a:t>Disponibilná miera nezamestnanosti, SA IFP</a:t>
                </a:r>
                <a:endParaRPr lang="en-US" b="0"/>
              </a:p>
            </c:rich>
          </c:tx>
          <c:layout/>
          <c:overlay val="0"/>
        </c:title>
        <c:numFmt formatCode="General" sourceLinked="1"/>
        <c:majorTickMark val="out"/>
        <c:minorTickMark val="none"/>
        <c:tickLblPos val="nextTo"/>
        <c:txPr>
          <a:bodyPr rot="0" vert="horz"/>
          <a:lstStyle/>
          <a:p>
            <a:pPr>
              <a:defRPr/>
            </a:pPr>
            <a:endParaRPr lang="en-US"/>
          </a:p>
        </c:txPr>
        <c:crossAx val="296638072"/>
        <c:crosses val="autoZero"/>
        <c:crossBetween val="midCat"/>
      </c:valAx>
      <c:valAx>
        <c:axId val="296638072"/>
        <c:scaling>
          <c:orientation val="minMax"/>
          <c:max val="3.5"/>
          <c:min val="0"/>
        </c:scaling>
        <c:delete val="0"/>
        <c:axPos val="l"/>
        <c:majorGridlines>
          <c:spPr>
            <a:ln>
              <a:solidFill>
                <a:schemeClr val="bg1">
                  <a:lumMod val="85000"/>
                </a:schemeClr>
              </a:solidFill>
              <a:prstDash val="sysDash"/>
            </a:ln>
          </c:spPr>
        </c:majorGridlines>
        <c:title>
          <c:tx>
            <c:rich>
              <a:bodyPr rot="-5400000" vert="horz"/>
              <a:lstStyle/>
              <a:p>
                <a:pPr>
                  <a:defRPr b="0"/>
                </a:pPr>
                <a:r>
                  <a:rPr lang="sk-SK" b="0"/>
                  <a:t>Miera voľných pracovných miest, SA IFP</a:t>
                </a:r>
                <a:endParaRPr lang="en-US" b="0"/>
              </a:p>
            </c:rich>
          </c:tx>
          <c:layout>
            <c:manualLayout>
              <c:xMode val="edge"/>
              <c:yMode val="edge"/>
              <c:x val="2.7392702672729284E-3"/>
              <c:y val="8.561585207254499E-2"/>
            </c:manualLayout>
          </c:layout>
          <c:overlay val="0"/>
        </c:title>
        <c:numFmt formatCode="0.0" sourceLinked="0"/>
        <c:majorTickMark val="out"/>
        <c:minorTickMark val="none"/>
        <c:tickLblPos val="nextTo"/>
        <c:txPr>
          <a:bodyPr rot="0" vert="horz"/>
          <a:lstStyle/>
          <a:p>
            <a:pPr>
              <a:defRPr/>
            </a:pPr>
            <a:endParaRPr lang="en-US"/>
          </a:p>
        </c:txPr>
        <c:crossAx val="296637680"/>
        <c:crosses val="autoZero"/>
        <c:crossBetween val="midCat"/>
      </c:valAx>
    </c:plotArea>
    <c:plotVisOnly val="1"/>
    <c:dispBlanksAs val="gap"/>
    <c:showDLblsOverMax val="0"/>
  </c:chart>
  <c:spPr>
    <a:ln>
      <a:noFill/>
    </a:ln>
  </c:spPr>
  <c:txPr>
    <a:bodyPr/>
    <a:lstStyle/>
    <a:p>
      <a:pPr>
        <a:defRPr sz="800" b="0" i="0" u="none" strike="noStrike" baseline="0">
          <a:solidFill>
            <a:srgbClr val="000000"/>
          </a:solidFill>
          <a:latin typeface="Arial Narrow" panose="020B0606020202030204" pitchFamily="34" charset="0"/>
          <a:ea typeface="Arial Narrow"/>
          <a:cs typeface="Arial Narrow"/>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0092159532689994E-2"/>
          <c:y val="8.4437714516454654E-2"/>
          <c:w val="0.87586998993546861"/>
          <c:h val="0.83145069444444442"/>
        </c:manualLayout>
      </c:layout>
      <c:lineChart>
        <c:grouping val="standard"/>
        <c:varyColors val="0"/>
        <c:ser>
          <c:idx val="3"/>
          <c:order val="0"/>
          <c:tx>
            <c:strRef>
              <c:f>'43 trh práce'!$B$345</c:f>
              <c:strCache>
                <c:ptCount val="1"/>
                <c:pt idx="0">
                  <c:v>Očakávaná zamestnanosť </c:v>
                </c:pt>
              </c:strCache>
            </c:strRef>
          </c:tx>
          <c:spPr>
            <a:ln w="19050">
              <a:solidFill>
                <a:sysClr val="windowText" lastClr="000000"/>
              </a:solidFill>
              <a:prstDash val="solid"/>
            </a:ln>
          </c:spPr>
          <c:marker>
            <c:symbol val="none"/>
          </c:marker>
          <c:cat>
            <c:strRef>
              <c:f>'43 trh práce'!$A$346:$A$437</c:f>
              <c:strCache>
                <c:ptCount val="92"/>
                <c:pt idx="0">
                  <c:v>1995Q1</c:v>
                </c:pt>
                <c:pt idx="1">
                  <c:v>1995Q2</c:v>
                </c:pt>
                <c:pt idx="2">
                  <c:v>1995Q3</c:v>
                </c:pt>
                <c:pt idx="3">
                  <c:v>1995Q4</c:v>
                </c:pt>
                <c:pt idx="4">
                  <c:v>1996Q1</c:v>
                </c:pt>
                <c:pt idx="5">
                  <c:v>1996Q2</c:v>
                </c:pt>
                <c:pt idx="6">
                  <c:v>1996Q3</c:v>
                </c:pt>
                <c:pt idx="7">
                  <c:v>1996Q4</c:v>
                </c:pt>
                <c:pt idx="8">
                  <c:v>1997Q1</c:v>
                </c:pt>
                <c:pt idx="9">
                  <c:v>1997Q2</c:v>
                </c:pt>
                <c:pt idx="10">
                  <c:v>1997Q3</c:v>
                </c:pt>
                <c:pt idx="11">
                  <c:v>1997Q4</c:v>
                </c:pt>
                <c:pt idx="12">
                  <c:v>1998Q1</c:v>
                </c:pt>
                <c:pt idx="13">
                  <c:v>1998Q2</c:v>
                </c:pt>
                <c:pt idx="14">
                  <c:v>1998Q3</c:v>
                </c:pt>
                <c:pt idx="15">
                  <c:v>1998Q4</c:v>
                </c:pt>
                <c:pt idx="16">
                  <c:v>1999Q1</c:v>
                </c:pt>
                <c:pt idx="17">
                  <c:v>1999Q2</c:v>
                </c:pt>
                <c:pt idx="18">
                  <c:v>1999Q3</c:v>
                </c:pt>
                <c:pt idx="19">
                  <c:v>1999Q4</c:v>
                </c:pt>
                <c:pt idx="20">
                  <c:v>2000Q1</c:v>
                </c:pt>
                <c:pt idx="21">
                  <c:v>2000Q2</c:v>
                </c:pt>
                <c:pt idx="22">
                  <c:v>2000Q3</c:v>
                </c:pt>
                <c:pt idx="23">
                  <c:v>2000Q4</c:v>
                </c:pt>
                <c:pt idx="24">
                  <c:v>2001Q1</c:v>
                </c:pt>
                <c:pt idx="25">
                  <c:v>2001Q2</c:v>
                </c:pt>
                <c:pt idx="26">
                  <c:v>2001Q3</c:v>
                </c:pt>
                <c:pt idx="27">
                  <c:v>2001Q4</c:v>
                </c:pt>
                <c:pt idx="28">
                  <c:v>2002Q1</c:v>
                </c:pt>
                <c:pt idx="29">
                  <c:v>2002Q2</c:v>
                </c:pt>
                <c:pt idx="30">
                  <c:v>2002Q3</c:v>
                </c:pt>
                <c:pt idx="31">
                  <c:v>2002Q4</c:v>
                </c:pt>
                <c:pt idx="32">
                  <c:v>2003Q1</c:v>
                </c:pt>
                <c:pt idx="33">
                  <c:v>2003Q2</c:v>
                </c:pt>
                <c:pt idx="34">
                  <c:v>2003Q3</c:v>
                </c:pt>
                <c:pt idx="35">
                  <c:v>2003Q4</c:v>
                </c:pt>
                <c:pt idx="36">
                  <c:v>2004Q1</c:v>
                </c:pt>
                <c:pt idx="37">
                  <c:v>2004Q2</c:v>
                </c:pt>
                <c:pt idx="38">
                  <c:v>2004Q3</c:v>
                </c:pt>
                <c:pt idx="39">
                  <c:v>2004Q4</c:v>
                </c:pt>
                <c:pt idx="40">
                  <c:v>2005Q1</c:v>
                </c:pt>
                <c:pt idx="41">
                  <c:v>2005Q2</c:v>
                </c:pt>
                <c:pt idx="42">
                  <c:v>2005Q3</c:v>
                </c:pt>
                <c:pt idx="43">
                  <c:v>2005Q4</c:v>
                </c:pt>
                <c:pt idx="44">
                  <c:v>2006Q1</c:v>
                </c:pt>
                <c:pt idx="45">
                  <c:v>2006Q2</c:v>
                </c:pt>
                <c:pt idx="46">
                  <c:v>2006Q3</c:v>
                </c:pt>
                <c:pt idx="47">
                  <c:v>2006Q4</c:v>
                </c:pt>
                <c:pt idx="48">
                  <c:v>2007Q1</c:v>
                </c:pt>
                <c:pt idx="49">
                  <c:v>2007Q2</c:v>
                </c:pt>
                <c:pt idx="50">
                  <c:v>2007Q3</c:v>
                </c:pt>
                <c:pt idx="51">
                  <c:v>2007Q4</c:v>
                </c:pt>
                <c:pt idx="52">
                  <c:v>2008Q1</c:v>
                </c:pt>
                <c:pt idx="53">
                  <c:v>2008Q2</c:v>
                </c:pt>
                <c:pt idx="54">
                  <c:v>2008Q3</c:v>
                </c:pt>
                <c:pt idx="55">
                  <c:v>2008Q4</c:v>
                </c:pt>
                <c:pt idx="56">
                  <c:v>2009Q1</c:v>
                </c:pt>
                <c:pt idx="57">
                  <c:v>2009Q2</c:v>
                </c:pt>
                <c:pt idx="58">
                  <c:v>2009Q3</c:v>
                </c:pt>
                <c:pt idx="59">
                  <c:v>2009Q4</c:v>
                </c:pt>
                <c:pt idx="60">
                  <c:v>2010Q1</c:v>
                </c:pt>
                <c:pt idx="61">
                  <c:v>2010Q2</c:v>
                </c:pt>
                <c:pt idx="62">
                  <c:v>2010Q3</c:v>
                </c:pt>
                <c:pt idx="63">
                  <c:v>2010Q4</c:v>
                </c:pt>
                <c:pt idx="64">
                  <c:v>2011Q1</c:v>
                </c:pt>
                <c:pt idx="65">
                  <c:v>2011Q2</c:v>
                </c:pt>
                <c:pt idx="66">
                  <c:v>2011Q3</c:v>
                </c:pt>
                <c:pt idx="67">
                  <c:v>2011Q4</c:v>
                </c:pt>
                <c:pt idx="68">
                  <c:v>2012Q1</c:v>
                </c:pt>
                <c:pt idx="69">
                  <c:v>2012Q2</c:v>
                </c:pt>
                <c:pt idx="70">
                  <c:v>2012Q3</c:v>
                </c:pt>
                <c:pt idx="71">
                  <c:v>2012Q4</c:v>
                </c:pt>
                <c:pt idx="72">
                  <c:v>2013Q1</c:v>
                </c:pt>
                <c:pt idx="73">
                  <c:v>2013Q2</c:v>
                </c:pt>
                <c:pt idx="74">
                  <c:v>2013Q3</c:v>
                </c:pt>
                <c:pt idx="75">
                  <c:v>2013Q4</c:v>
                </c:pt>
                <c:pt idx="76">
                  <c:v>2014Q1</c:v>
                </c:pt>
                <c:pt idx="77">
                  <c:v>2014Q2</c:v>
                </c:pt>
                <c:pt idx="78">
                  <c:v>2014Q3</c:v>
                </c:pt>
                <c:pt idx="79">
                  <c:v>2014Q4</c:v>
                </c:pt>
                <c:pt idx="80">
                  <c:v>2015Q1</c:v>
                </c:pt>
                <c:pt idx="81">
                  <c:v>2015Q2</c:v>
                </c:pt>
                <c:pt idx="82">
                  <c:v>2015Q3</c:v>
                </c:pt>
                <c:pt idx="83">
                  <c:v>2015Q4</c:v>
                </c:pt>
                <c:pt idx="84">
                  <c:v>2016Q1</c:v>
                </c:pt>
                <c:pt idx="85">
                  <c:v>2016Q2</c:v>
                </c:pt>
                <c:pt idx="86">
                  <c:v>2016Q3</c:v>
                </c:pt>
                <c:pt idx="87">
                  <c:v>2016Q4</c:v>
                </c:pt>
                <c:pt idx="88">
                  <c:v>2017Q1</c:v>
                </c:pt>
                <c:pt idx="89">
                  <c:v>2017Q2</c:v>
                </c:pt>
                <c:pt idx="90">
                  <c:v>2017Q3</c:v>
                </c:pt>
                <c:pt idx="91">
                  <c:v>2017Q4</c:v>
                </c:pt>
              </c:strCache>
            </c:strRef>
          </c:cat>
          <c:val>
            <c:numRef>
              <c:f>'43 trh práce'!$B$346:$B$437</c:f>
              <c:numCache>
                <c:formatCode>General</c:formatCode>
                <c:ptCount val="92"/>
                <c:pt idx="0">
                  <c:v>-8.6707838634620273</c:v>
                </c:pt>
                <c:pt idx="1">
                  <c:v>-10.624022844862392</c:v>
                </c:pt>
                <c:pt idx="2">
                  <c:v>-5.9241344986715188</c:v>
                </c:pt>
                <c:pt idx="3">
                  <c:v>-3.7906470001939128</c:v>
                </c:pt>
                <c:pt idx="4">
                  <c:v>1.4767851036541171</c:v>
                </c:pt>
                <c:pt idx="5">
                  <c:v>7.7479545927749625</c:v>
                </c:pt>
                <c:pt idx="6">
                  <c:v>-0.57058118786706136</c:v>
                </c:pt>
                <c:pt idx="7">
                  <c:v>-8.2648355144677161</c:v>
                </c:pt>
                <c:pt idx="8">
                  <c:v>-11.748518952865483</c:v>
                </c:pt>
                <c:pt idx="9">
                  <c:v>-4.3757597064620333</c:v>
                </c:pt>
                <c:pt idx="10">
                  <c:v>-12.629968672095297</c:v>
                </c:pt>
                <c:pt idx="11">
                  <c:v>-8.3838151031615489</c:v>
                </c:pt>
                <c:pt idx="12">
                  <c:v>-13.147502083944044</c:v>
                </c:pt>
                <c:pt idx="13">
                  <c:v>-13.169185280014393</c:v>
                </c:pt>
                <c:pt idx="14">
                  <c:v>-7.3294835937245564</c:v>
                </c:pt>
                <c:pt idx="15">
                  <c:v>-11.728253504230487</c:v>
                </c:pt>
                <c:pt idx="16">
                  <c:v>-21.564196025258443</c:v>
                </c:pt>
                <c:pt idx="17">
                  <c:v>-29.520288843893471</c:v>
                </c:pt>
                <c:pt idx="18">
                  <c:v>-23.957437093071317</c:v>
                </c:pt>
                <c:pt idx="19">
                  <c:v>-24.797855533583316</c:v>
                </c:pt>
                <c:pt idx="20">
                  <c:v>-10.773275511146732</c:v>
                </c:pt>
                <c:pt idx="21">
                  <c:v>-10.61448779838525</c:v>
                </c:pt>
                <c:pt idx="22">
                  <c:v>-4.5129476200610696</c:v>
                </c:pt>
                <c:pt idx="23">
                  <c:v>-5.4362347881188988</c:v>
                </c:pt>
                <c:pt idx="24">
                  <c:v>4.6494258743194132</c:v>
                </c:pt>
                <c:pt idx="25">
                  <c:v>-4.8427823910545262</c:v>
                </c:pt>
                <c:pt idx="26">
                  <c:v>-2.6415766033110257</c:v>
                </c:pt>
                <c:pt idx="27">
                  <c:v>-5.6147041711596399</c:v>
                </c:pt>
                <c:pt idx="28">
                  <c:v>-7.9705111468848759</c:v>
                </c:pt>
                <c:pt idx="29">
                  <c:v>3.1990424489663773</c:v>
                </c:pt>
                <c:pt idx="30">
                  <c:v>1.6869814503808749</c:v>
                </c:pt>
                <c:pt idx="31">
                  <c:v>6.3030475643781632</c:v>
                </c:pt>
                <c:pt idx="32">
                  <c:v>0.72922078046806638</c:v>
                </c:pt>
                <c:pt idx="33">
                  <c:v>-29.375839839507801</c:v>
                </c:pt>
                <c:pt idx="34">
                  <c:v>-4.7059669836444007</c:v>
                </c:pt>
                <c:pt idx="35">
                  <c:v>0.62073808258985697</c:v>
                </c:pt>
                <c:pt idx="36">
                  <c:v>-5.6351197342289909</c:v>
                </c:pt>
                <c:pt idx="37" formatCode="0.00">
                  <c:v>-4.0023639505425743</c:v>
                </c:pt>
                <c:pt idx="38" formatCode="0.00">
                  <c:v>0.57661555848361745</c:v>
                </c:pt>
                <c:pt idx="39" formatCode="0.00">
                  <c:v>0.72301605051562357</c:v>
                </c:pt>
                <c:pt idx="40" formatCode="0.00">
                  <c:v>2.0643052006653879</c:v>
                </c:pt>
                <c:pt idx="41" formatCode="0.00">
                  <c:v>0.12378146783248584</c:v>
                </c:pt>
                <c:pt idx="42" formatCode="0.00">
                  <c:v>-1.3245893121417107</c:v>
                </c:pt>
                <c:pt idx="43" formatCode="0.00">
                  <c:v>-1.1516130054388174</c:v>
                </c:pt>
                <c:pt idx="44" formatCode="0.00">
                  <c:v>1.1510756997078957</c:v>
                </c:pt>
                <c:pt idx="45" formatCode="0.00">
                  <c:v>3.440398660405025</c:v>
                </c:pt>
                <c:pt idx="46" formatCode="0.00">
                  <c:v>6.4192917344907885</c:v>
                </c:pt>
                <c:pt idx="47" formatCode="0.00">
                  <c:v>5.5288796275519347</c:v>
                </c:pt>
                <c:pt idx="48" formatCode="0.00">
                  <c:v>7.1447336378911954</c:v>
                </c:pt>
                <c:pt idx="49" formatCode="0.00">
                  <c:v>4.7408789235915867</c:v>
                </c:pt>
                <c:pt idx="50" formatCode="0.00">
                  <c:v>7.5139706680002378</c:v>
                </c:pt>
                <c:pt idx="51" formatCode="0.00">
                  <c:v>7.5164392164759413</c:v>
                </c:pt>
                <c:pt idx="52" formatCode="0.00">
                  <c:v>6.9319492071206525</c:v>
                </c:pt>
                <c:pt idx="53" formatCode="0.00">
                  <c:v>6.3124547355963845</c:v>
                </c:pt>
                <c:pt idx="54" formatCode="0.00">
                  <c:v>3.6756446583869216</c:v>
                </c:pt>
                <c:pt idx="55" formatCode="0.00">
                  <c:v>-3.5181281441464693</c:v>
                </c:pt>
                <c:pt idx="56" formatCode="0.00">
                  <c:v>-14.410120150915425</c:v>
                </c:pt>
                <c:pt idx="57" formatCode="0.00">
                  <c:v>-12.639014456712349</c:v>
                </c:pt>
                <c:pt idx="58" formatCode="0.00">
                  <c:v>-6.7350026347952978</c:v>
                </c:pt>
                <c:pt idx="59" formatCode="0.00">
                  <c:v>-2.6226455052034665</c:v>
                </c:pt>
                <c:pt idx="60" formatCode="0.00">
                  <c:v>1.9872019793567057</c:v>
                </c:pt>
                <c:pt idx="61" formatCode="0.00">
                  <c:v>8.6344248058641018</c:v>
                </c:pt>
                <c:pt idx="62" formatCode="0.00">
                  <c:v>10.926616620195183</c:v>
                </c:pt>
                <c:pt idx="63" formatCode="0.00">
                  <c:v>11.318404174217381</c:v>
                </c:pt>
                <c:pt idx="64" formatCode="0.00">
                  <c:v>15.325703438951393</c:v>
                </c:pt>
                <c:pt idx="65" formatCode="0.00">
                  <c:v>13.265177115353655</c:v>
                </c:pt>
                <c:pt idx="66" formatCode="0.00">
                  <c:v>10.891256331218891</c:v>
                </c:pt>
                <c:pt idx="67" formatCode="0.00">
                  <c:v>10.031667721463142</c:v>
                </c:pt>
                <c:pt idx="68" formatCode="0.00">
                  <c:v>10.798029707704037</c:v>
                </c:pt>
                <c:pt idx="69" formatCode="0.00">
                  <c:v>7.066362783581476</c:v>
                </c:pt>
                <c:pt idx="70" formatCode="0.00">
                  <c:v>2.3493669516705027</c:v>
                </c:pt>
                <c:pt idx="71" formatCode="0.00">
                  <c:v>-1.7526044829830292</c:v>
                </c:pt>
                <c:pt idx="72" formatCode="0.00">
                  <c:v>1.8089105097196405</c:v>
                </c:pt>
                <c:pt idx="73" formatCode="0.00">
                  <c:v>2.4263367379264307</c:v>
                </c:pt>
                <c:pt idx="74" formatCode="0.00">
                  <c:v>2.7713330667876019</c:v>
                </c:pt>
                <c:pt idx="75" formatCode="0.00">
                  <c:v>7.1324798522145061</c:v>
                </c:pt>
                <c:pt idx="76" formatCode="0.00">
                  <c:v>4.9670068596362009</c:v>
                </c:pt>
                <c:pt idx="77" formatCode="0.00">
                  <c:v>5.3696916096322491</c:v>
                </c:pt>
                <c:pt idx="78" formatCode="0.00">
                  <c:v>5.1279962507678825</c:v>
                </c:pt>
                <c:pt idx="79" formatCode="0.00">
                  <c:v>5.34240414134677</c:v>
                </c:pt>
                <c:pt idx="80" formatCode="0.00">
                  <c:v>5.5888586837588887</c:v>
                </c:pt>
                <c:pt idx="81" formatCode="0.00">
                  <c:v>6.6404825735839976</c:v>
                </c:pt>
                <c:pt idx="82" formatCode="0.00">
                  <c:v>6.8588490373941919</c:v>
                </c:pt>
                <c:pt idx="83" formatCode="0.00">
                  <c:v>8.2963670997454741</c:v>
                </c:pt>
                <c:pt idx="84" formatCode="0.00">
                  <c:v>6.8470400352266383</c:v>
                </c:pt>
                <c:pt idx="85" formatCode="0.00">
                  <c:v>8.7533821553824556</c:v>
                </c:pt>
                <c:pt idx="86" formatCode="0.00">
                  <c:v>8.8048213682140055</c:v>
                </c:pt>
                <c:pt idx="87" formatCode="0.00">
                  <c:v>11.122365842565827</c:v>
                </c:pt>
                <c:pt idx="88" formatCode="0.00">
                  <c:v>17.895884946492291</c:v>
                </c:pt>
                <c:pt idx="89" formatCode="0.00">
                  <c:v>15.584211614461079</c:v>
                </c:pt>
                <c:pt idx="90" formatCode="0.00">
                  <c:v>15.648794179987574</c:v>
                </c:pt>
                <c:pt idx="91" formatCode="0.00">
                  <c:v>20.618738393544067</c:v>
                </c:pt>
              </c:numCache>
            </c:numRef>
          </c:val>
          <c:smooth val="0"/>
        </c:ser>
        <c:ser>
          <c:idx val="5"/>
          <c:order val="1"/>
          <c:tx>
            <c:strRef>
              <c:f>'43 trh práce'!$C$345</c:f>
              <c:strCache>
                <c:ptCount val="1"/>
                <c:pt idx="0">
                  <c:v>Nedostatok pracovníkov</c:v>
                </c:pt>
              </c:strCache>
            </c:strRef>
          </c:tx>
          <c:spPr>
            <a:ln w="19050">
              <a:solidFill>
                <a:srgbClr val="2C9ADC"/>
              </a:solidFill>
              <a:prstDash val="solid"/>
            </a:ln>
          </c:spPr>
          <c:marker>
            <c:symbol val="none"/>
          </c:marker>
          <c:cat>
            <c:strRef>
              <c:f>'43 trh práce'!$A$346:$A$437</c:f>
              <c:strCache>
                <c:ptCount val="92"/>
                <c:pt idx="0">
                  <c:v>1995Q1</c:v>
                </c:pt>
                <c:pt idx="1">
                  <c:v>1995Q2</c:v>
                </c:pt>
                <c:pt idx="2">
                  <c:v>1995Q3</c:v>
                </c:pt>
                <c:pt idx="3">
                  <c:v>1995Q4</c:v>
                </c:pt>
                <c:pt idx="4">
                  <c:v>1996Q1</c:v>
                </c:pt>
                <c:pt idx="5">
                  <c:v>1996Q2</c:v>
                </c:pt>
                <c:pt idx="6">
                  <c:v>1996Q3</c:v>
                </c:pt>
                <c:pt idx="7">
                  <c:v>1996Q4</c:v>
                </c:pt>
                <c:pt idx="8">
                  <c:v>1997Q1</c:v>
                </c:pt>
                <c:pt idx="9">
                  <c:v>1997Q2</c:v>
                </c:pt>
                <c:pt idx="10">
                  <c:v>1997Q3</c:v>
                </c:pt>
                <c:pt idx="11">
                  <c:v>1997Q4</c:v>
                </c:pt>
                <c:pt idx="12">
                  <c:v>1998Q1</c:v>
                </c:pt>
                <c:pt idx="13">
                  <c:v>1998Q2</c:v>
                </c:pt>
                <c:pt idx="14">
                  <c:v>1998Q3</c:v>
                </c:pt>
                <c:pt idx="15">
                  <c:v>1998Q4</c:v>
                </c:pt>
                <c:pt idx="16">
                  <c:v>1999Q1</c:v>
                </c:pt>
                <c:pt idx="17">
                  <c:v>1999Q2</c:v>
                </c:pt>
                <c:pt idx="18">
                  <c:v>1999Q3</c:v>
                </c:pt>
                <c:pt idx="19">
                  <c:v>1999Q4</c:v>
                </c:pt>
                <c:pt idx="20">
                  <c:v>2000Q1</c:v>
                </c:pt>
                <c:pt idx="21">
                  <c:v>2000Q2</c:v>
                </c:pt>
                <c:pt idx="22">
                  <c:v>2000Q3</c:v>
                </c:pt>
                <c:pt idx="23">
                  <c:v>2000Q4</c:v>
                </c:pt>
                <c:pt idx="24">
                  <c:v>2001Q1</c:v>
                </c:pt>
                <c:pt idx="25">
                  <c:v>2001Q2</c:v>
                </c:pt>
                <c:pt idx="26">
                  <c:v>2001Q3</c:v>
                </c:pt>
                <c:pt idx="27">
                  <c:v>2001Q4</c:v>
                </c:pt>
                <c:pt idx="28">
                  <c:v>2002Q1</c:v>
                </c:pt>
                <c:pt idx="29">
                  <c:v>2002Q2</c:v>
                </c:pt>
                <c:pt idx="30">
                  <c:v>2002Q3</c:v>
                </c:pt>
                <c:pt idx="31">
                  <c:v>2002Q4</c:v>
                </c:pt>
                <c:pt idx="32">
                  <c:v>2003Q1</c:v>
                </c:pt>
                <c:pt idx="33">
                  <c:v>2003Q2</c:v>
                </c:pt>
                <c:pt idx="34">
                  <c:v>2003Q3</c:v>
                </c:pt>
                <c:pt idx="35">
                  <c:v>2003Q4</c:v>
                </c:pt>
                <c:pt idx="36">
                  <c:v>2004Q1</c:v>
                </c:pt>
                <c:pt idx="37">
                  <c:v>2004Q2</c:v>
                </c:pt>
                <c:pt idx="38">
                  <c:v>2004Q3</c:v>
                </c:pt>
                <c:pt idx="39">
                  <c:v>2004Q4</c:v>
                </c:pt>
                <c:pt idx="40">
                  <c:v>2005Q1</c:v>
                </c:pt>
                <c:pt idx="41">
                  <c:v>2005Q2</c:v>
                </c:pt>
                <c:pt idx="42">
                  <c:v>2005Q3</c:v>
                </c:pt>
                <c:pt idx="43">
                  <c:v>2005Q4</c:v>
                </c:pt>
                <c:pt idx="44">
                  <c:v>2006Q1</c:v>
                </c:pt>
                <c:pt idx="45">
                  <c:v>2006Q2</c:v>
                </c:pt>
                <c:pt idx="46">
                  <c:v>2006Q3</c:v>
                </c:pt>
                <c:pt idx="47">
                  <c:v>2006Q4</c:v>
                </c:pt>
                <c:pt idx="48">
                  <c:v>2007Q1</c:v>
                </c:pt>
                <c:pt idx="49">
                  <c:v>2007Q2</c:v>
                </c:pt>
                <c:pt idx="50">
                  <c:v>2007Q3</c:v>
                </c:pt>
                <c:pt idx="51">
                  <c:v>2007Q4</c:v>
                </c:pt>
                <c:pt idx="52">
                  <c:v>2008Q1</c:v>
                </c:pt>
                <c:pt idx="53">
                  <c:v>2008Q2</c:v>
                </c:pt>
                <c:pt idx="54">
                  <c:v>2008Q3</c:v>
                </c:pt>
                <c:pt idx="55">
                  <c:v>2008Q4</c:v>
                </c:pt>
                <c:pt idx="56">
                  <c:v>2009Q1</c:v>
                </c:pt>
                <c:pt idx="57">
                  <c:v>2009Q2</c:v>
                </c:pt>
                <c:pt idx="58">
                  <c:v>2009Q3</c:v>
                </c:pt>
                <c:pt idx="59">
                  <c:v>2009Q4</c:v>
                </c:pt>
                <c:pt idx="60">
                  <c:v>2010Q1</c:v>
                </c:pt>
                <c:pt idx="61">
                  <c:v>2010Q2</c:v>
                </c:pt>
                <c:pt idx="62">
                  <c:v>2010Q3</c:v>
                </c:pt>
                <c:pt idx="63">
                  <c:v>2010Q4</c:v>
                </c:pt>
                <c:pt idx="64">
                  <c:v>2011Q1</c:v>
                </c:pt>
                <c:pt idx="65">
                  <c:v>2011Q2</c:v>
                </c:pt>
                <c:pt idx="66">
                  <c:v>2011Q3</c:v>
                </c:pt>
                <c:pt idx="67">
                  <c:v>2011Q4</c:v>
                </c:pt>
                <c:pt idx="68">
                  <c:v>2012Q1</c:v>
                </c:pt>
                <c:pt idx="69">
                  <c:v>2012Q2</c:v>
                </c:pt>
                <c:pt idx="70">
                  <c:v>2012Q3</c:v>
                </c:pt>
                <c:pt idx="71">
                  <c:v>2012Q4</c:v>
                </c:pt>
                <c:pt idx="72">
                  <c:v>2013Q1</c:v>
                </c:pt>
                <c:pt idx="73">
                  <c:v>2013Q2</c:v>
                </c:pt>
                <c:pt idx="74">
                  <c:v>2013Q3</c:v>
                </c:pt>
                <c:pt idx="75">
                  <c:v>2013Q4</c:v>
                </c:pt>
                <c:pt idx="76">
                  <c:v>2014Q1</c:v>
                </c:pt>
                <c:pt idx="77">
                  <c:v>2014Q2</c:v>
                </c:pt>
                <c:pt idx="78">
                  <c:v>2014Q3</c:v>
                </c:pt>
                <c:pt idx="79">
                  <c:v>2014Q4</c:v>
                </c:pt>
                <c:pt idx="80">
                  <c:v>2015Q1</c:v>
                </c:pt>
                <c:pt idx="81">
                  <c:v>2015Q2</c:v>
                </c:pt>
                <c:pt idx="82">
                  <c:v>2015Q3</c:v>
                </c:pt>
                <c:pt idx="83">
                  <c:v>2015Q4</c:v>
                </c:pt>
                <c:pt idx="84">
                  <c:v>2016Q1</c:v>
                </c:pt>
                <c:pt idx="85">
                  <c:v>2016Q2</c:v>
                </c:pt>
                <c:pt idx="86">
                  <c:v>2016Q3</c:v>
                </c:pt>
                <c:pt idx="87">
                  <c:v>2016Q4</c:v>
                </c:pt>
                <c:pt idx="88">
                  <c:v>2017Q1</c:v>
                </c:pt>
                <c:pt idx="89">
                  <c:v>2017Q2</c:v>
                </c:pt>
                <c:pt idx="90">
                  <c:v>2017Q3</c:v>
                </c:pt>
                <c:pt idx="91">
                  <c:v>2017Q4</c:v>
                </c:pt>
              </c:strCache>
            </c:strRef>
          </c:cat>
          <c:val>
            <c:numRef>
              <c:f>'43 trh práce'!$C$346:$C$437</c:f>
              <c:numCache>
                <c:formatCode>General</c:formatCode>
                <c:ptCount val="92"/>
                <c:pt idx="0">
                  <c:v>-5.8401224823982369</c:v>
                </c:pt>
                <c:pt idx="1">
                  <c:v>-9.5269363114432419</c:v>
                </c:pt>
                <c:pt idx="2">
                  <c:v>-8.5962259800067908</c:v>
                </c:pt>
                <c:pt idx="3">
                  <c:v>-7.0290298735234957</c:v>
                </c:pt>
                <c:pt idx="4">
                  <c:v>-6.1043241248705176</c:v>
                </c:pt>
                <c:pt idx="5">
                  <c:v>-7.8816806287749426</c:v>
                </c:pt>
                <c:pt idx="6">
                  <c:v>3.6951549777376718</c:v>
                </c:pt>
                <c:pt idx="7">
                  <c:v>9.9159027414031655</c:v>
                </c:pt>
                <c:pt idx="8">
                  <c:v>7.5080650452353428</c:v>
                </c:pt>
                <c:pt idx="9">
                  <c:v>9.33345821140745</c:v>
                </c:pt>
                <c:pt idx="10">
                  <c:v>8.2045966481168051</c:v>
                </c:pt>
                <c:pt idx="11">
                  <c:v>9.4295315359428304</c:v>
                </c:pt>
                <c:pt idx="12">
                  <c:v>13.140363696121668</c:v>
                </c:pt>
                <c:pt idx="13">
                  <c:v>13.482624914778935</c:v>
                </c:pt>
                <c:pt idx="14">
                  <c:v>21.444701685648084</c:v>
                </c:pt>
                <c:pt idx="15">
                  <c:v>24.747222216551581</c:v>
                </c:pt>
                <c:pt idx="16">
                  <c:v>19.042868572263714</c:v>
                </c:pt>
                <c:pt idx="17">
                  <c:v>16.310783405789017</c:v>
                </c:pt>
                <c:pt idx="18">
                  <c:v>3.2748341828954004</c:v>
                </c:pt>
                <c:pt idx="19">
                  <c:v>-4.1408255546788144</c:v>
                </c:pt>
                <c:pt idx="20">
                  <c:v>14.25121151106192</c:v>
                </c:pt>
                <c:pt idx="21">
                  <c:v>-4.3029492898322586</c:v>
                </c:pt>
                <c:pt idx="22">
                  <c:v>3.8812970440249535</c:v>
                </c:pt>
                <c:pt idx="23">
                  <c:v>3.659127481036903</c:v>
                </c:pt>
                <c:pt idx="24">
                  <c:v>-5.6719941644613341</c:v>
                </c:pt>
                <c:pt idx="25">
                  <c:v>-6.1283424560043613</c:v>
                </c:pt>
                <c:pt idx="26">
                  <c:v>-5.5338887604417382</c:v>
                </c:pt>
                <c:pt idx="27">
                  <c:v>-7.3772956749642269</c:v>
                </c:pt>
                <c:pt idx="28">
                  <c:v>-7.113094032491948</c:v>
                </c:pt>
                <c:pt idx="29">
                  <c:v>9.0992794828524826</c:v>
                </c:pt>
                <c:pt idx="30">
                  <c:v>-3.9967155678757429</c:v>
                </c:pt>
                <c:pt idx="31">
                  <c:v>6.5233134687477543</c:v>
                </c:pt>
                <c:pt idx="32">
                  <c:v>-7.9032971267954011</c:v>
                </c:pt>
                <c:pt idx="33">
                  <c:v>-8.5373810687288749</c:v>
                </c:pt>
                <c:pt idx="34">
                  <c:v>-9.3047667484551759</c:v>
                </c:pt>
                <c:pt idx="35">
                  <c:v>-8.6778883058618579</c:v>
                </c:pt>
                <c:pt idx="36">
                  <c:v>-10.230673413664846</c:v>
                </c:pt>
                <c:pt idx="37" formatCode="0.00">
                  <c:v>-9.8920149446776513</c:v>
                </c:pt>
                <c:pt idx="38" formatCode="0.00">
                  <c:v>-8.3680518342352759</c:v>
                </c:pt>
                <c:pt idx="39" formatCode="0.00">
                  <c:v>-8.8039845443145364</c:v>
                </c:pt>
                <c:pt idx="40" formatCode="0.00">
                  <c:v>-7.9141053758056312</c:v>
                </c:pt>
                <c:pt idx="41" formatCode="0.00">
                  <c:v>-8.0654208619488461</c:v>
                </c:pt>
                <c:pt idx="42" formatCode="0.00">
                  <c:v>-7.9573383718465509</c:v>
                </c:pt>
                <c:pt idx="43" formatCode="0.00">
                  <c:v>-9.1606567616521133</c:v>
                </c:pt>
                <c:pt idx="44" formatCode="0.00">
                  <c:v>-7.5286111611074427</c:v>
                </c:pt>
                <c:pt idx="45" formatCode="0.00">
                  <c:v>-7.4349396696854519</c:v>
                </c:pt>
                <c:pt idx="46" formatCode="0.00">
                  <c:v>-5.0210973907341705</c:v>
                </c:pt>
                <c:pt idx="47" formatCode="0.00">
                  <c:v>-3.7709432552176181</c:v>
                </c:pt>
                <c:pt idx="48" formatCode="0.00">
                  <c:v>-0.41318056270628067</c:v>
                </c:pt>
                <c:pt idx="49" formatCode="0.00">
                  <c:v>-2.5352001183813573</c:v>
                </c:pt>
                <c:pt idx="50" formatCode="0.00">
                  <c:v>7.4227999697101952</c:v>
                </c:pt>
                <c:pt idx="51" formatCode="0.00">
                  <c:v>3.9029135420454137</c:v>
                </c:pt>
                <c:pt idx="52" formatCode="0.00">
                  <c:v>8.9935988258635611</c:v>
                </c:pt>
                <c:pt idx="53" formatCode="0.00">
                  <c:v>5.4520959001783336</c:v>
                </c:pt>
                <c:pt idx="54" formatCode="0.00">
                  <c:v>6.6157840436130462</c:v>
                </c:pt>
                <c:pt idx="55" formatCode="0.00">
                  <c:v>-0.73382528334309383</c:v>
                </c:pt>
                <c:pt idx="56" formatCode="0.00">
                  <c:v>-8.0834346102992303</c:v>
                </c:pt>
                <c:pt idx="57" formatCode="0.00">
                  <c:v>-6.2064020321893523</c:v>
                </c:pt>
                <c:pt idx="58" formatCode="0.00">
                  <c:v>-11.779855771797759</c:v>
                </c:pt>
                <c:pt idx="59" formatCode="0.00">
                  <c:v>-9.1786705100024957</c:v>
                </c:pt>
                <c:pt idx="60" formatCode="0.00">
                  <c:v>-9.834370949956428</c:v>
                </c:pt>
                <c:pt idx="61" formatCode="0.00">
                  <c:v>-7.8132283850434883</c:v>
                </c:pt>
                <c:pt idx="62" formatCode="0.00">
                  <c:v>-8.9769165284782098</c:v>
                </c:pt>
                <c:pt idx="63" formatCode="0.00">
                  <c:v>-6.1307442891177439</c:v>
                </c:pt>
                <c:pt idx="64" formatCode="0.00">
                  <c:v>-7.5754469068184367</c:v>
                </c:pt>
                <c:pt idx="65" formatCode="0.00">
                  <c:v>-7.071061953007721</c:v>
                </c:pt>
                <c:pt idx="66" formatCode="0.00">
                  <c:v>-8.4869425733478021</c:v>
                </c:pt>
                <c:pt idx="67" formatCode="0.00">
                  <c:v>-6.8512942231330518</c:v>
                </c:pt>
                <c:pt idx="68" formatCode="0.00">
                  <c:v>-5.4390163524630486</c:v>
                </c:pt>
                <c:pt idx="69" formatCode="0.00">
                  <c:v>-6.7288007343504486</c:v>
                </c:pt>
                <c:pt idx="70" formatCode="0.00">
                  <c:v>-9.1066155166009661</c:v>
                </c:pt>
                <c:pt idx="71" formatCode="0.00">
                  <c:v>-9.4416712359180845</c:v>
                </c:pt>
                <c:pt idx="72" formatCode="0.00">
                  <c:v>-7.8204338843836414</c:v>
                </c:pt>
                <c:pt idx="73" formatCode="0.00">
                  <c:v>-7.7303651426317277</c:v>
                </c:pt>
                <c:pt idx="74" formatCode="0.00">
                  <c:v>-8.631052560150863</c:v>
                </c:pt>
                <c:pt idx="75" formatCode="0.00">
                  <c:v>-2.5243918693711285</c:v>
                </c:pt>
                <c:pt idx="76" formatCode="0.00">
                  <c:v>-3.396257289529653</c:v>
                </c:pt>
                <c:pt idx="77" formatCode="0.00">
                  <c:v>-1.4831972147190078</c:v>
                </c:pt>
                <c:pt idx="78" formatCode="0.00">
                  <c:v>-3.4891847348240967E-2</c:v>
                </c:pt>
                <c:pt idx="79" formatCode="0.00">
                  <c:v>-0.74103078268324274</c:v>
                </c:pt>
                <c:pt idx="80" formatCode="0.00">
                  <c:v>-7.4522093719081584E-2</c:v>
                </c:pt>
                <c:pt idx="81" formatCode="0.00">
                  <c:v>2.6347456581784749</c:v>
                </c:pt>
                <c:pt idx="82" formatCode="0.00">
                  <c:v>4.7171349674827141</c:v>
                </c:pt>
                <c:pt idx="83" formatCode="0.00">
                  <c:v>6.839154523157795</c:v>
                </c:pt>
                <c:pt idx="84" formatCode="0.00">
                  <c:v>4.5874359793599577</c:v>
                </c:pt>
                <c:pt idx="85" formatCode="0.00">
                  <c:v>8.2298158958073433</c:v>
                </c:pt>
                <c:pt idx="86" formatCode="0.00">
                  <c:v>12.711636485382549</c:v>
                </c:pt>
                <c:pt idx="87" formatCode="0.00">
                  <c:v>14.92732753247962</c:v>
                </c:pt>
                <c:pt idx="88" formatCode="0.00">
                  <c:v>18.966009912635432</c:v>
                </c:pt>
                <c:pt idx="89" formatCode="0.00">
                  <c:v>21.815784901665978</c:v>
                </c:pt>
                <c:pt idx="90" formatCode="0.00">
                  <c:v>27.630622869169507</c:v>
                </c:pt>
                <c:pt idx="91" formatCode="0.00">
                  <c:v>30.24621912964507</c:v>
                </c:pt>
              </c:numCache>
            </c:numRef>
          </c:val>
          <c:smooth val="0"/>
        </c:ser>
        <c:ser>
          <c:idx val="0"/>
          <c:order val="2"/>
          <c:tx>
            <c:strRef>
              <c:f>'43 trh práce'!$D$345</c:f>
              <c:strCache>
                <c:ptCount val="1"/>
                <c:pt idx="0">
                  <c:v>Voľné pracovné miesta</c:v>
                </c:pt>
              </c:strCache>
            </c:strRef>
          </c:tx>
          <c:spPr>
            <a:ln w="19050">
              <a:solidFill>
                <a:srgbClr val="FF0000"/>
              </a:solidFill>
              <a:prstDash val="solid"/>
            </a:ln>
          </c:spPr>
          <c:marker>
            <c:symbol val="none"/>
          </c:marker>
          <c:dPt>
            <c:idx val="2"/>
            <c:bubble3D val="0"/>
          </c:dPt>
          <c:cat>
            <c:strRef>
              <c:f>'43 trh práce'!$A$346:$A$437</c:f>
              <c:strCache>
                <c:ptCount val="92"/>
                <c:pt idx="0">
                  <c:v>1995Q1</c:v>
                </c:pt>
                <c:pt idx="1">
                  <c:v>1995Q2</c:v>
                </c:pt>
                <c:pt idx="2">
                  <c:v>1995Q3</c:v>
                </c:pt>
                <c:pt idx="3">
                  <c:v>1995Q4</c:v>
                </c:pt>
                <c:pt idx="4">
                  <c:v>1996Q1</c:v>
                </c:pt>
                <c:pt idx="5">
                  <c:v>1996Q2</c:v>
                </c:pt>
                <c:pt idx="6">
                  <c:v>1996Q3</c:v>
                </c:pt>
                <c:pt idx="7">
                  <c:v>1996Q4</c:v>
                </c:pt>
                <c:pt idx="8">
                  <c:v>1997Q1</c:v>
                </c:pt>
                <c:pt idx="9">
                  <c:v>1997Q2</c:v>
                </c:pt>
                <c:pt idx="10">
                  <c:v>1997Q3</c:v>
                </c:pt>
                <c:pt idx="11">
                  <c:v>1997Q4</c:v>
                </c:pt>
                <c:pt idx="12">
                  <c:v>1998Q1</c:v>
                </c:pt>
                <c:pt idx="13">
                  <c:v>1998Q2</c:v>
                </c:pt>
                <c:pt idx="14">
                  <c:v>1998Q3</c:v>
                </c:pt>
                <c:pt idx="15">
                  <c:v>1998Q4</c:v>
                </c:pt>
                <c:pt idx="16">
                  <c:v>1999Q1</c:v>
                </c:pt>
                <c:pt idx="17">
                  <c:v>1999Q2</c:v>
                </c:pt>
                <c:pt idx="18">
                  <c:v>1999Q3</c:v>
                </c:pt>
                <c:pt idx="19">
                  <c:v>1999Q4</c:v>
                </c:pt>
                <c:pt idx="20">
                  <c:v>2000Q1</c:v>
                </c:pt>
                <c:pt idx="21">
                  <c:v>2000Q2</c:v>
                </c:pt>
                <c:pt idx="22">
                  <c:v>2000Q3</c:v>
                </c:pt>
                <c:pt idx="23">
                  <c:v>2000Q4</c:v>
                </c:pt>
                <c:pt idx="24">
                  <c:v>2001Q1</c:v>
                </c:pt>
                <c:pt idx="25">
                  <c:v>2001Q2</c:v>
                </c:pt>
                <c:pt idx="26">
                  <c:v>2001Q3</c:v>
                </c:pt>
                <c:pt idx="27">
                  <c:v>2001Q4</c:v>
                </c:pt>
                <c:pt idx="28">
                  <c:v>2002Q1</c:v>
                </c:pt>
                <c:pt idx="29">
                  <c:v>2002Q2</c:v>
                </c:pt>
                <c:pt idx="30">
                  <c:v>2002Q3</c:v>
                </c:pt>
                <c:pt idx="31">
                  <c:v>2002Q4</c:v>
                </c:pt>
                <c:pt idx="32">
                  <c:v>2003Q1</c:v>
                </c:pt>
                <c:pt idx="33">
                  <c:v>2003Q2</c:v>
                </c:pt>
                <c:pt idx="34">
                  <c:v>2003Q3</c:v>
                </c:pt>
                <c:pt idx="35">
                  <c:v>2003Q4</c:v>
                </c:pt>
                <c:pt idx="36">
                  <c:v>2004Q1</c:v>
                </c:pt>
                <c:pt idx="37">
                  <c:v>2004Q2</c:v>
                </c:pt>
                <c:pt idx="38">
                  <c:v>2004Q3</c:v>
                </c:pt>
                <c:pt idx="39">
                  <c:v>2004Q4</c:v>
                </c:pt>
                <c:pt idx="40">
                  <c:v>2005Q1</c:v>
                </c:pt>
                <c:pt idx="41">
                  <c:v>2005Q2</c:v>
                </c:pt>
                <c:pt idx="42">
                  <c:v>2005Q3</c:v>
                </c:pt>
                <c:pt idx="43">
                  <c:v>2005Q4</c:v>
                </c:pt>
                <c:pt idx="44">
                  <c:v>2006Q1</c:v>
                </c:pt>
                <c:pt idx="45">
                  <c:v>2006Q2</c:v>
                </c:pt>
                <c:pt idx="46">
                  <c:v>2006Q3</c:v>
                </c:pt>
                <c:pt idx="47">
                  <c:v>2006Q4</c:v>
                </c:pt>
                <c:pt idx="48">
                  <c:v>2007Q1</c:v>
                </c:pt>
                <c:pt idx="49">
                  <c:v>2007Q2</c:v>
                </c:pt>
                <c:pt idx="50">
                  <c:v>2007Q3</c:v>
                </c:pt>
                <c:pt idx="51">
                  <c:v>2007Q4</c:v>
                </c:pt>
                <c:pt idx="52">
                  <c:v>2008Q1</c:v>
                </c:pt>
                <c:pt idx="53">
                  <c:v>2008Q2</c:v>
                </c:pt>
                <c:pt idx="54">
                  <c:v>2008Q3</c:v>
                </c:pt>
                <c:pt idx="55">
                  <c:v>2008Q4</c:v>
                </c:pt>
                <c:pt idx="56">
                  <c:v>2009Q1</c:v>
                </c:pt>
                <c:pt idx="57">
                  <c:v>2009Q2</c:v>
                </c:pt>
                <c:pt idx="58">
                  <c:v>2009Q3</c:v>
                </c:pt>
                <c:pt idx="59">
                  <c:v>2009Q4</c:v>
                </c:pt>
                <c:pt idx="60">
                  <c:v>2010Q1</c:v>
                </c:pt>
                <c:pt idx="61">
                  <c:v>2010Q2</c:v>
                </c:pt>
                <c:pt idx="62">
                  <c:v>2010Q3</c:v>
                </c:pt>
                <c:pt idx="63">
                  <c:v>2010Q4</c:v>
                </c:pt>
                <c:pt idx="64">
                  <c:v>2011Q1</c:v>
                </c:pt>
                <c:pt idx="65">
                  <c:v>2011Q2</c:v>
                </c:pt>
                <c:pt idx="66">
                  <c:v>2011Q3</c:v>
                </c:pt>
                <c:pt idx="67">
                  <c:v>2011Q4</c:v>
                </c:pt>
                <c:pt idx="68">
                  <c:v>2012Q1</c:v>
                </c:pt>
                <c:pt idx="69">
                  <c:v>2012Q2</c:v>
                </c:pt>
                <c:pt idx="70">
                  <c:v>2012Q3</c:v>
                </c:pt>
                <c:pt idx="71">
                  <c:v>2012Q4</c:v>
                </c:pt>
                <c:pt idx="72">
                  <c:v>2013Q1</c:v>
                </c:pt>
                <c:pt idx="73">
                  <c:v>2013Q2</c:v>
                </c:pt>
                <c:pt idx="74">
                  <c:v>2013Q3</c:v>
                </c:pt>
                <c:pt idx="75">
                  <c:v>2013Q4</c:v>
                </c:pt>
                <c:pt idx="76">
                  <c:v>2014Q1</c:v>
                </c:pt>
                <c:pt idx="77">
                  <c:v>2014Q2</c:v>
                </c:pt>
                <c:pt idx="78">
                  <c:v>2014Q3</c:v>
                </c:pt>
                <c:pt idx="79">
                  <c:v>2014Q4</c:v>
                </c:pt>
                <c:pt idx="80">
                  <c:v>2015Q1</c:v>
                </c:pt>
                <c:pt idx="81">
                  <c:v>2015Q2</c:v>
                </c:pt>
                <c:pt idx="82">
                  <c:v>2015Q3</c:v>
                </c:pt>
                <c:pt idx="83">
                  <c:v>2015Q4</c:v>
                </c:pt>
                <c:pt idx="84">
                  <c:v>2016Q1</c:v>
                </c:pt>
                <c:pt idx="85">
                  <c:v>2016Q2</c:v>
                </c:pt>
                <c:pt idx="86">
                  <c:v>2016Q3</c:v>
                </c:pt>
                <c:pt idx="87">
                  <c:v>2016Q4</c:v>
                </c:pt>
                <c:pt idx="88">
                  <c:v>2017Q1</c:v>
                </c:pt>
                <c:pt idx="89">
                  <c:v>2017Q2</c:v>
                </c:pt>
                <c:pt idx="90">
                  <c:v>2017Q3</c:v>
                </c:pt>
                <c:pt idx="91">
                  <c:v>2017Q4</c:v>
                </c:pt>
              </c:strCache>
            </c:strRef>
          </c:cat>
          <c:val>
            <c:numRef>
              <c:f>'43 trh práce'!$D$346:$D$437</c:f>
              <c:numCache>
                <c:formatCode>General</c:formatCode>
                <c:ptCount val="92"/>
                <c:pt idx="28">
                  <c:v>-4.1582728855108417</c:v>
                </c:pt>
                <c:pt idx="29">
                  <c:v>-2.4850345342589981</c:v>
                </c:pt>
                <c:pt idx="30">
                  <c:v>-1.1637315048290797</c:v>
                </c:pt>
                <c:pt idx="31">
                  <c:v>-0.38026733748553476</c:v>
                </c:pt>
                <c:pt idx="32">
                  <c:v>1.8555639553355319</c:v>
                </c:pt>
                <c:pt idx="33">
                  <c:v>1.8404822119359621</c:v>
                </c:pt>
                <c:pt idx="34">
                  <c:v>0.78299697969713977</c:v>
                </c:pt>
                <c:pt idx="35">
                  <c:v>-0.39065795507954304</c:v>
                </c:pt>
                <c:pt idx="36">
                  <c:v>-7.9447552652947593</c:v>
                </c:pt>
                <c:pt idx="37">
                  <c:v>-4.0570219448465075</c:v>
                </c:pt>
                <c:pt idx="38">
                  <c:v>-2.6950638730288383</c:v>
                </c:pt>
                <c:pt idx="39">
                  <c:v>-2.4282715098171122</c:v>
                </c:pt>
                <c:pt idx="40">
                  <c:v>-1.8447880298709944</c:v>
                </c:pt>
                <c:pt idx="41">
                  <c:v>-2.0560483901282955</c:v>
                </c:pt>
                <c:pt idx="42">
                  <c:v>-2.5417639172651274</c:v>
                </c:pt>
                <c:pt idx="43">
                  <c:v>-1.4778176202619189</c:v>
                </c:pt>
                <c:pt idx="44">
                  <c:v>-0.53095434115632001</c:v>
                </c:pt>
                <c:pt idx="45">
                  <c:v>3.4393047528138485</c:v>
                </c:pt>
                <c:pt idx="46">
                  <c:v>4.8293658020830073</c:v>
                </c:pt>
                <c:pt idx="47">
                  <c:v>6.4606540569827065</c:v>
                </c:pt>
                <c:pt idx="48">
                  <c:v>7.4824371308995525</c:v>
                </c:pt>
                <c:pt idx="49">
                  <c:v>6.3560056831474645</c:v>
                </c:pt>
                <c:pt idx="50">
                  <c:v>5.7472108764277188</c:v>
                </c:pt>
                <c:pt idx="51">
                  <c:v>5.1666169656273269</c:v>
                </c:pt>
                <c:pt idx="52">
                  <c:v>4.534062675245992</c:v>
                </c:pt>
                <c:pt idx="53">
                  <c:v>1.8843437835355747</c:v>
                </c:pt>
                <c:pt idx="54">
                  <c:v>-0.55172419175879839</c:v>
                </c:pt>
                <c:pt idx="55">
                  <c:v>-2.8911594676590742</c:v>
                </c:pt>
                <c:pt idx="56">
                  <c:v>-6.0664938879962245</c:v>
                </c:pt>
                <c:pt idx="57">
                  <c:v>-7.955832584548217</c:v>
                </c:pt>
                <c:pt idx="58">
                  <c:v>-8.3676489845189721</c:v>
                </c:pt>
                <c:pt idx="59">
                  <c:v>-8.9874228363535291</c:v>
                </c:pt>
                <c:pt idx="60">
                  <c:v>-8.8083467704344116</c:v>
                </c:pt>
                <c:pt idx="61">
                  <c:v>-8.4495304416515751</c:v>
                </c:pt>
                <c:pt idx="62">
                  <c:v>-8.2243939060165783</c:v>
                </c:pt>
                <c:pt idx="63">
                  <c:v>-7.7003433169430844</c:v>
                </c:pt>
                <c:pt idx="64">
                  <c:v>-6.8053659186729094</c:v>
                </c:pt>
                <c:pt idx="65">
                  <c:v>-6.885957173772697</c:v>
                </c:pt>
                <c:pt idx="66">
                  <c:v>-7.7324132038296938</c:v>
                </c:pt>
                <c:pt idx="67">
                  <c:v>-7.3546510738591779</c:v>
                </c:pt>
                <c:pt idx="68">
                  <c:v>-8.3417750373575785</c:v>
                </c:pt>
                <c:pt idx="69">
                  <c:v>-9.0081400872016104</c:v>
                </c:pt>
                <c:pt idx="70">
                  <c:v>-9.1679498515270357</c:v>
                </c:pt>
                <c:pt idx="71">
                  <c:v>-9.8882404928771823</c:v>
                </c:pt>
                <c:pt idx="72">
                  <c:v>-9.4644876805460125</c:v>
                </c:pt>
                <c:pt idx="73">
                  <c:v>-9.1391388347079801</c:v>
                </c:pt>
                <c:pt idx="74">
                  <c:v>-8.9582263666387476</c:v>
                </c:pt>
                <c:pt idx="75">
                  <c:v>-8.4267012514542223</c:v>
                </c:pt>
                <c:pt idx="76">
                  <c:v>-9.3539388013941789</c:v>
                </c:pt>
                <c:pt idx="77">
                  <c:v>-7.7005827775078819</c:v>
                </c:pt>
                <c:pt idx="78">
                  <c:v>-6.4275040995257573</c:v>
                </c:pt>
                <c:pt idx="79">
                  <c:v>-5.3461551202259052</c:v>
                </c:pt>
                <c:pt idx="80">
                  <c:v>-3.241368205459652</c:v>
                </c:pt>
                <c:pt idx="81">
                  <c:v>1.2355845224717166</c:v>
                </c:pt>
                <c:pt idx="82">
                  <c:v>5.5075559500147255</c:v>
                </c:pt>
                <c:pt idx="83">
                  <c:v>10.23463791771038</c:v>
                </c:pt>
                <c:pt idx="84">
                  <c:v>13.659975839953104</c:v>
                </c:pt>
                <c:pt idx="85">
                  <c:v>14.103910162947365</c:v>
                </c:pt>
                <c:pt idx="86">
                  <c:v>12.729296107845439</c:v>
                </c:pt>
                <c:pt idx="87">
                  <c:v>14.675928741495149</c:v>
                </c:pt>
                <c:pt idx="88">
                  <c:v>19.482346461360457</c:v>
                </c:pt>
                <c:pt idx="89">
                  <c:v>24.437849863883244</c:v>
                </c:pt>
                <c:pt idx="90">
                  <c:v>31.297929386193747</c:v>
                </c:pt>
                <c:pt idx="91">
                  <c:v>37.655881645665566</c:v>
                </c:pt>
              </c:numCache>
            </c:numRef>
          </c:val>
          <c:smooth val="0"/>
        </c:ser>
        <c:dLbls>
          <c:showLegendKey val="0"/>
          <c:showVal val="0"/>
          <c:showCatName val="0"/>
          <c:showSerName val="0"/>
          <c:showPercent val="0"/>
          <c:showBubbleSize val="0"/>
        </c:dLbls>
        <c:smooth val="0"/>
        <c:axId val="296638856"/>
        <c:axId val="296639248"/>
      </c:lineChart>
      <c:catAx>
        <c:axId val="296638856"/>
        <c:scaling>
          <c:orientation val="minMax"/>
        </c:scaling>
        <c:delete val="0"/>
        <c:axPos val="b"/>
        <c:numFmt formatCode="General" sourceLinked="0"/>
        <c:majorTickMark val="out"/>
        <c:minorTickMark val="none"/>
        <c:tickLblPos val="low"/>
        <c:txPr>
          <a:bodyPr rot="-5400000" vert="horz"/>
          <a:lstStyle/>
          <a:p>
            <a:pPr>
              <a:defRPr/>
            </a:pPr>
            <a:endParaRPr lang="en-US"/>
          </a:p>
        </c:txPr>
        <c:crossAx val="296639248"/>
        <c:crosses val="autoZero"/>
        <c:auto val="1"/>
        <c:lblAlgn val="ctr"/>
        <c:lblOffset val="100"/>
        <c:noMultiLvlLbl val="0"/>
      </c:catAx>
      <c:valAx>
        <c:axId val="296639248"/>
        <c:scaling>
          <c:orientation val="minMax"/>
          <c:max val="40"/>
          <c:min val="-30"/>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a:pPr>
            <a:endParaRPr lang="en-US"/>
          </a:p>
        </c:txPr>
        <c:crossAx val="296638856"/>
        <c:crosses val="autoZero"/>
        <c:crossBetween val="between"/>
      </c:valAx>
    </c:plotArea>
    <c:legend>
      <c:legendPos val="l"/>
      <c:layout>
        <c:manualLayout>
          <c:xMode val="edge"/>
          <c:yMode val="edge"/>
          <c:x val="0.27030094922345238"/>
          <c:y val="5.0209626880340398E-2"/>
          <c:w val="0.52630916666666672"/>
          <c:h val="0.20696567114132761"/>
        </c:manualLayout>
      </c:layout>
      <c:overlay val="1"/>
      <c:txPr>
        <a:bodyPr/>
        <a:lstStyle/>
        <a:p>
          <a:pPr>
            <a:defRPr sz="700"/>
          </a:pPr>
          <a:endParaRPr lang="en-US"/>
        </a:p>
      </c:txPr>
    </c:legend>
    <c:plotVisOnly val="1"/>
    <c:dispBlanksAs val="gap"/>
    <c:showDLblsOverMax val="0"/>
  </c:chart>
  <c:spPr>
    <a:ln>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863757655293089"/>
          <c:y val="8.4437714516454654E-2"/>
          <c:w val="0.86819510061242333"/>
          <c:h val="0.83145069444444442"/>
        </c:manualLayout>
      </c:layout>
      <c:lineChart>
        <c:grouping val="standard"/>
        <c:varyColors val="0"/>
        <c:ser>
          <c:idx val="3"/>
          <c:order val="0"/>
          <c:tx>
            <c:strRef>
              <c:f>'opravene grafy'!$A$66</c:f>
              <c:strCache>
                <c:ptCount val="1"/>
                <c:pt idx="0">
                  <c:v>Cudzinci</c:v>
                </c:pt>
              </c:strCache>
            </c:strRef>
          </c:tx>
          <c:spPr>
            <a:ln w="19050">
              <a:solidFill>
                <a:sysClr val="window" lastClr="FFFFFF">
                  <a:lumMod val="50000"/>
                </a:sysClr>
              </a:solidFill>
              <a:prstDash val="sysDash"/>
            </a:ln>
          </c:spPr>
          <c:marker>
            <c:symbol val="none"/>
          </c:marker>
          <c:cat>
            <c:numRef>
              <c:f>'opravene grafy'!$L$65:$S$65</c:f>
              <c:numCache>
                <c:formatCode>General</c:formatCode>
                <c:ptCount val="8"/>
                <c:pt idx="0">
                  <c:v>2010</c:v>
                </c:pt>
                <c:pt idx="1">
                  <c:v>2011</c:v>
                </c:pt>
                <c:pt idx="2">
                  <c:v>2012</c:v>
                </c:pt>
                <c:pt idx="3">
                  <c:v>2013</c:v>
                </c:pt>
                <c:pt idx="4">
                  <c:v>2014</c:v>
                </c:pt>
                <c:pt idx="5">
                  <c:v>2015</c:v>
                </c:pt>
                <c:pt idx="6">
                  <c:v>2016</c:v>
                </c:pt>
                <c:pt idx="7">
                  <c:v>2017</c:v>
                </c:pt>
              </c:numCache>
            </c:numRef>
          </c:cat>
          <c:val>
            <c:numRef>
              <c:f>'opravene grafy'!$L$66:$S$66</c:f>
              <c:numCache>
                <c:formatCode>0</c:formatCode>
                <c:ptCount val="8"/>
                <c:pt idx="0">
                  <c:v>3090</c:v>
                </c:pt>
                <c:pt idx="1">
                  <c:v>4938</c:v>
                </c:pt>
                <c:pt idx="2">
                  <c:v>3941</c:v>
                </c:pt>
                <c:pt idx="3">
                  <c:v>2547</c:v>
                </c:pt>
                <c:pt idx="4">
                  <c:v>4299</c:v>
                </c:pt>
                <c:pt idx="5">
                  <c:v>7006</c:v>
                </c:pt>
                <c:pt idx="6">
                  <c:v>8573</c:v>
                </c:pt>
                <c:pt idx="7">
                  <c:v>14962.75</c:v>
                </c:pt>
              </c:numCache>
            </c:numRef>
          </c:val>
          <c:smooth val="0"/>
        </c:ser>
        <c:ser>
          <c:idx val="0"/>
          <c:order val="1"/>
          <c:tx>
            <c:strRef>
              <c:f>'opravene grafy'!$A$67</c:f>
              <c:strCache>
                <c:ptCount val="1"/>
                <c:pt idx="0">
                  <c:v>Slováci</c:v>
                </c:pt>
              </c:strCache>
            </c:strRef>
          </c:tx>
          <c:spPr>
            <a:ln>
              <a:solidFill>
                <a:srgbClr val="2C9ADC"/>
              </a:solidFill>
              <a:prstDash val="sysDash"/>
            </a:ln>
          </c:spPr>
          <c:marker>
            <c:symbol val="none"/>
          </c:marker>
          <c:cat>
            <c:numRef>
              <c:f>'opravene grafy'!$L$65:$S$65</c:f>
              <c:numCache>
                <c:formatCode>General</c:formatCode>
                <c:ptCount val="8"/>
                <c:pt idx="0">
                  <c:v>2010</c:v>
                </c:pt>
                <c:pt idx="1">
                  <c:v>2011</c:v>
                </c:pt>
                <c:pt idx="2">
                  <c:v>2012</c:v>
                </c:pt>
                <c:pt idx="3">
                  <c:v>2013</c:v>
                </c:pt>
                <c:pt idx="4">
                  <c:v>2014</c:v>
                </c:pt>
                <c:pt idx="5">
                  <c:v>2015</c:v>
                </c:pt>
                <c:pt idx="6">
                  <c:v>2016</c:v>
                </c:pt>
                <c:pt idx="7">
                  <c:v>2017</c:v>
                </c:pt>
              </c:numCache>
            </c:numRef>
          </c:cat>
          <c:val>
            <c:numRef>
              <c:f>'opravene grafy'!$L$67:$S$67</c:f>
              <c:numCache>
                <c:formatCode>0</c:formatCode>
                <c:ptCount val="8"/>
                <c:pt idx="0">
                  <c:v>-11020</c:v>
                </c:pt>
                <c:pt idx="1">
                  <c:v>-19040</c:v>
                </c:pt>
                <c:pt idx="2">
                  <c:v>-18040</c:v>
                </c:pt>
                <c:pt idx="3">
                  <c:v>-19720</c:v>
                </c:pt>
                <c:pt idx="4">
                  <c:v>-16600</c:v>
                </c:pt>
                <c:pt idx="5">
                  <c:v>-14390</c:v>
                </c:pt>
                <c:pt idx="6">
                  <c:v>-2750</c:v>
                </c:pt>
                <c:pt idx="7">
                  <c:v>-377.75</c:v>
                </c:pt>
              </c:numCache>
            </c:numRef>
          </c:val>
          <c:smooth val="0"/>
        </c:ser>
        <c:ser>
          <c:idx val="1"/>
          <c:order val="2"/>
          <c:tx>
            <c:strRef>
              <c:f>'opravene grafy'!$A$68</c:f>
              <c:strCache>
                <c:ptCount val="1"/>
                <c:pt idx="0">
                  <c:v>Spolu</c:v>
                </c:pt>
              </c:strCache>
            </c:strRef>
          </c:tx>
          <c:spPr>
            <a:ln>
              <a:solidFill>
                <a:sysClr val="windowText" lastClr="000000"/>
              </a:solidFill>
            </a:ln>
          </c:spPr>
          <c:marker>
            <c:symbol val="none"/>
          </c:marker>
          <c:cat>
            <c:numRef>
              <c:f>'opravene grafy'!$L$65:$S$65</c:f>
              <c:numCache>
                <c:formatCode>General</c:formatCode>
                <c:ptCount val="8"/>
                <c:pt idx="0">
                  <c:v>2010</c:v>
                </c:pt>
                <c:pt idx="1">
                  <c:v>2011</c:v>
                </c:pt>
                <c:pt idx="2">
                  <c:v>2012</c:v>
                </c:pt>
                <c:pt idx="3">
                  <c:v>2013</c:v>
                </c:pt>
                <c:pt idx="4">
                  <c:v>2014</c:v>
                </c:pt>
                <c:pt idx="5">
                  <c:v>2015</c:v>
                </c:pt>
                <c:pt idx="6">
                  <c:v>2016</c:v>
                </c:pt>
                <c:pt idx="7">
                  <c:v>2017</c:v>
                </c:pt>
              </c:numCache>
            </c:numRef>
          </c:cat>
          <c:val>
            <c:numRef>
              <c:f>'opravene grafy'!$L$68:$S$68</c:f>
              <c:numCache>
                <c:formatCode>0</c:formatCode>
                <c:ptCount val="8"/>
                <c:pt idx="0">
                  <c:v>-7930</c:v>
                </c:pt>
                <c:pt idx="1">
                  <c:v>-14102</c:v>
                </c:pt>
                <c:pt idx="2">
                  <c:v>-14099</c:v>
                </c:pt>
                <c:pt idx="3">
                  <c:v>-17173</c:v>
                </c:pt>
                <c:pt idx="4">
                  <c:v>-12301</c:v>
                </c:pt>
                <c:pt idx="5">
                  <c:v>-7384</c:v>
                </c:pt>
                <c:pt idx="6">
                  <c:v>5823</c:v>
                </c:pt>
                <c:pt idx="7">
                  <c:v>14585</c:v>
                </c:pt>
              </c:numCache>
            </c:numRef>
          </c:val>
          <c:smooth val="0"/>
        </c:ser>
        <c:dLbls>
          <c:showLegendKey val="0"/>
          <c:showVal val="0"/>
          <c:showCatName val="0"/>
          <c:showSerName val="0"/>
          <c:showPercent val="0"/>
          <c:showBubbleSize val="0"/>
        </c:dLbls>
        <c:smooth val="0"/>
        <c:axId val="414062816"/>
        <c:axId val="414063208"/>
      </c:lineChart>
      <c:catAx>
        <c:axId val="414062816"/>
        <c:scaling>
          <c:orientation val="minMax"/>
        </c:scaling>
        <c:delete val="0"/>
        <c:axPos val="b"/>
        <c:numFmt formatCode="General" sourceLinked="0"/>
        <c:majorTickMark val="out"/>
        <c:minorTickMark val="none"/>
        <c:tickLblPos val="low"/>
        <c:txPr>
          <a:bodyPr rot="-5400000" vert="horz"/>
          <a:lstStyle/>
          <a:p>
            <a:pPr>
              <a:defRPr/>
            </a:pPr>
            <a:endParaRPr lang="en-US"/>
          </a:p>
        </c:txPr>
        <c:crossAx val="414063208"/>
        <c:crosses val="autoZero"/>
        <c:auto val="1"/>
        <c:lblAlgn val="ctr"/>
        <c:lblOffset val="100"/>
        <c:noMultiLvlLbl val="0"/>
      </c:catAx>
      <c:valAx>
        <c:axId val="414063208"/>
        <c:scaling>
          <c:orientation val="minMax"/>
        </c:scaling>
        <c:delete val="0"/>
        <c:axPos val="l"/>
        <c:majorGridlines>
          <c:spPr>
            <a:ln>
              <a:solidFill>
                <a:schemeClr val="bg1">
                  <a:lumMod val="75000"/>
                </a:schemeClr>
              </a:solidFill>
              <a:prstDash val="sysDash"/>
            </a:ln>
          </c:spPr>
        </c:majorGridlines>
        <c:numFmt formatCode="#,##0.0" sourceLinked="0"/>
        <c:majorTickMark val="out"/>
        <c:minorTickMark val="none"/>
        <c:tickLblPos val="nextTo"/>
        <c:txPr>
          <a:bodyPr rot="0" vert="horz"/>
          <a:lstStyle/>
          <a:p>
            <a:pPr>
              <a:defRPr/>
            </a:pPr>
            <a:endParaRPr lang="en-US"/>
          </a:p>
        </c:txPr>
        <c:crossAx val="414062816"/>
        <c:crosses val="autoZero"/>
        <c:crossBetween val="between"/>
        <c:dispUnits>
          <c:builtInUnit val="thousands"/>
          <c:dispUnitsLbl>
            <c:layout/>
          </c:dispUnitsLbl>
        </c:dispUnits>
      </c:valAx>
    </c:plotArea>
    <c:legend>
      <c:legendPos val="l"/>
      <c:layout>
        <c:manualLayout>
          <c:xMode val="edge"/>
          <c:yMode val="edge"/>
          <c:x val="0.184404644610737"/>
          <c:y val="4.073571043794199E-2"/>
          <c:w val="0.52630916666666672"/>
          <c:h val="0.26570277777777779"/>
        </c:manualLayout>
      </c:layout>
      <c:overlay val="1"/>
    </c:legend>
    <c:plotVisOnly val="1"/>
    <c:dispBlanksAs val="gap"/>
    <c:showDLblsOverMax val="0"/>
  </c:chart>
  <c:spPr>
    <a:ln>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576923726808828"/>
          <c:y val="4.8851495276152582E-2"/>
          <c:w val="0.87423076273191169"/>
          <c:h val="0.86336284722222201"/>
        </c:manualLayout>
      </c:layout>
      <c:barChart>
        <c:barDir val="col"/>
        <c:grouping val="clustered"/>
        <c:varyColors val="0"/>
        <c:ser>
          <c:idx val="0"/>
          <c:order val="0"/>
          <c:spPr>
            <a:solidFill>
              <a:srgbClr val="2C9ADC"/>
            </a:solidFill>
          </c:spPr>
          <c:invertIfNegative val="0"/>
          <c:dPt>
            <c:idx val="5"/>
            <c:invertIfNegative val="0"/>
            <c:bubble3D val="0"/>
            <c:spPr>
              <a:solidFill>
                <a:sysClr val="windowText" lastClr="000000">
                  <a:lumMod val="50000"/>
                  <a:lumOff val="50000"/>
                </a:sysClr>
              </a:solidFill>
            </c:spPr>
            <c:extLst xmlns:c16r2="http://schemas.microsoft.com/office/drawing/2015/06/chart">
              <c:ext xmlns:c16="http://schemas.microsoft.com/office/drawing/2014/chart" uri="{C3380CC4-5D6E-409C-BE32-E72D297353CC}">
                <c16:uniqueId val="{00000001-C4FD-4316-9FB7-A7F3A61E219F}"/>
              </c:ext>
            </c:extLst>
          </c:dPt>
          <c:cat>
            <c:strRef>
              <c:f>'[1]OECD porovnanie'!$K$44:$K$49</c:f>
              <c:strCache>
                <c:ptCount val="6"/>
                <c:pt idx="0">
                  <c:v>EU15</c:v>
                </c:pt>
                <c:pt idx="1">
                  <c:v>EE</c:v>
                </c:pt>
                <c:pt idx="2">
                  <c:v>CZ</c:v>
                </c:pt>
                <c:pt idx="3">
                  <c:v>HU</c:v>
                </c:pt>
                <c:pt idx="4">
                  <c:v>PL</c:v>
                </c:pt>
                <c:pt idx="5">
                  <c:v>SK</c:v>
                </c:pt>
              </c:strCache>
            </c:strRef>
          </c:cat>
          <c:val>
            <c:numRef>
              <c:f>'OECD porovnanie'!$AC$12:$AC$17</c:f>
              <c:numCache>
                <c:formatCode>0.00%</c:formatCode>
                <c:ptCount val="6"/>
                <c:pt idx="0">
                  <c:v>1.1880905966677735E-2</c:v>
                </c:pt>
                <c:pt idx="1">
                  <c:v>5.5303030303030304E-3</c:v>
                </c:pt>
                <c:pt idx="2">
                  <c:v>3.0038022813688213E-3</c:v>
                </c:pt>
                <c:pt idx="3">
                  <c:v>2.6166328600405681E-3</c:v>
                </c:pt>
                <c:pt idx="4">
                  <c:v>2.2375259875259874E-3</c:v>
                </c:pt>
                <c:pt idx="5">
                  <c:v>7.0110701107011062E-4</c:v>
                </c:pt>
              </c:numCache>
            </c:numRef>
          </c:val>
          <c:extLst xmlns:c16r2="http://schemas.microsoft.com/office/drawing/2015/06/chart">
            <c:ext xmlns:c16="http://schemas.microsoft.com/office/drawing/2014/chart" uri="{C3380CC4-5D6E-409C-BE32-E72D297353CC}">
              <c16:uniqueId val="{00000002-C4FD-4316-9FB7-A7F3A61E219F}"/>
            </c:ext>
          </c:extLst>
        </c:ser>
        <c:dLbls>
          <c:showLegendKey val="0"/>
          <c:showVal val="0"/>
          <c:showCatName val="0"/>
          <c:showSerName val="0"/>
          <c:showPercent val="0"/>
          <c:showBubbleSize val="0"/>
        </c:dLbls>
        <c:gapWidth val="150"/>
        <c:axId val="414063992"/>
        <c:axId val="414064384"/>
      </c:barChart>
      <c:catAx>
        <c:axId val="414063992"/>
        <c:scaling>
          <c:orientation val="minMax"/>
        </c:scaling>
        <c:delete val="0"/>
        <c:axPos val="b"/>
        <c:numFmt formatCode="General" sourceLinked="1"/>
        <c:majorTickMark val="out"/>
        <c:minorTickMark val="none"/>
        <c:tickLblPos val="nextTo"/>
        <c:crossAx val="414064384"/>
        <c:crosses val="autoZero"/>
        <c:auto val="1"/>
        <c:lblAlgn val="ctr"/>
        <c:lblOffset val="100"/>
        <c:noMultiLvlLbl val="0"/>
      </c:catAx>
      <c:valAx>
        <c:axId val="414064384"/>
        <c:scaling>
          <c:orientation val="minMax"/>
          <c:max val="1.2000000000000002E-2"/>
        </c:scaling>
        <c:delete val="0"/>
        <c:axPos val="l"/>
        <c:majorGridlines>
          <c:spPr>
            <a:ln>
              <a:solidFill>
                <a:schemeClr val="bg1">
                  <a:lumMod val="75000"/>
                </a:schemeClr>
              </a:solidFill>
              <a:prstDash val="sysDash"/>
            </a:ln>
          </c:spPr>
        </c:majorGridlines>
        <c:numFmt formatCode="0.0%" sourceLinked="0"/>
        <c:majorTickMark val="out"/>
        <c:minorTickMark val="none"/>
        <c:tickLblPos val="nextTo"/>
        <c:crossAx val="414063992"/>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470359197756339"/>
          <c:y val="4.8823828544190706E-2"/>
          <c:w val="0.84844032806792669"/>
          <c:h val="0.86364361211605301"/>
        </c:manualLayout>
      </c:layout>
      <c:barChart>
        <c:barDir val="col"/>
        <c:grouping val="stacked"/>
        <c:varyColors val="0"/>
        <c:ser>
          <c:idx val="5"/>
          <c:order val="0"/>
          <c:tx>
            <c:strRef>
              <c:f>Podiel_najomnych_bytov!$D$8</c:f>
              <c:strCache>
                <c:ptCount val="1"/>
                <c:pt idx="0">
                  <c:v>Vlastník</c:v>
                </c:pt>
              </c:strCache>
            </c:strRef>
          </c:tx>
          <c:spPr>
            <a:solidFill>
              <a:srgbClr val="2C9ADC"/>
            </a:solidFill>
          </c:spPr>
          <c:invertIfNegative val="0"/>
          <c:dPt>
            <c:idx val="3"/>
            <c:invertIfNegative val="0"/>
            <c:bubble3D val="0"/>
            <c:spPr>
              <a:solidFill>
                <a:srgbClr val="FFFFFF">
                  <a:lumMod val="50000"/>
                </a:srgbClr>
              </a:solidFill>
            </c:spPr>
          </c:dPt>
          <c:cat>
            <c:strRef>
              <c:f>Podiel_najomnych_bytov!$C$9:$C$36</c:f>
              <c:strCache>
                <c:ptCount val="28"/>
                <c:pt idx="0">
                  <c:v>RO</c:v>
                </c:pt>
                <c:pt idx="1">
                  <c:v>LT</c:v>
                </c:pt>
                <c:pt idx="2">
                  <c:v>HR</c:v>
                </c:pt>
                <c:pt idx="3">
                  <c:v>SK</c:v>
                </c:pt>
                <c:pt idx="4">
                  <c:v>HU</c:v>
                </c:pt>
                <c:pt idx="5">
                  <c:v>PL</c:v>
                </c:pt>
                <c:pt idx="6">
                  <c:v>BG</c:v>
                </c:pt>
                <c:pt idx="7">
                  <c:v>EE</c:v>
                </c:pt>
                <c:pt idx="8">
                  <c:v>MT</c:v>
                </c:pt>
                <c:pt idx="9">
                  <c:v>LV</c:v>
                </c:pt>
                <c:pt idx="10">
                  <c:v>CZ </c:v>
                </c:pt>
                <c:pt idx="11">
                  <c:v>ES</c:v>
                </c:pt>
                <c:pt idx="12">
                  <c:v>PT</c:v>
                </c:pt>
                <c:pt idx="13">
                  <c:v>SL</c:v>
                </c:pt>
                <c:pt idx="14">
                  <c:v>LX</c:v>
                </c:pt>
                <c:pt idx="15">
                  <c:v>EL</c:v>
                </c:pt>
                <c:pt idx="16">
                  <c:v>CY</c:v>
                </c:pt>
                <c:pt idx="17">
                  <c:v>IT</c:v>
                </c:pt>
                <c:pt idx="18">
                  <c:v>FI</c:v>
                </c:pt>
                <c:pt idx="19">
                  <c:v>BE</c:v>
                </c:pt>
                <c:pt idx="20">
                  <c:v>IE</c:v>
                </c:pt>
                <c:pt idx="21">
                  <c:v>NL</c:v>
                </c:pt>
                <c:pt idx="22">
                  <c:v>SE</c:v>
                </c:pt>
                <c:pt idx="23">
                  <c:v>FR</c:v>
                </c:pt>
                <c:pt idx="24">
                  <c:v>Uk</c:v>
                </c:pt>
                <c:pt idx="25">
                  <c:v>DK</c:v>
                </c:pt>
                <c:pt idx="26">
                  <c:v>AT</c:v>
                </c:pt>
                <c:pt idx="27">
                  <c:v>DE</c:v>
                </c:pt>
              </c:strCache>
            </c:strRef>
          </c:cat>
          <c:val>
            <c:numRef>
              <c:f>Podiel_najomnych_bytov!$D$9:$D$36</c:f>
              <c:numCache>
                <c:formatCode>#\ ##0.0</c:formatCode>
                <c:ptCount val="28"/>
                <c:pt idx="0">
                  <c:v>96</c:v>
                </c:pt>
                <c:pt idx="1">
                  <c:v>90.3</c:v>
                </c:pt>
                <c:pt idx="2">
                  <c:v>90</c:v>
                </c:pt>
                <c:pt idx="3">
                  <c:v>89.5</c:v>
                </c:pt>
                <c:pt idx="4">
                  <c:v>86.3</c:v>
                </c:pt>
                <c:pt idx="5">
                  <c:v>83.4</c:v>
                </c:pt>
                <c:pt idx="6">
                  <c:v>82.3</c:v>
                </c:pt>
                <c:pt idx="7">
                  <c:v>81.400000000000006</c:v>
                </c:pt>
                <c:pt idx="8">
                  <c:v>81.400000000000006</c:v>
                </c:pt>
                <c:pt idx="9">
                  <c:v>80.900000000000006</c:v>
                </c:pt>
                <c:pt idx="10">
                  <c:v>78.2</c:v>
                </c:pt>
                <c:pt idx="11">
                  <c:v>77.8</c:v>
                </c:pt>
                <c:pt idx="12">
                  <c:v>75.2</c:v>
                </c:pt>
                <c:pt idx="13">
                  <c:v>75.099999999999994</c:v>
                </c:pt>
                <c:pt idx="14">
                  <c:v>73.900000000000006</c:v>
                </c:pt>
                <c:pt idx="15">
                  <c:v>73.900000000000006</c:v>
                </c:pt>
                <c:pt idx="16">
                  <c:v>72.5</c:v>
                </c:pt>
                <c:pt idx="17">
                  <c:v>72.3</c:v>
                </c:pt>
                <c:pt idx="18">
                  <c:v>71.599999999999994</c:v>
                </c:pt>
                <c:pt idx="19">
                  <c:v>71.3</c:v>
                </c:pt>
                <c:pt idx="20">
                  <c:v>69.8</c:v>
                </c:pt>
                <c:pt idx="21">
                  <c:v>69</c:v>
                </c:pt>
                <c:pt idx="22">
                  <c:v>65.2</c:v>
                </c:pt>
                <c:pt idx="23">
                  <c:v>64.900000000000006</c:v>
                </c:pt>
                <c:pt idx="24">
                  <c:v>63.4</c:v>
                </c:pt>
                <c:pt idx="25">
                  <c:v>62</c:v>
                </c:pt>
                <c:pt idx="26">
                  <c:v>55</c:v>
                </c:pt>
                <c:pt idx="27">
                  <c:v>51.7</c:v>
                </c:pt>
              </c:numCache>
            </c:numRef>
          </c:val>
        </c:ser>
        <c:ser>
          <c:idx val="8"/>
          <c:order val="1"/>
          <c:tx>
            <c:strRef>
              <c:f>Podiel_najomnych_bytov!$G$8</c:f>
              <c:strCache>
                <c:ptCount val="1"/>
                <c:pt idx="0">
                  <c:v>Trhový nájom</c:v>
                </c:pt>
              </c:strCache>
            </c:strRef>
          </c:tx>
          <c:spPr>
            <a:solidFill>
              <a:schemeClr val="tx2">
                <a:lumMod val="20000"/>
                <a:lumOff val="80000"/>
              </a:schemeClr>
            </a:solidFill>
            <a:ln>
              <a:noFill/>
            </a:ln>
          </c:spPr>
          <c:invertIfNegative val="0"/>
          <c:cat>
            <c:strRef>
              <c:f>Podiel_najomnych_bytov!$C$9:$C$36</c:f>
              <c:strCache>
                <c:ptCount val="28"/>
                <c:pt idx="0">
                  <c:v>RO</c:v>
                </c:pt>
                <c:pt idx="1">
                  <c:v>LT</c:v>
                </c:pt>
                <c:pt idx="2">
                  <c:v>HR</c:v>
                </c:pt>
                <c:pt idx="3">
                  <c:v>SK</c:v>
                </c:pt>
                <c:pt idx="4">
                  <c:v>HU</c:v>
                </c:pt>
                <c:pt idx="5">
                  <c:v>PL</c:v>
                </c:pt>
                <c:pt idx="6">
                  <c:v>BG</c:v>
                </c:pt>
                <c:pt idx="7">
                  <c:v>EE</c:v>
                </c:pt>
                <c:pt idx="8">
                  <c:v>MT</c:v>
                </c:pt>
                <c:pt idx="9">
                  <c:v>LV</c:v>
                </c:pt>
                <c:pt idx="10">
                  <c:v>CZ </c:v>
                </c:pt>
                <c:pt idx="11">
                  <c:v>ES</c:v>
                </c:pt>
                <c:pt idx="12">
                  <c:v>PT</c:v>
                </c:pt>
                <c:pt idx="13">
                  <c:v>SL</c:v>
                </c:pt>
                <c:pt idx="14">
                  <c:v>LX</c:v>
                </c:pt>
                <c:pt idx="15">
                  <c:v>EL</c:v>
                </c:pt>
                <c:pt idx="16">
                  <c:v>CY</c:v>
                </c:pt>
                <c:pt idx="17">
                  <c:v>IT</c:v>
                </c:pt>
                <c:pt idx="18">
                  <c:v>FI</c:v>
                </c:pt>
                <c:pt idx="19">
                  <c:v>BE</c:v>
                </c:pt>
                <c:pt idx="20">
                  <c:v>IE</c:v>
                </c:pt>
                <c:pt idx="21">
                  <c:v>NL</c:v>
                </c:pt>
                <c:pt idx="22">
                  <c:v>SE</c:v>
                </c:pt>
                <c:pt idx="23">
                  <c:v>FR</c:v>
                </c:pt>
                <c:pt idx="24">
                  <c:v>Uk</c:v>
                </c:pt>
                <c:pt idx="25">
                  <c:v>DK</c:v>
                </c:pt>
                <c:pt idx="26">
                  <c:v>AT</c:v>
                </c:pt>
                <c:pt idx="27">
                  <c:v>DE</c:v>
                </c:pt>
              </c:strCache>
            </c:strRef>
          </c:cat>
          <c:val>
            <c:numRef>
              <c:f>Podiel_najomnych_bytov!$G$9:$G$36</c:f>
              <c:numCache>
                <c:formatCode>#\ ##0.0</c:formatCode>
                <c:ptCount val="28"/>
                <c:pt idx="0">
                  <c:v>1.5</c:v>
                </c:pt>
                <c:pt idx="1">
                  <c:v>1.3</c:v>
                </c:pt>
                <c:pt idx="2">
                  <c:v>1.6</c:v>
                </c:pt>
                <c:pt idx="3">
                  <c:v>8.9</c:v>
                </c:pt>
                <c:pt idx="4">
                  <c:v>4.3</c:v>
                </c:pt>
                <c:pt idx="5">
                  <c:v>4.5</c:v>
                </c:pt>
                <c:pt idx="6">
                  <c:v>2.9</c:v>
                </c:pt>
                <c:pt idx="7">
                  <c:v>4.0999999999999996</c:v>
                </c:pt>
                <c:pt idx="8">
                  <c:v>3</c:v>
                </c:pt>
                <c:pt idx="9">
                  <c:v>8.6999999999999993</c:v>
                </c:pt>
                <c:pt idx="10">
                  <c:v>16</c:v>
                </c:pt>
                <c:pt idx="11">
                  <c:v>13.8</c:v>
                </c:pt>
                <c:pt idx="12">
                  <c:v>12.9</c:v>
                </c:pt>
                <c:pt idx="13">
                  <c:v>5.3</c:v>
                </c:pt>
                <c:pt idx="14">
                  <c:v>21.5</c:v>
                </c:pt>
                <c:pt idx="15">
                  <c:v>20.8</c:v>
                </c:pt>
                <c:pt idx="16">
                  <c:v>13.4</c:v>
                </c:pt>
                <c:pt idx="17">
                  <c:v>16.8</c:v>
                </c:pt>
                <c:pt idx="18">
                  <c:v>13</c:v>
                </c:pt>
                <c:pt idx="19">
                  <c:v>20</c:v>
                </c:pt>
                <c:pt idx="20">
                  <c:v>13.2</c:v>
                </c:pt>
                <c:pt idx="21">
                  <c:v>30.3</c:v>
                </c:pt>
                <c:pt idx="22">
                  <c:v>34</c:v>
                </c:pt>
                <c:pt idx="23">
                  <c:v>19.2</c:v>
                </c:pt>
                <c:pt idx="24">
                  <c:v>18</c:v>
                </c:pt>
                <c:pt idx="25">
                  <c:v>37.9</c:v>
                </c:pt>
                <c:pt idx="26">
                  <c:v>29.7</c:v>
                </c:pt>
                <c:pt idx="27">
                  <c:v>39.799999999999997</c:v>
                </c:pt>
              </c:numCache>
            </c:numRef>
          </c:val>
        </c:ser>
        <c:ser>
          <c:idx val="0"/>
          <c:order val="2"/>
          <c:tx>
            <c:strRef>
              <c:f>Podiel_najomnych_bytov!$H$8</c:f>
              <c:strCache>
                <c:ptCount val="1"/>
                <c:pt idx="0">
                  <c:v>Regulovaný nájom</c:v>
                </c:pt>
              </c:strCache>
            </c:strRef>
          </c:tx>
          <c:spPr>
            <a:solidFill>
              <a:srgbClr val="1F497D"/>
            </a:solidFill>
          </c:spPr>
          <c:invertIfNegative val="0"/>
          <c:cat>
            <c:strRef>
              <c:f>Podiel_najomnych_bytov!$C$9:$C$36</c:f>
              <c:strCache>
                <c:ptCount val="28"/>
                <c:pt idx="0">
                  <c:v>RO</c:v>
                </c:pt>
                <c:pt idx="1">
                  <c:v>LT</c:v>
                </c:pt>
                <c:pt idx="2">
                  <c:v>HR</c:v>
                </c:pt>
                <c:pt idx="3">
                  <c:v>SK</c:v>
                </c:pt>
                <c:pt idx="4">
                  <c:v>HU</c:v>
                </c:pt>
                <c:pt idx="5">
                  <c:v>PL</c:v>
                </c:pt>
                <c:pt idx="6">
                  <c:v>BG</c:v>
                </c:pt>
                <c:pt idx="7">
                  <c:v>EE</c:v>
                </c:pt>
                <c:pt idx="8">
                  <c:v>MT</c:v>
                </c:pt>
                <c:pt idx="9">
                  <c:v>LV</c:v>
                </c:pt>
                <c:pt idx="10">
                  <c:v>CZ </c:v>
                </c:pt>
                <c:pt idx="11">
                  <c:v>ES</c:v>
                </c:pt>
                <c:pt idx="12">
                  <c:v>PT</c:v>
                </c:pt>
                <c:pt idx="13">
                  <c:v>SL</c:v>
                </c:pt>
                <c:pt idx="14">
                  <c:v>LX</c:v>
                </c:pt>
                <c:pt idx="15">
                  <c:v>EL</c:v>
                </c:pt>
                <c:pt idx="16">
                  <c:v>CY</c:v>
                </c:pt>
                <c:pt idx="17">
                  <c:v>IT</c:v>
                </c:pt>
                <c:pt idx="18">
                  <c:v>FI</c:v>
                </c:pt>
                <c:pt idx="19">
                  <c:v>BE</c:v>
                </c:pt>
                <c:pt idx="20">
                  <c:v>IE</c:v>
                </c:pt>
                <c:pt idx="21">
                  <c:v>NL</c:v>
                </c:pt>
                <c:pt idx="22">
                  <c:v>SE</c:v>
                </c:pt>
                <c:pt idx="23">
                  <c:v>FR</c:v>
                </c:pt>
                <c:pt idx="24">
                  <c:v>Uk</c:v>
                </c:pt>
                <c:pt idx="25">
                  <c:v>DK</c:v>
                </c:pt>
                <c:pt idx="26">
                  <c:v>AT</c:v>
                </c:pt>
                <c:pt idx="27">
                  <c:v>DE</c:v>
                </c:pt>
              </c:strCache>
            </c:strRef>
          </c:cat>
          <c:val>
            <c:numRef>
              <c:f>Podiel_najomnych_bytov!$H$9:$H$36</c:f>
              <c:numCache>
                <c:formatCode>#\ ##0.0</c:formatCode>
                <c:ptCount val="28"/>
                <c:pt idx="0">
                  <c:v>2.5</c:v>
                </c:pt>
                <c:pt idx="1">
                  <c:v>8.3000000000000007</c:v>
                </c:pt>
                <c:pt idx="2">
                  <c:v>8.4</c:v>
                </c:pt>
                <c:pt idx="3">
                  <c:v>1.6</c:v>
                </c:pt>
                <c:pt idx="4">
                  <c:v>9.3000000000000007</c:v>
                </c:pt>
                <c:pt idx="5">
                  <c:v>12.1</c:v>
                </c:pt>
                <c:pt idx="6">
                  <c:v>14.8</c:v>
                </c:pt>
                <c:pt idx="7">
                  <c:v>14.5</c:v>
                </c:pt>
                <c:pt idx="8">
                  <c:v>15.6</c:v>
                </c:pt>
                <c:pt idx="9">
                  <c:v>10.4</c:v>
                </c:pt>
                <c:pt idx="10">
                  <c:v>5.8</c:v>
                </c:pt>
                <c:pt idx="11">
                  <c:v>8.4</c:v>
                </c:pt>
                <c:pt idx="12">
                  <c:v>11.8</c:v>
                </c:pt>
                <c:pt idx="13">
                  <c:v>19.600000000000001</c:v>
                </c:pt>
                <c:pt idx="14">
                  <c:v>4.5999999999999996</c:v>
                </c:pt>
                <c:pt idx="15">
                  <c:v>5.3</c:v>
                </c:pt>
                <c:pt idx="16">
                  <c:v>14.1</c:v>
                </c:pt>
                <c:pt idx="17">
                  <c:v>11</c:v>
                </c:pt>
                <c:pt idx="18">
                  <c:v>15.4</c:v>
                </c:pt>
                <c:pt idx="19">
                  <c:v>8.6999999999999993</c:v>
                </c:pt>
                <c:pt idx="20">
                  <c:v>17.100000000000001</c:v>
                </c:pt>
                <c:pt idx="21">
                  <c:v>0.7</c:v>
                </c:pt>
                <c:pt idx="22">
                  <c:v>0.8</c:v>
                </c:pt>
                <c:pt idx="23">
                  <c:v>16</c:v>
                </c:pt>
                <c:pt idx="24">
                  <c:v>18.600000000000001</c:v>
                </c:pt>
                <c:pt idx="25">
                  <c:v>0.1</c:v>
                </c:pt>
                <c:pt idx="26">
                  <c:v>15.3</c:v>
                </c:pt>
                <c:pt idx="27">
                  <c:v>8.4</c:v>
                </c:pt>
              </c:numCache>
            </c:numRef>
          </c:val>
        </c:ser>
        <c:dLbls>
          <c:showLegendKey val="0"/>
          <c:showVal val="0"/>
          <c:showCatName val="0"/>
          <c:showSerName val="0"/>
          <c:showPercent val="0"/>
          <c:showBubbleSize val="0"/>
        </c:dLbls>
        <c:gapWidth val="150"/>
        <c:overlap val="100"/>
        <c:axId val="414065168"/>
        <c:axId val="414065560"/>
      </c:barChart>
      <c:catAx>
        <c:axId val="414065168"/>
        <c:scaling>
          <c:orientation val="minMax"/>
        </c:scaling>
        <c:delete val="0"/>
        <c:axPos val="b"/>
        <c:numFmt formatCode="General" sourceLinked="1"/>
        <c:majorTickMark val="out"/>
        <c:minorTickMark val="none"/>
        <c:tickLblPos val="low"/>
        <c:txPr>
          <a:bodyPr/>
          <a:lstStyle/>
          <a:p>
            <a:pPr>
              <a:defRPr sz="550"/>
            </a:pPr>
            <a:endParaRPr lang="en-US"/>
          </a:p>
        </c:txPr>
        <c:crossAx val="414065560"/>
        <c:crosses val="autoZero"/>
        <c:auto val="1"/>
        <c:lblAlgn val="ctr"/>
        <c:lblOffset val="100"/>
        <c:noMultiLvlLbl val="0"/>
      </c:catAx>
      <c:valAx>
        <c:axId val="414065560"/>
        <c:scaling>
          <c:orientation val="minMax"/>
          <c:max val="110"/>
          <c:min val="0"/>
        </c:scaling>
        <c:delete val="0"/>
        <c:axPos val="l"/>
        <c:majorGridlines>
          <c:spPr>
            <a:ln>
              <a:solidFill>
                <a:sysClr val="window" lastClr="FFFFFF">
                  <a:lumMod val="75000"/>
                </a:sysClr>
              </a:solidFill>
              <a:prstDash val="sysDash"/>
            </a:ln>
          </c:spPr>
        </c:majorGridlines>
        <c:title>
          <c:tx>
            <c:rich>
              <a:bodyPr/>
              <a:lstStyle/>
              <a:p>
                <a:pPr>
                  <a:defRPr b="0"/>
                </a:pPr>
                <a:r>
                  <a:rPr lang="sk-SK" b="0"/>
                  <a:t>Percentuálny podiel</a:t>
                </a:r>
              </a:p>
            </c:rich>
          </c:tx>
          <c:layout/>
          <c:overlay val="0"/>
        </c:title>
        <c:numFmt formatCode="#,##0" sourceLinked="0"/>
        <c:majorTickMark val="out"/>
        <c:minorTickMark val="none"/>
        <c:tickLblPos val="nextTo"/>
        <c:crossAx val="414065168"/>
        <c:crosses val="autoZero"/>
        <c:crossBetween val="between"/>
      </c:valAx>
      <c:spPr>
        <a:solidFill>
          <a:srgbClr val="AAD3F2"/>
        </a:solidFill>
      </c:spPr>
    </c:plotArea>
    <c:legend>
      <c:legendPos val="r"/>
      <c:layout>
        <c:manualLayout>
          <c:xMode val="edge"/>
          <c:yMode val="edge"/>
          <c:x val="0.14009075136794341"/>
          <c:y val="4.1305872130278559E-2"/>
          <c:w val="0.7492869641294837"/>
          <c:h val="7.1734470691163607E-2"/>
        </c:manualLayout>
      </c:layout>
      <c:overlay val="0"/>
    </c:legend>
    <c:plotVisOnly val="1"/>
    <c:dispBlanksAs val="gap"/>
    <c:showDLblsOverMax val="0"/>
  </c:chart>
  <c:spPr>
    <a:solidFill>
      <a:srgbClr val="AAD3F2"/>
    </a:solidFill>
    <a:ln>
      <a:noFill/>
    </a:ln>
  </c:spPr>
  <c:txPr>
    <a:bodyPr/>
    <a:lstStyle/>
    <a:p>
      <a:pPr>
        <a:defRPr sz="800">
          <a:latin typeface="Arial Narrow" panose="020B0606020202030204"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521570367084397"/>
          <c:y val="2.2792452830188679E-2"/>
          <c:w val="0.72183394329229977"/>
          <c:h val="0.82268548506908323"/>
        </c:manualLayout>
      </c:layout>
      <c:scatterChart>
        <c:scatterStyle val="lineMarker"/>
        <c:varyColors val="0"/>
        <c:ser>
          <c:idx val="0"/>
          <c:order val="0"/>
          <c:spPr>
            <a:ln w="28575" cap="rnd">
              <a:noFill/>
              <a:round/>
            </a:ln>
            <a:effectLst/>
          </c:spPr>
          <c:marker>
            <c:symbol val="diamond"/>
            <c:size val="5"/>
            <c:spPr>
              <a:solidFill>
                <a:srgbClr val="2C9ADC"/>
              </a:solidFill>
              <a:ln w="9525">
                <a:solidFill>
                  <a:schemeClr val="tx1"/>
                </a:solidFill>
              </a:ln>
              <a:effectLst/>
            </c:spPr>
          </c:marker>
          <c:dPt>
            <c:idx val="15"/>
            <c:marker>
              <c:symbol val="diamond"/>
              <c:size val="5"/>
              <c:spPr>
                <a:solidFill>
                  <a:srgbClr val="2C9ADC"/>
                </a:solidFill>
                <a:ln w="9525">
                  <a:solidFill>
                    <a:schemeClr val="tx1"/>
                  </a:solidFill>
                </a:ln>
                <a:effectLst/>
              </c:spPr>
            </c:marker>
            <c:bubble3D val="0"/>
          </c:dPt>
          <c:dPt>
            <c:idx val="16"/>
            <c:marker>
              <c:symbol val="diamond"/>
              <c:size val="5"/>
              <c:spPr>
                <a:solidFill>
                  <a:srgbClr val="FF0000"/>
                </a:solidFill>
                <a:ln w="9525">
                  <a:solidFill>
                    <a:schemeClr val="tx1"/>
                  </a:solidFill>
                </a:ln>
                <a:effectLst/>
              </c:spPr>
            </c:marker>
            <c:bubble3D val="0"/>
          </c:dPt>
          <c:dPt>
            <c:idx val="23"/>
            <c:marker>
              <c:symbol val="diamond"/>
              <c:size val="5"/>
              <c:spPr>
                <a:solidFill>
                  <a:srgbClr val="2C9ADC"/>
                </a:solidFill>
                <a:ln w="9525">
                  <a:solidFill>
                    <a:schemeClr val="tx1"/>
                  </a:solidFill>
                </a:ln>
                <a:effectLst/>
              </c:spPr>
            </c:marker>
            <c:bubble3D val="0"/>
          </c:dPt>
          <c:dPt>
            <c:idx val="59"/>
            <c:marker>
              <c:symbol val="diamond"/>
              <c:size val="5"/>
              <c:spPr>
                <a:solidFill>
                  <a:srgbClr val="2C9ADC"/>
                </a:solidFill>
                <a:ln w="9525">
                  <a:solidFill>
                    <a:schemeClr val="tx1"/>
                  </a:solidFill>
                </a:ln>
                <a:effectLst/>
              </c:spPr>
            </c:marker>
            <c:bubble3D val="0"/>
          </c:dPt>
          <c:dPt>
            <c:idx val="60"/>
            <c:marker>
              <c:symbol val="diamond"/>
              <c:size val="5"/>
              <c:spPr>
                <a:solidFill>
                  <a:srgbClr val="2C9ADC"/>
                </a:solidFill>
                <a:ln w="9525">
                  <a:solidFill>
                    <a:schemeClr val="tx1"/>
                  </a:solidFill>
                </a:ln>
                <a:effectLst/>
              </c:spPr>
            </c:marker>
            <c:bubble3D val="0"/>
          </c:dPt>
          <c:dPt>
            <c:idx val="61"/>
            <c:marker>
              <c:symbol val="diamond"/>
              <c:size val="5"/>
              <c:spPr>
                <a:solidFill>
                  <a:srgbClr val="FF0000"/>
                </a:solidFill>
                <a:ln w="9525">
                  <a:solidFill>
                    <a:schemeClr val="tx1"/>
                  </a:solidFill>
                </a:ln>
                <a:effectLst/>
              </c:spPr>
            </c:marker>
            <c:bubble3D val="0"/>
          </c:dPt>
          <c:dPt>
            <c:idx val="76"/>
            <c:marker>
              <c:symbol val="diamond"/>
              <c:size val="5"/>
              <c:spPr>
                <a:solidFill>
                  <a:srgbClr val="2C9ADC"/>
                </a:solidFill>
                <a:ln w="9525">
                  <a:solidFill>
                    <a:schemeClr val="tx1"/>
                  </a:solidFill>
                </a:ln>
                <a:effectLst/>
              </c:spPr>
            </c:marker>
            <c:bubble3D val="0"/>
          </c:dPt>
          <c:dPt>
            <c:idx val="77"/>
            <c:marker>
              <c:symbol val="diamond"/>
              <c:size val="5"/>
              <c:spPr>
                <a:solidFill>
                  <a:srgbClr val="FF0000"/>
                </a:solidFill>
                <a:ln w="9525">
                  <a:solidFill>
                    <a:schemeClr val="tx1"/>
                  </a:solidFill>
                </a:ln>
                <a:effectLst/>
              </c:spPr>
            </c:marker>
            <c:bubble3D val="0"/>
          </c:dPt>
          <c:xVal>
            <c:numRef>
              <c:f>('Tabuľky a grafy'!$B$2:$B$28,'Tabuľky a grafy'!$B$31:$B$48,'Tabuľky a grafy'!$B$51:$B$86)</c:f>
              <c:numCache>
                <c:formatCode>0.00</c:formatCode>
                <c:ptCount val="81"/>
                <c:pt idx="0">
                  <c:v>-0.34129624846194606</c:v>
                </c:pt>
                <c:pt idx="1">
                  <c:v>-0.34129624846194606</c:v>
                </c:pt>
                <c:pt idx="2">
                  <c:v>-0.34129624846194606</c:v>
                </c:pt>
                <c:pt idx="3">
                  <c:v>-0.34129624846194606</c:v>
                </c:pt>
                <c:pt idx="4">
                  <c:v>-0.34129624846194606</c:v>
                </c:pt>
                <c:pt idx="5">
                  <c:v>-0.34129624846194606</c:v>
                </c:pt>
                <c:pt idx="6">
                  <c:v>-0.34129624846194606</c:v>
                </c:pt>
                <c:pt idx="7">
                  <c:v>-0.34129624846194606</c:v>
                </c:pt>
                <c:pt idx="8">
                  <c:v>-0.34129624846194606</c:v>
                </c:pt>
                <c:pt idx="9">
                  <c:v>-0.34129624846194606</c:v>
                </c:pt>
                <c:pt idx="10">
                  <c:v>-0.39753545523366157</c:v>
                </c:pt>
                <c:pt idx="11">
                  <c:v>-0.39753545523366157</c:v>
                </c:pt>
                <c:pt idx="12">
                  <c:v>-0.74302525579964984</c:v>
                </c:pt>
                <c:pt idx="13">
                  <c:v>-0.74302525579964984</c:v>
                </c:pt>
                <c:pt idx="14">
                  <c:v>-0.74302525579964984</c:v>
                </c:pt>
                <c:pt idx="15">
                  <c:v>-1.1178533993257116</c:v>
                </c:pt>
                <c:pt idx="16">
                  <c:v>-1.1178533993257116</c:v>
                </c:pt>
                <c:pt idx="17">
                  <c:v>-1.1178533993257116</c:v>
                </c:pt>
                <c:pt idx="18">
                  <c:v>-1.1178533993257116</c:v>
                </c:pt>
                <c:pt idx="19">
                  <c:v>-1.1178533993257116</c:v>
                </c:pt>
                <c:pt idx="20">
                  <c:v>-1.1178533993257116</c:v>
                </c:pt>
                <c:pt idx="21">
                  <c:v>-0.58904415408244826</c:v>
                </c:pt>
                <c:pt idx="22">
                  <c:v>-0.58904415408244826</c:v>
                </c:pt>
                <c:pt idx="23">
                  <c:v>-0.58904415408244826</c:v>
                </c:pt>
                <c:pt idx="24">
                  <c:v>-0.58904415408244826</c:v>
                </c:pt>
                <c:pt idx="25">
                  <c:v>-0.58904415408244826</c:v>
                </c:pt>
                <c:pt idx="26">
                  <c:v>-0.58904415408244826</c:v>
                </c:pt>
                <c:pt idx="27">
                  <c:v>-0.15696989897699035</c:v>
                </c:pt>
                <c:pt idx="28">
                  <c:v>-0.15696989897699035</c:v>
                </c:pt>
                <c:pt idx="29">
                  <c:v>-0.15696989897699035</c:v>
                </c:pt>
                <c:pt idx="30">
                  <c:v>-0.15696989897699035</c:v>
                </c:pt>
                <c:pt idx="31">
                  <c:v>-0.15696989897699035</c:v>
                </c:pt>
                <c:pt idx="32">
                  <c:v>0.87925951016732073</c:v>
                </c:pt>
                <c:pt idx="33">
                  <c:v>0.87925951016732073</c:v>
                </c:pt>
                <c:pt idx="34">
                  <c:v>0.87925951016732073</c:v>
                </c:pt>
                <c:pt idx="35">
                  <c:v>0.87925951016732073</c:v>
                </c:pt>
                <c:pt idx="36">
                  <c:v>0.87925951016732073</c:v>
                </c:pt>
                <c:pt idx="37">
                  <c:v>-0.62</c:v>
                </c:pt>
                <c:pt idx="38">
                  <c:v>-0.62</c:v>
                </c:pt>
                <c:pt idx="39">
                  <c:v>-0.62</c:v>
                </c:pt>
                <c:pt idx="40">
                  <c:v>-0.62</c:v>
                </c:pt>
                <c:pt idx="41">
                  <c:v>-0.62</c:v>
                </c:pt>
                <c:pt idx="42">
                  <c:v>-0.62</c:v>
                </c:pt>
                <c:pt idx="43">
                  <c:v>-0.62</c:v>
                </c:pt>
                <c:pt idx="44">
                  <c:v>-0.62</c:v>
                </c:pt>
                <c:pt idx="45">
                  <c:v>-0.50300377914099514</c:v>
                </c:pt>
                <c:pt idx="46">
                  <c:v>-0.50300377914099514</c:v>
                </c:pt>
                <c:pt idx="47">
                  <c:v>-0.50300377914099514</c:v>
                </c:pt>
                <c:pt idx="48">
                  <c:v>-0.85717972546279464</c:v>
                </c:pt>
                <c:pt idx="49">
                  <c:v>-0.85717972546279464</c:v>
                </c:pt>
                <c:pt idx="50">
                  <c:v>-0.85717972546279464</c:v>
                </c:pt>
                <c:pt idx="51">
                  <c:v>-0.85717972546279464</c:v>
                </c:pt>
                <c:pt idx="52">
                  <c:v>-0.85717972546279464</c:v>
                </c:pt>
                <c:pt idx="53">
                  <c:v>-0.85717972546279464</c:v>
                </c:pt>
                <c:pt idx="54">
                  <c:v>-0.85717972546279464</c:v>
                </c:pt>
                <c:pt idx="55">
                  <c:v>-0.85717972546279464</c:v>
                </c:pt>
                <c:pt idx="56">
                  <c:v>-0.85717972546279464</c:v>
                </c:pt>
                <c:pt idx="57">
                  <c:v>-0.85717972546279464</c:v>
                </c:pt>
                <c:pt idx="58">
                  <c:v>-0.85717972546279464</c:v>
                </c:pt>
                <c:pt idx="59">
                  <c:v>-0.85717972546279464</c:v>
                </c:pt>
                <c:pt idx="60">
                  <c:v>-0.85717972546279464</c:v>
                </c:pt>
                <c:pt idx="61">
                  <c:v>-0.85717972546279464</c:v>
                </c:pt>
                <c:pt idx="62">
                  <c:v>-0.85717972546279464</c:v>
                </c:pt>
                <c:pt idx="63">
                  <c:v>-0.85717972546279464</c:v>
                </c:pt>
                <c:pt idx="64">
                  <c:v>-0.85717972546279464</c:v>
                </c:pt>
                <c:pt idx="65">
                  <c:v>-0.85717972546279464</c:v>
                </c:pt>
                <c:pt idx="66">
                  <c:v>-0.85717972546279464</c:v>
                </c:pt>
                <c:pt idx="67">
                  <c:v>-0.85717972546279464</c:v>
                </c:pt>
                <c:pt idx="68">
                  <c:v>-0.85717972546279464</c:v>
                </c:pt>
                <c:pt idx="69">
                  <c:v>-0.85717972546279464</c:v>
                </c:pt>
                <c:pt idx="70">
                  <c:v>-0.85717972546279464</c:v>
                </c:pt>
                <c:pt idx="71">
                  <c:v>-0.76343211653274889</c:v>
                </c:pt>
                <c:pt idx="72">
                  <c:v>-0.76343211653274889</c:v>
                </c:pt>
                <c:pt idx="73">
                  <c:v>-0.76343211653274889</c:v>
                </c:pt>
                <c:pt idx="74">
                  <c:v>-0.76343211653274889</c:v>
                </c:pt>
                <c:pt idx="75">
                  <c:v>-0.76343211653274889</c:v>
                </c:pt>
                <c:pt idx="76">
                  <c:v>-0.76343211653274889</c:v>
                </c:pt>
                <c:pt idx="77">
                  <c:v>-0.76343211653274889</c:v>
                </c:pt>
                <c:pt idx="78">
                  <c:v>-0.43636195405379341</c:v>
                </c:pt>
                <c:pt idx="79">
                  <c:v>-0.43636195405379341</c:v>
                </c:pt>
                <c:pt idx="80">
                  <c:v>-0.43636195405379341</c:v>
                </c:pt>
              </c:numCache>
            </c:numRef>
          </c:xVal>
          <c:yVal>
            <c:numRef>
              <c:f>('Tabuľky a grafy'!$D$2:$D$28,'Tabuľky a grafy'!$D$31:$D$48,'Tabuľky a grafy'!$D$51:$D$86)</c:f>
              <c:numCache>
                <c:formatCode>0.00</c:formatCode>
                <c:ptCount val="81"/>
                <c:pt idx="0">
                  <c:v>-0.62771405849655637</c:v>
                </c:pt>
                <c:pt idx="1">
                  <c:v>-1.2857902715964569</c:v>
                </c:pt>
                <c:pt idx="2">
                  <c:v>-0.38847245933465907</c:v>
                </c:pt>
                <c:pt idx="3">
                  <c:v>1.3152757404814794</c:v>
                </c:pt>
                <c:pt idx="4">
                  <c:v>9.6422004042641882E-2</c:v>
                </c:pt>
                <c:pt idx="5">
                  <c:v>-1.3109462368525153</c:v>
                </c:pt>
                <c:pt idx="6">
                  <c:v>-0.17997059460657894</c:v>
                </c:pt>
                <c:pt idx="7">
                  <c:v>0.8552505215449957</c:v>
                </c:pt>
                <c:pt idx="8">
                  <c:v>-1.0634102009455171</c:v>
                </c:pt>
                <c:pt idx="9">
                  <c:v>-0.35774847551084077</c:v>
                </c:pt>
                <c:pt idx="10">
                  <c:v>-0.93474272378578338</c:v>
                </c:pt>
                <c:pt idx="11">
                  <c:v>-1.2532909446494056</c:v>
                </c:pt>
                <c:pt idx="12">
                  <c:v>0.95718433198438801</c:v>
                </c:pt>
                <c:pt idx="13">
                  <c:v>-0.82603243845485852</c:v>
                </c:pt>
                <c:pt idx="14">
                  <c:v>-0.52930261313032667</c:v>
                </c:pt>
                <c:pt idx="15">
                  <c:v>-0.77</c:v>
                </c:pt>
                <c:pt idx="16">
                  <c:v>-1.681015158236244</c:v>
                </c:pt>
                <c:pt idx="17">
                  <c:v>-0.79058887431848923</c:v>
                </c:pt>
                <c:pt idx="18">
                  <c:v>-0.69049008792301358</c:v>
                </c:pt>
                <c:pt idx="19">
                  <c:v>-1.6234721085383845</c:v>
                </c:pt>
                <c:pt idx="20">
                  <c:v>0.62579301270874754</c:v>
                </c:pt>
                <c:pt idx="21">
                  <c:v>4.9055152989036538E-2</c:v>
                </c:pt>
                <c:pt idx="22">
                  <c:v>0.90404038186946134</c:v>
                </c:pt>
                <c:pt idx="23">
                  <c:v>0.75214000762568056</c:v>
                </c:pt>
                <c:pt idx="24">
                  <c:v>-1.6269282262438998</c:v>
                </c:pt>
                <c:pt idx="25">
                  <c:v>-1.2447303591914096</c:v>
                </c:pt>
                <c:pt idx="26">
                  <c:v>0.14121696854025681</c:v>
                </c:pt>
                <c:pt idx="27">
                  <c:v>0.65346683398606298</c:v>
                </c:pt>
                <c:pt idx="28">
                  <c:v>-0.57155639989243201</c:v>
                </c:pt>
                <c:pt idx="29">
                  <c:v>-0.21362765576084089</c:v>
                </c:pt>
                <c:pt idx="30">
                  <c:v>0.24263367073101832</c:v>
                </c:pt>
                <c:pt idx="31">
                  <c:v>-1.3100834513808848</c:v>
                </c:pt>
                <c:pt idx="32">
                  <c:v>-0.50730097494910742</c:v>
                </c:pt>
                <c:pt idx="33">
                  <c:v>-1.5158381451524832</c:v>
                </c:pt>
                <c:pt idx="34">
                  <c:v>0.69259394730949886</c:v>
                </c:pt>
                <c:pt idx="35">
                  <c:v>0.63943227270368463</c:v>
                </c:pt>
                <c:pt idx="36">
                  <c:v>0.15</c:v>
                </c:pt>
                <c:pt idx="37">
                  <c:v>-1.43</c:v>
                </c:pt>
                <c:pt idx="38">
                  <c:v>0.75160000000000005</c:v>
                </c:pt>
                <c:pt idx="39">
                  <c:v>1.1216579974483825</c:v>
                </c:pt>
                <c:pt idx="40">
                  <c:v>-0.73737909792366496</c:v>
                </c:pt>
                <c:pt idx="41">
                  <c:v>-0.31134371237150338</c:v>
                </c:pt>
                <c:pt idx="42" formatCode="#,##0.00">
                  <c:v>0.35591647167518509</c:v>
                </c:pt>
                <c:pt idx="43" formatCode="#,##0.00">
                  <c:v>0.20861087863966307</c:v>
                </c:pt>
                <c:pt idx="44" formatCode="#,##0.00">
                  <c:v>-0.91622036355089298</c:v>
                </c:pt>
                <c:pt idx="45">
                  <c:v>0.99471544824218527</c:v>
                </c:pt>
                <c:pt idx="46">
                  <c:v>-1.1234681952584127</c:v>
                </c:pt>
                <c:pt idx="47">
                  <c:v>-0.72422173192069306</c:v>
                </c:pt>
                <c:pt idx="48" formatCode="#,##0.00">
                  <c:v>-0.3215173795267639</c:v>
                </c:pt>
                <c:pt idx="49" formatCode="#,##0.00">
                  <c:v>2.89841236833401E-2</c:v>
                </c:pt>
                <c:pt idx="50" formatCode="#,##0.00">
                  <c:v>-0.63924473573174712</c:v>
                </c:pt>
                <c:pt idx="51" formatCode="#,##0.00">
                  <c:v>-0.48340967952992175</c:v>
                </c:pt>
                <c:pt idx="52" formatCode="#,##0.00">
                  <c:v>-0.36685462113795314</c:v>
                </c:pt>
                <c:pt idx="53" formatCode="#,##0.00">
                  <c:v>-0.48925050917540175</c:v>
                </c:pt>
                <c:pt idx="54" formatCode="#,##0.00">
                  <c:v>-0.26629558958671062</c:v>
                </c:pt>
                <c:pt idx="55" formatCode="#,##0.00">
                  <c:v>-0.16345745330707911</c:v>
                </c:pt>
                <c:pt idx="56" formatCode="#,##0.00">
                  <c:v>1.6560947591568442</c:v>
                </c:pt>
                <c:pt idx="57" formatCode="#,##0.00">
                  <c:v>-0.19062054376137796</c:v>
                </c:pt>
                <c:pt idx="58" formatCode="#,##0.00">
                  <c:v>1.8102729281703067</c:v>
                </c:pt>
                <c:pt idx="59" formatCode="#,##0.00">
                  <c:v>-0.51523569916729317</c:v>
                </c:pt>
                <c:pt idx="60" formatCode="#,##0.00">
                  <c:v>-0.87700285115046595</c:v>
                </c:pt>
                <c:pt idx="61" formatCode="#,##0.00">
                  <c:v>-2.7814279920575786</c:v>
                </c:pt>
                <c:pt idx="62" formatCode="#,##0.00">
                  <c:v>-0.16311516663216524</c:v>
                </c:pt>
                <c:pt idx="63" formatCode="#,##0.00">
                  <c:v>-0.14756208933816614</c:v>
                </c:pt>
                <c:pt idx="64" formatCode="#,##0.00">
                  <c:v>-1.495565360610789</c:v>
                </c:pt>
                <c:pt idx="65" formatCode="#,##0.00">
                  <c:v>0.74285459012757504</c:v>
                </c:pt>
                <c:pt idx="66" formatCode="#,##0.00">
                  <c:v>-0.74619194258222699</c:v>
                </c:pt>
                <c:pt idx="67">
                  <c:v>-1.0409702012422812</c:v>
                </c:pt>
                <c:pt idx="68" formatCode="#,##0.00">
                  <c:v>-2.1921727032219454</c:v>
                </c:pt>
                <c:pt idx="69" formatCode="#,##0.00">
                  <c:v>-1.6234721085383845</c:v>
                </c:pt>
                <c:pt idx="70">
                  <c:v>-0.7557772730575586</c:v>
                </c:pt>
                <c:pt idx="71">
                  <c:v>-0.8916558985613191</c:v>
                </c:pt>
                <c:pt idx="72">
                  <c:v>0.29622167257060283</c:v>
                </c:pt>
                <c:pt idx="73">
                  <c:v>-0.44473810251762202</c:v>
                </c:pt>
                <c:pt idx="74">
                  <c:v>-0.89940512430728281</c:v>
                </c:pt>
                <c:pt idx="75">
                  <c:v>-0.55209121186572396</c:v>
                </c:pt>
                <c:pt idx="76">
                  <c:v>-1.164186302738109</c:v>
                </c:pt>
                <c:pt idx="77">
                  <c:v>-1.2618443189299897</c:v>
                </c:pt>
                <c:pt idx="78">
                  <c:v>0.10304205907914342</c:v>
                </c:pt>
                <c:pt idx="79">
                  <c:v>0.69310359670059285</c:v>
                </c:pt>
                <c:pt idx="80">
                  <c:v>-0.92572142317926021</c:v>
                </c:pt>
              </c:numCache>
            </c:numRef>
          </c:yVal>
          <c:smooth val="0"/>
        </c:ser>
        <c:dLbls>
          <c:showLegendKey val="0"/>
          <c:showVal val="0"/>
          <c:showCatName val="0"/>
          <c:showSerName val="0"/>
          <c:showPercent val="0"/>
          <c:showBubbleSize val="0"/>
        </c:dLbls>
        <c:axId val="295249648"/>
        <c:axId val="294876160"/>
      </c:scatterChart>
      <c:valAx>
        <c:axId val="295249648"/>
        <c:scaling>
          <c:orientation val="minMax"/>
          <c:max val="1"/>
          <c:min val="-1.3"/>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r>
                  <a:rPr lang="en-US" sz="800"/>
                  <a:t>Sk</a:t>
                </a:r>
                <a:r>
                  <a:rPr lang="sk-SK" sz="800"/>
                  <a:t>óre</a:t>
                </a:r>
                <a:r>
                  <a:rPr lang="sk-SK" sz="800" baseline="0"/>
                  <a:t> výsledkového indikátora</a:t>
                </a:r>
                <a:endParaRPr lang="sk-SK" sz="800"/>
              </a:p>
            </c:rich>
          </c:tx>
          <c:layout>
            <c:manualLayout>
              <c:xMode val="edge"/>
              <c:yMode val="edge"/>
              <c:x val="0.26362473921529039"/>
              <c:y val="0.9310093596790964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0.0" sourceLinked="0"/>
        <c:majorTickMark val="out"/>
        <c:minorTickMark val="none"/>
        <c:tickLblPos val="low"/>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294876160"/>
        <c:crosses val="autoZero"/>
        <c:crossBetween val="midCat"/>
      </c:valAx>
      <c:valAx>
        <c:axId val="294876160"/>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r>
                  <a:rPr lang="sk-SK" sz="800"/>
                  <a:t>Skóre</a:t>
                </a:r>
                <a:r>
                  <a:rPr lang="sk-SK" sz="800" baseline="0"/>
                  <a:t> doplnkového indikátora</a:t>
                </a:r>
                <a:endParaRPr lang="sk-SK" sz="800"/>
              </a:p>
            </c:rich>
          </c:tx>
          <c:layout>
            <c:manualLayout>
              <c:xMode val="edge"/>
              <c:yMode val="edge"/>
              <c:x val="2.2654860450136038E-2"/>
              <c:y val="0.17012746991531719"/>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0.0" sourceLinked="0"/>
        <c:majorTickMark val="out"/>
        <c:minorTickMark val="none"/>
        <c:tickLblPos val="high"/>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29524964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en-US"/>
    </a:p>
  </c:txPr>
  <c:externalData r:id="rId4">
    <c:autoUpdate val="0"/>
  </c:externalData>
  <c:userShapes r:id="rId5"/>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078181118209773"/>
          <c:y val="4.8823828544190706E-2"/>
          <c:w val="0.81324883164476158"/>
          <c:h val="0.81940313016428501"/>
        </c:manualLayout>
      </c:layout>
      <c:barChart>
        <c:barDir val="col"/>
        <c:grouping val="stacked"/>
        <c:varyColors val="0"/>
        <c:ser>
          <c:idx val="5"/>
          <c:order val="0"/>
          <c:tx>
            <c:strRef>
              <c:f>PSS_hypo_dotacie_!$C$38</c:f>
              <c:strCache>
                <c:ptCount val="1"/>
                <c:pt idx="0">
                  <c:v>Vlastné bývanie</c:v>
                </c:pt>
              </c:strCache>
            </c:strRef>
          </c:tx>
          <c:spPr>
            <a:solidFill>
              <a:srgbClr val="2C9ADC"/>
            </a:solidFill>
          </c:spPr>
          <c:invertIfNegative val="0"/>
          <c:cat>
            <c:numRef>
              <c:f>PSS_hypo_dotacie_!$D$37:$J$37</c:f>
              <c:numCache>
                <c:formatCode>General</c:formatCode>
                <c:ptCount val="7"/>
                <c:pt idx="0">
                  <c:v>2010</c:v>
                </c:pt>
                <c:pt idx="1">
                  <c:v>2011</c:v>
                </c:pt>
                <c:pt idx="2">
                  <c:v>2012</c:v>
                </c:pt>
                <c:pt idx="3">
                  <c:v>2013</c:v>
                </c:pt>
                <c:pt idx="4">
                  <c:v>2014</c:v>
                </c:pt>
                <c:pt idx="5">
                  <c:v>2015</c:v>
                </c:pt>
                <c:pt idx="6">
                  <c:v>2016</c:v>
                </c:pt>
              </c:numCache>
            </c:numRef>
          </c:cat>
          <c:val>
            <c:numRef>
              <c:f>PSS_hypo_dotacie_!$D$38:$J$38</c:f>
              <c:numCache>
                <c:formatCode>0.0</c:formatCode>
                <c:ptCount val="7"/>
                <c:pt idx="0">
                  <c:v>38.54535890121609</c:v>
                </c:pt>
                <c:pt idx="1">
                  <c:v>37.921630221930606</c:v>
                </c:pt>
                <c:pt idx="2">
                  <c:v>39.873078470561211</c:v>
                </c:pt>
                <c:pt idx="3">
                  <c:v>34.349101040832643</c:v>
                </c:pt>
                <c:pt idx="4">
                  <c:v>26.100459287244725</c:v>
                </c:pt>
                <c:pt idx="5">
                  <c:v>25.875743449819939</c:v>
                </c:pt>
                <c:pt idx="6">
                  <c:v>19.753707855380888</c:v>
                </c:pt>
              </c:numCache>
            </c:numRef>
          </c:val>
        </c:ser>
        <c:ser>
          <c:idx val="8"/>
          <c:order val="1"/>
          <c:tx>
            <c:strRef>
              <c:f>PSS_hypo_dotacie_!$C$39</c:f>
              <c:strCache>
                <c:ptCount val="1"/>
                <c:pt idx="0">
                  <c:v>Nájomné bývanie</c:v>
                </c:pt>
              </c:strCache>
            </c:strRef>
          </c:tx>
          <c:spPr>
            <a:solidFill>
              <a:schemeClr val="tx2">
                <a:lumMod val="20000"/>
                <a:lumOff val="80000"/>
              </a:schemeClr>
            </a:solidFill>
            <a:ln>
              <a:noFill/>
            </a:ln>
          </c:spPr>
          <c:invertIfNegative val="0"/>
          <c:cat>
            <c:numRef>
              <c:f>PSS_hypo_dotacie_!$D$37:$J$37</c:f>
              <c:numCache>
                <c:formatCode>General</c:formatCode>
                <c:ptCount val="7"/>
                <c:pt idx="0">
                  <c:v>2010</c:v>
                </c:pt>
                <c:pt idx="1">
                  <c:v>2011</c:v>
                </c:pt>
                <c:pt idx="2">
                  <c:v>2012</c:v>
                </c:pt>
                <c:pt idx="3">
                  <c:v>2013</c:v>
                </c:pt>
                <c:pt idx="4">
                  <c:v>2014</c:v>
                </c:pt>
                <c:pt idx="5">
                  <c:v>2015</c:v>
                </c:pt>
                <c:pt idx="6">
                  <c:v>2016</c:v>
                </c:pt>
              </c:numCache>
            </c:numRef>
          </c:cat>
          <c:val>
            <c:numRef>
              <c:f>PSS_hypo_dotacie_!$D$39:$J$39</c:f>
              <c:numCache>
                <c:formatCode>0.0</c:formatCode>
                <c:ptCount val="7"/>
                <c:pt idx="0">
                  <c:v>48.246872953851394</c:v>
                </c:pt>
                <c:pt idx="1">
                  <c:v>38.441786152510993</c:v>
                </c:pt>
                <c:pt idx="2">
                  <c:v>26.8212114927539</c:v>
                </c:pt>
                <c:pt idx="3">
                  <c:v>26.391359526123409</c:v>
                </c:pt>
                <c:pt idx="4">
                  <c:v>33.990165522136046</c:v>
                </c:pt>
                <c:pt idx="5">
                  <c:v>34.645301450111063</c:v>
                </c:pt>
                <c:pt idx="6">
                  <c:v>20.867781166374325</c:v>
                </c:pt>
              </c:numCache>
            </c:numRef>
          </c:val>
        </c:ser>
        <c:ser>
          <c:idx val="0"/>
          <c:order val="2"/>
          <c:tx>
            <c:strRef>
              <c:f>PSS_hypo_dotacie_!$C$40</c:f>
              <c:strCache>
                <c:ptCount val="1"/>
                <c:pt idx="0">
                  <c:v>Obnova </c:v>
                </c:pt>
              </c:strCache>
            </c:strRef>
          </c:tx>
          <c:spPr>
            <a:solidFill>
              <a:srgbClr val="1F497D"/>
            </a:solidFill>
          </c:spPr>
          <c:invertIfNegative val="0"/>
          <c:cat>
            <c:numRef>
              <c:f>PSS_hypo_dotacie_!$D$37:$J$37</c:f>
              <c:numCache>
                <c:formatCode>General</c:formatCode>
                <c:ptCount val="7"/>
                <c:pt idx="0">
                  <c:v>2010</c:v>
                </c:pt>
                <c:pt idx="1">
                  <c:v>2011</c:v>
                </c:pt>
                <c:pt idx="2">
                  <c:v>2012</c:v>
                </c:pt>
                <c:pt idx="3">
                  <c:v>2013</c:v>
                </c:pt>
                <c:pt idx="4">
                  <c:v>2014</c:v>
                </c:pt>
                <c:pt idx="5">
                  <c:v>2015</c:v>
                </c:pt>
                <c:pt idx="6">
                  <c:v>2016</c:v>
                </c:pt>
              </c:numCache>
            </c:numRef>
          </c:cat>
          <c:val>
            <c:numRef>
              <c:f>PSS_hypo_dotacie_!$D$40:$J$40</c:f>
              <c:numCache>
                <c:formatCode>0.0</c:formatCode>
                <c:ptCount val="7"/>
                <c:pt idx="0">
                  <c:v>13.207768144932524</c:v>
                </c:pt>
                <c:pt idx="1">
                  <c:v>23.636583625558401</c:v>
                </c:pt>
                <c:pt idx="2">
                  <c:v>33.305710036684907</c:v>
                </c:pt>
                <c:pt idx="3">
                  <c:v>39.25953943304394</c:v>
                </c:pt>
                <c:pt idx="4">
                  <c:v>39.909375190619237</c:v>
                </c:pt>
                <c:pt idx="5">
                  <c:v>39.478955100069008</c:v>
                </c:pt>
                <c:pt idx="6">
                  <c:v>59.378510978244783</c:v>
                </c:pt>
              </c:numCache>
            </c:numRef>
          </c:val>
        </c:ser>
        <c:dLbls>
          <c:showLegendKey val="0"/>
          <c:showVal val="0"/>
          <c:showCatName val="0"/>
          <c:showSerName val="0"/>
          <c:showPercent val="0"/>
          <c:showBubbleSize val="0"/>
        </c:dLbls>
        <c:gapWidth val="150"/>
        <c:overlap val="100"/>
        <c:axId val="414065952"/>
        <c:axId val="414066344"/>
      </c:barChart>
      <c:catAx>
        <c:axId val="414065952"/>
        <c:scaling>
          <c:orientation val="minMax"/>
        </c:scaling>
        <c:delete val="0"/>
        <c:axPos val="b"/>
        <c:numFmt formatCode="General" sourceLinked="1"/>
        <c:majorTickMark val="out"/>
        <c:minorTickMark val="none"/>
        <c:tickLblPos val="low"/>
        <c:crossAx val="414066344"/>
        <c:crosses val="autoZero"/>
        <c:auto val="1"/>
        <c:lblAlgn val="ctr"/>
        <c:lblOffset val="100"/>
        <c:noMultiLvlLbl val="0"/>
      </c:catAx>
      <c:valAx>
        <c:axId val="414066344"/>
        <c:scaling>
          <c:orientation val="minMax"/>
          <c:max val="110"/>
          <c:min val="0"/>
        </c:scaling>
        <c:delete val="0"/>
        <c:axPos val="l"/>
        <c:majorGridlines>
          <c:spPr>
            <a:ln>
              <a:solidFill>
                <a:sysClr val="window" lastClr="FFFFFF">
                  <a:lumMod val="75000"/>
                </a:sysClr>
              </a:solidFill>
              <a:prstDash val="sysDash"/>
            </a:ln>
          </c:spPr>
        </c:majorGridlines>
        <c:title>
          <c:tx>
            <c:rich>
              <a:bodyPr/>
              <a:lstStyle/>
              <a:p>
                <a:pPr>
                  <a:defRPr b="0"/>
                </a:pPr>
                <a:r>
                  <a:rPr lang="sk-SK" b="0"/>
                  <a:t>Percentuálny podiel</a:t>
                </a:r>
              </a:p>
            </c:rich>
          </c:tx>
          <c:layout/>
          <c:overlay val="0"/>
        </c:title>
        <c:numFmt formatCode="#,##0" sourceLinked="0"/>
        <c:majorTickMark val="out"/>
        <c:minorTickMark val="none"/>
        <c:tickLblPos val="nextTo"/>
        <c:crossAx val="414065952"/>
        <c:crosses val="autoZero"/>
        <c:crossBetween val="between"/>
      </c:valAx>
      <c:spPr>
        <a:solidFill>
          <a:srgbClr val="AAD3F2"/>
        </a:solidFill>
      </c:spPr>
    </c:plotArea>
    <c:legend>
      <c:legendPos val="r"/>
      <c:layout>
        <c:manualLayout>
          <c:xMode val="edge"/>
          <c:yMode val="edge"/>
          <c:x val="0.10256498231478717"/>
          <c:y val="2.6467955873331925E-2"/>
          <c:w val="0.84466696864850277"/>
          <c:h val="0.11309701706994654"/>
        </c:manualLayout>
      </c:layout>
      <c:overlay val="0"/>
    </c:legend>
    <c:plotVisOnly val="1"/>
    <c:dispBlanksAs val="gap"/>
    <c:showDLblsOverMax val="0"/>
  </c:chart>
  <c:spPr>
    <a:solidFill>
      <a:srgbClr val="AAD3F2"/>
    </a:solidFill>
    <a:ln>
      <a:noFill/>
    </a:ln>
  </c:spPr>
  <c:txPr>
    <a:bodyPr/>
    <a:lstStyle/>
    <a:p>
      <a:pPr>
        <a:defRPr sz="800">
          <a:latin typeface="Arial Narrow" panose="020B0606020202030204" pitchFamily="34" charset="0"/>
        </a:defRPr>
      </a:pPr>
      <a:endParaRPr lang="en-US"/>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0.10404433390780282"/>
          <c:w val="0.91819511922711794"/>
          <c:h val="0.54106820363050945"/>
        </c:manualLayout>
      </c:layout>
      <c:lineChart>
        <c:grouping val="standard"/>
        <c:varyColors val="0"/>
        <c:ser>
          <c:idx val="3"/>
          <c:order val="0"/>
          <c:tx>
            <c:strRef>
              <c:f>'Admin data_wage_SK'!$J$11</c:f>
              <c:strCache>
                <c:ptCount val="1"/>
                <c:pt idx="0">
                  <c:v>0,25</c:v>
                </c:pt>
              </c:strCache>
            </c:strRef>
          </c:tx>
          <c:spPr>
            <a:ln w="28575">
              <a:noFill/>
            </a:ln>
          </c:spPr>
          <c:marker>
            <c:symbol val="none"/>
          </c:marker>
          <c:cat>
            <c:strRef>
              <c:f>'Admin data_wage_SK'!$I$12:$I$17</c:f>
              <c:strCache>
                <c:ptCount val="6"/>
                <c:pt idx="0">
                  <c:v>Bez pracovného 
príjmu</c:v>
                </c:pt>
                <c:pt idx="1">
                  <c:v> 0 – 0,5</c:v>
                </c:pt>
                <c:pt idx="2">
                  <c:v>0,5 – 1</c:v>
                </c:pt>
                <c:pt idx="3">
                  <c:v>1 – 1,5</c:v>
                </c:pt>
                <c:pt idx="4">
                  <c:v>1,5 – 2</c:v>
                </c:pt>
                <c:pt idx="5">
                  <c:v>&gt; 2</c:v>
                </c:pt>
              </c:strCache>
            </c:strRef>
          </c:cat>
          <c:val>
            <c:numRef>
              <c:f>'Admin data_wage_SK'!$J$12:$J$17</c:f>
              <c:numCache>
                <c:formatCode>General</c:formatCode>
                <c:ptCount val="6"/>
                <c:pt idx="0">
                  <c:v>23.9</c:v>
                </c:pt>
                <c:pt idx="1">
                  <c:v>19.033333333333335</c:v>
                </c:pt>
                <c:pt idx="2">
                  <c:v>6.9</c:v>
                </c:pt>
                <c:pt idx="3">
                  <c:v>4.5999999999999996</c:v>
                </c:pt>
                <c:pt idx="4">
                  <c:v>2.7666666666666666</c:v>
                </c:pt>
                <c:pt idx="5">
                  <c:v>1.7333333333333334</c:v>
                </c:pt>
              </c:numCache>
            </c:numRef>
          </c:val>
          <c:smooth val="0"/>
        </c:ser>
        <c:ser>
          <c:idx val="0"/>
          <c:order val="1"/>
          <c:tx>
            <c:strRef>
              <c:f>'Admin data_wage_SK'!$K$11</c:f>
              <c:strCache>
                <c:ptCount val="1"/>
                <c:pt idx="0">
                  <c:v>Medián</c:v>
                </c:pt>
              </c:strCache>
            </c:strRef>
          </c:tx>
          <c:spPr>
            <a:ln w="28575">
              <a:noFill/>
            </a:ln>
          </c:spPr>
          <c:marker>
            <c:symbol val="diamond"/>
            <c:size val="7"/>
            <c:spPr>
              <a:solidFill>
                <a:srgbClr val="002060"/>
              </a:solidFill>
              <a:ln>
                <a:noFill/>
              </a:ln>
            </c:spPr>
          </c:marker>
          <c:cat>
            <c:strRef>
              <c:f>'Admin data_wage_SK'!$I$12:$I$17</c:f>
              <c:strCache>
                <c:ptCount val="6"/>
                <c:pt idx="0">
                  <c:v>Bez pracovného 
príjmu</c:v>
                </c:pt>
                <c:pt idx="1">
                  <c:v> 0 – 0,5</c:v>
                </c:pt>
                <c:pt idx="2">
                  <c:v>0,5 – 1</c:v>
                </c:pt>
                <c:pt idx="3">
                  <c:v>1 – 1,5</c:v>
                </c:pt>
                <c:pt idx="4">
                  <c:v>1,5 – 2</c:v>
                </c:pt>
                <c:pt idx="5">
                  <c:v>&gt; 2</c:v>
                </c:pt>
              </c:strCache>
            </c:strRef>
          </c:cat>
          <c:val>
            <c:numRef>
              <c:f>'Admin data_wage_SK'!$K$12:$K$17</c:f>
              <c:numCache>
                <c:formatCode>General</c:formatCode>
                <c:ptCount val="6"/>
                <c:pt idx="0">
                  <c:v>33.333333333333336</c:v>
                </c:pt>
                <c:pt idx="1">
                  <c:v>32.833333333333336</c:v>
                </c:pt>
                <c:pt idx="2">
                  <c:v>26.966666666666665</c:v>
                </c:pt>
                <c:pt idx="3">
                  <c:v>15.166666666666666</c:v>
                </c:pt>
                <c:pt idx="4">
                  <c:v>7.4666666666666668</c:v>
                </c:pt>
                <c:pt idx="5">
                  <c:v>5.3</c:v>
                </c:pt>
              </c:numCache>
            </c:numRef>
          </c:val>
          <c:smooth val="0"/>
        </c:ser>
        <c:ser>
          <c:idx val="1"/>
          <c:order val="2"/>
          <c:tx>
            <c:strRef>
              <c:f>'Admin data_wage_SK'!$L$11</c:f>
              <c:strCache>
                <c:ptCount val="1"/>
                <c:pt idx="0">
                  <c:v>Priemer</c:v>
                </c:pt>
              </c:strCache>
            </c:strRef>
          </c:tx>
          <c:spPr>
            <a:ln w="28575">
              <a:noFill/>
            </a:ln>
          </c:spPr>
          <c:marker>
            <c:symbol val="triangle"/>
            <c:size val="7"/>
            <c:spPr>
              <a:solidFill>
                <a:srgbClr val="2C9ADC"/>
              </a:solidFill>
              <a:ln>
                <a:noFill/>
              </a:ln>
            </c:spPr>
          </c:marker>
          <c:cat>
            <c:strRef>
              <c:f>'Admin data_wage_SK'!$I$12:$I$17</c:f>
              <c:strCache>
                <c:ptCount val="6"/>
                <c:pt idx="0">
                  <c:v>Bez pracovného 
príjmu</c:v>
                </c:pt>
                <c:pt idx="1">
                  <c:v> 0 – 0,5</c:v>
                </c:pt>
                <c:pt idx="2">
                  <c:v>0,5 – 1</c:v>
                </c:pt>
                <c:pt idx="3">
                  <c:v>1 – 1,5</c:v>
                </c:pt>
                <c:pt idx="4">
                  <c:v>1,5 – 2</c:v>
                </c:pt>
                <c:pt idx="5">
                  <c:v>&gt; 2</c:v>
                </c:pt>
              </c:strCache>
            </c:strRef>
          </c:cat>
          <c:val>
            <c:numRef>
              <c:f>'Admin data_wage_SK'!$L$12:$L$17</c:f>
              <c:numCache>
                <c:formatCode>General</c:formatCode>
                <c:ptCount val="6"/>
                <c:pt idx="0">
                  <c:v>28.500333333333334</c:v>
                </c:pt>
                <c:pt idx="1">
                  <c:v>26.61</c:v>
                </c:pt>
                <c:pt idx="2">
                  <c:v>22.459999999999997</c:v>
                </c:pt>
                <c:pt idx="3">
                  <c:v>17.329333333333334</c:v>
                </c:pt>
                <c:pt idx="4">
                  <c:v>13.754666666666667</c:v>
                </c:pt>
                <c:pt idx="5">
                  <c:v>10.387666666666666</c:v>
                </c:pt>
              </c:numCache>
            </c:numRef>
          </c:val>
          <c:smooth val="0"/>
        </c:ser>
        <c:ser>
          <c:idx val="2"/>
          <c:order val="3"/>
          <c:tx>
            <c:strRef>
              <c:f>'Admin data_wage_SK'!$M$11</c:f>
              <c:strCache>
                <c:ptCount val="1"/>
                <c:pt idx="0">
                  <c:v>0,75</c:v>
                </c:pt>
              </c:strCache>
            </c:strRef>
          </c:tx>
          <c:spPr>
            <a:ln w="28575">
              <a:noFill/>
            </a:ln>
          </c:spPr>
          <c:marker>
            <c:symbol val="none"/>
          </c:marker>
          <c:cat>
            <c:strRef>
              <c:f>'Admin data_wage_SK'!$I$12:$I$17</c:f>
              <c:strCache>
                <c:ptCount val="6"/>
                <c:pt idx="0">
                  <c:v>Bez pracovného 
príjmu</c:v>
                </c:pt>
                <c:pt idx="1">
                  <c:v> 0 – 0,5</c:v>
                </c:pt>
                <c:pt idx="2">
                  <c:v>0,5 – 1</c:v>
                </c:pt>
                <c:pt idx="3">
                  <c:v>1 – 1,5</c:v>
                </c:pt>
                <c:pt idx="4">
                  <c:v>1,5 – 2</c:v>
                </c:pt>
                <c:pt idx="5">
                  <c:v>&gt; 2</c:v>
                </c:pt>
              </c:strCache>
            </c:strRef>
          </c:cat>
          <c:val>
            <c:numRef>
              <c:f>'Admin data_wage_SK'!$M$12:$M$17</c:f>
              <c:numCache>
                <c:formatCode>General</c:formatCode>
                <c:ptCount val="6"/>
                <c:pt idx="0">
                  <c:v>36</c:v>
                </c:pt>
                <c:pt idx="1">
                  <c:v>36.033333333333331</c:v>
                </c:pt>
                <c:pt idx="2">
                  <c:v>35.700000000000003</c:v>
                </c:pt>
                <c:pt idx="3">
                  <c:v>31.883333333333333</c:v>
                </c:pt>
                <c:pt idx="4">
                  <c:v>25.4</c:v>
                </c:pt>
                <c:pt idx="5">
                  <c:v>15.833333333333334</c:v>
                </c:pt>
              </c:numCache>
            </c:numRef>
          </c:val>
          <c:smooth val="0"/>
        </c:ser>
        <c:dLbls>
          <c:showLegendKey val="0"/>
          <c:showVal val="0"/>
          <c:showCatName val="0"/>
          <c:showSerName val="0"/>
          <c:showPercent val="0"/>
          <c:showBubbleSize val="0"/>
        </c:dLbls>
        <c:hiLowLines/>
        <c:marker val="1"/>
        <c:smooth val="0"/>
        <c:axId val="414067520"/>
        <c:axId val="414067912"/>
      </c:lineChart>
      <c:lineChart>
        <c:grouping val="standard"/>
        <c:varyColors val="0"/>
        <c:ser>
          <c:idx val="4"/>
          <c:order val="4"/>
          <c:tx>
            <c:strRef>
              <c:f>'Admin data_wage_SK'!$N$11</c:f>
              <c:strCache>
                <c:ptCount val="1"/>
                <c:pt idx="0">
                  <c:v>Podiel matiek (%) - pravá os</c:v>
                </c:pt>
              </c:strCache>
            </c:strRef>
          </c:tx>
          <c:spPr>
            <a:ln w="28575">
              <a:noFill/>
            </a:ln>
          </c:spPr>
          <c:marker>
            <c:symbol val="x"/>
            <c:size val="6"/>
            <c:spPr>
              <a:noFill/>
              <a:ln>
                <a:solidFill>
                  <a:sysClr val="windowText" lastClr="000000"/>
                </a:solidFill>
              </a:ln>
            </c:spPr>
          </c:marker>
          <c:cat>
            <c:strRef>
              <c:f>'Admin data_wage_SK'!$I$12:$I$17</c:f>
              <c:strCache>
                <c:ptCount val="6"/>
                <c:pt idx="0">
                  <c:v>Bez pracovného 
príjmu</c:v>
                </c:pt>
                <c:pt idx="1">
                  <c:v> 0 – 0,5</c:v>
                </c:pt>
                <c:pt idx="2">
                  <c:v>0,5 – 1</c:v>
                </c:pt>
                <c:pt idx="3">
                  <c:v>1 – 1,5</c:v>
                </c:pt>
                <c:pt idx="4">
                  <c:v>1,5 – 2</c:v>
                </c:pt>
                <c:pt idx="5">
                  <c:v>&gt; 2</c:v>
                </c:pt>
              </c:strCache>
            </c:strRef>
          </c:cat>
          <c:val>
            <c:numRef>
              <c:f>'Admin data_wage_SK'!$N$12:$N$17</c:f>
              <c:numCache>
                <c:formatCode>General</c:formatCode>
                <c:ptCount val="6"/>
                <c:pt idx="0">
                  <c:v>23.156946104265032</c:v>
                </c:pt>
                <c:pt idx="1">
                  <c:v>25.37664322238113</c:v>
                </c:pt>
                <c:pt idx="2">
                  <c:v>33.556021393726859</c:v>
                </c:pt>
                <c:pt idx="3">
                  <c:v>10.924122798424857</c:v>
                </c:pt>
                <c:pt idx="4">
                  <c:v>3.5950081303998593</c:v>
                </c:pt>
                <c:pt idx="5">
                  <c:v>3.3912583508022647</c:v>
                </c:pt>
              </c:numCache>
            </c:numRef>
          </c:val>
          <c:smooth val="0"/>
        </c:ser>
        <c:dLbls>
          <c:showLegendKey val="0"/>
          <c:showVal val="0"/>
          <c:showCatName val="0"/>
          <c:showSerName val="0"/>
          <c:showPercent val="0"/>
          <c:showBubbleSize val="0"/>
        </c:dLbls>
        <c:marker val="1"/>
        <c:smooth val="0"/>
        <c:axId val="414068696"/>
        <c:axId val="414068304"/>
      </c:lineChart>
      <c:catAx>
        <c:axId val="414067520"/>
        <c:scaling>
          <c:orientation val="minMax"/>
        </c:scaling>
        <c:delete val="0"/>
        <c:axPos val="b"/>
        <c:title>
          <c:tx>
            <c:rich>
              <a:bodyPr/>
              <a:lstStyle/>
              <a:p>
                <a:pPr>
                  <a:defRPr sz="800"/>
                </a:pPr>
                <a:r>
                  <a:rPr lang="sk-SK" sz="800"/>
                  <a:t>Násobok priemernej mzdy</a:t>
                </a:r>
                <a:endParaRPr lang="en-US" sz="800"/>
              </a:p>
            </c:rich>
          </c:tx>
          <c:layout>
            <c:manualLayout>
              <c:xMode val="edge"/>
              <c:yMode val="edge"/>
              <c:x val="0.28688598391220516"/>
              <c:y val="0.92424639580602874"/>
            </c:manualLayout>
          </c:layout>
          <c:overlay val="0"/>
        </c:title>
        <c:numFmt formatCode="General" sourceLinked="0"/>
        <c:majorTickMark val="out"/>
        <c:minorTickMark val="none"/>
        <c:tickLblPos val="low"/>
        <c:txPr>
          <a:bodyPr rot="-5400000" vert="horz"/>
          <a:lstStyle/>
          <a:p>
            <a:pPr>
              <a:defRPr sz="800"/>
            </a:pPr>
            <a:endParaRPr lang="en-US"/>
          </a:p>
        </c:txPr>
        <c:crossAx val="414067912"/>
        <c:crosses val="autoZero"/>
        <c:auto val="1"/>
        <c:lblAlgn val="ctr"/>
        <c:lblOffset val="100"/>
        <c:noMultiLvlLbl val="0"/>
      </c:catAx>
      <c:valAx>
        <c:axId val="414067912"/>
        <c:scaling>
          <c:orientation val="minMax"/>
          <c:max val="36"/>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sz="800"/>
            </a:pPr>
            <a:endParaRPr lang="en-US"/>
          </a:p>
        </c:txPr>
        <c:crossAx val="414067520"/>
        <c:crosses val="autoZero"/>
        <c:crossBetween val="between"/>
        <c:majorUnit val="4"/>
      </c:valAx>
      <c:valAx>
        <c:axId val="414068304"/>
        <c:scaling>
          <c:orientation val="minMax"/>
          <c:max val="45"/>
        </c:scaling>
        <c:delete val="0"/>
        <c:axPos val="r"/>
        <c:numFmt formatCode="0" sourceLinked="0"/>
        <c:majorTickMark val="out"/>
        <c:minorTickMark val="none"/>
        <c:tickLblPos val="nextTo"/>
        <c:txPr>
          <a:bodyPr/>
          <a:lstStyle/>
          <a:p>
            <a:pPr>
              <a:defRPr sz="800"/>
            </a:pPr>
            <a:endParaRPr lang="en-US"/>
          </a:p>
        </c:txPr>
        <c:crossAx val="414068696"/>
        <c:crosses val="max"/>
        <c:crossBetween val="between"/>
      </c:valAx>
      <c:catAx>
        <c:axId val="414068696"/>
        <c:scaling>
          <c:orientation val="minMax"/>
        </c:scaling>
        <c:delete val="1"/>
        <c:axPos val="b"/>
        <c:numFmt formatCode="General" sourceLinked="1"/>
        <c:majorTickMark val="out"/>
        <c:minorTickMark val="none"/>
        <c:tickLblPos val="nextTo"/>
        <c:crossAx val="414068304"/>
        <c:crosses val="autoZero"/>
        <c:auto val="1"/>
        <c:lblAlgn val="ctr"/>
        <c:lblOffset val="100"/>
        <c:noMultiLvlLbl val="0"/>
      </c:catAx>
      <c:spPr>
        <a:solidFill>
          <a:srgbClr val="AAD3F2"/>
        </a:solidFill>
      </c:spPr>
    </c:plotArea>
    <c:legend>
      <c:legendPos val="l"/>
      <c:layout>
        <c:manualLayout>
          <c:xMode val="edge"/>
          <c:yMode val="edge"/>
          <c:x val="0"/>
          <c:y val="6.9885338878673939E-4"/>
          <c:w val="0.99635561331532585"/>
          <c:h val="0.1102681581145553"/>
        </c:manualLayout>
      </c:layout>
      <c:overlay val="1"/>
      <c:txPr>
        <a:bodyPr/>
        <a:lstStyle/>
        <a:p>
          <a:pPr>
            <a:defRPr sz="700"/>
          </a:pPr>
          <a:endParaRPr lang="en-US"/>
        </a:p>
      </c:txPr>
    </c:legend>
    <c:plotVisOnly val="1"/>
    <c:dispBlanksAs val="gap"/>
    <c:showDLblsOverMax val="0"/>
  </c:chart>
  <c:spPr>
    <a:solidFill>
      <a:srgbClr val="AAD3F2"/>
    </a:solidFill>
    <a:ln>
      <a:noFill/>
    </a:ln>
  </c:spPr>
  <c:txPr>
    <a:bodyPr/>
    <a:lstStyle/>
    <a:p>
      <a:pPr>
        <a:defRPr sz="700" b="0" i="0" u="none" strike="noStrike" baseline="0">
          <a:solidFill>
            <a:srgbClr val="000000"/>
          </a:solidFill>
          <a:latin typeface="Arial Narrow" panose="020B0606020202030204" pitchFamily="34" charset="0"/>
          <a:ea typeface="Calibri"/>
          <a:cs typeface="Calibri"/>
        </a:defRPr>
      </a:pPr>
      <a:endParaRPr lang="en-US"/>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9887691522715682E-2"/>
          <c:y val="9.1158829708010536E-2"/>
          <c:w val="0.91819511922711794"/>
          <c:h val="0.5513526801504065"/>
        </c:manualLayout>
      </c:layout>
      <c:lineChart>
        <c:grouping val="standard"/>
        <c:varyColors val="0"/>
        <c:ser>
          <c:idx val="3"/>
          <c:order val="0"/>
          <c:tx>
            <c:strRef>
              <c:f>'Admin data_wage_SK'!$J$2</c:f>
              <c:strCache>
                <c:ptCount val="1"/>
                <c:pt idx="0">
                  <c:v>0,25</c:v>
                </c:pt>
              </c:strCache>
            </c:strRef>
          </c:tx>
          <c:spPr>
            <a:ln w="28575">
              <a:noFill/>
            </a:ln>
          </c:spPr>
          <c:marker>
            <c:symbol val="none"/>
          </c:marker>
          <c:cat>
            <c:strRef>
              <c:f>'Admin data_wage_SK'!$I$3:$I$8</c:f>
              <c:strCache>
                <c:ptCount val="6"/>
                <c:pt idx="0">
                  <c:v>Bez pracovného 
príjmu</c:v>
                </c:pt>
                <c:pt idx="1">
                  <c:v> 0 – 0,5</c:v>
                </c:pt>
                <c:pt idx="2">
                  <c:v>0,5 – 1</c:v>
                </c:pt>
                <c:pt idx="3">
                  <c:v>1 – 1,5</c:v>
                </c:pt>
                <c:pt idx="4">
                  <c:v>1,5 – 2</c:v>
                </c:pt>
                <c:pt idx="5">
                  <c:v>&gt; 2</c:v>
                </c:pt>
              </c:strCache>
            </c:strRef>
          </c:cat>
          <c:val>
            <c:numRef>
              <c:f>'Admin data_wage_SK'!$J$3:$J$8</c:f>
              <c:numCache>
                <c:formatCode>General</c:formatCode>
                <c:ptCount val="6"/>
                <c:pt idx="0">
                  <c:v>17.5</c:v>
                </c:pt>
                <c:pt idx="1">
                  <c:v>13.633333333333333</c:v>
                </c:pt>
                <c:pt idx="2">
                  <c:v>6.2</c:v>
                </c:pt>
                <c:pt idx="3">
                  <c:v>3.7333333333333334</c:v>
                </c:pt>
                <c:pt idx="4">
                  <c:v>1.8333333333333333</c:v>
                </c:pt>
                <c:pt idx="5">
                  <c:v>1.1000000000000001</c:v>
                </c:pt>
              </c:numCache>
            </c:numRef>
          </c:val>
          <c:smooth val="0"/>
        </c:ser>
        <c:ser>
          <c:idx val="0"/>
          <c:order val="1"/>
          <c:tx>
            <c:strRef>
              <c:f>'Admin data_wage_SK'!$K$2</c:f>
              <c:strCache>
                <c:ptCount val="1"/>
                <c:pt idx="0">
                  <c:v>Medián</c:v>
                </c:pt>
              </c:strCache>
            </c:strRef>
          </c:tx>
          <c:spPr>
            <a:ln w="28575">
              <a:noFill/>
            </a:ln>
          </c:spPr>
          <c:marker>
            <c:symbol val="diamond"/>
            <c:size val="7"/>
            <c:spPr>
              <a:solidFill>
                <a:srgbClr val="002060"/>
              </a:solidFill>
              <a:ln>
                <a:noFill/>
              </a:ln>
            </c:spPr>
          </c:marker>
          <c:cat>
            <c:strRef>
              <c:f>'Admin data_wage_SK'!$I$3:$I$8</c:f>
              <c:strCache>
                <c:ptCount val="6"/>
                <c:pt idx="0">
                  <c:v>Bez pracovného 
príjmu</c:v>
                </c:pt>
                <c:pt idx="1">
                  <c:v> 0 – 0,5</c:v>
                </c:pt>
                <c:pt idx="2">
                  <c:v>0,5 – 1</c:v>
                </c:pt>
                <c:pt idx="3">
                  <c:v>1 – 1,5</c:v>
                </c:pt>
                <c:pt idx="4">
                  <c:v>1,5 – 2</c:v>
                </c:pt>
                <c:pt idx="5">
                  <c:v>&gt; 2</c:v>
                </c:pt>
              </c:strCache>
            </c:strRef>
          </c:cat>
          <c:val>
            <c:numRef>
              <c:f>'Admin data_wage_SK'!$K$3:$K$8</c:f>
              <c:numCache>
                <c:formatCode>General</c:formatCode>
                <c:ptCount val="6"/>
                <c:pt idx="0">
                  <c:v>29.9</c:v>
                </c:pt>
                <c:pt idx="1">
                  <c:v>28.666666666666668</c:v>
                </c:pt>
                <c:pt idx="2">
                  <c:v>23.7</c:v>
                </c:pt>
                <c:pt idx="3">
                  <c:v>11.4</c:v>
                </c:pt>
                <c:pt idx="4">
                  <c:v>6.4333333333333336</c:v>
                </c:pt>
                <c:pt idx="5">
                  <c:v>4.7666666666666666</c:v>
                </c:pt>
              </c:numCache>
            </c:numRef>
          </c:val>
          <c:smooth val="0"/>
        </c:ser>
        <c:ser>
          <c:idx val="1"/>
          <c:order val="2"/>
          <c:tx>
            <c:strRef>
              <c:f>'Admin data_wage_SK'!$L$2</c:f>
              <c:strCache>
                <c:ptCount val="1"/>
                <c:pt idx="0">
                  <c:v>Priemer</c:v>
                </c:pt>
              </c:strCache>
            </c:strRef>
          </c:tx>
          <c:spPr>
            <a:ln w="28575">
              <a:noFill/>
            </a:ln>
          </c:spPr>
          <c:marker>
            <c:symbol val="triangle"/>
            <c:size val="7"/>
            <c:spPr>
              <a:solidFill>
                <a:srgbClr val="2C9ADC"/>
              </a:solidFill>
              <a:ln>
                <a:noFill/>
              </a:ln>
            </c:spPr>
          </c:marker>
          <c:cat>
            <c:strRef>
              <c:f>'Admin data_wage_SK'!$I$3:$I$8</c:f>
              <c:strCache>
                <c:ptCount val="6"/>
                <c:pt idx="0">
                  <c:v>Bez pracovného 
príjmu</c:v>
                </c:pt>
                <c:pt idx="1">
                  <c:v> 0 – 0,5</c:v>
                </c:pt>
                <c:pt idx="2">
                  <c:v>0,5 – 1</c:v>
                </c:pt>
                <c:pt idx="3">
                  <c:v>1 – 1,5</c:v>
                </c:pt>
                <c:pt idx="4">
                  <c:v>1,5 – 2</c:v>
                </c:pt>
                <c:pt idx="5">
                  <c:v>&gt; 2</c:v>
                </c:pt>
              </c:strCache>
            </c:strRef>
          </c:cat>
          <c:val>
            <c:numRef>
              <c:f>'Admin data_wage_SK'!$L$3:$L$8</c:f>
              <c:numCache>
                <c:formatCode>General</c:formatCode>
                <c:ptCount val="6"/>
                <c:pt idx="0">
                  <c:v>25.658666666666665</c:v>
                </c:pt>
                <c:pt idx="1">
                  <c:v>24.299333333333333</c:v>
                </c:pt>
                <c:pt idx="2">
                  <c:v>20.801333333333332</c:v>
                </c:pt>
                <c:pt idx="3">
                  <c:v>15.639333333333333</c:v>
                </c:pt>
                <c:pt idx="4">
                  <c:v>12.198666666666666</c:v>
                </c:pt>
                <c:pt idx="5">
                  <c:v>9.3339999999999996</c:v>
                </c:pt>
              </c:numCache>
            </c:numRef>
          </c:val>
          <c:smooth val="0"/>
        </c:ser>
        <c:ser>
          <c:idx val="2"/>
          <c:order val="3"/>
          <c:tx>
            <c:strRef>
              <c:f>'Admin data_wage_SK'!$M$2</c:f>
              <c:strCache>
                <c:ptCount val="1"/>
                <c:pt idx="0">
                  <c:v>0,75</c:v>
                </c:pt>
              </c:strCache>
            </c:strRef>
          </c:tx>
          <c:spPr>
            <a:ln w="28575">
              <a:noFill/>
            </a:ln>
          </c:spPr>
          <c:marker>
            <c:symbol val="none"/>
          </c:marker>
          <c:cat>
            <c:strRef>
              <c:f>'Admin data_wage_SK'!$I$3:$I$8</c:f>
              <c:strCache>
                <c:ptCount val="6"/>
                <c:pt idx="0">
                  <c:v>Bez pracovného 
príjmu</c:v>
                </c:pt>
                <c:pt idx="1">
                  <c:v> 0 – 0,5</c:v>
                </c:pt>
                <c:pt idx="2">
                  <c:v>0,5 – 1</c:v>
                </c:pt>
                <c:pt idx="3">
                  <c:v>1 – 1,5</c:v>
                </c:pt>
                <c:pt idx="4">
                  <c:v>1,5 – 2</c:v>
                </c:pt>
                <c:pt idx="5">
                  <c:v>&gt; 2</c:v>
                </c:pt>
              </c:strCache>
            </c:strRef>
          </c:cat>
          <c:val>
            <c:numRef>
              <c:f>'Admin data_wage_SK'!$M$3:$M$8</c:f>
              <c:numCache>
                <c:formatCode>General</c:formatCode>
                <c:ptCount val="6"/>
                <c:pt idx="0">
                  <c:v>35.700000000000003</c:v>
                </c:pt>
                <c:pt idx="1">
                  <c:v>35.766666666666666</c:v>
                </c:pt>
                <c:pt idx="2">
                  <c:v>35.06666666666667</c:v>
                </c:pt>
                <c:pt idx="3">
                  <c:v>29.1</c:v>
                </c:pt>
                <c:pt idx="4">
                  <c:v>21.4</c:v>
                </c:pt>
                <c:pt idx="5">
                  <c:v>12.966666666666667</c:v>
                </c:pt>
              </c:numCache>
            </c:numRef>
          </c:val>
          <c:smooth val="0"/>
        </c:ser>
        <c:dLbls>
          <c:showLegendKey val="0"/>
          <c:showVal val="0"/>
          <c:showCatName val="0"/>
          <c:showSerName val="0"/>
          <c:showPercent val="0"/>
          <c:showBubbleSize val="0"/>
        </c:dLbls>
        <c:hiLowLines/>
        <c:marker val="1"/>
        <c:smooth val="0"/>
        <c:axId val="414069480"/>
        <c:axId val="414069872"/>
      </c:lineChart>
      <c:lineChart>
        <c:grouping val="standard"/>
        <c:varyColors val="0"/>
        <c:ser>
          <c:idx val="4"/>
          <c:order val="4"/>
          <c:tx>
            <c:strRef>
              <c:f>'Admin data_wage_SK'!$N$2</c:f>
              <c:strCache>
                <c:ptCount val="1"/>
                <c:pt idx="0">
                  <c:v>Podiel matiek (%) - pravá os</c:v>
                </c:pt>
              </c:strCache>
            </c:strRef>
          </c:tx>
          <c:spPr>
            <a:ln w="28575">
              <a:noFill/>
            </a:ln>
          </c:spPr>
          <c:marker>
            <c:symbol val="x"/>
            <c:size val="6"/>
            <c:spPr>
              <a:noFill/>
              <a:ln>
                <a:solidFill>
                  <a:sysClr val="windowText" lastClr="000000"/>
                </a:solidFill>
              </a:ln>
            </c:spPr>
          </c:marker>
          <c:cat>
            <c:strRef>
              <c:f>'Admin data_wage_SK'!$I$3:$I$8</c:f>
              <c:strCache>
                <c:ptCount val="6"/>
                <c:pt idx="0">
                  <c:v>Bez pracovného 
príjmu</c:v>
                </c:pt>
                <c:pt idx="1">
                  <c:v> 0 – 0,5</c:v>
                </c:pt>
                <c:pt idx="2">
                  <c:v>0,5 – 1</c:v>
                </c:pt>
                <c:pt idx="3">
                  <c:v>1 – 1,5</c:v>
                </c:pt>
                <c:pt idx="4">
                  <c:v>1,5 – 2</c:v>
                </c:pt>
                <c:pt idx="5">
                  <c:v>&gt; 2</c:v>
                </c:pt>
              </c:strCache>
            </c:strRef>
          </c:cat>
          <c:val>
            <c:numRef>
              <c:f>'Admin data_wage_SK'!$N$3:$N$8</c:f>
              <c:numCache>
                <c:formatCode>General</c:formatCode>
                <c:ptCount val="6"/>
                <c:pt idx="0">
                  <c:v>27.11563148020144</c:v>
                </c:pt>
                <c:pt idx="1">
                  <c:v>27.04157203515355</c:v>
                </c:pt>
                <c:pt idx="2">
                  <c:v>30.181692505184159</c:v>
                </c:pt>
                <c:pt idx="3">
                  <c:v>9.573417596524143</c:v>
                </c:pt>
                <c:pt idx="4">
                  <c:v>3.1286001119120508</c:v>
                </c:pt>
                <c:pt idx="5">
                  <c:v>2.9590862710246535</c:v>
                </c:pt>
              </c:numCache>
            </c:numRef>
          </c:val>
          <c:smooth val="0"/>
        </c:ser>
        <c:dLbls>
          <c:showLegendKey val="0"/>
          <c:showVal val="0"/>
          <c:showCatName val="0"/>
          <c:showSerName val="0"/>
          <c:showPercent val="0"/>
          <c:showBubbleSize val="0"/>
        </c:dLbls>
        <c:marker val="1"/>
        <c:smooth val="0"/>
        <c:axId val="415426680"/>
        <c:axId val="414070264"/>
      </c:lineChart>
      <c:catAx>
        <c:axId val="414069480"/>
        <c:scaling>
          <c:orientation val="minMax"/>
        </c:scaling>
        <c:delete val="0"/>
        <c:axPos val="b"/>
        <c:title>
          <c:tx>
            <c:rich>
              <a:bodyPr/>
              <a:lstStyle/>
              <a:p>
                <a:pPr>
                  <a:defRPr sz="800"/>
                </a:pPr>
                <a:r>
                  <a:rPr lang="sk-SK" sz="800"/>
                  <a:t>Násobok priemernej mzdy</a:t>
                </a:r>
              </a:p>
            </c:rich>
          </c:tx>
          <c:layout>
            <c:manualLayout>
              <c:xMode val="edge"/>
              <c:yMode val="edge"/>
              <c:x val="0.29947166955332061"/>
              <c:y val="0.92997647083105439"/>
            </c:manualLayout>
          </c:layout>
          <c:overlay val="0"/>
        </c:title>
        <c:numFmt formatCode="General" sourceLinked="0"/>
        <c:majorTickMark val="out"/>
        <c:minorTickMark val="none"/>
        <c:tickLblPos val="low"/>
        <c:txPr>
          <a:bodyPr rot="-5400000" vert="horz"/>
          <a:lstStyle/>
          <a:p>
            <a:pPr>
              <a:defRPr sz="800"/>
            </a:pPr>
            <a:endParaRPr lang="en-US"/>
          </a:p>
        </c:txPr>
        <c:crossAx val="414069872"/>
        <c:crosses val="autoZero"/>
        <c:auto val="1"/>
        <c:lblAlgn val="ctr"/>
        <c:lblOffset val="100"/>
        <c:noMultiLvlLbl val="0"/>
      </c:catAx>
      <c:valAx>
        <c:axId val="414069872"/>
        <c:scaling>
          <c:orientation val="minMax"/>
          <c:max val="36"/>
          <c:min val="0"/>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sz="800"/>
            </a:pPr>
            <a:endParaRPr lang="en-US"/>
          </a:p>
        </c:txPr>
        <c:crossAx val="414069480"/>
        <c:crosses val="autoZero"/>
        <c:crossBetween val="between"/>
        <c:majorUnit val="4"/>
      </c:valAx>
      <c:valAx>
        <c:axId val="414070264"/>
        <c:scaling>
          <c:orientation val="minMax"/>
          <c:max val="45"/>
        </c:scaling>
        <c:delete val="0"/>
        <c:axPos val="r"/>
        <c:numFmt formatCode="#,##0" sourceLinked="0"/>
        <c:majorTickMark val="out"/>
        <c:minorTickMark val="none"/>
        <c:tickLblPos val="nextTo"/>
        <c:txPr>
          <a:bodyPr/>
          <a:lstStyle/>
          <a:p>
            <a:pPr>
              <a:defRPr sz="800"/>
            </a:pPr>
            <a:endParaRPr lang="en-US"/>
          </a:p>
        </c:txPr>
        <c:crossAx val="415426680"/>
        <c:crosses val="max"/>
        <c:crossBetween val="between"/>
      </c:valAx>
      <c:catAx>
        <c:axId val="415426680"/>
        <c:scaling>
          <c:orientation val="minMax"/>
        </c:scaling>
        <c:delete val="1"/>
        <c:axPos val="b"/>
        <c:numFmt formatCode="General" sourceLinked="1"/>
        <c:majorTickMark val="out"/>
        <c:minorTickMark val="none"/>
        <c:tickLblPos val="nextTo"/>
        <c:crossAx val="414070264"/>
        <c:crosses val="autoZero"/>
        <c:auto val="1"/>
        <c:lblAlgn val="ctr"/>
        <c:lblOffset val="100"/>
        <c:noMultiLvlLbl val="0"/>
      </c:catAx>
      <c:spPr>
        <a:solidFill>
          <a:srgbClr val="AAD3F2"/>
        </a:solidFill>
      </c:spPr>
    </c:plotArea>
    <c:legend>
      <c:legendPos val="l"/>
      <c:layout>
        <c:manualLayout>
          <c:xMode val="edge"/>
          <c:yMode val="edge"/>
          <c:x val="1.7985274945992184E-3"/>
          <c:y val="5.1102086275532869E-3"/>
          <c:w val="0.97579202784494823"/>
          <c:h val="9.2771190632328887E-2"/>
        </c:manualLayout>
      </c:layout>
      <c:overlay val="1"/>
    </c:legend>
    <c:plotVisOnly val="1"/>
    <c:dispBlanksAs val="gap"/>
    <c:showDLblsOverMax val="0"/>
  </c:chart>
  <c:spPr>
    <a:solidFill>
      <a:srgbClr val="AAD3F2"/>
    </a:solidFill>
    <a:ln>
      <a:noFill/>
    </a:ln>
  </c:spPr>
  <c:txPr>
    <a:bodyPr/>
    <a:lstStyle/>
    <a:p>
      <a:pPr>
        <a:defRPr sz="700" b="0" i="0" u="none" strike="noStrike" baseline="0">
          <a:solidFill>
            <a:srgbClr val="000000"/>
          </a:solidFill>
          <a:latin typeface="Arial Narrow" panose="020B0606020202030204" pitchFamily="34" charset="0"/>
          <a:ea typeface="Calibri"/>
          <a:cs typeface="Calibri"/>
        </a:defRPr>
      </a:pPr>
      <a:endParaRPr lang="en-US"/>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417436997626964E-2"/>
          <c:y val="5.5989236111111111E-2"/>
          <c:w val="0.93616132135261021"/>
          <c:h val="0.83872676629706999"/>
        </c:manualLayout>
      </c:layout>
      <c:barChart>
        <c:barDir val="col"/>
        <c:grouping val="clustered"/>
        <c:varyColors val="0"/>
        <c:ser>
          <c:idx val="0"/>
          <c:order val="0"/>
          <c:tx>
            <c:strRef>
              <c:f>'47 zdravotnictvo'!$S$42</c:f>
              <c:strCache>
                <c:ptCount val="1"/>
                <c:pt idx="0">
                  <c:v>2016</c:v>
                </c:pt>
              </c:strCache>
            </c:strRef>
          </c:tx>
          <c:spPr>
            <a:solidFill>
              <a:srgbClr val="2C9ADC"/>
            </a:solidFill>
          </c:spPr>
          <c:invertIfNegative val="0"/>
          <c:dPt>
            <c:idx val="1"/>
            <c:invertIfNegative val="0"/>
            <c:bubble3D val="0"/>
            <c:spPr>
              <a:solidFill>
                <a:srgbClr val="AAD3F2"/>
              </a:solidFill>
            </c:spPr>
          </c:dPt>
          <c:dPt>
            <c:idx val="2"/>
            <c:invertIfNegative val="0"/>
            <c:bubble3D val="0"/>
            <c:spPr>
              <a:solidFill>
                <a:srgbClr val="00206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'47 zdravotnictvo'!$B$43:$B$45</c:f>
              <c:strCache>
                <c:ptCount val="3"/>
                <c:pt idx="0">
                  <c:v>SK</c:v>
                </c:pt>
                <c:pt idx="1">
                  <c:v>OECD</c:v>
                </c:pt>
                <c:pt idx="2">
                  <c:v>V3</c:v>
                </c:pt>
              </c:strCache>
            </c:strRef>
          </c:cat>
          <c:val>
            <c:numRef>
              <c:f>'47 zdravotnictvo'!$S$43:$S$45</c:f>
              <c:numCache>
                <c:formatCode>0.0</c:formatCode>
                <c:ptCount val="3"/>
                <c:pt idx="0">
                  <c:v>5.4909999999999997</c:v>
                </c:pt>
                <c:pt idx="1">
                  <c:v>6.527742857142858</c:v>
                </c:pt>
                <c:pt idx="2">
                  <c:v>5.2109999999999994</c:v>
                </c:pt>
              </c:numCache>
            </c:numRef>
          </c:val>
        </c:ser>
        <c:dLbls>
          <c:showLegendKey val="0"/>
          <c:showVal val="0"/>
          <c:showCatName val="0"/>
          <c:showSerName val="0"/>
          <c:showPercent val="0"/>
          <c:showBubbleSize val="0"/>
        </c:dLbls>
        <c:gapWidth val="66"/>
        <c:axId val="415427464"/>
        <c:axId val="415427856"/>
      </c:barChart>
      <c:catAx>
        <c:axId val="415427464"/>
        <c:scaling>
          <c:orientation val="minMax"/>
        </c:scaling>
        <c:delete val="0"/>
        <c:axPos val="b"/>
        <c:numFmt formatCode="General" sourceLinked="1"/>
        <c:majorTickMark val="out"/>
        <c:minorTickMark val="none"/>
        <c:tickLblPos val="nextTo"/>
        <c:crossAx val="415427856"/>
        <c:crosses val="autoZero"/>
        <c:auto val="1"/>
        <c:lblAlgn val="ctr"/>
        <c:lblOffset val="100"/>
        <c:noMultiLvlLbl val="0"/>
      </c:catAx>
      <c:valAx>
        <c:axId val="415427856"/>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crossAx val="415427464"/>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417436997626964E-2"/>
          <c:y val="5.5989236111111111E-2"/>
          <c:w val="0.93616132135261021"/>
          <c:h val="0.83947325733219513"/>
        </c:manualLayout>
      </c:layout>
      <c:barChart>
        <c:barDir val="col"/>
        <c:grouping val="clustered"/>
        <c:varyColors val="0"/>
        <c:ser>
          <c:idx val="0"/>
          <c:order val="0"/>
          <c:tx>
            <c:strRef>
              <c:f>'47 zdravotnictvo'!$G$19</c:f>
              <c:strCache>
                <c:ptCount val="1"/>
                <c:pt idx="0">
                  <c:v>2015</c:v>
                </c:pt>
              </c:strCache>
            </c:strRef>
          </c:tx>
          <c:spPr>
            <a:solidFill>
              <a:srgbClr val="AAD3F2"/>
            </a:solidFill>
          </c:spPr>
          <c:invertIfNegative val="0"/>
          <c:dPt>
            <c:idx val="0"/>
            <c:invertIfNegative val="0"/>
            <c:bubble3D val="0"/>
            <c:spPr>
              <a:solidFill>
                <a:srgbClr val="2C9ADC"/>
              </a:solidFill>
            </c:spPr>
          </c:dPt>
          <c:dPt>
            <c:idx val="1"/>
            <c:invertIfNegative val="0"/>
            <c:bubble3D val="0"/>
          </c:dPt>
          <c:dPt>
            <c:idx val="2"/>
            <c:invertIfNegative val="0"/>
            <c:bubble3D val="0"/>
            <c:spPr>
              <a:solidFill>
                <a:srgbClr val="002060"/>
              </a:solidFill>
            </c:spPr>
          </c:dPt>
          <c:dLbls>
            <c:spPr>
              <a:noFill/>
              <a:ln>
                <a:noFill/>
              </a:ln>
              <a:effectLst/>
            </c:spPr>
            <c:txPr>
              <a:bodyPr wrap="square" lIns="38100" tIns="19050" rIns="38100" bIns="19050" anchor="ctr">
                <a:spAutoFit/>
              </a:bodyPr>
              <a:lstStyle/>
              <a:p>
                <a:pPr>
                  <a:defRPr>
                    <a:latin typeface="Arial Narrow" panose="020B0606020202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'47 zdravotnictvo'!$B$20:$B$22</c:f>
              <c:strCache>
                <c:ptCount val="3"/>
                <c:pt idx="0">
                  <c:v>SK</c:v>
                </c:pt>
                <c:pt idx="1">
                  <c:v>EÚ</c:v>
                </c:pt>
                <c:pt idx="2">
                  <c:v>V3</c:v>
                </c:pt>
              </c:strCache>
            </c:strRef>
          </c:cat>
          <c:val>
            <c:numRef>
              <c:f>'47 zdravotnictvo'!$G$20:$G$22</c:f>
              <c:numCache>
                <c:formatCode>0</c:formatCode>
                <c:ptCount val="3"/>
                <c:pt idx="0">
                  <c:v>249.96</c:v>
                </c:pt>
                <c:pt idx="1">
                  <c:v>127.1</c:v>
                </c:pt>
                <c:pt idx="2">
                  <c:v>205.22666666666666</c:v>
                </c:pt>
              </c:numCache>
            </c:numRef>
          </c:val>
        </c:ser>
        <c:dLbls>
          <c:showLegendKey val="0"/>
          <c:showVal val="0"/>
          <c:showCatName val="0"/>
          <c:showSerName val="0"/>
          <c:showPercent val="0"/>
          <c:showBubbleSize val="0"/>
        </c:dLbls>
        <c:gapWidth val="52"/>
        <c:axId val="415428640"/>
        <c:axId val="415429032"/>
      </c:barChart>
      <c:catAx>
        <c:axId val="415428640"/>
        <c:scaling>
          <c:orientation val="minMax"/>
        </c:scaling>
        <c:delete val="0"/>
        <c:axPos val="b"/>
        <c:numFmt formatCode="General" sourceLinked="1"/>
        <c:majorTickMark val="out"/>
        <c:minorTickMark val="none"/>
        <c:tickLblPos val="nextTo"/>
        <c:txPr>
          <a:bodyPr/>
          <a:lstStyle/>
          <a:p>
            <a:pPr>
              <a:defRPr>
                <a:latin typeface="Arial Narrow" panose="020B0606020202030204" pitchFamily="34" charset="0"/>
              </a:defRPr>
            </a:pPr>
            <a:endParaRPr lang="en-US"/>
          </a:p>
        </c:txPr>
        <c:crossAx val="415429032"/>
        <c:crosses val="autoZero"/>
        <c:auto val="1"/>
        <c:lblAlgn val="ctr"/>
        <c:lblOffset val="100"/>
        <c:noMultiLvlLbl val="0"/>
      </c:catAx>
      <c:valAx>
        <c:axId val="415429032"/>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a:lstStyle/>
          <a:p>
            <a:pPr>
              <a:defRPr>
                <a:latin typeface="Arial Narrow" panose="020B0606020202030204" pitchFamily="34" charset="0"/>
              </a:defRPr>
            </a:pPr>
            <a:endParaRPr lang="en-US"/>
          </a:p>
        </c:txPr>
        <c:crossAx val="415428640"/>
        <c:crosses val="autoZero"/>
        <c:crossBetween val="between"/>
      </c:valAx>
    </c:plotArea>
    <c:plotVisOnly val="1"/>
    <c:dispBlanksAs val="gap"/>
    <c:showDLblsOverMax val="0"/>
  </c:chart>
  <c:spPr>
    <a:ln>
      <a:noFill/>
    </a:ln>
  </c:spPr>
  <c:txPr>
    <a:bodyPr/>
    <a:lstStyle/>
    <a:p>
      <a:pPr>
        <a:defRPr sz="800">
          <a:latin typeface="NeueHaasGroteskDisp W02" panose="020B0504020202020204" pitchFamily="34" charset="-18"/>
        </a:defRPr>
      </a:pPr>
      <a:endParaRPr lang="en-US"/>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8.4437714516454654E-2"/>
          <c:w val="0.91819511922711794"/>
          <c:h val="0.83145069444444442"/>
        </c:manualLayout>
      </c:layout>
      <c:lineChart>
        <c:grouping val="standard"/>
        <c:varyColors val="0"/>
        <c:ser>
          <c:idx val="3"/>
          <c:order val="0"/>
          <c:tx>
            <c:strRef>
              <c:f>'47 zdravotnictvo'!$B$58</c:f>
              <c:strCache>
                <c:ptCount val="1"/>
                <c:pt idx="0">
                  <c:v>SK</c:v>
                </c:pt>
              </c:strCache>
            </c:strRef>
          </c:tx>
          <c:spPr>
            <a:ln w="19050">
              <a:solidFill>
                <a:srgbClr val="2C9ADC"/>
              </a:solidFill>
              <a:prstDash val="solid"/>
            </a:ln>
          </c:spPr>
          <c:marker>
            <c:symbol val="none"/>
          </c:marker>
          <c:cat>
            <c:numRef>
              <c:f>'47 zdravotnictvo'!$C$57:$N$57</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'47 zdravotnictvo'!$C$58:$N$58</c:f>
              <c:numCache>
                <c:formatCode>0.00</c:formatCode>
                <c:ptCount val="12"/>
                <c:pt idx="0">
                  <c:v>-2.1450899999999962</c:v>
                </c:pt>
                <c:pt idx="1">
                  <c:v>-2.323120000000003</c:v>
                </c:pt>
                <c:pt idx="2">
                  <c:v>-2.4252999999999929</c:v>
                </c:pt>
                <c:pt idx="3">
                  <c:v>-2.7695899999999938</c:v>
                </c:pt>
                <c:pt idx="4">
                  <c:v>-2.7338100000000054</c:v>
                </c:pt>
                <c:pt idx="5">
                  <c:v>-2.7061700000000002</c:v>
                </c:pt>
                <c:pt idx="6">
                  <c:v>-2.5563100000000105</c:v>
                </c:pt>
                <c:pt idx="7">
                  <c:v>-2.0738699999999994</c:v>
                </c:pt>
                <c:pt idx="8">
                  <c:v>-2.0914700000000011</c:v>
                </c:pt>
                <c:pt idx="9">
                  <c:v>-1.9809199999999976</c:v>
                </c:pt>
                <c:pt idx="10">
                  <c:v>-1.6690199999999891</c:v>
                </c:pt>
                <c:pt idx="11">
                  <c:v>-1.9187299999999965</c:v>
                </c:pt>
              </c:numCache>
            </c:numRef>
          </c:val>
          <c:smooth val="0"/>
        </c:ser>
        <c:ser>
          <c:idx val="5"/>
          <c:order val="1"/>
          <c:tx>
            <c:strRef>
              <c:f>'47 zdravotnictvo'!$B$59</c:f>
              <c:strCache>
                <c:ptCount val="1"/>
                <c:pt idx="0">
                  <c:v>CZ</c:v>
                </c:pt>
              </c:strCache>
            </c:strRef>
          </c:tx>
          <c:spPr>
            <a:ln w="19050">
              <a:solidFill>
                <a:sysClr val="windowText" lastClr="000000"/>
              </a:solidFill>
              <a:prstDash val="solid"/>
            </a:ln>
          </c:spPr>
          <c:marker>
            <c:symbol val="none"/>
          </c:marker>
          <c:cat>
            <c:numRef>
              <c:f>'47 zdravotnictvo'!$C$57:$N$57</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'47 zdravotnictvo'!$C$59:$N$59</c:f>
              <c:numCache>
                <c:formatCode>0.00</c:formatCode>
                <c:ptCount val="12"/>
                <c:pt idx="0">
                  <c:v>-7.1889999999996235E-2</c:v>
                </c:pt>
                <c:pt idx="1">
                  <c:v>0.16575999999999169</c:v>
                </c:pt>
                <c:pt idx="2">
                  <c:v>0.62682999999999822</c:v>
                </c:pt>
                <c:pt idx="3">
                  <c:v>0.80487999999999715</c:v>
                </c:pt>
                <c:pt idx="4">
                  <c:v>0.84053999999999007</c:v>
                </c:pt>
                <c:pt idx="5">
                  <c:v>0.51381000000000654</c:v>
                </c:pt>
                <c:pt idx="6">
                  <c:v>0.91393999999999664</c:v>
                </c:pt>
                <c:pt idx="7">
                  <c:v>1.0656500000000051</c:v>
                </c:pt>
                <c:pt idx="8">
                  <c:v>1.2287299999999988</c:v>
                </c:pt>
                <c:pt idx="9">
                  <c:v>0.87062999999999136</c:v>
                </c:pt>
                <c:pt idx="10">
                  <c:v>1.40852000000001</c:v>
                </c:pt>
                <c:pt idx="11">
                  <c:v>1.2092400000000083</c:v>
                </c:pt>
              </c:numCache>
            </c:numRef>
          </c:val>
          <c:smooth val="0"/>
        </c:ser>
        <c:ser>
          <c:idx val="0"/>
          <c:order val="2"/>
          <c:tx>
            <c:strRef>
              <c:f>'47 zdravotnictvo'!$B$60</c:f>
              <c:strCache>
                <c:ptCount val="1"/>
                <c:pt idx="0">
                  <c:v>EE</c:v>
                </c:pt>
              </c:strCache>
            </c:strRef>
          </c:tx>
          <c:spPr>
            <a:ln w="19050">
              <a:solidFill>
                <a:srgbClr val="0070C0"/>
              </a:solidFill>
              <a:prstDash val="dash"/>
            </a:ln>
          </c:spPr>
          <c:marker>
            <c:symbol val="none"/>
          </c:marker>
          <c:dPt>
            <c:idx val="2"/>
            <c:bubble3D val="0"/>
          </c:dPt>
          <c:cat>
            <c:numRef>
              <c:f>'47 zdravotnictvo'!$C$57:$N$57</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'47 zdravotnictvo'!$C$60:$N$60</c:f>
              <c:numCache>
                <c:formatCode>0.00</c:formatCode>
                <c:ptCount val="12"/>
                <c:pt idx="0">
                  <c:v>-1.2194399999999916</c:v>
                </c:pt>
                <c:pt idx="1">
                  <c:v>-1.0007299999999901</c:v>
                </c:pt>
                <c:pt idx="2">
                  <c:v>-1.0780500000000046</c:v>
                </c:pt>
                <c:pt idx="3">
                  <c:v>-1.466399999999993</c:v>
                </c:pt>
                <c:pt idx="4">
                  <c:v>-1.0342899999999986</c:v>
                </c:pt>
                <c:pt idx="5">
                  <c:v>-0.28972000000000264</c:v>
                </c:pt>
                <c:pt idx="6">
                  <c:v>0.38218000000000529</c:v>
                </c:pt>
                <c:pt idx="7">
                  <c:v>0.7760900000000106</c:v>
                </c:pt>
                <c:pt idx="8">
                  <c:v>0.70623000000000502</c:v>
                </c:pt>
                <c:pt idx="9">
                  <c:v>1.2794099999999986</c:v>
                </c:pt>
                <c:pt idx="10">
                  <c:v>0.92113000000000511</c:v>
                </c:pt>
                <c:pt idx="11">
                  <c:v>1.1931500000000028</c:v>
                </c:pt>
              </c:numCache>
            </c:numRef>
          </c:val>
          <c:smooth val="0"/>
        </c:ser>
        <c:ser>
          <c:idx val="4"/>
          <c:order val="3"/>
          <c:tx>
            <c:strRef>
              <c:f>'47 zdravotnictvo'!$B$62</c:f>
              <c:strCache>
                <c:ptCount val="1"/>
                <c:pt idx="0">
                  <c:v>JP</c:v>
                </c:pt>
              </c:strCache>
            </c:strRef>
          </c:tx>
          <c:spPr>
            <a:ln w="19050">
              <a:solidFill>
                <a:srgbClr val="E7E6E6">
                  <a:lumMod val="50000"/>
                </a:srgbClr>
              </a:solidFill>
            </a:ln>
          </c:spPr>
          <c:marker>
            <c:symbol val="none"/>
          </c:marker>
          <c:cat>
            <c:numRef>
              <c:f>'47 zdravotnictvo'!$C$57:$N$57</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'47 zdravotnictvo'!$C$62:$N$62</c:f>
              <c:numCache>
                <c:formatCode>0.00</c:formatCode>
                <c:ptCount val="12"/>
                <c:pt idx="0">
                  <c:v>2.9795899999999875</c:v>
                </c:pt>
                <c:pt idx="1">
                  <c:v>2.6948399999999992</c:v>
                </c:pt>
                <c:pt idx="2">
                  <c:v>2.9537600000000026</c:v>
                </c:pt>
                <c:pt idx="3">
                  <c:v>2.9464399999999955</c:v>
                </c:pt>
                <c:pt idx="4">
                  <c:v>2.8998200000000054</c:v>
                </c:pt>
                <c:pt idx="5">
                  <c:v>3.0410200000000032</c:v>
                </c:pt>
                <c:pt idx="6">
                  <c:v>2.71387</c:v>
                </c:pt>
                <c:pt idx="7">
                  <c:v>1.9424900000000065</c:v>
                </c:pt>
                <c:pt idx="8">
                  <c:v>2.2648999999999972</c:v>
                </c:pt>
                <c:pt idx="9">
                  <c:v>2.325090000000003</c:v>
                </c:pt>
                <c:pt idx="10">
                  <c:v>2.5690299999999979</c:v>
                </c:pt>
                <c:pt idx="11">
                  <c:v>2.6661399999999986</c:v>
                </c:pt>
              </c:numCache>
            </c:numRef>
          </c:val>
          <c:smooth val="0"/>
        </c:ser>
        <c:ser>
          <c:idx val="6"/>
          <c:order val="4"/>
          <c:tx>
            <c:strRef>
              <c:f>'47 zdravotnictvo'!$B$63</c:f>
              <c:strCache>
                <c:ptCount val="1"/>
                <c:pt idx="0">
                  <c:v>HU</c:v>
                </c:pt>
              </c:strCache>
            </c:strRef>
          </c:tx>
          <c:spPr>
            <a:ln w="19050"/>
          </c:spPr>
          <c:marker>
            <c:symbol val="none"/>
          </c:marker>
          <c:cat>
            <c:numRef>
              <c:f>'47 zdravotnictvo'!$C$57:$N$57</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'47 zdravotnictvo'!$C$63:$N$63</c:f>
              <c:numCache>
                <c:formatCode>0.00</c:formatCode>
                <c:ptCount val="12"/>
                <c:pt idx="0">
                  <c:v>-1.9272200000000055</c:v>
                </c:pt>
                <c:pt idx="1">
                  <c:v>-2.1877099999999956</c:v>
                </c:pt>
                <c:pt idx="2">
                  <c:v>-1.8149300000000039</c:v>
                </c:pt>
                <c:pt idx="3">
                  <c:v>-1.5512100000000117</c:v>
                </c:pt>
                <c:pt idx="4">
                  <c:v>-1.1970999999999918</c:v>
                </c:pt>
                <c:pt idx="5">
                  <c:v>-1.0493899999999883</c:v>
                </c:pt>
                <c:pt idx="6">
                  <c:v>-0.97281999999999869</c:v>
                </c:pt>
                <c:pt idx="7">
                  <c:v>-0.79106000000000165</c:v>
                </c:pt>
                <c:pt idx="8">
                  <c:v>-0.56604000000000099</c:v>
                </c:pt>
                <c:pt idx="9">
                  <c:v>-0.23319999999999652</c:v>
                </c:pt>
                <c:pt idx="10">
                  <c:v>-0.11104999999999166</c:v>
                </c:pt>
                <c:pt idx="11">
                  <c:v>-0.11104999999999166</c:v>
                </c:pt>
              </c:numCache>
            </c:numRef>
          </c:val>
          <c:smooth val="0"/>
        </c:ser>
        <c:ser>
          <c:idx val="7"/>
          <c:order val="5"/>
          <c:tx>
            <c:strRef>
              <c:f>'47 zdravotnictvo'!$B$64</c:f>
              <c:strCache>
                <c:ptCount val="1"/>
                <c:pt idx="0">
                  <c:v>PL</c:v>
                </c:pt>
              </c:strCache>
            </c:strRef>
          </c:tx>
          <c:spPr>
            <a:ln w="19050">
              <a:solidFill>
                <a:srgbClr val="B0D6AF"/>
              </a:solidFill>
            </a:ln>
          </c:spPr>
          <c:marker>
            <c:symbol val="none"/>
          </c:marker>
          <c:cat>
            <c:numRef>
              <c:f>'47 zdravotnictvo'!$C$57:$N$57</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'47 zdravotnictvo'!$C$64:$N$64</c:f>
              <c:numCache>
                <c:formatCode>0.00</c:formatCode>
                <c:ptCount val="12"/>
                <c:pt idx="0">
                  <c:v>1.2761899999999997</c:v>
                </c:pt>
                <c:pt idx="1">
                  <c:v>1.3415099999999995</c:v>
                </c:pt>
                <c:pt idx="2">
                  <c:v>1.3090899999999976</c:v>
                </c:pt>
                <c:pt idx="3">
                  <c:v>1.05501000000001</c:v>
                </c:pt>
                <c:pt idx="4">
                  <c:v>0.8133499999999998</c:v>
                </c:pt>
                <c:pt idx="5">
                  <c:v>0.62944999999999141</c:v>
                </c:pt>
                <c:pt idx="6">
                  <c:v>1.124210000000005</c:v>
                </c:pt>
                <c:pt idx="7">
                  <c:v>1.3234800000000035</c:v>
                </c:pt>
                <c:pt idx="8">
                  <c:v>1.34311000000001</c:v>
                </c:pt>
                <c:pt idx="9">
                  <c:v>1.3602499999999935</c:v>
                </c:pt>
                <c:pt idx="10">
                  <c:v>1.8859000000000066</c:v>
                </c:pt>
                <c:pt idx="11">
                  <c:v>1.6390999999999991</c:v>
                </c:pt>
              </c:numCache>
            </c:numRef>
          </c:val>
          <c:smooth val="0"/>
        </c:ser>
        <c:ser>
          <c:idx val="9"/>
          <c:order val="6"/>
          <c:tx>
            <c:strRef>
              <c:f>'47 zdravotnictvo'!$B$65</c:f>
              <c:strCache>
                <c:ptCount val="1"/>
                <c:pt idx="0">
                  <c:v>SI</c:v>
                </c:pt>
              </c:strCache>
            </c:strRef>
          </c:tx>
          <c:spPr>
            <a:ln w="19050">
              <a:solidFill>
                <a:srgbClr val="D3BEDE"/>
              </a:solidFill>
            </a:ln>
          </c:spPr>
          <c:marker>
            <c:symbol val="none"/>
          </c:marker>
          <c:cat>
            <c:numRef>
              <c:f>'47 zdravotnictvo'!$C$57:$N$57</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'47 zdravotnictvo'!$C$65:$N$65</c:f>
              <c:numCache>
                <c:formatCode>0.00</c:formatCode>
                <c:ptCount val="12"/>
                <c:pt idx="0">
                  <c:v>1.0946300000000093</c:v>
                </c:pt>
                <c:pt idx="1">
                  <c:v>0.94568000000001007</c:v>
                </c:pt>
                <c:pt idx="2">
                  <c:v>1.8122499999999917</c:v>
                </c:pt>
                <c:pt idx="3">
                  <c:v>1.7257000000000033</c:v>
                </c:pt>
                <c:pt idx="4">
                  <c:v>2.0927899999999937</c:v>
                </c:pt>
                <c:pt idx="5">
                  <c:v>2.2459199999999981</c:v>
                </c:pt>
                <c:pt idx="6">
                  <c:v>2.6928999999999945</c:v>
                </c:pt>
                <c:pt idx="7">
                  <c:v>2.9115499999999912</c:v>
                </c:pt>
                <c:pt idx="8">
                  <c:v>3.0285900000000083</c:v>
                </c:pt>
                <c:pt idx="9">
                  <c:v>3.0945400000000092</c:v>
                </c:pt>
                <c:pt idx="10">
                  <c:v>3.9050500000000028</c:v>
                </c:pt>
                <c:pt idx="11">
                  <c:v>3.5193700000000092</c:v>
                </c:pt>
              </c:numCache>
            </c:numRef>
          </c:val>
          <c:smooth val="0"/>
        </c:ser>
        <c:ser>
          <c:idx val="8"/>
          <c:order val="7"/>
          <c:tx>
            <c:strRef>
              <c:f>'47 zdravotnictvo'!$B$68</c:f>
              <c:strCache>
                <c:ptCount val="1"/>
                <c:pt idx="0">
                  <c:v>US</c:v>
                </c:pt>
              </c:strCache>
            </c:strRef>
          </c:tx>
          <c:spPr>
            <a:ln w="19050">
              <a:solidFill>
                <a:srgbClr val="F9C9BA"/>
              </a:solidFill>
            </a:ln>
          </c:spPr>
          <c:marker>
            <c:symbol val="none"/>
          </c:marker>
          <c:cat>
            <c:numRef>
              <c:f>'47 zdravotnictvo'!$C$57:$N$57</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'47 zdravotnictvo'!$C$68:$N$68</c:f>
              <c:numCache>
                <c:formatCode>0.00</c:formatCode>
                <c:ptCount val="12"/>
                <c:pt idx="0">
                  <c:v>-2.6620800000000031</c:v>
                </c:pt>
                <c:pt idx="1">
                  <c:v>-2.8370299999999986</c:v>
                </c:pt>
                <c:pt idx="2">
                  <c:v>-2.8432200000000023</c:v>
                </c:pt>
                <c:pt idx="3">
                  <c:v>-2.6935399999999987</c:v>
                </c:pt>
                <c:pt idx="4">
                  <c:v>-2.8578100000000006</c:v>
                </c:pt>
                <c:pt idx="5">
                  <c:v>-2.6242400000000004</c:v>
                </c:pt>
                <c:pt idx="6">
                  <c:v>-2.641130000000004</c:v>
                </c:pt>
                <c:pt idx="7">
                  <c:v>-2.6193999999999988</c:v>
                </c:pt>
                <c:pt idx="8">
                  <c:v>-2.6004700000000014</c:v>
                </c:pt>
                <c:pt idx="9">
                  <c:v>-2.7032300000000049</c:v>
                </c:pt>
                <c:pt idx="10">
                  <c:v>-2.776449999999997</c:v>
                </c:pt>
                <c:pt idx="11">
                  <c:v>-2.776449999999997</c:v>
                </c:pt>
              </c:numCache>
            </c:numRef>
          </c:val>
          <c:smooth val="0"/>
        </c:ser>
        <c:dLbls>
          <c:showLegendKey val="0"/>
          <c:showVal val="0"/>
          <c:showCatName val="0"/>
          <c:showSerName val="0"/>
          <c:showPercent val="0"/>
          <c:showBubbleSize val="0"/>
        </c:dLbls>
        <c:smooth val="0"/>
        <c:axId val="415429816"/>
        <c:axId val="415430208"/>
      </c:lineChart>
      <c:catAx>
        <c:axId val="415429816"/>
        <c:scaling>
          <c:orientation val="minMax"/>
        </c:scaling>
        <c:delete val="0"/>
        <c:axPos val="b"/>
        <c:numFmt formatCode="General" sourceLinked="0"/>
        <c:majorTickMark val="out"/>
        <c:minorTickMark val="none"/>
        <c:tickLblPos val="low"/>
        <c:txPr>
          <a:bodyPr rot="-5400000" vert="horz"/>
          <a:lstStyle/>
          <a:p>
            <a:pPr>
              <a:defRPr>
                <a:latin typeface="Arial Narrow" panose="020B0606020202030204" pitchFamily="34" charset="0"/>
              </a:defRPr>
            </a:pPr>
            <a:endParaRPr lang="en-US"/>
          </a:p>
        </c:txPr>
        <c:crossAx val="415430208"/>
        <c:crosses val="autoZero"/>
        <c:auto val="1"/>
        <c:lblAlgn val="ctr"/>
        <c:lblOffset val="100"/>
        <c:noMultiLvlLbl val="0"/>
      </c:catAx>
      <c:valAx>
        <c:axId val="415430208"/>
        <c:scaling>
          <c:orientation val="minMax"/>
          <c:max val="6"/>
        </c:scaling>
        <c:delete val="0"/>
        <c:axPos val="l"/>
        <c:majorGridlines>
          <c:spPr>
            <a:ln>
              <a:solidFill>
                <a:schemeClr val="bg1">
                  <a:lumMod val="75000"/>
                </a:schemeClr>
              </a:solidFill>
              <a:prstDash val="sysDash"/>
            </a:ln>
          </c:spPr>
        </c:majorGridlines>
        <c:numFmt formatCode="#,##0.0" sourceLinked="0"/>
        <c:majorTickMark val="out"/>
        <c:minorTickMark val="none"/>
        <c:tickLblPos val="nextTo"/>
        <c:txPr>
          <a:bodyPr rot="0" vert="horz"/>
          <a:lstStyle/>
          <a:p>
            <a:pPr>
              <a:defRPr>
                <a:latin typeface="Arial Narrow" panose="020B0606020202030204" pitchFamily="34" charset="0"/>
              </a:defRPr>
            </a:pPr>
            <a:endParaRPr lang="en-US"/>
          </a:p>
        </c:txPr>
        <c:crossAx val="415429816"/>
        <c:crosses val="autoZero"/>
        <c:crossBetween val="between"/>
      </c:valAx>
    </c:plotArea>
    <c:legend>
      <c:legendPos val="l"/>
      <c:layout>
        <c:manualLayout>
          <c:xMode val="edge"/>
          <c:yMode val="edge"/>
          <c:x val="6.3888888888888884E-2"/>
          <c:y val="4.8965441819772526E-2"/>
          <c:w val="0.93186482939632542"/>
          <c:h val="0.13144356955380576"/>
        </c:manualLayout>
      </c:layout>
      <c:overlay val="1"/>
      <c:txPr>
        <a:bodyPr/>
        <a:lstStyle/>
        <a:p>
          <a:pPr>
            <a:defRPr sz="800">
              <a:latin typeface="Arial Narrow" panose="020B0606020202030204" pitchFamily="34" charset="0"/>
            </a:defRPr>
          </a:pPr>
          <a:endParaRPr lang="en-US"/>
        </a:p>
      </c:txPr>
    </c:legend>
    <c:plotVisOnly val="1"/>
    <c:dispBlanksAs val="gap"/>
    <c:showDLblsOverMax val="0"/>
  </c:chart>
  <c:spPr>
    <a:ln>
      <a:noFill/>
    </a:ln>
  </c:spPr>
  <c:txPr>
    <a:bodyPr/>
    <a:lstStyle/>
    <a:p>
      <a:pPr>
        <a:defRPr sz="800" b="0" i="0" u="none" strike="noStrike" baseline="0">
          <a:solidFill>
            <a:srgbClr val="000000"/>
          </a:solidFill>
          <a:latin typeface="NeueHaasGroteskDisp W02" panose="020B0504020202020204" pitchFamily="34" charset="-18"/>
          <a:ea typeface="Calibri"/>
          <a:cs typeface="Calibri"/>
        </a:defRPr>
      </a:pPr>
      <a:endParaRPr lang="en-US"/>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7690174099416612E-2"/>
          <c:y val="6.7424522754327837E-2"/>
          <c:w val="0.95052344439477821"/>
          <c:h val="0.79316122798083077"/>
        </c:manualLayout>
      </c:layout>
      <c:barChart>
        <c:barDir val="col"/>
        <c:grouping val="stacked"/>
        <c:varyColors val="0"/>
        <c:ser>
          <c:idx val="0"/>
          <c:order val="0"/>
          <c:tx>
            <c:strRef>
              <c:f>'47 zdravotnictvo'!$A$94</c:f>
              <c:strCache>
                <c:ptCount val="1"/>
                <c:pt idx="0">
                  <c:v>Záväzky po lehote splatnosti</c:v>
                </c:pt>
              </c:strCache>
            </c:strRef>
          </c:tx>
          <c:spPr>
            <a:solidFill>
              <a:srgbClr val="2C9AD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'47 zdravotnictvo'!$B$93:$L$93</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'47 zdravotnictvo'!$B$94:$L$94</c:f>
              <c:numCache>
                <c:formatCode>0</c:formatCode>
                <c:ptCount val="11"/>
                <c:pt idx="0">
                  <c:v>67.159831539999985</c:v>
                </c:pt>
                <c:pt idx="1">
                  <c:v>136.35985430000002</c:v>
                </c:pt>
                <c:pt idx="2">
                  <c:v>248.62299999999999</c:v>
                </c:pt>
                <c:pt idx="3">
                  <c:v>317.1539403999999</c:v>
                </c:pt>
                <c:pt idx="4">
                  <c:v>426.22098303999996</c:v>
                </c:pt>
                <c:pt idx="5">
                  <c:v>527.16479532999995</c:v>
                </c:pt>
                <c:pt idx="6">
                  <c:v>645.29771389000007</c:v>
                </c:pt>
                <c:pt idx="7">
                  <c:v>763.43063245000019</c:v>
                </c:pt>
                <c:pt idx="8">
                  <c:v>881.56355101000031</c:v>
                </c:pt>
                <c:pt idx="9">
                  <c:v>999.69646957000043</c:v>
                </c:pt>
                <c:pt idx="10">
                  <c:v>1117.8293881300006</c:v>
                </c:pt>
              </c:numCache>
            </c:numRef>
          </c:val>
        </c:ser>
        <c:ser>
          <c:idx val="1"/>
          <c:order val="1"/>
          <c:tx>
            <c:strRef>
              <c:f>'47 zdravotnictvo'!$A$95</c:f>
              <c:strCache>
                <c:ptCount val="1"/>
                <c:pt idx="0">
                  <c:v>Záväzky v lehote splatnosti</c:v>
                </c:pt>
              </c:strCache>
            </c:strRef>
          </c:tx>
          <c:spPr>
            <a:solidFill>
              <a:srgbClr val="AAD3F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'47 zdravotnictvo'!$B$93:$L$93</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'47 zdravotnictvo'!$B$95:$L$95</c:f>
              <c:numCache>
                <c:formatCode>0</c:formatCode>
                <c:ptCount val="11"/>
                <c:pt idx="0">
                  <c:v>98.884194740000041</c:v>
                </c:pt>
                <c:pt idx="1">
                  <c:v>122.29867731999998</c:v>
                </c:pt>
                <c:pt idx="2">
                  <c:v>104.77303745999995</c:v>
                </c:pt>
                <c:pt idx="3">
                  <c:v>107.33575787000002</c:v>
                </c:pt>
                <c:pt idx="4">
                  <c:v>106.38716651000001</c:v>
                </c:pt>
                <c:pt idx="5">
                  <c:v>112.26786168</c:v>
                </c:pt>
                <c:pt idx="6">
                  <c:v>111.05299933000009</c:v>
                </c:pt>
                <c:pt idx="7">
                  <c:v>109.8381369800002</c:v>
                </c:pt>
                <c:pt idx="8">
                  <c:v>108.62327463000031</c:v>
                </c:pt>
                <c:pt idx="9">
                  <c:v>107.40841228000042</c:v>
                </c:pt>
                <c:pt idx="10">
                  <c:v>106.19354993000053</c:v>
                </c:pt>
              </c:numCache>
            </c:numRef>
          </c:val>
        </c:ser>
        <c:dLbls>
          <c:showLegendKey val="0"/>
          <c:showVal val="0"/>
          <c:showCatName val="0"/>
          <c:showSerName val="0"/>
          <c:showPercent val="0"/>
          <c:showBubbleSize val="0"/>
        </c:dLbls>
        <c:gapWidth val="150"/>
        <c:overlap val="100"/>
        <c:axId val="415430992"/>
        <c:axId val="415431384"/>
      </c:barChart>
      <c:catAx>
        <c:axId val="415430992"/>
        <c:scaling>
          <c:orientation val="minMax"/>
        </c:scaling>
        <c:delete val="0"/>
        <c:axPos val="b"/>
        <c:numFmt formatCode="General" sourceLinked="1"/>
        <c:majorTickMark val="none"/>
        <c:minorTickMark val="none"/>
        <c:tickLblPos val="low"/>
        <c:spPr>
          <a:noFill/>
          <a:ln w="9525" cap="flat" cmpd="sng" algn="ctr">
            <a:solidFill>
              <a:srgbClr val="868686"/>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415431384"/>
        <c:crosses val="autoZero"/>
        <c:auto val="1"/>
        <c:lblAlgn val="ctr"/>
        <c:lblOffset val="100"/>
        <c:noMultiLvlLbl val="0"/>
      </c:catAx>
      <c:valAx>
        <c:axId val="415431384"/>
        <c:scaling>
          <c:orientation val="minMax"/>
          <c:max val="1200"/>
          <c:min val="0"/>
        </c:scaling>
        <c:delete val="0"/>
        <c:axPos val="l"/>
        <c:majorGridlines>
          <c:spPr>
            <a:ln w="9525" cap="flat" cmpd="sng" algn="ctr">
              <a:solidFill>
                <a:sysClr val="window" lastClr="FFFFFF">
                  <a:lumMod val="75000"/>
                </a:sysClr>
              </a:solidFill>
              <a:prstDash val="sysDash"/>
              <a:round/>
            </a:ln>
            <a:effectLst/>
          </c:spPr>
        </c:majorGridlines>
        <c:numFmt formatCode="0" sourceLinked="0"/>
        <c:majorTickMark val="out"/>
        <c:minorTickMark val="none"/>
        <c:tickLblPos val="nextTo"/>
        <c:spPr>
          <a:noFill/>
          <a:ln>
            <a:solidFill>
              <a:srgbClr val="868686"/>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415430992"/>
        <c:crosses val="autoZero"/>
        <c:crossBetween val="between"/>
        <c:majorUnit val="200"/>
      </c:valAx>
      <c:spPr>
        <a:solidFill>
          <a:sysClr val="window" lastClr="FFFFFF"/>
        </a:solidFill>
        <a:ln>
          <a:noFill/>
        </a:ln>
        <a:effectLst/>
      </c:spPr>
    </c:plotArea>
    <c:legend>
      <c:legendPos val="b"/>
      <c:layout>
        <c:manualLayout>
          <c:xMode val="edge"/>
          <c:yMode val="edge"/>
          <c:x val="0.12630556230264756"/>
          <c:y val="6.3003599959841089E-2"/>
          <c:w val="0.50935146951663823"/>
          <c:h val="0.22317186791441646"/>
        </c:manualLayout>
      </c:layout>
      <c:overlay val="1"/>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Arial Narrow" panose="020B0606020202030204" pitchFamily="34" charset="0"/>
              <a:ea typeface="+mn-ea"/>
              <a:cs typeface="+mn-cs"/>
            </a:defRPr>
          </a:pPr>
          <a:endParaRPr lang="en-US"/>
        </a:p>
      </c:txPr>
    </c:legend>
    <c:plotVisOnly val="1"/>
    <c:dispBlanksAs val="gap"/>
    <c:showDLblsOverMax val="0"/>
  </c:chart>
  <c:spPr>
    <a:solidFill>
      <a:sysClr val="window" lastClr="FFFFFF"/>
    </a:solidFill>
    <a:ln w="9525" cap="flat" cmpd="sng" algn="ctr">
      <a:noFill/>
      <a:round/>
    </a:ln>
    <a:effectLst/>
  </c:spPr>
  <c:txPr>
    <a:bodyPr/>
    <a:lstStyle/>
    <a:p>
      <a:pPr>
        <a:defRPr sz="1100">
          <a:solidFill>
            <a:sysClr val="windowText" lastClr="000000"/>
          </a:solidFill>
          <a:latin typeface="Arial Narrow" panose="020B0606020202030204" pitchFamily="34" charset="0"/>
        </a:defRPr>
      </a:pPr>
      <a:endParaRPr lang="en-US"/>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417436997626999E-2"/>
          <c:y val="4.2759961127308101E-2"/>
          <c:w val="0.79210627552422375"/>
          <c:h val="0.87659205384652905"/>
        </c:manualLayout>
      </c:layout>
      <c:barChart>
        <c:barDir val="col"/>
        <c:grouping val="clustered"/>
        <c:varyColors val="0"/>
        <c:ser>
          <c:idx val="0"/>
          <c:order val="0"/>
          <c:tx>
            <c:strRef>
              <c:f>'45 podnikateľské prostredie'!$D$31</c:f>
              <c:strCache>
                <c:ptCount val="1"/>
                <c:pt idx="0">
                  <c:v>2017</c:v>
                </c:pt>
              </c:strCache>
            </c:strRef>
          </c:tx>
          <c:spPr>
            <a:solidFill>
              <a:srgbClr val="AAD3F2"/>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cat>
            <c:strRef>
              <c:f>'45 podnikateľské prostredie'!$E$30:$J$30</c:f>
              <c:strCache>
                <c:ptCount val="6"/>
                <c:pt idx="0">
                  <c:v>SK</c:v>
                </c:pt>
                <c:pt idx="1">
                  <c:v>CZ</c:v>
                </c:pt>
                <c:pt idx="2">
                  <c:v>HU</c:v>
                </c:pt>
                <c:pt idx="3">
                  <c:v>PL</c:v>
                </c:pt>
                <c:pt idx="4">
                  <c:v>EÚ-28</c:v>
                </c:pt>
                <c:pt idx="5">
                  <c:v>OECD</c:v>
                </c:pt>
              </c:strCache>
            </c:strRef>
          </c:cat>
          <c:val>
            <c:numRef>
              <c:f>'45 podnikateľské prostredie'!$E$31:$J$31</c:f>
              <c:numCache>
                <c:formatCode>0.00</c:formatCode>
                <c:ptCount val="6"/>
                <c:pt idx="0">
                  <c:v>75.150000000000006</c:v>
                </c:pt>
                <c:pt idx="1">
                  <c:v>76.239999999999995</c:v>
                </c:pt>
                <c:pt idx="2">
                  <c:v>72.13</c:v>
                </c:pt>
                <c:pt idx="3">
                  <c:v>77.12</c:v>
                </c:pt>
                <c:pt idx="4">
                  <c:v>75.69</c:v>
                </c:pt>
                <c:pt idx="5">
                  <c:v>76.98</c:v>
                </c:pt>
              </c:numCache>
            </c:numRef>
          </c:val>
        </c:ser>
        <c:ser>
          <c:idx val="2"/>
          <c:order val="1"/>
          <c:tx>
            <c:strRef>
              <c:f>'45 podnikateľské prostredie'!$D$32</c:f>
              <c:strCache>
                <c:ptCount val="1"/>
                <c:pt idx="0">
                  <c:v>2018</c:v>
                </c:pt>
              </c:strCache>
            </c:strRef>
          </c:tx>
          <c:spPr>
            <a:solidFill>
              <a:srgbClr val="2C9ADC"/>
            </a:solidFill>
          </c:spPr>
          <c:invertIfNegative val="0"/>
          <c:cat>
            <c:strRef>
              <c:f>'45 podnikateľské prostredie'!$E$30:$J$30</c:f>
              <c:strCache>
                <c:ptCount val="6"/>
                <c:pt idx="0">
                  <c:v>SK</c:v>
                </c:pt>
                <c:pt idx="1">
                  <c:v>CZ</c:v>
                </c:pt>
                <c:pt idx="2">
                  <c:v>HU</c:v>
                </c:pt>
                <c:pt idx="3">
                  <c:v>PL</c:v>
                </c:pt>
                <c:pt idx="4">
                  <c:v>EÚ-28</c:v>
                </c:pt>
                <c:pt idx="5">
                  <c:v>OECD</c:v>
                </c:pt>
              </c:strCache>
            </c:strRef>
          </c:cat>
          <c:val>
            <c:numRef>
              <c:f>'45 podnikateľské prostredie'!$E$32:$J$32</c:f>
              <c:numCache>
                <c:formatCode>0.00</c:formatCode>
                <c:ptCount val="6"/>
                <c:pt idx="0">
                  <c:v>74.900000000000006</c:v>
                </c:pt>
                <c:pt idx="1">
                  <c:v>76.27</c:v>
                </c:pt>
                <c:pt idx="2">
                  <c:v>72.39</c:v>
                </c:pt>
                <c:pt idx="3">
                  <c:v>77.3</c:v>
                </c:pt>
                <c:pt idx="4">
                  <c:v>75.77</c:v>
                </c:pt>
                <c:pt idx="5">
                  <c:v>77.069999999999993</c:v>
                </c:pt>
              </c:numCache>
            </c:numRef>
          </c:val>
        </c:ser>
        <c:dLbls>
          <c:showLegendKey val="0"/>
          <c:showVal val="0"/>
          <c:showCatName val="0"/>
          <c:showSerName val="0"/>
          <c:showPercent val="0"/>
          <c:showBubbleSize val="0"/>
        </c:dLbls>
        <c:gapWidth val="150"/>
        <c:axId val="415432168"/>
        <c:axId val="415432560"/>
      </c:barChart>
      <c:lineChart>
        <c:grouping val="standard"/>
        <c:varyColors val="0"/>
        <c:ser>
          <c:idx val="1"/>
          <c:order val="2"/>
          <c:tx>
            <c:strRef>
              <c:f>'45 podnikateľské prostredie'!$D$33</c:f>
              <c:strCache>
                <c:ptCount val="1"/>
                <c:pt idx="0">
                  <c:v>medziročná zmena (pravá os)</c:v>
                </c:pt>
              </c:strCache>
            </c:strRef>
          </c:tx>
          <c:spPr>
            <a:ln w="28575">
              <a:noFill/>
            </a:ln>
          </c:spPr>
          <c:marker>
            <c:symbol val="triangle"/>
            <c:size val="6"/>
            <c:spPr>
              <a:solidFill>
                <a:srgbClr val="002060"/>
              </a:solidFill>
              <a:ln>
                <a:solidFill>
                  <a:srgbClr val="002060"/>
                </a:solidFill>
              </a:ln>
            </c:spPr>
          </c:marker>
          <c:dPt>
            <c:idx val="0"/>
            <c:marker>
              <c:spPr>
                <a:solidFill>
                  <a:srgbClr val="FF0000"/>
                </a:solidFill>
                <a:ln>
                  <a:solidFill>
                    <a:srgbClr val="FF0000"/>
                  </a:solidFill>
                </a:ln>
              </c:spPr>
            </c:marker>
            <c:bubble3D val="0"/>
          </c:dPt>
          <c:cat>
            <c:strRef>
              <c:f>'45 podnikateľské prostredie'!$E$30:$J$30</c:f>
              <c:strCache>
                <c:ptCount val="6"/>
                <c:pt idx="0">
                  <c:v>SK</c:v>
                </c:pt>
                <c:pt idx="1">
                  <c:v>CZ</c:v>
                </c:pt>
                <c:pt idx="2">
                  <c:v>HU</c:v>
                </c:pt>
                <c:pt idx="3">
                  <c:v>PL</c:v>
                </c:pt>
                <c:pt idx="4">
                  <c:v>EÚ-28</c:v>
                </c:pt>
                <c:pt idx="5">
                  <c:v>OECD</c:v>
                </c:pt>
              </c:strCache>
            </c:strRef>
          </c:cat>
          <c:val>
            <c:numRef>
              <c:f>'45 podnikateľské prostredie'!$E$33:$J$33</c:f>
              <c:numCache>
                <c:formatCode>0.00</c:formatCode>
                <c:ptCount val="6"/>
                <c:pt idx="0">
                  <c:v>-0.25</c:v>
                </c:pt>
                <c:pt idx="1">
                  <c:v>3.0000000000001137E-2</c:v>
                </c:pt>
                <c:pt idx="2">
                  <c:v>0.26000000000000512</c:v>
                </c:pt>
                <c:pt idx="3">
                  <c:v>0.17999999999999261</c:v>
                </c:pt>
                <c:pt idx="4">
                  <c:v>7.9999999999998295E-2</c:v>
                </c:pt>
                <c:pt idx="5">
                  <c:v>8.99999999999892E-2</c:v>
                </c:pt>
              </c:numCache>
            </c:numRef>
          </c:val>
          <c:smooth val="0"/>
        </c:ser>
        <c:dLbls>
          <c:showLegendKey val="0"/>
          <c:showVal val="0"/>
          <c:showCatName val="0"/>
          <c:showSerName val="0"/>
          <c:showPercent val="0"/>
          <c:showBubbleSize val="0"/>
        </c:dLbls>
        <c:marker val="1"/>
        <c:smooth val="0"/>
        <c:axId val="415433344"/>
        <c:axId val="415432952"/>
      </c:lineChart>
      <c:catAx>
        <c:axId val="415432168"/>
        <c:scaling>
          <c:orientation val="minMax"/>
        </c:scaling>
        <c:delete val="0"/>
        <c:axPos val="b"/>
        <c:numFmt formatCode="General" sourceLinked="1"/>
        <c:majorTickMark val="out"/>
        <c:minorTickMark val="none"/>
        <c:tickLblPos val="nextTo"/>
        <c:txPr>
          <a:bodyPr/>
          <a:lstStyle/>
          <a:p>
            <a:pPr>
              <a:defRPr sz="800"/>
            </a:pPr>
            <a:endParaRPr lang="en-US"/>
          </a:p>
        </c:txPr>
        <c:crossAx val="415432560"/>
        <c:crosses val="autoZero"/>
        <c:auto val="1"/>
        <c:lblAlgn val="ctr"/>
        <c:lblOffset val="100"/>
        <c:noMultiLvlLbl val="0"/>
      </c:catAx>
      <c:valAx>
        <c:axId val="415432560"/>
        <c:scaling>
          <c:orientation val="minMax"/>
        </c:scaling>
        <c:delete val="0"/>
        <c:axPos val="l"/>
        <c:majorGridlines>
          <c:spPr>
            <a:ln>
              <a:solidFill>
                <a:schemeClr val="bg1">
                  <a:lumMod val="75000"/>
                </a:schemeClr>
              </a:solidFill>
              <a:prstDash val="sysDash"/>
            </a:ln>
          </c:spPr>
        </c:majorGridlines>
        <c:numFmt formatCode="0" sourceLinked="0"/>
        <c:majorTickMark val="in"/>
        <c:minorTickMark val="none"/>
        <c:tickLblPos val="nextTo"/>
        <c:spPr>
          <a:ln/>
        </c:spPr>
        <c:txPr>
          <a:bodyPr/>
          <a:lstStyle/>
          <a:p>
            <a:pPr>
              <a:defRPr sz="800"/>
            </a:pPr>
            <a:endParaRPr lang="en-US"/>
          </a:p>
        </c:txPr>
        <c:crossAx val="415432168"/>
        <c:crosses val="autoZero"/>
        <c:crossBetween val="between"/>
      </c:valAx>
      <c:valAx>
        <c:axId val="415432952"/>
        <c:scaling>
          <c:orientation val="minMax"/>
          <c:max val="1"/>
          <c:min val="-0.30000000000000004"/>
        </c:scaling>
        <c:delete val="0"/>
        <c:axPos val="r"/>
        <c:numFmt formatCode="0.0" sourceLinked="0"/>
        <c:majorTickMark val="in"/>
        <c:minorTickMark val="none"/>
        <c:tickLblPos val="nextTo"/>
        <c:spPr>
          <a:ln/>
        </c:spPr>
        <c:txPr>
          <a:bodyPr/>
          <a:lstStyle/>
          <a:p>
            <a:pPr>
              <a:defRPr sz="800"/>
            </a:pPr>
            <a:endParaRPr lang="en-US"/>
          </a:p>
        </c:txPr>
        <c:crossAx val="415433344"/>
        <c:crosses val="max"/>
        <c:crossBetween val="between"/>
        <c:majorUnit val="0.30000000000000004"/>
      </c:valAx>
      <c:catAx>
        <c:axId val="415433344"/>
        <c:scaling>
          <c:orientation val="minMax"/>
        </c:scaling>
        <c:delete val="1"/>
        <c:axPos val="b"/>
        <c:numFmt formatCode="General" sourceLinked="1"/>
        <c:majorTickMark val="out"/>
        <c:minorTickMark val="none"/>
        <c:tickLblPos val="nextTo"/>
        <c:crossAx val="415432952"/>
        <c:crosses val="autoZero"/>
        <c:auto val="1"/>
        <c:lblAlgn val="ctr"/>
        <c:lblOffset val="100"/>
        <c:noMultiLvlLbl val="0"/>
      </c:catAx>
    </c:plotArea>
    <c:legend>
      <c:legendPos val="r"/>
      <c:layout>
        <c:manualLayout>
          <c:xMode val="edge"/>
          <c:yMode val="edge"/>
          <c:x val="0.11199985566977244"/>
          <c:y val="1.2490035967726257E-2"/>
          <c:w val="0.78801744577466848"/>
          <c:h val="6.9099450803943627E-2"/>
        </c:manualLayout>
      </c:layout>
      <c:overlay val="0"/>
      <c:spPr>
        <a:solidFill>
          <a:sysClr val="window" lastClr="FFFFFF"/>
        </a:solidFill>
        <a:ln>
          <a:solidFill>
            <a:sysClr val="window" lastClr="FFFFFF"/>
          </a:solidFill>
        </a:ln>
      </c:spPr>
      <c:txPr>
        <a:bodyPr/>
        <a:lstStyle/>
        <a:p>
          <a:pPr>
            <a:defRPr sz="800"/>
          </a:pPr>
          <a:endParaRPr lang="en-US"/>
        </a:p>
      </c:txPr>
    </c:legend>
    <c:plotVisOnly val="1"/>
    <c:dispBlanksAs val="gap"/>
    <c:showDLblsOverMax val="0"/>
  </c:chart>
  <c:spPr>
    <a:ln>
      <a:noFill/>
    </a:ln>
  </c:spPr>
  <c:txPr>
    <a:bodyPr/>
    <a:lstStyle/>
    <a:p>
      <a:pPr>
        <a:defRPr>
          <a:latin typeface="Arial Narrow" pitchFamily="34" charset="0"/>
        </a:defRPr>
      </a:pPr>
      <a:endParaRPr lang="en-US"/>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2910104986876695E-2"/>
          <c:y val="4.2759961127308101E-2"/>
          <c:w val="0.927089895013123"/>
          <c:h val="0.86405576853913701"/>
        </c:manualLayout>
      </c:layout>
      <c:barChart>
        <c:barDir val="col"/>
        <c:grouping val="clustered"/>
        <c:varyColors val="0"/>
        <c:ser>
          <c:idx val="0"/>
          <c:order val="0"/>
          <c:tx>
            <c:strRef>
              <c:f>'45 podnikateľské prostredie'!$B$5</c:f>
              <c:strCache>
                <c:ptCount val="1"/>
                <c:pt idx="0">
                  <c:v>2017</c:v>
                </c:pt>
              </c:strCache>
            </c:strRef>
          </c:tx>
          <c:spPr>
            <a:solidFill>
              <a:srgbClr val="AAD3F2"/>
            </a:solidFill>
          </c:spPr>
          <c:invertIfNegative val="0"/>
          <c:cat>
            <c:strRef>
              <c:f>'45 podnikateľské prostredie'!$A$6:$A$15</c:f>
              <c:strCache>
                <c:ptCount val="10"/>
                <c:pt idx="0">
                  <c:v>Ochrana minoritných 
investorov</c:v>
                </c:pt>
                <c:pt idx="1">
                  <c:v>Stavebné povolenia</c:v>
                </c:pt>
                <c:pt idx="2">
                  <c:v>Vymáhanie plnenia zmlúv</c:v>
                </c:pt>
                <c:pt idx="3">
                  <c:v>Začatie podnikania</c:v>
                </c:pt>
                <c:pt idx="4">
                  <c:v>Platenie daní</c:v>
                </c:pt>
                <c:pt idx="5">
                  <c:v>Riešenie insolventnosti</c:v>
                </c:pt>
                <c:pt idx="6">
                  <c:v>Dostupnosť 
elektrickej energie</c:v>
                </c:pt>
                <c:pt idx="7">
                  <c:v>Získanie úveru</c:v>
                </c:pt>
                <c:pt idx="8">
                  <c:v>Cezhraničný obchod</c:v>
                </c:pt>
                <c:pt idx="9">
                  <c:v>Registrovanie majetku</c:v>
                </c:pt>
              </c:strCache>
            </c:strRef>
          </c:cat>
          <c:val>
            <c:numRef>
              <c:f>'45 podnikateľské prostredie'!$B$6:$B$15</c:f>
              <c:numCache>
                <c:formatCode>0.00</c:formatCode>
                <c:ptCount val="10"/>
                <c:pt idx="0">
                  <c:v>-1.24</c:v>
                </c:pt>
                <c:pt idx="1">
                  <c:v>-1.1100000000000001</c:v>
                </c:pt>
                <c:pt idx="2">
                  <c:v>-1.26</c:v>
                </c:pt>
                <c:pt idx="3">
                  <c:v>-0.92</c:v>
                </c:pt>
                <c:pt idx="4">
                  <c:v>-0.3</c:v>
                </c:pt>
                <c:pt idx="5">
                  <c:v>-0.36</c:v>
                </c:pt>
                <c:pt idx="6">
                  <c:v>-0.41</c:v>
                </c:pt>
                <c:pt idx="7">
                  <c:v>0.12</c:v>
                </c:pt>
                <c:pt idx="8">
                  <c:v>0.86</c:v>
                </c:pt>
                <c:pt idx="9">
                  <c:v>1.31</c:v>
                </c:pt>
              </c:numCache>
            </c:numRef>
          </c:val>
        </c:ser>
        <c:ser>
          <c:idx val="1"/>
          <c:order val="1"/>
          <c:tx>
            <c:strRef>
              <c:f>'45 podnikateľské prostredie'!$C$5</c:f>
              <c:strCache>
                <c:ptCount val="1"/>
                <c:pt idx="0">
                  <c:v>2018</c:v>
                </c:pt>
              </c:strCache>
            </c:strRef>
          </c:tx>
          <c:spPr>
            <a:solidFill>
              <a:srgbClr val="2C9ADC"/>
            </a:solidFill>
          </c:spPr>
          <c:invertIfNegative val="0"/>
          <c:cat>
            <c:strRef>
              <c:f>'45 podnikateľské prostredie'!$A$6:$A$15</c:f>
              <c:strCache>
                <c:ptCount val="10"/>
                <c:pt idx="0">
                  <c:v>Ochrana minoritných 
investorov</c:v>
                </c:pt>
                <c:pt idx="1">
                  <c:v>Stavebné povolenia</c:v>
                </c:pt>
                <c:pt idx="2">
                  <c:v>Vymáhanie plnenia zmlúv</c:v>
                </c:pt>
                <c:pt idx="3">
                  <c:v>Začatie podnikania</c:v>
                </c:pt>
                <c:pt idx="4">
                  <c:v>Platenie daní</c:v>
                </c:pt>
                <c:pt idx="5">
                  <c:v>Riešenie insolventnosti</c:v>
                </c:pt>
                <c:pt idx="6">
                  <c:v>Dostupnosť 
elektrickej energie</c:v>
                </c:pt>
                <c:pt idx="7">
                  <c:v>Získanie úveru</c:v>
                </c:pt>
                <c:pt idx="8">
                  <c:v>Cezhraničný obchod</c:v>
                </c:pt>
                <c:pt idx="9">
                  <c:v>Registrovanie majetku</c:v>
                </c:pt>
              </c:strCache>
            </c:strRef>
          </c:cat>
          <c:val>
            <c:numRef>
              <c:f>'45 podnikateľské prostredie'!$C$6:$C$15</c:f>
              <c:numCache>
                <c:formatCode>0.00</c:formatCode>
                <c:ptCount val="10"/>
                <c:pt idx="0">
                  <c:v>-1.288028473</c:v>
                </c:pt>
                <c:pt idx="1">
                  <c:v>-1.11548</c:v>
                </c:pt>
                <c:pt idx="2">
                  <c:v>-1.0363100000000001</c:v>
                </c:pt>
                <c:pt idx="3">
                  <c:v>-0.94133999999999995</c:v>
                </c:pt>
                <c:pt idx="4">
                  <c:v>-0.34955000000000003</c:v>
                </c:pt>
                <c:pt idx="5">
                  <c:v>-0.64314000000000004</c:v>
                </c:pt>
                <c:pt idx="6">
                  <c:v>-0.42720999999999998</c:v>
                </c:pt>
                <c:pt idx="7">
                  <c:v>8.2163E-2</c:v>
                </c:pt>
                <c:pt idx="8">
                  <c:v>0.85516000000000003</c:v>
                </c:pt>
                <c:pt idx="9">
                  <c:v>1.307992</c:v>
                </c:pt>
              </c:numCache>
            </c:numRef>
          </c:val>
        </c:ser>
        <c:dLbls>
          <c:showLegendKey val="0"/>
          <c:showVal val="0"/>
          <c:showCatName val="0"/>
          <c:showSerName val="0"/>
          <c:showPercent val="0"/>
          <c:showBubbleSize val="0"/>
        </c:dLbls>
        <c:gapWidth val="150"/>
        <c:axId val="415434128"/>
        <c:axId val="415290768"/>
      </c:barChart>
      <c:catAx>
        <c:axId val="415434128"/>
        <c:scaling>
          <c:orientation val="minMax"/>
        </c:scaling>
        <c:delete val="0"/>
        <c:axPos val="b"/>
        <c:numFmt formatCode="General" sourceLinked="1"/>
        <c:majorTickMark val="in"/>
        <c:minorTickMark val="out"/>
        <c:tickLblPos val="low"/>
        <c:txPr>
          <a:bodyPr rot="-5400000" vert="horz"/>
          <a:lstStyle/>
          <a:p>
            <a:pPr>
              <a:defRPr sz="700"/>
            </a:pPr>
            <a:endParaRPr lang="en-US"/>
          </a:p>
        </c:txPr>
        <c:crossAx val="415290768"/>
        <c:crosses val="autoZero"/>
        <c:auto val="1"/>
        <c:lblAlgn val="ctr"/>
        <c:lblOffset val="100"/>
        <c:noMultiLvlLbl val="0"/>
      </c:catAx>
      <c:valAx>
        <c:axId val="415290768"/>
        <c:scaling>
          <c:orientation val="minMax"/>
        </c:scaling>
        <c:delete val="0"/>
        <c:axPos val="l"/>
        <c:majorGridlines>
          <c:spPr>
            <a:ln>
              <a:solidFill>
                <a:schemeClr val="bg1">
                  <a:lumMod val="75000"/>
                </a:schemeClr>
              </a:solidFill>
              <a:prstDash val="sysDash"/>
            </a:ln>
          </c:spPr>
        </c:majorGridlines>
        <c:numFmt formatCode="0.0" sourceLinked="0"/>
        <c:majorTickMark val="out"/>
        <c:minorTickMark val="none"/>
        <c:tickLblPos val="nextTo"/>
        <c:txPr>
          <a:bodyPr rot="0" vert="horz"/>
          <a:lstStyle/>
          <a:p>
            <a:pPr>
              <a:defRPr sz="800"/>
            </a:pPr>
            <a:endParaRPr lang="en-US"/>
          </a:p>
        </c:txPr>
        <c:crossAx val="415434128"/>
        <c:crosses val="autoZero"/>
        <c:crossBetween val="between"/>
      </c:valAx>
    </c:plotArea>
    <c:legend>
      <c:legendPos val="t"/>
      <c:layout>
        <c:manualLayout>
          <c:xMode val="edge"/>
          <c:yMode val="edge"/>
          <c:x val="0.14314067124588151"/>
          <c:y val="4.0080037424178691E-2"/>
          <c:w val="0.56453181283374099"/>
          <c:h val="5.2156764495347202E-2"/>
        </c:manualLayout>
      </c:layout>
      <c:overlay val="0"/>
      <c:txPr>
        <a:bodyPr/>
        <a:lstStyle/>
        <a:p>
          <a:pPr>
            <a:defRPr sz="800"/>
          </a:pPr>
          <a:endParaRPr lang="en-US"/>
        </a:p>
      </c:txPr>
    </c:legend>
    <c:plotVisOnly val="1"/>
    <c:dispBlanksAs val="gap"/>
    <c:showDLblsOverMax val="0"/>
  </c:chart>
  <c:spPr>
    <a:ln>
      <a:noFill/>
    </a:ln>
  </c:spPr>
  <c:txPr>
    <a:bodyPr/>
    <a:lstStyle/>
    <a:p>
      <a:pPr>
        <a:defRPr sz="1050" b="0" i="0" u="none" strike="noStrike" baseline="0">
          <a:solidFill>
            <a:srgbClr val="000000"/>
          </a:solidFill>
          <a:latin typeface="Arial Narrow"/>
          <a:ea typeface="Arial Narrow"/>
          <a:cs typeface="Arial Narrow"/>
        </a:defRPr>
      </a:pPr>
      <a:endParaRPr lang="en-US"/>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417436997626964E-2"/>
          <c:y val="5.5989236111111111E-2"/>
          <c:w val="0.93616132135261021"/>
          <c:h val="0.86336284722222201"/>
        </c:manualLayout>
      </c:layout>
      <c:barChart>
        <c:barDir val="col"/>
        <c:grouping val="clustered"/>
        <c:varyColors val="0"/>
        <c:ser>
          <c:idx val="0"/>
          <c:order val="0"/>
          <c:tx>
            <c:v>Dĺžka konania</c:v>
          </c:tx>
          <c:spPr>
            <a:solidFill>
              <a:srgbClr val="AAD3F2"/>
            </a:solidFill>
          </c:spPr>
          <c:invertIfNegative val="0"/>
          <c:dPt>
            <c:idx val="1"/>
            <c:invertIfNegative val="0"/>
            <c:bubble3D val="0"/>
            <c:spPr>
              <a:solidFill>
                <a:srgbClr val="2C9ADC"/>
              </a:solidFill>
            </c:spPr>
          </c:dPt>
          <c:cat>
            <c:strRef>
              <c:f>'CEPEJ Disposition time'!$A$15:$A$24</c:f>
              <c:strCache>
                <c:ptCount val="10"/>
                <c:pt idx="0">
                  <c:v>Taliansko</c:v>
                </c:pt>
                <c:pt idx="1">
                  <c:v>Slovensko</c:v>
                </c:pt>
                <c:pt idx="2">
                  <c:v>Chorvátsko</c:v>
                </c:pt>
                <c:pt idx="3">
                  <c:v>Grécko</c:v>
                </c:pt>
                <c:pt idx="4">
                  <c:v>Slovinsko</c:v>
                </c:pt>
                <c:pt idx="5">
                  <c:v>Polsko</c:v>
                </c:pt>
                <c:pt idx="6">
                  <c:v>Česko</c:v>
                </c:pt>
                <c:pt idx="7">
                  <c:v>Maďarsko</c:v>
                </c:pt>
                <c:pt idx="8">
                  <c:v>Rakúsko</c:v>
                </c:pt>
                <c:pt idx="9">
                  <c:v>Švajčiarsko</c:v>
                </c:pt>
              </c:strCache>
            </c:strRef>
          </c:cat>
          <c:val>
            <c:numRef>
              <c:f>'CEPEJ Disposition time'!$B$15:$B$24</c:f>
              <c:numCache>
                <c:formatCode>General</c:formatCode>
                <c:ptCount val="10"/>
                <c:pt idx="0">
                  <c:v>532</c:v>
                </c:pt>
                <c:pt idx="1">
                  <c:v>524</c:v>
                </c:pt>
                <c:pt idx="2">
                  <c:v>380</c:v>
                </c:pt>
                <c:pt idx="3">
                  <c:v>330</c:v>
                </c:pt>
                <c:pt idx="4">
                  <c:v>228</c:v>
                </c:pt>
                <c:pt idx="5">
                  <c:v>203</c:v>
                </c:pt>
                <c:pt idx="6">
                  <c:v>163</c:v>
                </c:pt>
                <c:pt idx="7">
                  <c:v>144</c:v>
                </c:pt>
                <c:pt idx="8">
                  <c:v>130</c:v>
                </c:pt>
                <c:pt idx="9">
                  <c:v>116</c:v>
                </c:pt>
              </c:numCache>
            </c:numRef>
          </c:val>
        </c:ser>
        <c:dLbls>
          <c:showLegendKey val="0"/>
          <c:showVal val="0"/>
          <c:showCatName val="0"/>
          <c:showSerName val="0"/>
          <c:showPercent val="0"/>
          <c:showBubbleSize val="0"/>
        </c:dLbls>
        <c:gapWidth val="150"/>
        <c:axId val="415291160"/>
        <c:axId val="415291552"/>
      </c:barChart>
      <c:lineChart>
        <c:grouping val="standard"/>
        <c:varyColors val="0"/>
        <c:ser>
          <c:idx val="1"/>
          <c:order val="1"/>
          <c:tx>
            <c:strRef>
              <c:f>'CEPEJ Disposition time'!$C$14</c:f>
              <c:strCache>
                <c:ptCount val="1"/>
                <c:pt idx="0">
                  <c:v>Priemer CEPEJ</c:v>
                </c:pt>
              </c:strCache>
            </c:strRef>
          </c:tx>
          <c:spPr>
            <a:ln w="19050">
              <a:solidFill>
                <a:sysClr val="windowText" lastClr="000000"/>
              </a:solidFill>
              <a:prstDash val="sysDash"/>
            </a:ln>
          </c:spPr>
          <c:marker>
            <c:symbol val="none"/>
          </c:marker>
          <c:dPt>
            <c:idx val="8"/>
            <c:bubble3D val="0"/>
          </c:dPt>
          <c:val>
            <c:numRef>
              <c:f>'CEPEJ Disposition time'!$C$15:$C$24</c:f>
              <c:numCache>
                <c:formatCode>General</c:formatCode>
                <c:ptCount val="10"/>
                <c:pt idx="0">
                  <c:v>237</c:v>
                </c:pt>
                <c:pt idx="1">
                  <c:v>237</c:v>
                </c:pt>
                <c:pt idx="2">
                  <c:v>237</c:v>
                </c:pt>
                <c:pt idx="3">
                  <c:v>237</c:v>
                </c:pt>
                <c:pt idx="4">
                  <c:v>237</c:v>
                </c:pt>
                <c:pt idx="5">
                  <c:v>237</c:v>
                </c:pt>
                <c:pt idx="6">
                  <c:v>237</c:v>
                </c:pt>
                <c:pt idx="7">
                  <c:v>237</c:v>
                </c:pt>
                <c:pt idx="8">
                  <c:v>237</c:v>
                </c:pt>
                <c:pt idx="9">
                  <c:v>237</c:v>
                </c:pt>
              </c:numCache>
            </c:numRef>
          </c:val>
          <c:smooth val="0"/>
        </c:ser>
        <c:dLbls>
          <c:showLegendKey val="0"/>
          <c:showVal val="0"/>
          <c:showCatName val="0"/>
          <c:showSerName val="0"/>
          <c:showPercent val="0"/>
          <c:showBubbleSize val="0"/>
        </c:dLbls>
        <c:marker val="1"/>
        <c:smooth val="0"/>
        <c:axId val="415291160"/>
        <c:axId val="415291552"/>
      </c:lineChart>
      <c:catAx>
        <c:axId val="415291160"/>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415291552"/>
        <c:crosses val="autoZero"/>
        <c:auto val="1"/>
        <c:lblAlgn val="ctr"/>
        <c:lblOffset val="100"/>
        <c:noMultiLvlLbl val="0"/>
      </c:catAx>
      <c:valAx>
        <c:axId val="415291552"/>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crossAx val="415291160"/>
        <c:crosses val="autoZero"/>
        <c:crossBetween val="between"/>
      </c:valAx>
    </c:plotArea>
    <c:legend>
      <c:legendPos val="r"/>
      <c:layout>
        <c:manualLayout>
          <c:xMode val="edge"/>
          <c:yMode val="edge"/>
          <c:x val="0.29186391564380193"/>
          <c:y val="7.05588865611982E-2"/>
          <c:w val="0.70211854768153981"/>
          <c:h val="0.18980230682173901"/>
        </c:manualLayout>
      </c:layout>
      <c:overlay val="0"/>
    </c:legend>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099679777191692E-2"/>
          <c:y val="5.6574651231819532E-2"/>
          <c:w val="0.89093095636884034"/>
          <c:h val="0.78918158382472881"/>
        </c:manualLayout>
      </c:layout>
      <c:barChart>
        <c:barDir val="col"/>
        <c:grouping val="stacked"/>
        <c:varyColors val="0"/>
        <c:ser>
          <c:idx val="8"/>
          <c:order val="1"/>
          <c:tx>
            <c:strRef>
              <c:f>Graf_3!$A$3</c:f>
              <c:strCache>
                <c:ptCount val="1"/>
                <c:pt idx="0">
                  <c:v>Spotreba</c:v>
                </c:pt>
              </c:strCache>
            </c:strRef>
          </c:tx>
          <c:spPr>
            <a:solidFill>
              <a:srgbClr val="2C9ADC"/>
            </a:solidFill>
            <a:ln>
              <a:noFill/>
            </a:ln>
          </c:spPr>
          <c:invertIfNegative val="0"/>
          <c:cat>
            <c:strRef>
              <c:f>Graf_3!$B$1:$L$1</c:f>
              <c:strCache>
                <c:ptCount val="11"/>
                <c:pt idx="0">
                  <c:v>2011</c:v>
                </c:pt>
                <c:pt idx="1">
                  <c:v>2012</c:v>
                </c:pt>
                <c:pt idx="2">
                  <c:v>2013</c:v>
                </c:pt>
                <c:pt idx="3">
                  <c:v>2014</c:v>
                </c:pt>
                <c:pt idx="4">
                  <c:v>2015</c:v>
                </c:pt>
                <c:pt idx="5">
                  <c:v>2016</c:v>
                </c:pt>
                <c:pt idx="6">
                  <c:v>2017</c:v>
                </c:pt>
                <c:pt idx="7">
                  <c:v>2018F</c:v>
                </c:pt>
                <c:pt idx="8">
                  <c:v>2019F</c:v>
                </c:pt>
                <c:pt idx="9">
                  <c:v>2020F</c:v>
                </c:pt>
                <c:pt idx="10">
                  <c:v>2021F</c:v>
                </c:pt>
              </c:strCache>
            </c:strRef>
          </c:cat>
          <c:val>
            <c:numRef>
              <c:f>Graf_3!$B$3:$L$3</c:f>
              <c:numCache>
                <c:formatCode>0.0</c:formatCode>
                <c:ptCount val="11"/>
                <c:pt idx="0">
                  <c:v>-0.67471189432755907</c:v>
                </c:pt>
                <c:pt idx="1">
                  <c:v>-0.62634747332054208</c:v>
                </c:pt>
                <c:pt idx="2">
                  <c:v>-4.3702882409578113E-2</c:v>
                </c:pt>
                <c:pt idx="3">
                  <c:v>1.6716214454608791</c:v>
                </c:pt>
                <c:pt idx="4">
                  <c:v>2.1834223753358284</c:v>
                </c:pt>
                <c:pt idx="5">
                  <c:v>1.6933512944270857</c:v>
                </c:pt>
                <c:pt idx="6">
                  <c:v>1.8939014564087233</c:v>
                </c:pt>
                <c:pt idx="7">
                  <c:v>1.9239372997765176</c:v>
                </c:pt>
                <c:pt idx="8">
                  <c:v>1.8652012077972162</c:v>
                </c:pt>
                <c:pt idx="9">
                  <c:v>1.6083224901822724</c:v>
                </c:pt>
                <c:pt idx="10">
                  <c:v>1.4429228123302877</c:v>
                </c:pt>
              </c:numCache>
            </c:numRef>
          </c:val>
        </c:ser>
        <c:ser>
          <c:idx val="0"/>
          <c:order val="2"/>
          <c:tx>
            <c:strRef>
              <c:f>Graf_3!$A$4</c:f>
              <c:strCache>
                <c:ptCount val="1"/>
                <c:pt idx="0">
                  <c:v>Investície</c:v>
                </c:pt>
              </c:strCache>
            </c:strRef>
          </c:tx>
          <c:spPr>
            <a:solidFill>
              <a:srgbClr val="1F497D">
                <a:lumMod val="20000"/>
                <a:lumOff val="80000"/>
              </a:srgbClr>
            </a:solidFill>
          </c:spPr>
          <c:invertIfNegative val="0"/>
          <c:cat>
            <c:strRef>
              <c:f>Graf_3!$B$1:$L$1</c:f>
              <c:strCache>
                <c:ptCount val="11"/>
                <c:pt idx="0">
                  <c:v>2011</c:v>
                </c:pt>
                <c:pt idx="1">
                  <c:v>2012</c:v>
                </c:pt>
                <c:pt idx="2">
                  <c:v>2013</c:v>
                </c:pt>
                <c:pt idx="3">
                  <c:v>2014</c:v>
                </c:pt>
                <c:pt idx="4">
                  <c:v>2015</c:v>
                </c:pt>
                <c:pt idx="5">
                  <c:v>2016</c:v>
                </c:pt>
                <c:pt idx="6">
                  <c:v>2017</c:v>
                </c:pt>
                <c:pt idx="7">
                  <c:v>2018F</c:v>
                </c:pt>
                <c:pt idx="8">
                  <c:v>2019F</c:v>
                </c:pt>
                <c:pt idx="9">
                  <c:v>2020F</c:v>
                </c:pt>
                <c:pt idx="10">
                  <c:v>2021F</c:v>
                </c:pt>
              </c:strCache>
            </c:strRef>
          </c:cat>
          <c:val>
            <c:numRef>
              <c:f>Graf_3!$B$4:$L$4</c:f>
              <c:numCache>
                <c:formatCode>0.0</c:formatCode>
                <c:ptCount val="11"/>
                <c:pt idx="0">
                  <c:v>2.7918433187197422</c:v>
                </c:pt>
                <c:pt idx="1">
                  <c:v>-2.1742612394607947</c:v>
                </c:pt>
                <c:pt idx="2">
                  <c:v>-0.18762692668954159</c:v>
                </c:pt>
                <c:pt idx="3">
                  <c:v>0.63625623084677296</c:v>
                </c:pt>
                <c:pt idx="4">
                  <c:v>4.1959135934005767</c:v>
                </c:pt>
                <c:pt idx="5">
                  <c:v>-2.0173757423893468</c:v>
                </c:pt>
                <c:pt idx="6">
                  <c:v>0.69121935496180387</c:v>
                </c:pt>
                <c:pt idx="7">
                  <c:v>1.130085258809103</c:v>
                </c:pt>
                <c:pt idx="8">
                  <c:v>0.72441195426799188</c:v>
                </c:pt>
                <c:pt idx="9">
                  <c:v>0.71926186848377593</c:v>
                </c:pt>
                <c:pt idx="10">
                  <c:v>0.64191101142806672</c:v>
                </c:pt>
              </c:numCache>
            </c:numRef>
          </c:val>
        </c:ser>
        <c:ser>
          <c:idx val="1"/>
          <c:order val="3"/>
          <c:tx>
            <c:strRef>
              <c:f>Graf_3!$A$5</c:f>
              <c:strCache>
                <c:ptCount val="1"/>
                <c:pt idx="0">
                  <c:v>Čistý export</c:v>
                </c:pt>
              </c:strCache>
            </c:strRef>
          </c:tx>
          <c:invertIfNegative val="0"/>
          <c:cat>
            <c:strRef>
              <c:f>Graf_3!$B$1:$L$1</c:f>
              <c:strCache>
                <c:ptCount val="11"/>
                <c:pt idx="0">
                  <c:v>2011</c:v>
                </c:pt>
                <c:pt idx="1">
                  <c:v>2012</c:v>
                </c:pt>
                <c:pt idx="2">
                  <c:v>2013</c:v>
                </c:pt>
                <c:pt idx="3">
                  <c:v>2014</c:v>
                </c:pt>
                <c:pt idx="4">
                  <c:v>2015</c:v>
                </c:pt>
                <c:pt idx="5">
                  <c:v>2016</c:v>
                </c:pt>
                <c:pt idx="6">
                  <c:v>2017</c:v>
                </c:pt>
                <c:pt idx="7">
                  <c:v>2018F</c:v>
                </c:pt>
                <c:pt idx="8">
                  <c:v>2019F</c:v>
                </c:pt>
                <c:pt idx="9">
                  <c:v>2020F</c:v>
                </c:pt>
                <c:pt idx="10">
                  <c:v>2021F</c:v>
                </c:pt>
              </c:strCache>
            </c:strRef>
          </c:cat>
          <c:val>
            <c:numRef>
              <c:f>Graf_3!$B$5:$L$5</c:f>
              <c:numCache>
                <c:formatCode>0.0</c:formatCode>
                <c:ptCount val="11"/>
                <c:pt idx="0">
                  <c:v>1.6655166747739356</c:v>
                </c:pt>
                <c:pt idx="1">
                  <c:v>5.6329103621827246</c:v>
                </c:pt>
                <c:pt idx="2">
                  <c:v>1.2665766106120377</c:v>
                </c:pt>
                <c:pt idx="3">
                  <c:v>-0.50293998111364391</c:v>
                </c:pt>
                <c:pt idx="4">
                  <c:v>-1.3570539611491543</c:v>
                </c:pt>
                <c:pt idx="5">
                  <c:v>2.6191034962794695</c:v>
                </c:pt>
                <c:pt idx="6">
                  <c:v>0.64716301244011798</c:v>
                </c:pt>
                <c:pt idx="7">
                  <c:v>1.2087044605517352</c:v>
                </c:pt>
                <c:pt idx="8">
                  <c:v>1.9033184688094884</c:v>
                </c:pt>
                <c:pt idx="9">
                  <c:v>1.5615968502425281</c:v>
                </c:pt>
                <c:pt idx="10">
                  <c:v>1.3052120731322618</c:v>
                </c:pt>
              </c:numCache>
            </c:numRef>
          </c:val>
        </c:ser>
        <c:ser>
          <c:idx val="2"/>
          <c:order val="4"/>
          <c:tx>
            <c:strRef>
              <c:f>Graf_3!$A$6</c:f>
              <c:strCache>
                <c:ptCount val="1"/>
                <c:pt idx="0">
                  <c:v>Zásoby a štat. diskr.</c:v>
                </c:pt>
              </c:strCache>
            </c:strRef>
          </c:tx>
          <c:invertIfNegative val="0"/>
          <c:cat>
            <c:strRef>
              <c:f>Graf_3!$B$1:$L$1</c:f>
              <c:strCache>
                <c:ptCount val="11"/>
                <c:pt idx="0">
                  <c:v>2011</c:v>
                </c:pt>
                <c:pt idx="1">
                  <c:v>2012</c:v>
                </c:pt>
                <c:pt idx="2">
                  <c:v>2013</c:v>
                </c:pt>
                <c:pt idx="3">
                  <c:v>2014</c:v>
                </c:pt>
                <c:pt idx="4">
                  <c:v>2015</c:v>
                </c:pt>
                <c:pt idx="5">
                  <c:v>2016</c:v>
                </c:pt>
                <c:pt idx="6">
                  <c:v>2017</c:v>
                </c:pt>
                <c:pt idx="7">
                  <c:v>2018F</c:v>
                </c:pt>
                <c:pt idx="8">
                  <c:v>2019F</c:v>
                </c:pt>
                <c:pt idx="9">
                  <c:v>2020F</c:v>
                </c:pt>
                <c:pt idx="10">
                  <c:v>2021F</c:v>
                </c:pt>
              </c:strCache>
            </c:strRef>
          </c:cat>
          <c:val>
            <c:numRef>
              <c:f>Graf_3!$B$6:$L$6</c:f>
              <c:numCache>
                <c:formatCode>0.0</c:formatCode>
                <c:ptCount val="11"/>
                <c:pt idx="0">
                  <c:v>-0.96354858158856205</c:v>
                </c:pt>
                <c:pt idx="1">
                  <c:v>-1.1751529622072656</c:v>
                </c:pt>
                <c:pt idx="2">
                  <c:v>0.45539963630716218</c:v>
                </c:pt>
                <c:pt idx="3">
                  <c:v>0.94539732169233637</c:v>
                </c:pt>
                <c:pt idx="4">
                  <c:v>-1.1721814031870139</c:v>
                </c:pt>
                <c:pt idx="5">
                  <c:v>1.0296162476468176</c:v>
                </c:pt>
                <c:pt idx="6">
                  <c:v>0.16788248726920785</c:v>
                </c:pt>
                <c:pt idx="7">
                  <c:v>-4.9503263185228352E-2</c:v>
                </c:pt>
                <c:pt idx="8">
                  <c:v>1.527589919245953E-2</c:v>
                </c:pt>
                <c:pt idx="9">
                  <c:v>-1.5072693943404047E-2</c:v>
                </c:pt>
                <c:pt idx="10">
                  <c:v>1.5079827962785064E-3</c:v>
                </c:pt>
              </c:numCache>
            </c:numRef>
          </c:val>
        </c:ser>
        <c:dLbls>
          <c:showLegendKey val="0"/>
          <c:showVal val="0"/>
          <c:showCatName val="0"/>
          <c:showSerName val="0"/>
          <c:showPercent val="0"/>
          <c:showBubbleSize val="0"/>
        </c:dLbls>
        <c:gapWidth val="150"/>
        <c:overlap val="100"/>
        <c:axId val="295288784"/>
        <c:axId val="294758072"/>
      </c:barChart>
      <c:lineChart>
        <c:grouping val="standard"/>
        <c:varyColors val="0"/>
        <c:ser>
          <c:idx val="5"/>
          <c:order val="0"/>
          <c:tx>
            <c:strRef>
              <c:f>Graf_3!$A$2</c:f>
              <c:strCache>
                <c:ptCount val="1"/>
                <c:pt idx="0">
                  <c:v>HDP</c:v>
                </c:pt>
              </c:strCache>
            </c:strRef>
          </c:tx>
          <c:spPr>
            <a:ln>
              <a:solidFill>
                <a:sysClr val="windowText" lastClr="000000"/>
              </a:solidFill>
            </a:ln>
          </c:spPr>
          <c:marker>
            <c:symbol val="none"/>
          </c:marker>
          <c:cat>
            <c:strRef>
              <c:f>Graf_3!$B$1:$L$1</c:f>
              <c:strCache>
                <c:ptCount val="11"/>
                <c:pt idx="0">
                  <c:v>2011</c:v>
                </c:pt>
                <c:pt idx="1">
                  <c:v>2012</c:v>
                </c:pt>
                <c:pt idx="2">
                  <c:v>2013</c:v>
                </c:pt>
                <c:pt idx="3">
                  <c:v>2014</c:v>
                </c:pt>
                <c:pt idx="4">
                  <c:v>2015</c:v>
                </c:pt>
                <c:pt idx="5">
                  <c:v>2016</c:v>
                </c:pt>
                <c:pt idx="6">
                  <c:v>2017</c:v>
                </c:pt>
                <c:pt idx="7">
                  <c:v>2018F</c:v>
                </c:pt>
                <c:pt idx="8">
                  <c:v>2019F</c:v>
                </c:pt>
                <c:pt idx="9">
                  <c:v>2020F</c:v>
                </c:pt>
                <c:pt idx="10">
                  <c:v>2021F</c:v>
                </c:pt>
              </c:strCache>
            </c:strRef>
          </c:cat>
          <c:val>
            <c:numRef>
              <c:f>Graf_3!$B$2:$L$2</c:f>
              <c:numCache>
                <c:formatCode>0.0</c:formatCode>
                <c:ptCount val="11"/>
                <c:pt idx="0">
                  <c:v>2.8190995175775568</c:v>
                </c:pt>
                <c:pt idx="1">
                  <c:v>1.6571486871941221</c:v>
                </c:pt>
                <c:pt idx="2">
                  <c:v>1.4906464378200801</c:v>
                </c:pt>
                <c:pt idx="3">
                  <c:v>2.7503350168863445</c:v>
                </c:pt>
                <c:pt idx="4">
                  <c:v>3.8501006044002368</c:v>
                </c:pt>
                <c:pt idx="5">
                  <c:v>3.3246952959640259</c:v>
                </c:pt>
                <c:pt idx="6">
                  <c:v>3.400166311079853</c:v>
                </c:pt>
                <c:pt idx="7">
                  <c:v>4.2132237559521277</c:v>
                </c:pt>
                <c:pt idx="8">
                  <c:v>4.508207530067156</c:v>
                </c:pt>
                <c:pt idx="9">
                  <c:v>3.8741085149651724</c:v>
                </c:pt>
                <c:pt idx="10">
                  <c:v>3.3915538796868949</c:v>
                </c:pt>
              </c:numCache>
            </c:numRef>
          </c:val>
          <c:smooth val="0"/>
        </c:ser>
        <c:dLbls>
          <c:showLegendKey val="0"/>
          <c:showVal val="0"/>
          <c:showCatName val="0"/>
          <c:showSerName val="0"/>
          <c:showPercent val="0"/>
          <c:showBubbleSize val="0"/>
        </c:dLbls>
        <c:marker val="1"/>
        <c:smooth val="0"/>
        <c:axId val="295288784"/>
        <c:axId val="294758072"/>
      </c:lineChart>
      <c:catAx>
        <c:axId val="295288784"/>
        <c:scaling>
          <c:orientation val="minMax"/>
        </c:scaling>
        <c:delete val="0"/>
        <c:axPos val="b"/>
        <c:numFmt formatCode="General" sourceLinked="1"/>
        <c:majorTickMark val="out"/>
        <c:minorTickMark val="none"/>
        <c:tickLblPos val="low"/>
        <c:txPr>
          <a:bodyPr rot="-5400000" vert="horz"/>
          <a:lstStyle/>
          <a:p>
            <a:pPr>
              <a:defRPr/>
            </a:pPr>
            <a:endParaRPr lang="en-US"/>
          </a:p>
        </c:txPr>
        <c:crossAx val="294758072"/>
        <c:crosses val="autoZero"/>
        <c:auto val="1"/>
        <c:lblAlgn val="ctr"/>
        <c:lblOffset val="100"/>
        <c:noMultiLvlLbl val="0"/>
      </c:catAx>
      <c:valAx>
        <c:axId val="294758072"/>
        <c:scaling>
          <c:orientation val="minMax"/>
        </c:scaling>
        <c:delete val="0"/>
        <c:axPos val="l"/>
        <c:majorGridlines>
          <c:spPr>
            <a:ln>
              <a:solidFill>
                <a:sysClr val="window" lastClr="FFFFFF">
                  <a:lumMod val="75000"/>
                </a:sysClr>
              </a:solidFill>
              <a:prstDash val="sysDash"/>
            </a:ln>
          </c:spPr>
        </c:majorGridlines>
        <c:numFmt formatCode="#,##0" sourceLinked="0"/>
        <c:majorTickMark val="out"/>
        <c:minorTickMark val="none"/>
        <c:tickLblPos val="nextTo"/>
        <c:crossAx val="295288784"/>
        <c:crosses val="autoZero"/>
        <c:crossBetween val="between"/>
      </c:valAx>
    </c:plotArea>
    <c:legend>
      <c:legendPos val="r"/>
      <c:layout>
        <c:manualLayout>
          <c:xMode val="edge"/>
          <c:yMode val="edge"/>
          <c:x val="7.6349965959321892E-2"/>
          <c:y val="4.9137223830992517E-3"/>
          <c:w val="0.91739766459114469"/>
          <c:h val="0.16568730795443024"/>
        </c:manualLayout>
      </c:layout>
      <c:overlay val="0"/>
    </c:legend>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8.4437714516454654E-2"/>
          <c:w val="0.91819511922711794"/>
          <c:h val="0.83145069444444442"/>
        </c:manualLayout>
      </c:layout>
      <c:lineChart>
        <c:grouping val="standard"/>
        <c:varyColors val="0"/>
        <c:ser>
          <c:idx val="0"/>
          <c:order val="2"/>
          <c:tx>
            <c:strRef>
              <c:f>'clearance rate'!$A$5</c:f>
              <c:strCache>
                <c:ptCount val="1"/>
                <c:pt idx="0">
                  <c:v>Slovensko</c:v>
                </c:pt>
              </c:strCache>
            </c:strRef>
          </c:tx>
          <c:spPr>
            <a:ln w="19050">
              <a:solidFill>
                <a:srgbClr val="2C9ADC"/>
              </a:solidFill>
              <a:prstDash val="solid"/>
            </a:ln>
          </c:spPr>
          <c:marker>
            <c:symbol val="none"/>
          </c:marker>
          <c:dPt>
            <c:idx val="2"/>
            <c:bubble3D val="0"/>
          </c:dPt>
          <c:cat>
            <c:numRef>
              <c:f>'clearance rate'!$B$1:$D$1</c:f>
              <c:numCache>
                <c:formatCode>General</c:formatCode>
                <c:ptCount val="3"/>
                <c:pt idx="0">
                  <c:v>2010</c:v>
                </c:pt>
                <c:pt idx="1">
                  <c:v>2012</c:v>
                </c:pt>
                <c:pt idx="2">
                  <c:v>2014</c:v>
                </c:pt>
              </c:numCache>
            </c:numRef>
          </c:cat>
          <c:val>
            <c:numRef>
              <c:f>'clearance rate'!$B$5:$D$5</c:f>
              <c:numCache>
                <c:formatCode>General</c:formatCode>
                <c:ptCount val="3"/>
                <c:pt idx="0">
                  <c:v>98</c:v>
                </c:pt>
                <c:pt idx="1">
                  <c:v>80</c:v>
                </c:pt>
                <c:pt idx="2">
                  <c:v>92</c:v>
                </c:pt>
              </c:numCache>
            </c:numRef>
          </c:val>
          <c:smooth val="0"/>
        </c:ser>
        <c:ser>
          <c:idx val="2"/>
          <c:order val="4"/>
          <c:tx>
            <c:strRef>
              <c:f>'clearance rate'!$A$6</c:f>
              <c:strCache>
                <c:ptCount val="1"/>
                <c:pt idx="0">
                  <c:v>Polsko</c:v>
                </c:pt>
              </c:strCache>
            </c:strRef>
          </c:tx>
          <c:spPr>
            <a:ln w="19050">
              <a:solidFill>
                <a:sysClr val="windowText" lastClr="000000"/>
              </a:solidFill>
            </a:ln>
          </c:spPr>
          <c:marker>
            <c:symbol val="none"/>
          </c:marker>
          <c:val>
            <c:numRef>
              <c:f>'clearance rate'!$B$6:$D$6</c:f>
              <c:numCache>
                <c:formatCode>General</c:formatCode>
                <c:ptCount val="3"/>
                <c:pt idx="0">
                  <c:v>95</c:v>
                </c:pt>
                <c:pt idx="1">
                  <c:v>89</c:v>
                </c:pt>
                <c:pt idx="2">
                  <c:v>99</c:v>
                </c:pt>
              </c:numCache>
            </c:numRef>
          </c:val>
          <c:smooth val="0"/>
        </c:ser>
        <c:ser>
          <c:idx val="4"/>
          <c:order val="5"/>
          <c:tx>
            <c:strRef>
              <c:f>'clearance rate'!$A$7</c:f>
              <c:strCache>
                <c:ptCount val="1"/>
                <c:pt idx="0">
                  <c:v>Česko</c:v>
                </c:pt>
              </c:strCache>
            </c:strRef>
          </c:tx>
          <c:spPr>
            <a:ln w="19050">
              <a:solidFill>
                <a:srgbClr val="AAD3F2"/>
              </a:solidFill>
              <a:prstDash val="solid"/>
            </a:ln>
          </c:spPr>
          <c:marker>
            <c:symbol val="none"/>
          </c:marker>
          <c:val>
            <c:numRef>
              <c:f>'clearance rate'!$B$7:$D$7</c:f>
              <c:numCache>
                <c:formatCode>General</c:formatCode>
                <c:ptCount val="3"/>
                <c:pt idx="0">
                  <c:v>103</c:v>
                </c:pt>
                <c:pt idx="1">
                  <c:v>99</c:v>
                </c:pt>
                <c:pt idx="2">
                  <c:v>105</c:v>
                </c:pt>
              </c:numCache>
            </c:numRef>
          </c:val>
          <c:smooth val="0"/>
        </c:ser>
        <c:ser>
          <c:idx val="9"/>
          <c:order val="9"/>
          <c:tx>
            <c:strRef>
              <c:f>'clearance rate'!$A$11</c:f>
              <c:strCache>
                <c:ptCount val="1"/>
                <c:pt idx="0">
                  <c:v>Maďarsko</c:v>
                </c:pt>
              </c:strCache>
            </c:strRef>
          </c:tx>
          <c:spPr>
            <a:ln w="19050">
              <a:solidFill>
                <a:srgbClr val="002060"/>
              </a:solidFill>
              <a:prstDash val="sysDash"/>
            </a:ln>
          </c:spPr>
          <c:marker>
            <c:symbol val="none"/>
          </c:marker>
          <c:val>
            <c:numRef>
              <c:f>'clearance rate'!$B$11:$D$11</c:f>
              <c:numCache>
                <c:formatCode>General</c:formatCode>
                <c:ptCount val="3"/>
                <c:pt idx="0">
                  <c:v>102</c:v>
                </c:pt>
                <c:pt idx="1">
                  <c:v>105</c:v>
                </c:pt>
                <c:pt idx="2">
                  <c:v>104</c:v>
                </c:pt>
              </c:numCache>
            </c:numRef>
          </c:val>
          <c:smooth val="0"/>
        </c:ser>
        <c:dLbls>
          <c:showLegendKey val="0"/>
          <c:showVal val="0"/>
          <c:showCatName val="0"/>
          <c:showSerName val="0"/>
          <c:showPercent val="0"/>
          <c:showBubbleSize val="0"/>
        </c:dLbls>
        <c:smooth val="0"/>
        <c:axId val="415292336"/>
        <c:axId val="415292728"/>
        <c:extLst>
          <c:ext xmlns:c15="http://schemas.microsoft.com/office/drawing/2012/chart" uri="{02D57815-91ED-43cb-92C2-25804820EDAC}">
            <c15:filteredLineSeries>
              <c15:ser>
                <c:idx val="3"/>
                <c:order val="0"/>
                <c:tx>
                  <c:strRef>
                    <c:extLst>
                      <c:ext uri="{02D57815-91ED-43cb-92C2-25804820EDAC}">
                        <c15:formulaRef>
                          <c15:sqref>'clearance rate'!$A$3</c15:sqref>
                        </c15:formulaRef>
                      </c:ext>
                    </c:extLst>
                    <c:strCache>
                      <c:ptCount val="1"/>
                      <c:pt idx="0">
                        <c:v>Taliansko</c:v>
                      </c:pt>
                    </c:strCache>
                  </c:strRef>
                </c:tx>
                <c:spPr>
                  <a:ln w="19050">
                    <a:solidFill>
                      <a:srgbClr val="2C9ADC"/>
                    </a:solidFill>
                    <a:prstDash val="solid"/>
                  </a:ln>
                </c:spPr>
                <c:marker>
                  <c:symbol val="none"/>
                </c:marker>
                <c:cat>
                  <c:numRef>
                    <c:extLst>
                      <c:ext uri="{02D57815-91ED-43cb-92C2-25804820EDAC}">
                        <c15:formulaRef>
                          <c15:sqref>'clearance rate'!$B$1:$D$1</c15:sqref>
                        </c15:formulaRef>
                      </c:ext>
                    </c:extLst>
                    <c:numCache>
                      <c:formatCode>General</c:formatCode>
                      <c:ptCount val="3"/>
                      <c:pt idx="0">
                        <c:v>2010</c:v>
                      </c:pt>
                      <c:pt idx="1">
                        <c:v>2012</c:v>
                      </c:pt>
                      <c:pt idx="2">
                        <c:v>2014</c:v>
                      </c:pt>
                    </c:numCache>
                  </c:numRef>
                </c:cat>
                <c:val>
                  <c:numRef>
                    <c:extLst>
                      <c:ext uri="{02D57815-91ED-43cb-92C2-25804820EDAC}">
                        <c15:formulaRef>
                          <c15:sqref>'clearance rate'!$B$3:$D$3</c15:sqref>
                        </c15:formulaRef>
                      </c:ext>
                    </c:extLst>
                    <c:numCache>
                      <c:formatCode>General</c:formatCode>
                      <c:ptCount val="3"/>
                      <c:pt idx="0">
                        <c:v>118</c:v>
                      </c:pt>
                      <c:pt idx="1">
                        <c:v>131</c:v>
                      </c:pt>
                      <c:pt idx="2">
                        <c:v>119</c:v>
                      </c:pt>
                    </c:numCache>
                  </c:numRef>
                </c:val>
                <c:smooth val="0"/>
              </c15:ser>
            </c15:filteredLineSeries>
            <c15:filteredLineSeries>
              <c15:ser>
                <c:idx val="5"/>
                <c:order val="1"/>
                <c:tx>
                  <c:strRef>
                    <c:extLst xmlns:c15="http://schemas.microsoft.com/office/drawing/2012/chart">
                      <c:ext xmlns:c15="http://schemas.microsoft.com/office/drawing/2012/chart" uri="{02D57815-91ED-43cb-92C2-25804820EDAC}">
                        <c15:formulaRef>
                          <c15:sqref>'clearance rate'!$A$4</c15:sqref>
                        </c15:formulaRef>
                      </c:ext>
                    </c:extLst>
                    <c:strCache>
                      <c:ptCount val="1"/>
                      <c:pt idx="0">
                        <c:v>Slovinsko</c:v>
                      </c:pt>
                    </c:strCache>
                  </c:strRef>
                </c:tx>
                <c:spPr>
                  <a:ln w="19050">
                    <a:solidFill>
                      <a:sysClr val="windowText" lastClr="000000"/>
                    </a:solidFill>
                    <a:prstDash val="solid"/>
                  </a:ln>
                </c:spPr>
                <c:marker>
                  <c:symbol val="none"/>
                </c:marker>
                <c:cat>
                  <c:numRef>
                    <c:extLst xmlns:c15="http://schemas.microsoft.com/office/drawing/2012/chart">
                      <c:ext xmlns:c15="http://schemas.microsoft.com/office/drawing/2012/chart" uri="{02D57815-91ED-43cb-92C2-25804820EDAC}">
                        <c15:formulaRef>
                          <c15:sqref>'clearance rate'!$B$1:$D$1</c15:sqref>
                        </c15:formulaRef>
                      </c:ext>
                    </c:extLst>
                    <c:numCache>
                      <c:formatCode>General</c:formatCode>
                      <c:ptCount val="3"/>
                      <c:pt idx="0">
                        <c:v>2010</c:v>
                      </c:pt>
                      <c:pt idx="1">
                        <c:v>2012</c:v>
                      </c:pt>
                      <c:pt idx="2">
                        <c:v>2014</c:v>
                      </c:pt>
                    </c:numCache>
                  </c:numRef>
                </c:cat>
                <c:val>
                  <c:numRef>
                    <c:extLst xmlns:c15="http://schemas.microsoft.com/office/drawing/2012/chart">
                      <c:ext xmlns:c15="http://schemas.microsoft.com/office/drawing/2012/chart" uri="{02D57815-91ED-43cb-92C2-25804820EDAC}">
                        <c15:formulaRef>
                          <c15:sqref>'clearance rate'!$B$4:$D$4</c15:sqref>
                        </c15:formulaRef>
                      </c:ext>
                    </c:extLst>
                    <c:numCache>
                      <c:formatCode>General</c:formatCode>
                      <c:ptCount val="3"/>
                      <c:pt idx="0">
                        <c:v>99</c:v>
                      </c:pt>
                      <c:pt idx="1">
                        <c:v>101</c:v>
                      </c:pt>
                      <c:pt idx="2">
                        <c:v>117</c:v>
                      </c:pt>
                    </c:numCache>
                  </c:numRef>
                </c:val>
                <c:smooth val="0"/>
              </c15:ser>
            </c15:filteredLineSeries>
            <c15:filteredLineSeries>
              <c15:ser>
                <c:idx val="1"/>
                <c:order val="3"/>
                <c:tx>
                  <c:strRef>
                    <c:extLst xmlns:c15="http://schemas.microsoft.com/office/drawing/2012/chart">
                      <c:ext xmlns:c15="http://schemas.microsoft.com/office/drawing/2012/chart" uri="{02D57815-91ED-43cb-92C2-25804820EDAC}">
                        <c15:formulaRef>
                          <c15:sqref>'clearance rate'!$A$2</c15:sqref>
                        </c15:formulaRef>
                      </c:ext>
                    </c:extLst>
                    <c:strCache>
                      <c:ptCount val="1"/>
                      <c:pt idx="0">
                        <c:v>Grécko</c:v>
                      </c:pt>
                    </c:strCache>
                  </c:strRef>
                </c:tx>
                <c:marker>
                  <c:symbol val="none"/>
                </c:marker>
                <c:val>
                  <c:numRef>
                    <c:extLst xmlns:c15="http://schemas.microsoft.com/office/drawing/2012/chart">
                      <c:ext xmlns:c15="http://schemas.microsoft.com/office/drawing/2012/chart" uri="{02D57815-91ED-43cb-92C2-25804820EDAC}">
                        <c15:formulaRef>
                          <c15:sqref>'clearance rate'!$B$2:$D$2</c15:sqref>
                        </c15:formulaRef>
                      </c:ext>
                    </c:extLst>
                    <c:numCache>
                      <c:formatCode>General</c:formatCode>
                      <c:ptCount val="3"/>
                      <c:pt idx="0">
                        <c:v>79</c:v>
                      </c:pt>
                      <c:pt idx="1">
                        <c:v>58</c:v>
                      </c:pt>
                      <c:pt idx="2">
                        <c:v>113</c:v>
                      </c:pt>
                    </c:numCache>
                  </c:numRef>
                </c:val>
                <c:smooth val="0"/>
              </c15:ser>
            </c15:filteredLineSeries>
            <c15:filteredLineSeries>
              <c15:ser>
                <c:idx val="6"/>
                <c:order val="6"/>
                <c:tx>
                  <c:strRef>
                    <c:extLst xmlns:c15="http://schemas.microsoft.com/office/drawing/2012/chart">
                      <c:ext xmlns:c15="http://schemas.microsoft.com/office/drawing/2012/chart" uri="{02D57815-91ED-43cb-92C2-25804820EDAC}">
                        <c15:formulaRef>
                          <c15:sqref>'clearance rate'!$A$8</c15:sqref>
                        </c15:formulaRef>
                      </c:ext>
                    </c:extLst>
                    <c:strCache>
                      <c:ptCount val="1"/>
                      <c:pt idx="0">
                        <c:v>Chorvátsko</c:v>
                      </c:pt>
                    </c:strCache>
                  </c:strRef>
                </c:tx>
                <c:marker>
                  <c:symbol val="none"/>
                </c:marker>
                <c:val>
                  <c:numRef>
                    <c:extLst xmlns:c15="http://schemas.microsoft.com/office/drawing/2012/chart">
                      <c:ext xmlns:c15="http://schemas.microsoft.com/office/drawing/2012/chart" uri="{02D57815-91ED-43cb-92C2-25804820EDAC}">
                        <c15:formulaRef>
                          <c15:sqref>'clearance rate'!$B$8:$D$8</c15:sqref>
                        </c15:formulaRef>
                      </c:ext>
                    </c:extLst>
                    <c:numCache>
                      <c:formatCode>General</c:formatCode>
                      <c:ptCount val="3"/>
                      <c:pt idx="0">
                        <c:v>102</c:v>
                      </c:pt>
                      <c:pt idx="1">
                        <c:v>95</c:v>
                      </c:pt>
                      <c:pt idx="2">
                        <c:v>113</c:v>
                      </c:pt>
                    </c:numCache>
                  </c:numRef>
                </c:val>
                <c:smooth val="0"/>
              </c15:ser>
            </c15:filteredLineSeries>
            <c15:filteredLineSeries>
              <c15:ser>
                <c:idx val="7"/>
                <c:order val="7"/>
                <c:tx>
                  <c:strRef>
                    <c:extLst xmlns:c15="http://schemas.microsoft.com/office/drawing/2012/chart">
                      <c:ext xmlns:c15="http://schemas.microsoft.com/office/drawing/2012/chart" uri="{02D57815-91ED-43cb-92C2-25804820EDAC}">
                        <c15:formulaRef>
                          <c15:sqref>'clearance rate'!$A$9</c15:sqref>
                        </c15:formulaRef>
                      </c:ext>
                    </c:extLst>
                    <c:strCache>
                      <c:ptCount val="1"/>
                      <c:pt idx="0">
                        <c:v>Švajčiarsko</c:v>
                      </c:pt>
                    </c:strCache>
                  </c:strRef>
                </c:tx>
                <c:marker>
                  <c:symbol val="none"/>
                </c:marker>
                <c:val>
                  <c:numRef>
                    <c:extLst xmlns:c15="http://schemas.microsoft.com/office/drawing/2012/chart">
                      <c:ext xmlns:c15="http://schemas.microsoft.com/office/drawing/2012/chart" uri="{02D57815-91ED-43cb-92C2-25804820EDAC}">
                        <c15:formulaRef>
                          <c15:sqref>'clearance rate'!$B$9:$D$9</c15:sqref>
                        </c15:formulaRef>
                      </c:ext>
                    </c:extLst>
                    <c:numCache>
                      <c:formatCode>General</c:formatCode>
                      <c:ptCount val="3"/>
                      <c:pt idx="0">
                        <c:v>100</c:v>
                      </c:pt>
                      <c:pt idx="1">
                        <c:v>100</c:v>
                      </c:pt>
                      <c:pt idx="2">
                        <c:v>101</c:v>
                      </c:pt>
                    </c:numCache>
                  </c:numRef>
                </c:val>
                <c:smooth val="0"/>
              </c15:ser>
            </c15:filteredLineSeries>
            <c15:filteredLineSeries>
              <c15:ser>
                <c:idx val="8"/>
                <c:order val="8"/>
                <c:tx>
                  <c:strRef>
                    <c:extLst xmlns:c15="http://schemas.microsoft.com/office/drawing/2012/chart">
                      <c:ext xmlns:c15="http://schemas.microsoft.com/office/drawing/2012/chart" uri="{02D57815-91ED-43cb-92C2-25804820EDAC}">
                        <c15:formulaRef>
                          <c15:sqref>'clearance rate'!$B$10</c15:sqref>
                        </c15:formulaRef>
                      </c:ext>
                    </c:extLst>
                    <c:strCache>
                      <c:ptCount val="1"/>
                      <c:pt idx="0">
                        <c:v>100</c:v>
                      </c:pt>
                    </c:strCache>
                  </c:strRef>
                </c:tx>
                <c:marker>
                  <c:symbol val="none"/>
                </c:marker>
                <c:val>
                  <c:numRef>
                    <c:extLst xmlns:c15="http://schemas.microsoft.com/office/drawing/2012/chart">
                      <c:ext xmlns:c15="http://schemas.microsoft.com/office/drawing/2012/chart" uri="{02D57815-91ED-43cb-92C2-25804820EDAC}">
                        <c15:formulaRef>
                          <c15:sqref>'clearance rate'!$B$10:$D$10</c15:sqref>
                        </c15:formulaRef>
                      </c:ext>
                    </c:extLst>
                    <c:numCache>
                      <c:formatCode>General</c:formatCode>
                      <c:ptCount val="3"/>
                      <c:pt idx="0">
                        <c:v>100</c:v>
                      </c:pt>
                      <c:pt idx="1">
                        <c:v>101</c:v>
                      </c:pt>
                      <c:pt idx="2">
                        <c:v>103</c:v>
                      </c:pt>
                    </c:numCache>
                  </c:numRef>
                </c:val>
                <c:smooth val="0"/>
              </c15:ser>
            </c15:filteredLineSeries>
          </c:ext>
        </c:extLst>
      </c:lineChart>
      <c:catAx>
        <c:axId val="415292336"/>
        <c:scaling>
          <c:orientation val="minMax"/>
        </c:scaling>
        <c:delete val="0"/>
        <c:axPos val="b"/>
        <c:numFmt formatCode="General" sourceLinked="0"/>
        <c:majorTickMark val="out"/>
        <c:minorTickMark val="none"/>
        <c:tickLblPos val="low"/>
        <c:txPr>
          <a:bodyPr rot="-5400000" vert="horz"/>
          <a:lstStyle/>
          <a:p>
            <a:pPr>
              <a:defRPr/>
            </a:pPr>
            <a:endParaRPr lang="en-US"/>
          </a:p>
        </c:txPr>
        <c:crossAx val="415292728"/>
        <c:crosses val="autoZero"/>
        <c:auto val="1"/>
        <c:lblAlgn val="ctr"/>
        <c:lblOffset val="100"/>
        <c:noMultiLvlLbl val="0"/>
      </c:catAx>
      <c:valAx>
        <c:axId val="415292728"/>
        <c:scaling>
          <c:orientation val="minMax"/>
          <c:min val="75"/>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a:pPr>
            <a:endParaRPr lang="en-US"/>
          </a:p>
        </c:txPr>
        <c:crossAx val="415292336"/>
        <c:crosses val="autoZero"/>
        <c:crossBetween val="midCat"/>
      </c:valAx>
    </c:plotArea>
    <c:legend>
      <c:legendPos val="l"/>
      <c:layout>
        <c:manualLayout>
          <c:xMode val="edge"/>
          <c:yMode val="edge"/>
          <c:x val="0.1418766877966969"/>
          <c:y val="0.73013743736578385"/>
          <c:w val="0.76910713830674082"/>
          <c:h val="0.13467239322357433"/>
        </c:manualLayout>
      </c:layout>
      <c:overlay val="1"/>
    </c:legend>
    <c:plotVisOnly val="1"/>
    <c:dispBlanksAs val="gap"/>
    <c:showDLblsOverMax val="0"/>
  </c:chart>
  <c:spPr>
    <a:ln>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en-US"/>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90134042903292"/>
          <c:y val="2.2029850403376069E-2"/>
          <c:w val="0.83954919486415547"/>
          <c:h val="0.68190617866577763"/>
        </c:manualLayout>
      </c:layout>
      <c:barChart>
        <c:barDir val="col"/>
        <c:grouping val="stacked"/>
        <c:varyColors val="0"/>
        <c:ser>
          <c:idx val="0"/>
          <c:order val="0"/>
          <c:tx>
            <c:strRef>
              <c:f>doprava!$A$6</c:f>
              <c:strCache>
                <c:ptCount val="1"/>
                <c:pt idx="0">
                  <c:v>Diaľnice a RC (NDS)* </c:v>
                </c:pt>
              </c:strCache>
            </c:strRef>
          </c:tx>
          <c:spPr>
            <a:solidFill>
              <a:srgbClr val="2C9ADC"/>
            </a:solidFill>
            <a:ln>
              <a:noFill/>
            </a:ln>
            <a:effectLst/>
          </c:spPr>
          <c:invertIfNegative val="0"/>
          <c:cat>
            <c:strRef>
              <c:f>doprava!$B$5:$H$5</c:f>
              <c:strCache>
                <c:ptCount val="7"/>
                <c:pt idx="0">
                  <c:v>2014 S</c:v>
                </c:pt>
                <c:pt idx="1">
                  <c:v>2015 S</c:v>
                </c:pt>
                <c:pt idx="2">
                  <c:v>2016 S</c:v>
                </c:pt>
                <c:pt idx="3">
                  <c:v>2017 S</c:v>
                </c:pt>
                <c:pt idx="4">
                  <c:v>2018 N</c:v>
                </c:pt>
                <c:pt idx="5">
                  <c:v>2019 N</c:v>
                </c:pt>
                <c:pt idx="6">
                  <c:v>2020 N</c:v>
                </c:pt>
              </c:strCache>
            </c:strRef>
          </c:cat>
          <c:val>
            <c:numRef>
              <c:f>doprava!$B$6:$H$6</c:f>
              <c:numCache>
                <c:formatCode>General</c:formatCode>
                <c:ptCount val="7"/>
                <c:pt idx="0">
                  <c:v>765</c:v>
                </c:pt>
                <c:pt idx="1">
                  <c:v>1052</c:v>
                </c:pt>
                <c:pt idx="2">
                  <c:v>881</c:v>
                </c:pt>
                <c:pt idx="3">
                  <c:v>537</c:v>
                </c:pt>
                <c:pt idx="4">
                  <c:v>398</c:v>
                </c:pt>
                <c:pt idx="5">
                  <c:v>618</c:v>
                </c:pt>
                <c:pt idx="6">
                  <c:v>610</c:v>
                </c:pt>
              </c:numCache>
            </c:numRef>
          </c:val>
        </c:ser>
        <c:ser>
          <c:idx val="3"/>
          <c:order val="1"/>
          <c:tx>
            <c:strRef>
              <c:f>doprava!$A$7</c:f>
              <c:strCache>
                <c:ptCount val="1"/>
                <c:pt idx="0">
                  <c:v>Cesty I. triedy (SSC)</c:v>
                </c:pt>
              </c:strCache>
            </c:strRef>
          </c:tx>
          <c:spPr>
            <a:solidFill>
              <a:srgbClr val="C6D9F1"/>
            </a:solidFill>
            <a:ln>
              <a:noFill/>
            </a:ln>
            <a:effectLst/>
          </c:spPr>
          <c:invertIfNegative val="0"/>
          <c:cat>
            <c:strRef>
              <c:f>doprava!$B$5:$H$5</c:f>
              <c:strCache>
                <c:ptCount val="7"/>
                <c:pt idx="0">
                  <c:v>2014 S</c:v>
                </c:pt>
                <c:pt idx="1">
                  <c:v>2015 S</c:v>
                </c:pt>
                <c:pt idx="2">
                  <c:v>2016 S</c:v>
                </c:pt>
                <c:pt idx="3">
                  <c:v>2017 S</c:v>
                </c:pt>
                <c:pt idx="4">
                  <c:v>2018 N</c:v>
                </c:pt>
                <c:pt idx="5">
                  <c:v>2019 N</c:v>
                </c:pt>
                <c:pt idx="6">
                  <c:v>2020 N</c:v>
                </c:pt>
              </c:strCache>
            </c:strRef>
          </c:cat>
          <c:val>
            <c:numRef>
              <c:f>doprava!$B$7:$H$7</c:f>
              <c:numCache>
                <c:formatCode>General</c:formatCode>
                <c:ptCount val="7"/>
                <c:pt idx="0">
                  <c:v>134</c:v>
                </c:pt>
                <c:pt idx="1">
                  <c:v>356</c:v>
                </c:pt>
                <c:pt idx="2">
                  <c:v>137</c:v>
                </c:pt>
                <c:pt idx="3">
                  <c:v>278</c:v>
                </c:pt>
                <c:pt idx="4">
                  <c:v>65</c:v>
                </c:pt>
                <c:pt idx="5">
                  <c:v>95</c:v>
                </c:pt>
                <c:pt idx="6">
                  <c:v>95</c:v>
                </c:pt>
              </c:numCache>
            </c:numRef>
          </c:val>
        </c:ser>
        <c:ser>
          <c:idx val="1"/>
          <c:order val="2"/>
          <c:tx>
            <c:strRef>
              <c:f>doprava!$A$8</c:f>
              <c:strCache>
                <c:ptCount val="1"/>
                <c:pt idx="0">
                  <c:v>ŽSR*</c:v>
                </c:pt>
              </c:strCache>
            </c:strRef>
          </c:tx>
          <c:spPr>
            <a:solidFill>
              <a:schemeClr val="tx1">
                <a:lumMod val="65000"/>
                <a:lumOff val="35000"/>
              </a:schemeClr>
            </a:solidFill>
            <a:ln>
              <a:noFill/>
            </a:ln>
            <a:effectLst/>
          </c:spPr>
          <c:invertIfNegative val="0"/>
          <c:cat>
            <c:strRef>
              <c:f>doprava!$B$5:$H$5</c:f>
              <c:strCache>
                <c:ptCount val="7"/>
                <c:pt idx="0">
                  <c:v>2014 S</c:v>
                </c:pt>
                <c:pt idx="1">
                  <c:v>2015 S</c:v>
                </c:pt>
                <c:pt idx="2">
                  <c:v>2016 S</c:v>
                </c:pt>
                <c:pt idx="3">
                  <c:v>2017 S</c:v>
                </c:pt>
                <c:pt idx="4">
                  <c:v>2018 N</c:v>
                </c:pt>
                <c:pt idx="5">
                  <c:v>2019 N</c:v>
                </c:pt>
                <c:pt idx="6">
                  <c:v>2020 N</c:v>
                </c:pt>
              </c:strCache>
            </c:strRef>
          </c:cat>
          <c:val>
            <c:numRef>
              <c:f>doprava!$B$8:$H$8</c:f>
              <c:numCache>
                <c:formatCode>General</c:formatCode>
                <c:ptCount val="7"/>
                <c:pt idx="0">
                  <c:v>800</c:v>
                </c:pt>
                <c:pt idx="1">
                  <c:v>867</c:v>
                </c:pt>
                <c:pt idx="2">
                  <c:v>563</c:v>
                </c:pt>
                <c:pt idx="3">
                  <c:v>486</c:v>
                </c:pt>
                <c:pt idx="4">
                  <c:v>558</c:v>
                </c:pt>
                <c:pt idx="5">
                  <c:v>732</c:v>
                </c:pt>
                <c:pt idx="6">
                  <c:v>737</c:v>
                </c:pt>
              </c:numCache>
            </c:numRef>
          </c:val>
        </c:ser>
        <c:ser>
          <c:idx val="2"/>
          <c:order val="3"/>
          <c:tx>
            <c:strRef>
              <c:f>doprava!$A$9</c:f>
              <c:strCache>
                <c:ptCount val="1"/>
                <c:pt idx="0">
                  <c:v>ZSSK*</c:v>
                </c:pt>
              </c:strCache>
            </c:strRef>
          </c:tx>
          <c:spPr>
            <a:solidFill>
              <a:schemeClr val="bg1">
                <a:lumMod val="75000"/>
              </a:schemeClr>
            </a:solidFill>
            <a:ln>
              <a:noFill/>
            </a:ln>
            <a:effectLst/>
          </c:spPr>
          <c:invertIfNegative val="0"/>
          <c:cat>
            <c:strRef>
              <c:f>doprava!$B$5:$H$5</c:f>
              <c:strCache>
                <c:ptCount val="7"/>
                <c:pt idx="0">
                  <c:v>2014 S</c:v>
                </c:pt>
                <c:pt idx="1">
                  <c:v>2015 S</c:v>
                </c:pt>
                <c:pt idx="2">
                  <c:v>2016 S</c:v>
                </c:pt>
                <c:pt idx="3">
                  <c:v>2017 S</c:v>
                </c:pt>
                <c:pt idx="4">
                  <c:v>2018 N</c:v>
                </c:pt>
                <c:pt idx="5">
                  <c:v>2019 N</c:v>
                </c:pt>
                <c:pt idx="6">
                  <c:v>2020 N</c:v>
                </c:pt>
              </c:strCache>
            </c:strRef>
          </c:cat>
          <c:val>
            <c:numRef>
              <c:f>doprava!$B$9:$H$9</c:f>
              <c:numCache>
                <c:formatCode>General</c:formatCode>
                <c:ptCount val="7"/>
                <c:pt idx="0">
                  <c:v>327</c:v>
                </c:pt>
                <c:pt idx="1">
                  <c:v>432</c:v>
                </c:pt>
                <c:pt idx="2">
                  <c:v>358</c:v>
                </c:pt>
                <c:pt idx="3">
                  <c:v>248</c:v>
                </c:pt>
                <c:pt idx="4">
                  <c:v>314</c:v>
                </c:pt>
                <c:pt idx="5">
                  <c:v>378</c:v>
                </c:pt>
                <c:pt idx="6">
                  <c:v>377</c:v>
                </c:pt>
              </c:numCache>
            </c:numRef>
          </c:val>
        </c:ser>
        <c:ser>
          <c:idx val="4"/>
          <c:order val="4"/>
          <c:tx>
            <c:strRef>
              <c:f>doprava!$A$10</c:f>
              <c:strCache>
                <c:ptCount val="1"/>
                <c:pt idx="0">
                  <c:v>PPP projekty</c:v>
                </c:pt>
              </c:strCache>
            </c:strRef>
          </c:tx>
          <c:spPr>
            <a:solidFill>
              <a:schemeClr val="accent1">
                <a:lumMod val="75000"/>
              </a:schemeClr>
            </a:solidFill>
            <a:ln>
              <a:noFill/>
            </a:ln>
            <a:effectLst/>
          </c:spPr>
          <c:invertIfNegative val="0"/>
          <c:cat>
            <c:strRef>
              <c:f>doprava!$B$5:$H$5</c:f>
              <c:strCache>
                <c:ptCount val="7"/>
                <c:pt idx="0">
                  <c:v>2014 S</c:v>
                </c:pt>
                <c:pt idx="1">
                  <c:v>2015 S</c:v>
                </c:pt>
                <c:pt idx="2">
                  <c:v>2016 S</c:v>
                </c:pt>
                <c:pt idx="3">
                  <c:v>2017 S</c:v>
                </c:pt>
                <c:pt idx="4">
                  <c:v>2018 N</c:v>
                </c:pt>
                <c:pt idx="5">
                  <c:v>2019 N</c:v>
                </c:pt>
                <c:pt idx="6">
                  <c:v>2020 N</c:v>
                </c:pt>
              </c:strCache>
            </c:strRef>
          </c:cat>
          <c:val>
            <c:numRef>
              <c:f>doprava!$B$10:$H$10</c:f>
              <c:numCache>
                <c:formatCode>General</c:formatCode>
                <c:ptCount val="7"/>
                <c:pt idx="0">
                  <c:v>124</c:v>
                </c:pt>
                <c:pt idx="1">
                  <c:v>129</c:v>
                </c:pt>
                <c:pt idx="2">
                  <c:v>131</c:v>
                </c:pt>
                <c:pt idx="3">
                  <c:v>148</c:v>
                </c:pt>
                <c:pt idx="4">
                  <c:v>134</c:v>
                </c:pt>
                <c:pt idx="5">
                  <c:v>134</c:v>
                </c:pt>
                <c:pt idx="6">
                  <c:v>157</c:v>
                </c:pt>
              </c:numCache>
            </c:numRef>
          </c:val>
        </c:ser>
        <c:ser>
          <c:idx val="5"/>
          <c:order val="5"/>
          <c:tx>
            <c:strRef>
              <c:f>doprava!$A$11</c:f>
              <c:strCache>
                <c:ptCount val="1"/>
                <c:pt idx="0">
                  <c:v>Iné</c:v>
                </c:pt>
              </c:strCache>
            </c:strRef>
          </c:tx>
          <c:spPr>
            <a:solidFill>
              <a:srgbClr val="4BACC6"/>
            </a:solidFill>
            <a:ln>
              <a:noFill/>
            </a:ln>
            <a:effectLst/>
          </c:spPr>
          <c:invertIfNegative val="0"/>
          <c:cat>
            <c:strRef>
              <c:f>doprava!$B$5:$H$5</c:f>
              <c:strCache>
                <c:ptCount val="7"/>
                <c:pt idx="0">
                  <c:v>2014 S</c:v>
                </c:pt>
                <c:pt idx="1">
                  <c:v>2015 S</c:v>
                </c:pt>
                <c:pt idx="2">
                  <c:v>2016 S</c:v>
                </c:pt>
                <c:pt idx="3">
                  <c:v>2017 S</c:v>
                </c:pt>
                <c:pt idx="4">
                  <c:v>2018 N</c:v>
                </c:pt>
                <c:pt idx="5">
                  <c:v>2019 N</c:v>
                </c:pt>
                <c:pt idx="6">
                  <c:v>2020 N</c:v>
                </c:pt>
              </c:strCache>
            </c:strRef>
          </c:cat>
          <c:val>
            <c:numRef>
              <c:f>doprava!$B$11:$H$11</c:f>
              <c:numCache>
                <c:formatCode>General</c:formatCode>
                <c:ptCount val="7"/>
                <c:pt idx="0">
                  <c:v>15</c:v>
                </c:pt>
                <c:pt idx="1">
                  <c:v>14</c:v>
                </c:pt>
                <c:pt idx="2" formatCode="0">
                  <c:v>12.644649469999999</c:v>
                </c:pt>
                <c:pt idx="3">
                  <c:v>17</c:v>
                </c:pt>
                <c:pt idx="4">
                  <c:v>10</c:v>
                </c:pt>
                <c:pt idx="5">
                  <c:v>12</c:v>
                </c:pt>
                <c:pt idx="6">
                  <c:v>12</c:v>
                </c:pt>
              </c:numCache>
            </c:numRef>
          </c:val>
        </c:ser>
        <c:dLbls>
          <c:showLegendKey val="0"/>
          <c:showVal val="0"/>
          <c:showCatName val="0"/>
          <c:showSerName val="0"/>
          <c:showPercent val="0"/>
          <c:showBubbleSize val="0"/>
        </c:dLbls>
        <c:gapWidth val="101"/>
        <c:overlap val="100"/>
        <c:axId val="415293904"/>
        <c:axId val="415294296"/>
      </c:barChart>
      <c:catAx>
        <c:axId val="415293904"/>
        <c:scaling>
          <c:orientation val="minMax"/>
        </c:scaling>
        <c:delete val="0"/>
        <c:axPos val="b"/>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0" spcFirstLastPara="1" vertOverflow="ellipsis"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415294296"/>
        <c:crosses val="autoZero"/>
        <c:auto val="1"/>
        <c:lblAlgn val="ctr"/>
        <c:lblOffset val="100"/>
        <c:noMultiLvlLbl val="0"/>
      </c:catAx>
      <c:valAx>
        <c:axId val="415294296"/>
        <c:scaling>
          <c:orientation val="minMax"/>
        </c:scaling>
        <c:delete val="0"/>
        <c:axPos val="l"/>
        <c:majorGridlines>
          <c:spPr>
            <a:ln w="9525" cap="flat" cmpd="sng" algn="ctr">
              <a:solidFill>
                <a:schemeClr val="tx1">
                  <a:lumMod val="15000"/>
                  <a:lumOff val="85000"/>
                </a:schemeClr>
              </a:solidFill>
              <a:prstDash val="sysDash"/>
              <a:round/>
            </a:ln>
            <a:effectLst/>
          </c:spPr>
        </c:majorGridlines>
        <c:numFmt formatCode="#,##0.0" sourceLinked="0"/>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415293904"/>
        <c:crosses val="autoZero"/>
        <c:crossBetween val="between"/>
        <c:dispUnits>
          <c:builtInUnit val="thousands"/>
        </c:dispUnits>
      </c:valAx>
      <c:spPr>
        <a:noFill/>
        <a:ln>
          <a:noFill/>
        </a:ln>
        <a:effectLst/>
      </c:spPr>
    </c:plotArea>
    <c:legend>
      <c:legendPos val="b"/>
      <c:layout>
        <c:manualLayout>
          <c:xMode val="edge"/>
          <c:yMode val="edge"/>
          <c:x val="4.0118070347589532E-2"/>
          <c:y val="0.82179657510237936"/>
          <c:w val="0.91976385930482096"/>
          <c:h val="0.15264407909923311"/>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Narrow" panose="020B0606020202030204" pitchFamily="34" charset="0"/>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914260717410323E-2"/>
          <c:y val="5.0925925925925923E-2"/>
          <c:w val="0.87753018372703417"/>
          <c:h val="0.66752970839275017"/>
        </c:manualLayout>
      </c:layout>
      <c:barChart>
        <c:barDir val="col"/>
        <c:grouping val="stacked"/>
        <c:varyColors val="0"/>
        <c:ser>
          <c:idx val="0"/>
          <c:order val="0"/>
          <c:tx>
            <c:strRef>
              <c:f>doprava!$A$19</c:f>
              <c:strCache>
                <c:ptCount val="1"/>
                <c:pt idx="0">
                  <c:v>NDS kapitálové výdavky*</c:v>
                </c:pt>
              </c:strCache>
            </c:strRef>
          </c:tx>
          <c:spPr>
            <a:solidFill>
              <a:srgbClr val="2C9ADC"/>
            </a:solidFill>
            <a:ln>
              <a:noFill/>
            </a:ln>
            <a:effectLst/>
          </c:spPr>
          <c:invertIfNegative val="0"/>
          <c:cat>
            <c:strRef>
              <c:f>doprava!$B$18:$H$18</c:f>
              <c:strCache>
                <c:ptCount val="7"/>
                <c:pt idx="0">
                  <c:v>2014 S</c:v>
                </c:pt>
                <c:pt idx="1">
                  <c:v>2015 S</c:v>
                </c:pt>
                <c:pt idx="2">
                  <c:v>2016 S</c:v>
                </c:pt>
                <c:pt idx="3">
                  <c:v>2017 S</c:v>
                </c:pt>
                <c:pt idx="4">
                  <c:v>2018 N</c:v>
                </c:pt>
                <c:pt idx="5">
                  <c:v>2019 N</c:v>
                </c:pt>
                <c:pt idx="6">
                  <c:v>2020 N</c:v>
                </c:pt>
              </c:strCache>
            </c:strRef>
          </c:cat>
          <c:val>
            <c:numRef>
              <c:f>doprava!$B$19:$H$19</c:f>
              <c:numCache>
                <c:formatCode>General</c:formatCode>
                <c:ptCount val="7"/>
                <c:pt idx="0">
                  <c:v>473</c:v>
                </c:pt>
                <c:pt idx="1">
                  <c:v>848</c:v>
                </c:pt>
                <c:pt idx="2">
                  <c:v>711</c:v>
                </c:pt>
                <c:pt idx="3">
                  <c:v>380</c:v>
                </c:pt>
                <c:pt idx="4">
                  <c:v>183</c:v>
                </c:pt>
                <c:pt idx="5">
                  <c:v>406</c:v>
                </c:pt>
                <c:pt idx="6">
                  <c:v>387</c:v>
                </c:pt>
              </c:numCache>
            </c:numRef>
          </c:val>
        </c:ser>
        <c:ser>
          <c:idx val="1"/>
          <c:order val="1"/>
          <c:tx>
            <c:strRef>
              <c:f>doprava!$A$20</c:f>
              <c:strCache>
                <c:ptCount val="1"/>
                <c:pt idx="0">
                  <c:v>ŽSR kapitálové výdavky*</c:v>
                </c:pt>
              </c:strCache>
            </c:strRef>
          </c:tx>
          <c:spPr>
            <a:solidFill>
              <a:srgbClr val="C6D9F1"/>
            </a:solidFill>
            <a:ln>
              <a:noFill/>
            </a:ln>
            <a:effectLst/>
          </c:spPr>
          <c:invertIfNegative val="0"/>
          <c:cat>
            <c:strRef>
              <c:f>doprava!$B$18:$H$18</c:f>
              <c:strCache>
                <c:ptCount val="7"/>
                <c:pt idx="0">
                  <c:v>2014 S</c:v>
                </c:pt>
                <c:pt idx="1">
                  <c:v>2015 S</c:v>
                </c:pt>
                <c:pt idx="2">
                  <c:v>2016 S</c:v>
                </c:pt>
                <c:pt idx="3">
                  <c:v>2017 S</c:v>
                </c:pt>
                <c:pt idx="4">
                  <c:v>2018 N</c:v>
                </c:pt>
                <c:pt idx="5">
                  <c:v>2019 N</c:v>
                </c:pt>
                <c:pt idx="6">
                  <c:v>2020 N</c:v>
                </c:pt>
              </c:strCache>
            </c:strRef>
          </c:cat>
          <c:val>
            <c:numRef>
              <c:f>doprava!$B$20:$H$20</c:f>
              <c:numCache>
                <c:formatCode>General</c:formatCode>
                <c:ptCount val="7"/>
                <c:pt idx="0">
                  <c:v>380</c:v>
                </c:pt>
                <c:pt idx="1">
                  <c:v>469</c:v>
                </c:pt>
                <c:pt idx="2">
                  <c:v>142</c:v>
                </c:pt>
                <c:pt idx="3">
                  <c:v>140</c:v>
                </c:pt>
                <c:pt idx="4">
                  <c:v>117</c:v>
                </c:pt>
                <c:pt idx="5">
                  <c:v>215</c:v>
                </c:pt>
                <c:pt idx="6">
                  <c:v>260</c:v>
                </c:pt>
              </c:numCache>
            </c:numRef>
          </c:val>
        </c:ser>
        <c:ser>
          <c:idx val="2"/>
          <c:order val="2"/>
          <c:tx>
            <c:strRef>
              <c:f>doprava!$A$21</c:f>
              <c:strCache>
                <c:ptCount val="1"/>
                <c:pt idx="0">
                  <c:v>PPP projekty</c:v>
                </c:pt>
              </c:strCache>
            </c:strRef>
          </c:tx>
          <c:spPr>
            <a:solidFill>
              <a:schemeClr val="tx1">
                <a:lumMod val="65000"/>
                <a:lumOff val="35000"/>
              </a:schemeClr>
            </a:solidFill>
            <a:ln>
              <a:noFill/>
            </a:ln>
            <a:effectLst/>
          </c:spPr>
          <c:invertIfNegative val="0"/>
          <c:cat>
            <c:strRef>
              <c:f>doprava!$B$18:$H$18</c:f>
              <c:strCache>
                <c:ptCount val="7"/>
                <c:pt idx="0">
                  <c:v>2014 S</c:v>
                </c:pt>
                <c:pt idx="1">
                  <c:v>2015 S</c:v>
                </c:pt>
                <c:pt idx="2">
                  <c:v>2016 S</c:v>
                </c:pt>
                <c:pt idx="3">
                  <c:v>2017 S</c:v>
                </c:pt>
                <c:pt idx="4">
                  <c:v>2018 N</c:v>
                </c:pt>
                <c:pt idx="5">
                  <c:v>2019 N</c:v>
                </c:pt>
                <c:pt idx="6">
                  <c:v>2020 N</c:v>
                </c:pt>
              </c:strCache>
            </c:strRef>
          </c:cat>
          <c:val>
            <c:numRef>
              <c:f>doprava!$B$21:$H$21</c:f>
              <c:numCache>
                <c:formatCode>General</c:formatCode>
                <c:ptCount val="7"/>
                <c:pt idx="0">
                  <c:v>124</c:v>
                </c:pt>
                <c:pt idx="1">
                  <c:v>129</c:v>
                </c:pt>
                <c:pt idx="2">
                  <c:v>131</c:v>
                </c:pt>
                <c:pt idx="3">
                  <c:v>148</c:v>
                </c:pt>
                <c:pt idx="4">
                  <c:v>134</c:v>
                </c:pt>
                <c:pt idx="5">
                  <c:v>134</c:v>
                </c:pt>
                <c:pt idx="6">
                  <c:v>157</c:v>
                </c:pt>
              </c:numCache>
            </c:numRef>
          </c:val>
        </c:ser>
        <c:dLbls>
          <c:showLegendKey val="0"/>
          <c:showVal val="0"/>
          <c:showCatName val="0"/>
          <c:showSerName val="0"/>
          <c:showPercent val="0"/>
          <c:showBubbleSize val="0"/>
        </c:dLbls>
        <c:gapWidth val="116"/>
        <c:overlap val="100"/>
        <c:axId val="415295080"/>
        <c:axId val="415295472"/>
      </c:barChart>
      <c:catAx>
        <c:axId val="415295080"/>
        <c:scaling>
          <c:orientation val="minMax"/>
        </c:scaling>
        <c:delete val="0"/>
        <c:axPos val="b"/>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crossAx val="415295472"/>
        <c:crosses val="autoZero"/>
        <c:auto val="1"/>
        <c:lblAlgn val="ctr"/>
        <c:lblOffset val="100"/>
        <c:noMultiLvlLbl val="0"/>
      </c:catAx>
      <c:valAx>
        <c:axId val="415295472"/>
        <c:scaling>
          <c:orientation val="minMax"/>
        </c:scaling>
        <c:delete val="0"/>
        <c:axPos val="l"/>
        <c:majorGridlines>
          <c:spPr>
            <a:ln w="9525" cap="flat" cmpd="sng" algn="ctr">
              <a:solidFill>
                <a:schemeClr val="tx1">
                  <a:lumMod val="15000"/>
                  <a:lumOff val="85000"/>
                </a:schemeClr>
              </a:solidFill>
              <a:prstDash val="sysDash"/>
              <a:round/>
            </a:ln>
            <a:effectLst/>
          </c:spPr>
        </c:majorGridlines>
        <c:numFmt formatCode="#,##0.0" sourceLinked="0"/>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415295080"/>
        <c:crosses val="autoZero"/>
        <c:crossBetween val="between"/>
        <c:dispUnits>
          <c:builtInUnit val="thousands"/>
        </c:dispUnits>
      </c:valAx>
      <c:spPr>
        <a:noFill/>
        <a:ln>
          <a:noFill/>
        </a:ln>
        <a:effectLst/>
      </c:spPr>
    </c:plotArea>
    <c:legend>
      <c:legendPos val="b"/>
      <c:layout>
        <c:manualLayout>
          <c:xMode val="edge"/>
          <c:yMode val="edge"/>
          <c:x val="2.5139088097259218E-2"/>
          <c:y val="0.84900613801227598"/>
          <c:w val="0.96954834177326343"/>
          <c:h val="0.15099386198772397"/>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6630671166104234E-2"/>
          <c:y val="2.6139642238892095E-2"/>
          <c:w val="0.88955980502437193"/>
          <c:h val="0.80635237242776847"/>
        </c:manualLayout>
      </c:layout>
      <c:barChart>
        <c:barDir val="col"/>
        <c:grouping val="clustered"/>
        <c:varyColors val="0"/>
        <c:ser>
          <c:idx val="0"/>
          <c:order val="0"/>
          <c:tx>
            <c:strRef>
              <c:f>doprava!$A$78</c:f>
              <c:strCache>
                <c:ptCount val="1"/>
                <c:pt idx="0">
                  <c:v>Začatá výstavba</c:v>
                </c:pt>
              </c:strCache>
            </c:strRef>
          </c:tx>
          <c:spPr>
            <a:solidFill>
              <a:srgbClr val="2C9ADC"/>
            </a:solidFill>
          </c:spPr>
          <c:invertIfNegative val="0"/>
          <c:cat>
            <c:strRef>
              <c:f>doprava!$B$76:$N$76</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doprava!$B$78:$N$78</c:f>
              <c:numCache>
                <c:formatCode>General</c:formatCode>
                <c:ptCount val="13"/>
                <c:pt idx="0">
                  <c:v>32.536000000000001</c:v>
                </c:pt>
                <c:pt idx="1">
                  <c:v>11.308</c:v>
                </c:pt>
                <c:pt idx="2">
                  <c:v>4.5730000000000004</c:v>
                </c:pt>
                <c:pt idx="3">
                  <c:v>39.164000000000001</c:v>
                </c:pt>
                <c:pt idx="4">
                  <c:v>62.033000000000001</c:v>
                </c:pt>
                <c:pt idx="5">
                  <c:v>14.19</c:v>
                </c:pt>
                <c:pt idx="6">
                  <c:v>36.6</c:v>
                </c:pt>
                <c:pt idx="7">
                  <c:v>15.26</c:v>
                </c:pt>
                <c:pt idx="8">
                  <c:v>37.68</c:v>
                </c:pt>
                <c:pt idx="9">
                  <c:v>46.5</c:v>
                </c:pt>
                <c:pt idx="10">
                  <c:v>3.0819999999999999</c:v>
                </c:pt>
                <c:pt idx="11">
                  <c:v>20.07</c:v>
                </c:pt>
                <c:pt idx="12">
                  <c:v>7.87</c:v>
                </c:pt>
              </c:numCache>
            </c:numRef>
          </c:val>
        </c:ser>
        <c:ser>
          <c:idx val="2"/>
          <c:order val="1"/>
          <c:tx>
            <c:strRef>
              <c:f>doprava!$A$77</c:f>
              <c:strCache>
                <c:ptCount val="1"/>
                <c:pt idx="0">
                  <c:v>Dokončená výstavba</c:v>
                </c:pt>
              </c:strCache>
            </c:strRef>
          </c:tx>
          <c:spPr>
            <a:solidFill>
              <a:schemeClr val="tx2">
                <a:lumMod val="20000"/>
                <a:lumOff val="80000"/>
              </a:schemeClr>
            </a:solidFill>
          </c:spPr>
          <c:invertIfNegative val="0"/>
          <c:cat>
            <c:strRef>
              <c:f>doprava!$B$76:$N$76</c:f>
              <c:strCach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strCache>
            </c:strRef>
          </c:cat>
          <c:val>
            <c:numRef>
              <c:f>doprava!$B$77:$N$77</c:f>
              <c:numCache>
                <c:formatCode>General</c:formatCode>
                <c:ptCount val="13"/>
                <c:pt idx="0">
                  <c:v>19.957000000000001</c:v>
                </c:pt>
                <c:pt idx="1">
                  <c:v>31.18</c:v>
                </c:pt>
                <c:pt idx="2">
                  <c:v>42.841999999999999</c:v>
                </c:pt>
                <c:pt idx="3">
                  <c:v>21.158000000000001</c:v>
                </c:pt>
                <c:pt idx="4">
                  <c:v>20.175000000000001</c:v>
                </c:pt>
                <c:pt idx="5">
                  <c:v>38.796999999999997</c:v>
                </c:pt>
                <c:pt idx="6">
                  <c:v>57.5</c:v>
                </c:pt>
                <c:pt idx="7">
                  <c:v>5.21</c:v>
                </c:pt>
                <c:pt idx="8">
                  <c:v>14.2</c:v>
                </c:pt>
                <c:pt idx="9">
                  <c:v>5.8</c:v>
                </c:pt>
                <c:pt idx="10">
                  <c:v>56.7</c:v>
                </c:pt>
                <c:pt idx="11">
                  <c:v>9.6</c:v>
                </c:pt>
                <c:pt idx="12">
                  <c:v>24.4</c:v>
                </c:pt>
              </c:numCache>
            </c:numRef>
          </c:val>
        </c:ser>
        <c:dLbls>
          <c:showLegendKey val="0"/>
          <c:showVal val="0"/>
          <c:showCatName val="0"/>
          <c:showSerName val="0"/>
          <c:showPercent val="0"/>
          <c:showBubbleSize val="0"/>
        </c:dLbls>
        <c:gapWidth val="150"/>
        <c:axId val="415296256"/>
        <c:axId val="415296648"/>
      </c:barChart>
      <c:catAx>
        <c:axId val="415296256"/>
        <c:scaling>
          <c:orientation val="minMax"/>
        </c:scaling>
        <c:delete val="0"/>
        <c:axPos val="b"/>
        <c:numFmt formatCode="General" sourceLinked="1"/>
        <c:majorTickMark val="out"/>
        <c:minorTickMark val="none"/>
        <c:tickLblPos val="nextTo"/>
        <c:txPr>
          <a:bodyPr rot="-5400000" vert="horz"/>
          <a:lstStyle/>
          <a:p>
            <a:pPr>
              <a:defRPr sz="800"/>
            </a:pPr>
            <a:endParaRPr lang="en-US"/>
          </a:p>
        </c:txPr>
        <c:crossAx val="415296648"/>
        <c:crosses val="autoZero"/>
        <c:auto val="1"/>
        <c:lblAlgn val="ctr"/>
        <c:lblOffset val="100"/>
        <c:noMultiLvlLbl val="0"/>
      </c:catAx>
      <c:valAx>
        <c:axId val="415296648"/>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a:lstStyle/>
          <a:p>
            <a:pPr>
              <a:defRPr sz="800"/>
            </a:pPr>
            <a:endParaRPr lang="en-US"/>
          </a:p>
        </c:txPr>
        <c:crossAx val="415296256"/>
        <c:crosses val="autoZero"/>
        <c:crossBetween val="between"/>
      </c:valAx>
    </c:plotArea>
    <c:legend>
      <c:legendPos val="r"/>
      <c:layout>
        <c:manualLayout>
          <c:xMode val="edge"/>
          <c:yMode val="edge"/>
          <c:x val="9.2317585301837257E-2"/>
          <c:y val="4.4287590133172197E-2"/>
          <c:w val="0.87686160032095994"/>
          <c:h val="7.2287826399080393E-2"/>
        </c:manualLayout>
      </c:layout>
      <c:overlay val="0"/>
      <c:txPr>
        <a:bodyPr/>
        <a:lstStyle/>
        <a:p>
          <a:pPr>
            <a:defRPr sz="900"/>
          </a:pPr>
          <a:endParaRPr lang="en-US"/>
        </a:p>
      </c:txPr>
    </c:legend>
    <c:plotVisOnly val="1"/>
    <c:dispBlanksAs val="gap"/>
    <c:showDLblsOverMax val="0"/>
  </c:chart>
  <c:spPr>
    <a:ln>
      <a:noFill/>
    </a:ln>
  </c:spPr>
  <c:txPr>
    <a:bodyPr/>
    <a:lstStyle/>
    <a:p>
      <a:pPr>
        <a:defRPr>
          <a:latin typeface="Arial Narrow" pitchFamily="34" charset="0"/>
        </a:defRPr>
      </a:pPr>
      <a:endParaRPr lang="en-US"/>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86853740597861"/>
          <c:y val="5.0925925925925923E-2"/>
          <c:w val="0.72279553981926759"/>
          <c:h val="0.5921937882764654"/>
        </c:manualLayout>
      </c:layout>
      <c:barChart>
        <c:barDir val="col"/>
        <c:grouping val="stacked"/>
        <c:varyColors val="0"/>
        <c:ser>
          <c:idx val="0"/>
          <c:order val="0"/>
          <c:tx>
            <c:strRef>
              <c:f>doprava!$E$55</c:f>
              <c:strCache>
                <c:ptCount val="1"/>
                <c:pt idx="0">
                  <c:v>Bežné výdavky (opravy, údržba, prevádzka)</c:v>
                </c:pt>
              </c:strCache>
            </c:strRef>
          </c:tx>
          <c:spPr>
            <a:solidFill>
              <a:srgbClr val="2C9ADC"/>
            </a:solidFill>
            <a:ln>
              <a:noFill/>
            </a:ln>
            <a:effectLst/>
          </c:spPr>
          <c:invertIfNegative val="0"/>
          <c:cat>
            <c:strRef>
              <c:f>doprava!$F$54:$Q$54</c:f>
              <c:strCache>
                <c:ptCount val="12"/>
                <c:pt idx="0">
                  <c:v>2009</c:v>
                </c:pt>
                <c:pt idx="1">
                  <c:v>2010</c:v>
                </c:pt>
                <c:pt idx="2">
                  <c:v>2011</c:v>
                </c:pt>
                <c:pt idx="3">
                  <c:v>2012</c:v>
                </c:pt>
                <c:pt idx="4">
                  <c:v>2013</c:v>
                </c:pt>
                <c:pt idx="5">
                  <c:v>2014</c:v>
                </c:pt>
                <c:pt idx="6">
                  <c:v>2015</c:v>
                </c:pt>
                <c:pt idx="7">
                  <c:v>2016 S</c:v>
                </c:pt>
                <c:pt idx="8">
                  <c:v>2017 S</c:v>
                </c:pt>
                <c:pt idx="9">
                  <c:v>2018 N</c:v>
                </c:pt>
                <c:pt idx="10">
                  <c:v>2019 N</c:v>
                </c:pt>
                <c:pt idx="11">
                  <c:v>2020 N</c:v>
                </c:pt>
              </c:strCache>
            </c:strRef>
          </c:cat>
          <c:val>
            <c:numRef>
              <c:f>doprava!$F$55:$Q$55</c:f>
              <c:numCache>
                <c:formatCode>#\ ##0\ _€</c:formatCode>
                <c:ptCount val="12"/>
                <c:pt idx="0">
                  <c:v>62</c:v>
                </c:pt>
                <c:pt idx="1">
                  <c:v>40</c:v>
                </c:pt>
                <c:pt idx="2">
                  <c:v>60</c:v>
                </c:pt>
                <c:pt idx="3">
                  <c:v>48</c:v>
                </c:pt>
                <c:pt idx="4">
                  <c:v>65</c:v>
                </c:pt>
                <c:pt idx="5">
                  <c:v>45</c:v>
                </c:pt>
                <c:pt idx="6">
                  <c:v>50</c:v>
                </c:pt>
                <c:pt idx="7">
                  <c:v>45.8</c:v>
                </c:pt>
                <c:pt idx="8">
                  <c:v>50</c:v>
                </c:pt>
                <c:pt idx="9">
                  <c:v>48</c:v>
                </c:pt>
                <c:pt idx="10">
                  <c:v>48</c:v>
                </c:pt>
                <c:pt idx="11" formatCode="General">
                  <c:v>48</c:v>
                </c:pt>
              </c:numCache>
            </c:numRef>
          </c:val>
        </c:ser>
        <c:ser>
          <c:idx val="1"/>
          <c:order val="1"/>
          <c:tx>
            <c:strRef>
              <c:f>doprava!$E$56</c:f>
              <c:strCache>
                <c:ptCount val="1"/>
                <c:pt idx="0">
                  <c:v>Kapitálové výdavky </c:v>
                </c:pt>
              </c:strCache>
            </c:strRef>
          </c:tx>
          <c:spPr>
            <a:solidFill>
              <a:srgbClr val="C6D9F1"/>
            </a:solidFill>
            <a:ln>
              <a:noFill/>
            </a:ln>
            <a:effectLst/>
          </c:spPr>
          <c:invertIfNegative val="0"/>
          <c:cat>
            <c:strRef>
              <c:f>doprava!$F$54:$Q$54</c:f>
              <c:strCache>
                <c:ptCount val="12"/>
                <c:pt idx="0">
                  <c:v>2009</c:v>
                </c:pt>
                <c:pt idx="1">
                  <c:v>2010</c:v>
                </c:pt>
                <c:pt idx="2">
                  <c:v>2011</c:v>
                </c:pt>
                <c:pt idx="3">
                  <c:v>2012</c:v>
                </c:pt>
                <c:pt idx="4">
                  <c:v>2013</c:v>
                </c:pt>
                <c:pt idx="5">
                  <c:v>2014</c:v>
                </c:pt>
                <c:pt idx="6">
                  <c:v>2015</c:v>
                </c:pt>
                <c:pt idx="7">
                  <c:v>2016 S</c:v>
                </c:pt>
                <c:pt idx="8">
                  <c:v>2017 S</c:v>
                </c:pt>
                <c:pt idx="9">
                  <c:v>2018 N</c:v>
                </c:pt>
                <c:pt idx="10">
                  <c:v>2019 N</c:v>
                </c:pt>
                <c:pt idx="11">
                  <c:v>2020 N</c:v>
                </c:pt>
              </c:strCache>
            </c:strRef>
          </c:cat>
          <c:val>
            <c:numRef>
              <c:f>doprava!$F$56:$Q$56</c:f>
              <c:numCache>
                <c:formatCode>#\ ##0\ _€</c:formatCode>
                <c:ptCount val="12"/>
                <c:pt idx="0">
                  <c:v>83</c:v>
                </c:pt>
                <c:pt idx="1">
                  <c:v>59</c:v>
                </c:pt>
                <c:pt idx="2">
                  <c:v>96</c:v>
                </c:pt>
                <c:pt idx="3">
                  <c:v>122</c:v>
                </c:pt>
                <c:pt idx="4">
                  <c:v>75</c:v>
                </c:pt>
                <c:pt idx="5">
                  <c:v>89</c:v>
                </c:pt>
                <c:pt idx="6">
                  <c:v>306</c:v>
                </c:pt>
                <c:pt idx="7">
                  <c:v>91.96</c:v>
                </c:pt>
                <c:pt idx="8">
                  <c:v>228</c:v>
                </c:pt>
                <c:pt idx="9">
                  <c:v>17</c:v>
                </c:pt>
                <c:pt idx="10">
                  <c:v>47</c:v>
                </c:pt>
                <c:pt idx="11">
                  <c:v>47</c:v>
                </c:pt>
              </c:numCache>
            </c:numRef>
          </c:val>
        </c:ser>
        <c:dLbls>
          <c:showLegendKey val="0"/>
          <c:showVal val="0"/>
          <c:showCatName val="0"/>
          <c:showSerName val="0"/>
          <c:showPercent val="0"/>
          <c:showBubbleSize val="0"/>
        </c:dLbls>
        <c:gapWidth val="123"/>
        <c:overlap val="100"/>
        <c:axId val="415297432"/>
        <c:axId val="415297824"/>
      </c:barChart>
      <c:lineChart>
        <c:grouping val="standard"/>
        <c:varyColors val="0"/>
        <c:ser>
          <c:idx val="2"/>
          <c:order val="2"/>
          <c:tx>
            <c:strRef>
              <c:f>doprava!$E$57</c:f>
              <c:strCache>
                <c:ptCount val="1"/>
                <c:pt idx="0">
                  <c:v>Cesty v nevyhovujúcom a havarijnom stave (pravá os)</c:v>
                </c:pt>
              </c:strCache>
            </c:strRef>
          </c:tx>
          <c:spPr>
            <a:ln w="19050" cap="rnd">
              <a:solidFill>
                <a:schemeClr val="tx1"/>
              </a:solidFill>
              <a:prstDash val="sysDash"/>
              <a:round/>
            </a:ln>
            <a:effectLst/>
          </c:spPr>
          <c:marker>
            <c:symbol val="none"/>
          </c:marker>
          <c:cat>
            <c:strRef>
              <c:f>doprava!$F$54:$Q$54</c:f>
              <c:strCache>
                <c:ptCount val="12"/>
                <c:pt idx="0">
                  <c:v>2009</c:v>
                </c:pt>
                <c:pt idx="1">
                  <c:v>2010</c:v>
                </c:pt>
                <c:pt idx="2">
                  <c:v>2011</c:v>
                </c:pt>
                <c:pt idx="3">
                  <c:v>2012</c:v>
                </c:pt>
                <c:pt idx="4">
                  <c:v>2013</c:v>
                </c:pt>
                <c:pt idx="5">
                  <c:v>2014</c:v>
                </c:pt>
                <c:pt idx="6">
                  <c:v>2015</c:v>
                </c:pt>
                <c:pt idx="7">
                  <c:v>2016 S</c:v>
                </c:pt>
                <c:pt idx="8">
                  <c:v>2017 S</c:v>
                </c:pt>
                <c:pt idx="9">
                  <c:v>2018 N</c:v>
                </c:pt>
                <c:pt idx="10">
                  <c:v>2019 N</c:v>
                </c:pt>
                <c:pt idx="11">
                  <c:v>2020 N</c:v>
                </c:pt>
              </c:strCache>
            </c:strRef>
          </c:cat>
          <c:val>
            <c:numRef>
              <c:f>doprava!$F$57:$Q$57</c:f>
              <c:numCache>
                <c:formatCode>0.00</c:formatCode>
                <c:ptCount val="12"/>
                <c:pt idx="0">
                  <c:v>0.37799999999999995</c:v>
                </c:pt>
                <c:pt idx="1">
                  <c:v>0.41399999999999998</c:v>
                </c:pt>
                <c:pt idx="2">
                  <c:v>0.52700000000000002</c:v>
                </c:pt>
                <c:pt idx="3">
                  <c:v>0.53400000000000003</c:v>
                </c:pt>
                <c:pt idx="4">
                  <c:v>0.47100000000000009</c:v>
                </c:pt>
                <c:pt idx="5">
                  <c:v>0.41100000000000003</c:v>
                </c:pt>
                <c:pt idx="6">
                  <c:v>0.44799999999999995</c:v>
                </c:pt>
                <c:pt idx="7">
                  <c:v>0.377</c:v>
                </c:pt>
              </c:numCache>
            </c:numRef>
          </c:val>
          <c:smooth val="0"/>
        </c:ser>
        <c:dLbls>
          <c:showLegendKey val="0"/>
          <c:showVal val="0"/>
          <c:showCatName val="0"/>
          <c:showSerName val="0"/>
          <c:showPercent val="0"/>
          <c:showBubbleSize val="0"/>
        </c:dLbls>
        <c:marker val="1"/>
        <c:smooth val="0"/>
        <c:axId val="416309544"/>
        <c:axId val="415298216"/>
      </c:lineChart>
      <c:catAx>
        <c:axId val="415297432"/>
        <c:scaling>
          <c:orientation val="minMax"/>
        </c:scaling>
        <c:delete val="0"/>
        <c:axPos val="b"/>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415297824"/>
        <c:crosses val="autoZero"/>
        <c:auto val="1"/>
        <c:lblAlgn val="ctr"/>
        <c:lblOffset val="100"/>
        <c:noMultiLvlLbl val="0"/>
      </c:catAx>
      <c:valAx>
        <c:axId val="415297824"/>
        <c:scaling>
          <c:orientation val="minMax"/>
        </c:scaling>
        <c:delete val="0"/>
        <c:axPos val="l"/>
        <c:majorGridlines>
          <c:spPr>
            <a:ln w="9525" cap="flat" cmpd="sng" algn="ctr">
              <a:solidFill>
                <a:schemeClr val="tx1">
                  <a:lumMod val="15000"/>
                  <a:lumOff val="85000"/>
                </a:schemeClr>
              </a:solidFill>
              <a:prstDash val="sysDash"/>
              <a:round/>
            </a:ln>
            <a:effectLst/>
          </c:spPr>
        </c:majorGridlines>
        <c:numFmt formatCode="#\ ##0\ _€"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415297432"/>
        <c:crosses val="autoZero"/>
        <c:crossBetween val="between"/>
      </c:valAx>
      <c:valAx>
        <c:axId val="415298216"/>
        <c:scaling>
          <c:orientation val="minMax"/>
        </c:scaling>
        <c:delete val="0"/>
        <c:axPos val="r"/>
        <c:numFmt formatCode="0%" sourceLinked="0"/>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crossAx val="416309544"/>
        <c:crosses val="max"/>
        <c:crossBetween val="between"/>
      </c:valAx>
      <c:catAx>
        <c:axId val="416309544"/>
        <c:scaling>
          <c:orientation val="minMax"/>
        </c:scaling>
        <c:delete val="1"/>
        <c:axPos val="b"/>
        <c:numFmt formatCode="General" sourceLinked="1"/>
        <c:majorTickMark val="out"/>
        <c:minorTickMark val="none"/>
        <c:tickLblPos val="nextTo"/>
        <c:crossAx val="415298216"/>
        <c:crosses val="autoZero"/>
        <c:auto val="1"/>
        <c:lblAlgn val="ctr"/>
        <c:lblOffset val="100"/>
        <c:noMultiLvlLbl val="0"/>
      </c:catAx>
      <c:spPr>
        <a:noFill/>
        <a:ln>
          <a:noFill/>
        </a:ln>
        <a:effectLst/>
      </c:spPr>
    </c:plotArea>
    <c:legend>
      <c:legendPos val="b"/>
      <c:layout>
        <c:manualLayout>
          <c:xMode val="edge"/>
          <c:yMode val="edge"/>
          <c:x val="3.0055488030439143E-2"/>
          <c:y val="0.78812809857101196"/>
          <c:w val="0.93093977346791379"/>
          <c:h val="0.18409412365121028"/>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en-US"/>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8.4437714516454654E-2"/>
          <c:w val="0.84887139107611553"/>
          <c:h val="0.80919284573964334"/>
        </c:manualLayout>
      </c:layout>
      <c:lineChart>
        <c:grouping val="standard"/>
        <c:varyColors val="0"/>
        <c:ser>
          <c:idx val="3"/>
          <c:order val="0"/>
          <c:tx>
            <c:strRef>
              <c:f>'48 enviro'!$J$5</c:f>
              <c:strCache>
                <c:ptCount val="1"/>
                <c:pt idx="0">
                  <c:v>EÚ (28)</c:v>
                </c:pt>
              </c:strCache>
            </c:strRef>
          </c:tx>
          <c:spPr>
            <a:ln w="19050">
              <a:solidFill>
                <a:srgbClr val="2C9ADC"/>
              </a:solidFill>
              <a:prstDash val="solid"/>
            </a:ln>
          </c:spPr>
          <c:marker>
            <c:symbol val="none"/>
          </c:marker>
          <c:cat>
            <c:strRef>
              <c:f>'48 enviro'!$K$4:$U$4</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'48 enviro'!$K$5:$U$5</c:f>
              <c:numCache>
                <c:formatCode>0%</c:formatCode>
                <c:ptCount val="10"/>
                <c:pt idx="0">
                  <c:v>0.35</c:v>
                </c:pt>
                <c:pt idx="1">
                  <c:v>0.36499999999999999</c:v>
                </c:pt>
                <c:pt idx="2">
                  <c:v>0.375</c:v>
                </c:pt>
                <c:pt idx="3">
                  <c:v>0.38299999999999995</c:v>
                </c:pt>
                <c:pt idx="4">
                  <c:v>0.39600000000000002</c:v>
                </c:pt>
                <c:pt idx="5">
                  <c:v>0.41499999999999998</c:v>
                </c:pt>
                <c:pt idx="6">
                  <c:v>0.42200000000000004</c:v>
                </c:pt>
                <c:pt idx="7">
                  <c:v>0.441</c:v>
                </c:pt>
                <c:pt idx="8">
                  <c:v>0.45</c:v>
                </c:pt>
                <c:pt idx="9">
                  <c:v>0.46</c:v>
                </c:pt>
              </c:numCache>
            </c:numRef>
          </c:val>
          <c:smooth val="0"/>
        </c:ser>
        <c:ser>
          <c:idx val="5"/>
          <c:order val="1"/>
          <c:tx>
            <c:strRef>
              <c:f>'48 enviro'!$J$6</c:f>
              <c:strCache>
                <c:ptCount val="1"/>
                <c:pt idx="0">
                  <c:v>Slovensko</c:v>
                </c:pt>
              </c:strCache>
            </c:strRef>
          </c:tx>
          <c:spPr>
            <a:ln w="19050">
              <a:solidFill>
                <a:srgbClr val="AAD3F2"/>
              </a:solidFill>
              <a:prstDash val="solid"/>
            </a:ln>
          </c:spPr>
          <c:marker>
            <c:symbol val="none"/>
          </c:marker>
          <c:cat>
            <c:strRef>
              <c:f>'48 enviro'!$K$4:$U$4</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'48 enviro'!$K$6:$U$6</c:f>
              <c:numCache>
                <c:formatCode>0%</c:formatCode>
                <c:ptCount val="10"/>
                <c:pt idx="0">
                  <c:v>6.6000000000000003E-2</c:v>
                </c:pt>
                <c:pt idx="1">
                  <c:v>7.400000000000001E-2</c:v>
                </c:pt>
                <c:pt idx="2">
                  <c:v>8.199999999999999E-2</c:v>
                </c:pt>
                <c:pt idx="3">
                  <c:v>9.0999999999999998E-2</c:v>
                </c:pt>
                <c:pt idx="4">
                  <c:v>0.10300000000000001</c:v>
                </c:pt>
                <c:pt idx="5">
                  <c:v>0.13300000000000001</c:v>
                </c:pt>
                <c:pt idx="6">
                  <c:v>0.10800000000000001</c:v>
                </c:pt>
                <c:pt idx="7">
                  <c:v>0.10300000000000001</c:v>
                </c:pt>
                <c:pt idx="8">
                  <c:v>0.14899999999999999</c:v>
                </c:pt>
                <c:pt idx="9">
                  <c:v>0.23</c:v>
                </c:pt>
              </c:numCache>
            </c:numRef>
          </c:val>
          <c:smooth val="0"/>
        </c:ser>
        <c:ser>
          <c:idx val="0"/>
          <c:order val="2"/>
          <c:tx>
            <c:strRef>
              <c:f>'48 enviro'!$J$7</c:f>
              <c:strCache>
                <c:ptCount val="1"/>
                <c:pt idx="0">
                  <c:v>V3</c:v>
                </c:pt>
              </c:strCache>
            </c:strRef>
          </c:tx>
          <c:spPr>
            <a:ln w="19050">
              <a:solidFill>
                <a:srgbClr val="0070C0"/>
              </a:solidFill>
              <a:prstDash val="dash"/>
            </a:ln>
          </c:spPr>
          <c:marker>
            <c:symbol val="none"/>
          </c:marker>
          <c:dPt>
            <c:idx val="2"/>
            <c:bubble3D val="0"/>
          </c:dPt>
          <c:cat>
            <c:strRef>
              <c:f>'48 enviro'!$K$4:$U$4</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'48 enviro'!$K$7:$U$7</c:f>
              <c:numCache>
                <c:formatCode>0%</c:formatCode>
                <c:ptCount val="10"/>
                <c:pt idx="0">
                  <c:v>9.9666666666666667E-2</c:v>
                </c:pt>
                <c:pt idx="1">
                  <c:v>0.12033333333333333</c:v>
                </c:pt>
                <c:pt idx="2">
                  <c:v>0.15066666666666664</c:v>
                </c:pt>
                <c:pt idx="3">
                  <c:v>0.18933333333333333</c:v>
                </c:pt>
                <c:pt idx="4">
                  <c:v>0.18833333333333332</c:v>
                </c:pt>
                <c:pt idx="5">
                  <c:v>0.22766666666666666</c:v>
                </c:pt>
                <c:pt idx="6">
                  <c:v>0.24933333333333332</c:v>
                </c:pt>
                <c:pt idx="7">
                  <c:v>0.29399999999999993</c:v>
                </c:pt>
                <c:pt idx="8">
                  <c:v>0.34800000000000003</c:v>
                </c:pt>
                <c:pt idx="9">
                  <c:v>0.37</c:v>
                </c:pt>
              </c:numCache>
            </c:numRef>
          </c:val>
          <c:smooth val="0"/>
        </c:ser>
        <c:ser>
          <c:idx val="1"/>
          <c:order val="3"/>
          <c:tx>
            <c:strRef>
              <c:f>'48 enviro'!$J$8</c:f>
              <c:strCache>
                <c:ptCount val="1"/>
                <c:pt idx="0">
                  <c:v>Cieľ 2020</c:v>
                </c:pt>
              </c:strCache>
            </c:strRef>
          </c:tx>
          <c:spPr>
            <a:ln w="19050">
              <a:solidFill>
                <a:sysClr val="windowText" lastClr="000000"/>
              </a:solidFill>
            </a:ln>
          </c:spPr>
          <c:marker>
            <c:symbol val="none"/>
          </c:marker>
          <c:cat>
            <c:strRef>
              <c:f>'48 enviro'!$K$4:$U$4</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'48 enviro'!$K$8:$U$8</c:f>
              <c:numCache>
                <c:formatCode>0%</c:formatCode>
                <c:ptCount val="10"/>
                <c:pt idx="0">
                  <c:v>0.5</c:v>
                </c:pt>
                <c:pt idx="1">
                  <c:v>0.5</c:v>
                </c:pt>
                <c:pt idx="2">
                  <c:v>0.5</c:v>
                </c:pt>
                <c:pt idx="3">
                  <c:v>0.5</c:v>
                </c:pt>
                <c:pt idx="4">
                  <c:v>0.5</c:v>
                </c:pt>
                <c:pt idx="5">
                  <c:v>0.5</c:v>
                </c:pt>
                <c:pt idx="6">
                  <c:v>0.5</c:v>
                </c:pt>
                <c:pt idx="7">
                  <c:v>0.5</c:v>
                </c:pt>
                <c:pt idx="8">
                  <c:v>0.5</c:v>
                </c:pt>
                <c:pt idx="9">
                  <c:v>0.5</c:v>
                </c:pt>
              </c:numCache>
            </c:numRef>
          </c:val>
          <c:smooth val="0"/>
        </c:ser>
        <c:dLbls>
          <c:showLegendKey val="0"/>
          <c:showVal val="0"/>
          <c:showCatName val="0"/>
          <c:showSerName val="0"/>
          <c:showPercent val="0"/>
          <c:showBubbleSize val="0"/>
        </c:dLbls>
        <c:smooth val="0"/>
        <c:axId val="416310328"/>
        <c:axId val="416310720"/>
      </c:lineChart>
      <c:catAx>
        <c:axId val="416310328"/>
        <c:scaling>
          <c:orientation val="minMax"/>
        </c:scaling>
        <c:delete val="0"/>
        <c:axPos val="b"/>
        <c:numFmt formatCode="General" sourceLinked="0"/>
        <c:majorTickMark val="out"/>
        <c:minorTickMark val="none"/>
        <c:tickLblPos val="low"/>
        <c:txPr>
          <a:bodyPr rot="0" vert="horz"/>
          <a:lstStyle/>
          <a:p>
            <a:pPr>
              <a:defRPr/>
            </a:pPr>
            <a:endParaRPr lang="en-US"/>
          </a:p>
        </c:txPr>
        <c:crossAx val="416310720"/>
        <c:crosses val="autoZero"/>
        <c:auto val="1"/>
        <c:lblAlgn val="ctr"/>
        <c:lblOffset val="100"/>
        <c:noMultiLvlLbl val="0"/>
      </c:catAx>
      <c:valAx>
        <c:axId val="416310720"/>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a:pPr>
            <a:endParaRPr lang="en-US"/>
          </a:p>
        </c:txPr>
        <c:crossAx val="416310328"/>
        <c:crosses val="autoZero"/>
        <c:crossBetween val="between"/>
      </c:valAx>
    </c:plotArea>
    <c:legend>
      <c:legendPos val="l"/>
      <c:layout>
        <c:manualLayout>
          <c:xMode val="edge"/>
          <c:yMode val="edge"/>
          <c:x val="0.20056562697104721"/>
          <c:y val="4.01450334172146E-2"/>
          <c:w val="0.74390385412349769"/>
          <c:h val="0.16041717007596273"/>
        </c:manualLayout>
      </c:layout>
      <c:overlay val="1"/>
    </c:legend>
    <c:plotVisOnly val="1"/>
    <c:dispBlanksAs val="gap"/>
    <c:showDLblsOverMax val="0"/>
  </c:chart>
  <c:spPr>
    <a:ln>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en-US"/>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347820158843775E-2"/>
          <c:y val="5.598950131233596E-2"/>
          <c:w val="0.92419640726727337"/>
          <c:h val="0.83059649122807022"/>
        </c:manualLayout>
      </c:layout>
      <c:barChart>
        <c:barDir val="col"/>
        <c:grouping val="clustered"/>
        <c:varyColors val="0"/>
        <c:ser>
          <c:idx val="0"/>
          <c:order val="0"/>
          <c:spPr>
            <a:solidFill>
              <a:srgbClr val="2C9ADC"/>
            </a:solidFill>
          </c:spPr>
          <c:invertIfNegative val="0"/>
          <c:dPt>
            <c:idx val="1"/>
            <c:invertIfNegative val="0"/>
            <c:bubble3D val="0"/>
            <c:spPr>
              <a:solidFill>
                <a:sysClr val="windowText" lastClr="000000">
                  <a:lumMod val="65000"/>
                  <a:lumOff val="35000"/>
                </a:sysClr>
              </a:solidFill>
            </c:spPr>
          </c:dPt>
          <c:dPt>
            <c:idx val="8"/>
            <c:invertIfNegative val="0"/>
            <c:bubble3D val="0"/>
          </c:dPt>
          <c:cat>
            <c:strRef>
              <c:f>'48 enviro'!$A$9:$A$35</c:f>
              <c:strCache>
                <c:ptCount val="27"/>
                <c:pt idx="0">
                  <c:v>PL</c:v>
                </c:pt>
                <c:pt idx="1">
                  <c:v>SK</c:v>
                </c:pt>
                <c:pt idx="2">
                  <c:v>HU</c:v>
                </c:pt>
                <c:pt idx="3">
                  <c:v>CZ</c:v>
                </c:pt>
                <c:pt idx="4">
                  <c:v>IT</c:v>
                </c:pt>
                <c:pt idx="5">
                  <c:v>HR</c:v>
                </c:pt>
                <c:pt idx="6">
                  <c:v>RO</c:v>
                </c:pt>
                <c:pt idx="7">
                  <c:v>EL</c:v>
                </c:pt>
                <c:pt idx="8">
                  <c:v>SI</c:v>
                </c:pt>
                <c:pt idx="9">
                  <c:v>AT</c:v>
                </c:pt>
                <c:pt idx="10">
                  <c:v>BG</c:v>
                </c:pt>
                <c:pt idx="11">
                  <c:v>NL</c:v>
                </c:pt>
                <c:pt idx="12">
                  <c:v>BE</c:v>
                </c:pt>
                <c:pt idx="13">
                  <c:v>MT</c:v>
                </c:pt>
                <c:pt idx="14">
                  <c:v>DE</c:v>
                </c:pt>
                <c:pt idx="15">
                  <c:v>LT</c:v>
                </c:pt>
                <c:pt idx="16">
                  <c:v>FR</c:v>
                </c:pt>
                <c:pt idx="17">
                  <c:v>ES</c:v>
                </c:pt>
                <c:pt idx="18">
                  <c:v>LU</c:v>
                </c:pt>
                <c:pt idx="19">
                  <c:v>UK</c:v>
                </c:pt>
                <c:pt idx="20">
                  <c:v>PT</c:v>
                </c:pt>
                <c:pt idx="21">
                  <c:v>DK</c:v>
                </c:pt>
                <c:pt idx="22">
                  <c:v>LV</c:v>
                </c:pt>
                <c:pt idx="23">
                  <c:v>SW</c:v>
                </c:pt>
                <c:pt idx="24">
                  <c:v>EE</c:v>
                </c:pt>
                <c:pt idx="25">
                  <c:v>IE</c:v>
                </c:pt>
                <c:pt idx="26">
                  <c:v>FI</c:v>
                </c:pt>
              </c:strCache>
            </c:strRef>
          </c:cat>
          <c:val>
            <c:numRef>
              <c:f>'48 enviro'!$B$9:$B$35</c:f>
              <c:numCache>
                <c:formatCode>0.00</c:formatCode>
                <c:ptCount val="27"/>
                <c:pt idx="0">
                  <c:v>23.447800000000001</c:v>
                </c:pt>
                <c:pt idx="1">
                  <c:v>22.53633</c:v>
                </c:pt>
                <c:pt idx="2">
                  <c:v>22.444800000000001</c:v>
                </c:pt>
                <c:pt idx="3">
                  <c:v>20.25451</c:v>
                </c:pt>
                <c:pt idx="4">
                  <c:v>19.991630000000001</c:v>
                </c:pt>
                <c:pt idx="5" formatCode="#\ ##0.0_ ;\-#\ ##0.0\ ">
                  <c:v>18.23451</c:v>
                </c:pt>
                <c:pt idx="6" formatCode="General">
                  <c:v>18.2</c:v>
                </c:pt>
                <c:pt idx="7">
                  <c:v>17.681059999999999</c:v>
                </c:pt>
                <c:pt idx="8">
                  <c:v>17.113199999999999</c:v>
                </c:pt>
                <c:pt idx="9">
                  <c:v>15.69556</c:v>
                </c:pt>
                <c:pt idx="10" formatCode="General">
                  <c:v>15.6</c:v>
                </c:pt>
                <c:pt idx="11">
                  <c:v>15.13664</c:v>
                </c:pt>
                <c:pt idx="12">
                  <c:v>14.9018</c:v>
                </c:pt>
                <c:pt idx="13" formatCode="General">
                  <c:v>14.4</c:v>
                </c:pt>
                <c:pt idx="14">
                  <c:v>14.25652</c:v>
                </c:pt>
                <c:pt idx="15" formatCode="General">
                  <c:v>13.5</c:v>
                </c:pt>
                <c:pt idx="16">
                  <c:v>12.65321</c:v>
                </c:pt>
                <c:pt idx="17">
                  <c:v>12.290889999999999</c:v>
                </c:pt>
                <c:pt idx="18">
                  <c:v>11.92022</c:v>
                </c:pt>
                <c:pt idx="19">
                  <c:v>10.68308</c:v>
                </c:pt>
                <c:pt idx="20">
                  <c:v>10.63411</c:v>
                </c:pt>
                <c:pt idx="21">
                  <c:v>10.624890000000001</c:v>
                </c:pt>
                <c:pt idx="22">
                  <c:v>9.9936860000000003</c:v>
                </c:pt>
                <c:pt idx="23">
                  <c:v>6.9794780000000003</c:v>
                </c:pt>
                <c:pt idx="24">
                  <c:v>6.9377880000000003</c:v>
                </c:pt>
                <c:pt idx="25">
                  <c:v>6.6518230000000003</c:v>
                </c:pt>
                <c:pt idx="26">
                  <c:v>6.023695</c:v>
                </c:pt>
              </c:numCache>
            </c:numRef>
          </c:val>
          <c:extLst/>
        </c:ser>
        <c:dLbls>
          <c:showLegendKey val="0"/>
          <c:showVal val="0"/>
          <c:showCatName val="0"/>
          <c:showSerName val="0"/>
          <c:showPercent val="0"/>
          <c:showBubbleSize val="0"/>
        </c:dLbls>
        <c:gapWidth val="155"/>
        <c:axId val="416311504"/>
        <c:axId val="416311896"/>
      </c:barChart>
      <c:catAx>
        <c:axId val="416311504"/>
        <c:scaling>
          <c:orientation val="minMax"/>
        </c:scaling>
        <c:delete val="0"/>
        <c:axPos val="b"/>
        <c:numFmt formatCode="General" sourceLinked="1"/>
        <c:majorTickMark val="out"/>
        <c:minorTickMark val="none"/>
        <c:tickLblPos val="nextTo"/>
        <c:txPr>
          <a:bodyPr rot="5400000" vert="horz"/>
          <a:lstStyle/>
          <a:p>
            <a:pPr>
              <a:defRPr sz="680"/>
            </a:pPr>
            <a:endParaRPr lang="en-US"/>
          </a:p>
        </c:txPr>
        <c:crossAx val="416311896"/>
        <c:crosses val="autoZero"/>
        <c:auto val="1"/>
        <c:lblAlgn val="ctr"/>
        <c:lblOffset val="100"/>
        <c:noMultiLvlLbl val="0"/>
      </c:catAx>
      <c:valAx>
        <c:axId val="416311896"/>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crossAx val="416311504"/>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645852152656476E-2"/>
          <c:y val="5.5989236111111111E-2"/>
          <c:w val="0.93235307419149838"/>
          <c:h val="0.8343772680588839"/>
        </c:manualLayout>
      </c:layout>
      <c:barChart>
        <c:barDir val="col"/>
        <c:grouping val="clustered"/>
        <c:varyColors val="0"/>
        <c:ser>
          <c:idx val="0"/>
          <c:order val="0"/>
          <c:tx>
            <c:strRef>
              <c:f>'5 politika súdržnosti'!$F$2</c:f>
              <c:strCache>
                <c:ptCount val="1"/>
                <c:pt idx="0">
                  <c:v>2008</c:v>
                </c:pt>
              </c:strCache>
            </c:strRef>
          </c:tx>
          <c:spPr>
            <a:solidFill>
              <a:sysClr val="windowText" lastClr="000000"/>
            </a:solidFill>
          </c:spPr>
          <c:invertIfNegative val="0"/>
          <c:cat>
            <c:strRef>
              <c:f>'5 politika súdržnosti'!$A$4:$A$14</c:f>
              <c:strCache>
                <c:ptCount val="11"/>
                <c:pt idx="0">
                  <c:v>OPV</c:v>
                </c:pt>
                <c:pt idx="1">
                  <c:v>OPZaSI</c:v>
                </c:pt>
                <c:pt idx="2">
                  <c:v>OPIS</c:v>
                </c:pt>
                <c:pt idx="3">
                  <c:v>OPŽP</c:v>
                </c:pt>
                <c:pt idx="4">
                  <c:v>ROP</c:v>
                </c:pt>
                <c:pt idx="5">
                  <c:v>OPD</c:v>
                </c:pt>
                <c:pt idx="6">
                  <c:v>OPZ</c:v>
                </c:pt>
                <c:pt idx="7">
                  <c:v>OPKaHR</c:v>
                </c:pt>
                <c:pt idx="8">
                  <c:v>OPTP</c:v>
                </c:pt>
                <c:pt idx="9">
                  <c:v>OPBK</c:v>
                </c:pt>
                <c:pt idx="10">
                  <c:v>OPVaV</c:v>
                </c:pt>
              </c:strCache>
            </c:strRef>
          </c:cat>
          <c:val>
            <c:numRef>
              <c:f>'5 politika súdržnosti'!$F$4:$F$13</c:f>
              <c:numCache>
                <c:formatCode>#,##0</c:formatCode>
                <c:ptCount val="10"/>
                <c:pt idx="0">
                  <c:v>771706.71</c:v>
                </c:pt>
                <c:pt idx="1">
                  <c:v>13473169.25</c:v>
                </c:pt>
                <c:pt idx="2">
                  <c:v>1241562.29</c:v>
                </c:pt>
                <c:pt idx="3">
                  <c:v>2050146.5500000003</c:v>
                </c:pt>
                <c:pt idx="4">
                  <c:v>4040629.8</c:v>
                </c:pt>
                <c:pt idx="5">
                  <c:v>220565.04</c:v>
                </c:pt>
                <c:pt idx="6">
                  <c:v>708845.42</c:v>
                </c:pt>
                <c:pt idx="7">
                  <c:v>351596.31</c:v>
                </c:pt>
                <c:pt idx="8">
                  <c:v>4124969.2051938623</c:v>
                </c:pt>
                <c:pt idx="9">
                  <c:v>249688.63</c:v>
                </c:pt>
              </c:numCache>
            </c:numRef>
          </c:val>
        </c:ser>
        <c:ser>
          <c:idx val="2"/>
          <c:order val="1"/>
          <c:tx>
            <c:strRef>
              <c:f>'5 politika súdržnosti'!$G$2</c:f>
              <c:strCache>
                <c:ptCount val="1"/>
                <c:pt idx="0">
                  <c:v>2009</c:v>
                </c:pt>
              </c:strCache>
            </c:strRef>
          </c:tx>
          <c:spPr>
            <a:solidFill>
              <a:schemeClr val="tx2">
                <a:lumMod val="20000"/>
                <a:lumOff val="80000"/>
              </a:schemeClr>
            </a:solidFill>
            <a:ln>
              <a:solidFill>
                <a:sysClr val="windowText" lastClr="000000"/>
              </a:solidFill>
            </a:ln>
          </c:spPr>
          <c:invertIfNegative val="0"/>
          <c:cat>
            <c:strRef>
              <c:f>'5 politika súdržnosti'!$A$4:$A$14</c:f>
              <c:strCache>
                <c:ptCount val="11"/>
                <c:pt idx="0">
                  <c:v>OPV</c:v>
                </c:pt>
                <c:pt idx="1">
                  <c:v>OPZaSI</c:v>
                </c:pt>
                <c:pt idx="2">
                  <c:v>OPIS</c:v>
                </c:pt>
                <c:pt idx="3">
                  <c:v>OPŽP</c:v>
                </c:pt>
                <c:pt idx="4">
                  <c:v>ROP</c:v>
                </c:pt>
                <c:pt idx="5">
                  <c:v>OPD</c:v>
                </c:pt>
                <c:pt idx="6">
                  <c:v>OPZ</c:v>
                </c:pt>
                <c:pt idx="7">
                  <c:v>OPKaHR</c:v>
                </c:pt>
                <c:pt idx="8">
                  <c:v>OPTP</c:v>
                </c:pt>
                <c:pt idx="9">
                  <c:v>OPBK</c:v>
                </c:pt>
                <c:pt idx="10">
                  <c:v>OPVaV</c:v>
                </c:pt>
              </c:strCache>
            </c:strRef>
          </c:cat>
          <c:val>
            <c:numRef>
              <c:f>'5 politika súdržnosti'!$G$4:$G$14</c:f>
              <c:numCache>
                <c:formatCode>#,##0</c:formatCode>
                <c:ptCount val="11"/>
                <c:pt idx="0">
                  <c:v>4448888.8499999996</c:v>
                </c:pt>
                <c:pt idx="1">
                  <c:v>61889524.279999994</c:v>
                </c:pt>
                <c:pt idx="2">
                  <c:v>2715058.9000000004</c:v>
                </c:pt>
                <c:pt idx="3">
                  <c:v>30407852.610000003</c:v>
                </c:pt>
                <c:pt idx="4">
                  <c:v>87489321.859999999</c:v>
                </c:pt>
                <c:pt idx="5">
                  <c:v>202949465.92999998</c:v>
                </c:pt>
                <c:pt idx="6">
                  <c:v>11824218.93</c:v>
                </c:pt>
                <c:pt idx="7">
                  <c:v>42523335.75</c:v>
                </c:pt>
                <c:pt idx="8">
                  <c:v>10220254.15</c:v>
                </c:pt>
                <c:pt idx="9">
                  <c:v>4605508.28</c:v>
                </c:pt>
                <c:pt idx="10">
                  <c:v>32768601.629999999</c:v>
                </c:pt>
              </c:numCache>
            </c:numRef>
          </c:val>
        </c:ser>
        <c:ser>
          <c:idx val="1"/>
          <c:order val="2"/>
          <c:tx>
            <c:strRef>
              <c:f>'5 politika súdržnosti'!$H$2</c:f>
              <c:strCache>
                <c:ptCount val="1"/>
                <c:pt idx="0">
                  <c:v>2010</c:v>
                </c:pt>
              </c:strCache>
            </c:strRef>
          </c:tx>
          <c:spPr>
            <a:solidFill>
              <a:srgbClr val="002060"/>
            </a:solidFill>
            <a:ln>
              <a:solidFill>
                <a:sysClr val="windowText" lastClr="000000"/>
              </a:solidFill>
            </a:ln>
          </c:spPr>
          <c:invertIfNegative val="0"/>
          <c:cat>
            <c:strRef>
              <c:f>'5 politika súdržnosti'!$A$4:$A$14</c:f>
              <c:strCache>
                <c:ptCount val="11"/>
                <c:pt idx="0">
                  <c:v>OPV</c:v>
                </c:pt>
                <c:pt idx="1">
                  <c:v>OPZaSI</c:v>
                </c:pt>
                <c:pt idx="2">
                  <c:v>OPIS</c:v>
                </c:pt>
                <c:pt idx="3">
                  <c:v>OPŽP</c:v>
                </c:pt>
                <c:pt idx="4">
                  <c:v>ROP</c:v>
                </c:pt>
                <c:pt idx="5">
                  <c:v>OPD</c:v>
                </c:pt>
                <c:pt idx="6">
                  <c:v>OPZ</c:v>
                </c:pt>
                <c:pt idx="7">
                  <c:v>OPKaHR</c:v>
                </c:pt>
                <c:pt idx="8">
                  <c:v>OPTP</c:v>
                </c:pt>
                <c:pt idx="9">
                  <c:v>OPBK</c:v>
                </c:pt>
                <c:pt idx="10">
                  <c:v>OPVaV</c:v>
                </c:pt>
              </c:strCache>
            </c:strRef>
          </c:cat>
          <c:val>
            <c:numRef>
              <c:f>'5 politika súdržnosti'!$H$4:$H$14</c:f>
              <c:numCache>
                <c:formatCode>#,##0</c:formatCode>
                <c:ptCount val="11"/>
                <c:pt idx="0">
                  <c:v>44892827.080000006</c:v>
                </c:pt>
                <c:pt idx="1">
                  <c:v>87004421.979999989</c:v>
                </c:pt>
                <c:pt idx="2">
                  <c:v>21906988.439999998</c:v>
                </c:pt>
                <c:pt idx="3">
                  <c:v>82383111.399999991</c:v>
                </c:pt>
                <c:pt idx="4">
                  <c:v>212222198.38</c:v>
                </c:pt>
                <c:pt idx="5">
                  <c:v>337295443.66000003</c:v>
                </c:pt>
                <c:pt idx="6">
                  <c:v>35804244.759999998</c:v>
                </c:pt>
                <c:pt idx="7">
                  <c:v>94694063.170000002</c:v>
                </c:pt>
                <c:pt idx="8">
                  <c:v>12934758.630000003</c:v>
                </c:pt>
                <c:pt idx="9">
                  <c:v>8245064.6100000003</c:v>
                </c:pt>
                <c:pt idx="10">
                  <c:v>86347467.299999982</c:v>
                </c:pt>
              </c:numCache>
            </c:numRef>
          </c:val>
        </c:ser>
        <c:ser>
          <c:idx val="3"/>
          <c:order val="3"/>
          <c:tx>
            <c:strRef>
              <c:f>'5 politika súdržnosti'!$I$2</c:f>
              <c:strCache>
                <c:ptCount val="1"/>
                <c:pt idx="0">
                  <c:v>2011</c:v>
                </c:pt>
              </c:strCache>
            </c:strRef>
          </c:tx>
          <c:spPr>
            <a:solidFill>
              <a:srgbClr val="1F497D">
                <a:lumMod val="60000"/>
                <a:lumOff val="40000"/>
              </a:srgbClr>
            </a:solidFill>
            <a:ln>
              <a:solidFill>
                <a:sysClr val="windowText" lastClr="000000"/>
              </a:solidFill>
            </a:ln>
          </c:spPr>
          <c:invertIfNegative val="0"/>
          <c:cat>
            <c:strRef>
              <c:f>'5 politika súdržnosti'!$A$4:$A$14</c:f>
              <c:strCache>
                <c:ptCount val="11"/>
                <c:pt idx="0">
                  <c:v>OPV</c:v>
                </c:pt>
                <c:pt idx="1">
                  <c:v>OPZaSI</c:v>
                </c:pt>
                <c:pt idx="2">
                  <c:v>OPIS</c:v>
                </c:pt>
                <c:pt idx="3">
                  <c:v>OPŽP</c:v>
                </c:pt>
                <c:pt idx="4">
                  <c:v>ROP</c:v>
                </c:pt>
                <c:pt idx="5">
                  <c:v>OPD</c:v>
                </c:pt>
                <c:pt idx="6">
                  <c:v>OPZ</c:v>
                </c:pt>
                <c:pt idx="7">
                  <c:v>OPKaHR</c:v>
                </c:pt>
                <c:pt idx="8">
                  <c:v>OPTP</c:v>
                </c:pt>
                <c:pt idx="9">
                  <c:v>OPBK</c:v>
                </c:pt>
                <c:pt idx="10">
                  <c:v>OPVaV</c:v>
                </c:pt>
              </c:strCache>
            </c:strRef>
          </c:cat>
          <c:val>
            <c:numRef>
              <c:f>'5 politika súdržnosti'!$I$4:$I$14</c:f>
              <c:numCache>
                <c:formatCode>#,##0</c:formatCode>
                <c:ptCount val="11"/>
                <c:pt idx="0">
                  <c:v>32400338.580000002</c:v>
                </c:pt>
                <c:pt idx="1">
                  <c:v>142675521.12</c:v>
                </c:pt>
                <c:pt idx="2">
                  <c:v>63456220.939999998</c:v>
                </c:pt>
                <c:pt idx="3">
                  <c:v>230548255.84999996</c:v>
                </c:pt>
                <c:pt idx="4">
                  <c:v>296539077.44999999</c:v>
                </c:pt>
                <c:pt idx="5">
                  <c:v>203116363.56999999</c:v>
                </c:pt>
                <c:pt idx="6">
                  <c:v>57900017.990000002</c:v>
                </c:pt>
                <c:pt idx="7">
                  <c:v>155590342.09999999</c:v>
                </c:pt>
                <c:pt idx="8">
                  <c:v>11566342.300000001</c:v>
                </c:pt>
                <c:pt idx="9">
                  <c:v>15971578.199999997</c:v>
                </c:pt>
                <c:pt idx="10">
                  <c:v>123746041.54000001</c:v>
                </c:pt>
              </c:numCache>
            </c:numRef>
          </c:val>
        </c:ser>
        <c:ser>
          <c:idx val="4"/>
          <c:order val="4"/>
          <c:tx>
            <c:strRef>
              <c:f>'5 politika súdržnosti'!$J$2</c:f>
              <c:strCache>
                <c:ptCount val="1"/>
                <c:pt idx="0">
                  <c:v>2012</c:v>
                </c:pt>
              </c:strCache>
            </c:strRef>
          </c:tx>
          <c:spPr>
            <a:solidFill>
              <a:srgbClr val="4F81BD">
                <a:lumMod val="75000"/>
              </a:srgbClr>
            </a:solidFill>
            <a:ln>
              <a:solidFill>
                <a:sysClr val="windowText" lastClr="000000"/>
              </a:solidFill>
            </a:ln>
          </c:spPr>
          <c:invertIfNegative val="0"/>
          <c:cat>
            <c:strRef>
              <c:f>'5 politika súdržnosti'!$A$4:$A$14</c:f>
              <c:strCache>
                <c:ptCount val="11"/>
                <c:pt idx="0">
                  <c:v>OPV</c:v>
                </c:pt>
                <c:pt idx="1">
                  <c:v>OPZaSI</c:v>
                </c:pt>
                <c:pt idx="2">
                  <c:v>OPIS</c:v>
                </c:pt>
                <c:pt idx="3">
                  <c:v>OPŽP</c:v>
                </c:pt>
                <c:pt idx="4">
                  <c:v>ROP</c:v>
                </c:pt>
                <c:pt idx="5">
                  <c:v>OPD</c:v>
                </c:pt>
                <c:pt idx="6">
                  <c:v>OPZ</c:v>
                </c:pt>
                <c:pt idx="7">
                  <c:v>OPKaHR</c:v>
                </c:pt>
                <c:pt idx="8">
                  <c:v>OPTP</c:v>
                </c:pt>
                <c:pt idx="9">
                  <c:v>OPBK</c:v>
                </c:pt>
                <c:pt idx="10">
                  <c:v>OPVaV</c:v>
                </c:pt>
              </c:strCache>
            </c:strRef>
          </c:cat>
          <c:val>
            <c:numRef>
              <c:f>'5 politika súdržnosti'!$J$4:$J$14</c:f>
              <c:numCache>
                <c:formatCode>#,##0</c:formatCode>
                <c:ptCount val="11"/>
                <c:pt idx="0">
                  <c:v>58088855.670000009</c:v>
                </c:pt>
                <c:pt idx="1">
                  <c:v>161532541.50038615</c:v>
                </c:pt>
                <c:pt idx="2">
                  <c:v>141034538.33000001</c:v>
                </c:pt>
                <c:pt idx="3">
                  <c:v>219424120.98999995</c:v>
                </c:pt>
                <c:pt idx="4">
                  <c:v>301356547.88</c:v>
                </c:pt>
                <c:pt idx="5">
                  <c:v>245118453.80000001</c:v>
                </c:pt>
                <c:pt idx="6">
                  <c:v>44085857.180000007</c:v>
                </c:pt>
                <c:pt idx="7">
                  <c:v>115340053.14</c:v>
                </c:pt>
                <c:pt idx="8">
                  <c:v>5112902.26</c:v>
                </c:pt>
                <c:pt idx="9">
                  <c:v>9890323.7399999984</c:v>
                </c:pt>
                <c:pt idx="10">
                  <c:v>146192340.27000004</c:v>
                </c:pt>
              </c:numCache>
            </c:numRef>
          </c:val>
        </c:ser>
        <c:ser>
          <c:idx val="5"/>
          <c:order val="5"/>
          <c:tx>
            <c:strRef>
              <c:f>'5 politika súdržnosti'!$K$2</c:f>
              <c:strCache>
                <c:ptCount val="1"/>
                <c:pt idx="0">
                  <c:v>2013</c:v>
                </c:pt>
              </c:strCache>
            </c:strRef>
          </c:tx>
          <c:spPr>
            <a:solidFill>
              <a:sysClr val="window" lastClr="FFFFFF"/>
            </a:solidFill>
            <a:ln>
              <a:solidFill>
                <a:sysClr val="windowText" lastClr="000000"/>
              </a:solidFill>
            </a:ln>
          </c:spPr>
          <c:invertIfNegative val="0"/>
          <c:cat>
            <c:strRef>
              <c:f>'5 politika súdržnosti'!$A$4:$A$14</c:f>
              <c:strCache>
                <c:ptCount val="11"/>
                <c:pt idx="0">
                  <c:v>OPV</c:v>
                </c:pt>
                <c:pt idx="1">
                  <c:v>OPZaSI</c:v>
                </c:pt>
                <c:pt idx="2">
                  <c:v>OPIS</c:v>
                </c:pt>
                <c:pt idx="3">
                  <c:v>OPŽP</c:v>
                </c:pt>
                <c:pt idx="4">
                  <c:v>ROP</c:v>
                </c:pt>
                <c:pt idx="5">
                  <c:v>OPD</c:v>
                </c:pt>
                <c:pt idx="6">
                  <c:v>OPZ</c:v>
                </c:pt>
                <c:pt idx="7">
                  <c:v>OPKaHR</c:v>
                </c:pt>
                <c:pt idx="8">
                  <c:v>OPTP</c:v>
                </c:pt>
                <c:pt idx="9">
                  <c:v>OPBK</c:v>
                </c:pt>
                <c:pt idx="10">
                  <c:v>OPVaV</c:v>
                </c:pt>
              </c:strCache>
            </c:strRef>
          </c:cat>
          <c:val>
            <c:numRef>
              <c:f>'5 politika súdržnosti'!$K$4:$K$14</c:f>
              <c:numCache>
                <c:formatCode>#,##0</c:formatCode>
                <c:ptCount val="11"/>
                <c:pt idx="0">
                  <c:v>76232396.940000013</c:v>
                </c:pt>
                <c:pt idx="1">
                  <c:v>108228643.72999993</c:v>
                </c:pt>
                <c:pt idx="2">
                  <c:v>157448914.73999998</c:v>
                </c:pt>
                <c:pt idx="3">
                  <c:v>242486437.72999999</c:v>
                </c:pt>
                <c:pt idx="4">
                  <c:v>191992176.48000002</c:v>
                </c:pt>
                <c:pt idx="5">
                  <c:v>460992882.38000011</c:v>
                </c:pt>
                <c:pt idx="6">
                  <c:v>56563156.390000008</c:v>
                </c:pt>
                <c:pt idx="7">
                  <c:v>58792583.509999998</c:v>
                </c:pt>
                <c:pt idx="8">
                  <c:v>9591604.1699999999</c:v>
                </c:pt>
                <c:pt idx="9">
                  <c:v>10870762.799999999</c:v>
                </c:pt>
                <c:pt idx="10">
                  <c:v>156915013.58000001</c:v>
                </c:pt>
              </c:numCache>
            </c:numRef>
          </c:val>
        </c:ser>
        <c:ser>
          <c:idx val="6"/>
          <c:order val="6"/>
          <c:tx>
            <c:strRef>
              <c:f>'5 politika súdržnosti'!$L$2</c:f>
              <c:strCache>
                <c:ptCount val="1"/>
                <c:pt idx="0">
                  <c:v>2014</c:v>
                </c:pt>
              </c:strCache>
            </c:strRef>
          </c:tx>
          <c:spPr>
            <a:solidFill>
              <a:srgbClr val="D3BEDE"/>
            </a:solidFill>
            <a:ln>
              <a:solidFill>
                <a:sysClr val="windowText" lastClr="000000"/>
              </a:solidFill>
            </a:ln>
          </c:spPr>
          <c:invertIfNegative val="0"/>
          <c:cat>
            <c:strRef>
              <c:f>'5 politika súdržnosti'!$A$4:$A$14</c:f>
              <c:strCache>
                <c:ptCount val="11"/>
                <c:pt idx="0">
                  <c:v>OPV</c:v>
                </c:pt>
                <c:pt idx="1">
                  <c:v>OPZaSI</c:v>
                </c:pt>
                <c:pt idx="2">
                  <c:v>OPIS</c:v>
                </c:pt>
                <c:pt idx="3">
                  <c:v>OPŽP</c:v>
                </c:pt>
                <c:pt idx="4">
                  <c:v>ROP</c:v>
                </c:pt>
                <c:pt idx="5">
                  <c:v>OPD</c:v>
                </c:pt>
                <c:pt idx="6">
                  <c:v>OPZ</c:v>
                </c:pt>
                <c:pt idx="7">
                  <c:v>OPKaHR</c:v>
                </c:pt>
                <c:pt idx="8">
                  <c:v>OPTP</c:v>
                </c:pt>
                <c:pt idx="9">
                  <c:v>OPBK</c:v>
                </c:pt>
                <c:pt idx="10">
                  <c:v>OPVaV</c:v>
                </c:pt>
              </c:strCache>
            </c:strRef>
          </c:cat>
          <c:val>
            <c:numRef>
              <c:f>'5 politika súdržnosti'!$L$4:$L$14</c:f>
              <c:numCache>
                <c:formatCode>#,##0</c:formatCode>
                <c:ptCount val="11"/>
                <c:pt idx="0">
                  <c:v>111896676.90999997</c:v>
                </c:pt>
                <c:pt idx="1">
                  <c:v>121824874.18961394</c:v>
                </c:pt>
                <c:pt idx="2">
                  <c:v>166461478.70000005</c:v>
                </c:pt>
                <c:pt idx="3">
                  <c:v>148970917.60000014</c:v>
                </c:pt>
                <c:pt idx="4">
                  <c:v>100675408.22999978</c:v>
                </c:pt>
                <c:pt idx="5">
                  <c:v>501868379.26999998</c:v>
                </c:pt>
                <c:pt idx="6">
                  <c:v>-289531.90000000596</c:v>
                </c:pt>
                <c:pt idx="7">
                  <c:v>40831631.270000041</c:v>
                </c:pt>
                <c:pt idx="8">
                  <c:v>9733573.9848061353</c:v>
                </c:pt>
                <c:pt idx="9">
                  <c:v>6326189.1499999985</c:v>
                </c:pt>
                <c:pt idx="10">
                  <c:v>199281911.75999999</c:v>
                </c:pt>
              </c:numCache>
            </c:numRef>
          </c:val>
        </c:ser>
        <c:ser>
          <c:idx val="7"/>
          <c:order val="7"/>
          <c:tx>
            <c:strRef>
              <c:f>'5 politika súdržnosti'!$M$2</c:f>
              <c:strCache>
                <c:ptCount val="1"/>
                <c:pt idx="0">
                  <c:v>2015</c:v>
                </c:pt>
              </c:strCache>
            </c:strRef>
          </c:tx>
          <c:spPr>
            <a:solidFill>
              <a:srgbClr val="AAD3F2"/>
            </a:solidFill>
            <a:ln>
              <a:solidFill>
                <a:sysClr val="windowText" lastClr="000000"/>
              </a:solidFill>
            </a:ln>
          </c:spPr>
          <c:invertIfNegative val="0"/>
          <c:cat>
            <c:strRef>
              <c:f>'5 politika súdržnosti'!$A$4:$A$14</c:f>
              <c:strCache>
                <c:ptCount val="11"/>
                <c:pt idx="0">
                  <c:v>OPV</c:v>
                </c:pt>
                <c:pt idx="1">
                  <c:v>OPZaSI</c:v>
                </c:pt>
                <c:pt idx="2">
                  <c:v>OPIS</c:v>
                </c:pt>
                <c:pt idx="3">
                  <c:v>OPŽP</c:v>
                </c:pt>
                <c:pt idx="4">
                  <c:v>ROP</c:v>
                </c:pt>
                <c:pt idx="5">
                  <c:v>OPD</c:v>
                </c:pt>
                <c:pt idx="6">
                  <c:v>OPZ</c:v>
                </c:pt>
                <c:pt idx="7">
                  <c:v>OPKaHR</c:v>
                </c:pt>
                <c:pt idx="8">
                  <c:v>OPTP</c:v>
                </c:pt>
                <c:pt idx="9">
                  <c:v>OPBK</c:v>
                </c:pt>
                <c:pt idx="10">
                  <c:v>OPVaV</c:v>
                </c:pt>
              </c:strCache>
            </c:strRef>
          </c:cat>
          <c:val>
            <c:numRef>
              <c:f>'5 politika súdržnosti'!$M$4:$M$14</c:f>
              <c:numCache>
                <c:formatCode>#,##0</c:formatCode>
                <c:ptCount val="11"/>
                <c:pt idx="0">
                  <c:v>138691751.01999998</c:v>
                </c:pt>
                <c:pt idx="1">
                  <c:v>191035514.70000005</c:v>
                </c:pt>
                <c:pt idx="2">
                  <c:v>163992501.76999998</c:v>
                </c:pt>
                <c:pt idx="3">
                  <c:v>517765863.20000005</c:v>
                </c:pt>
                <c:pt idx="4">
                  <c:v>211093484.84000015</c:v>
                </c:pt>
                <c:pt idx="5">
                  <c:v>1146257834.1600001</c:v>
                </c:pt>
                <c:pt idx="6">
                  <c:v>6500542.0799999833</c:v>
                </c:pt>
                <c:pt idx="7">
                  <c:v>240632174.45000005</c:v>
                </c:pt>
                <c:pt idx="8">
                  <c:v>17210980.819999993</c:v>
                </c:pt>
                <c:pt idx="9">
                  <c:v>36408744.590000004</c:v>
                </c:pt>
                <c:pt idx="10">
                  <c:v>348538598.22000015</c:v>
                </c:pt>
              </c:numCache>
            </c:numRef>
          </c:val>
        </c:ser>
        <c:ser>
          <c:idx val="8"/>
          <c:order val="8"/>
          <c:tx>
            <c:strRef>
              <c:f>'5 politika súdržnosti'!$N$2</c:f>
              <c:strCache>
                <c:ptCount val="1"/>
                <c:pt idx="0">
                  <c:v>2016</c:v>
                </c:pt>
              </c:strCache>
            </c:strRef>
          </c:tx>
          <c:spPr>
            <a:solidFill>
              <a:srgbClr val="2C9ADC"/>
            </a:solidFill>
            <a:ln>
              <a:solidFill>
                <a:sysClr val="windowText" lastClr="000000"/>
              </a:solidFill>
            </a:ln>
          </c:spPr>
          <c:invertIfNegative val="0"/>
          <c:cat>
            <c:strRef>
              <c:f>'5 politika súdržnosti'!$A$4:$A$14</c:f>
              <c:strCache>
                <c:ptCount val="11"/>
                <c:pt idx="0">
                  <c:v>OPV</c:v>
                </c:pt>
                <c:pt idx="1">
                  <c:v>OPZaSI</c:v>
                </c:pt>
                <c:pt idx="2">
                  <c:v>OPIS</c:v>
                </c:pt>
                <c:pt idx="3">
                  <c:v>OPŽP</c:v>
                </c:pt>
                <c:pt idx="4">
                  <c:v>ROP</c:v>
                </c:pt>
                <c:pt idx="5">
                  <c:v>OPD</c:v>
                </c:pt>
                <c:pt idx="6">
                  <c:v>OPZ</c:v>
                </c:pt>
                <c:pt idx="7">
                  <c:v>OPKaHR</c:v>
                </c:pt>
                <c:pt idx="8">
                  <c:v>OPTP</c:v>
                </c:pt>
                <c:pt idx="9">
                  <c:v>OPBK</c:v>
                </c:pt>
                <c:pt idx="10">
                  <c:v>OPVaV</c:v>
                </c:pt>
              </c:strCache>
            </c:strRef>
          </c:cat>
          <c:val>
            <c:numRef>
              <c:f>'5 politika súdržnosti'!$N$4:$N$14</c:f>
              <c:numCache>
                <c:formatCode>#,##0</c:formatCode>
                <c:ptCount val="11"/>
                <c:pt idx="0">
                  <c:v>35000000</c:v>
                </c:pt>
                <c:pt idx="1">
                  <c:v>25000000</c:v>
                </c:pt>
                <c:pt idx="2">
                  <c:v>119000000</c:v>
                </c:pt>
                <c:pt idx="3">
                  <c:v>269349431</c:v>
                </c:pt>
                <c:pt idx="4">
                  <c:v>77585829</c:v>
                </c:pt>
                <c:pt idx="5">
                  <c:v>62963866</c:v>
                </c:pt>
                <c:pt idx="6">
                  <c:v>9626585</c:v>
                </c:pt>
                <c:pt idx="7">
                  <c:v>213388567</c:v>
                </c:pt>
                <c:pt idx="8">
                  <c:v>9041753</c:v>
                </c:pt>
                <c:pt idx="9">
                  <c:v>1445925</c:v>
                </c:pt>
                <c:pt idx="10">
                  <c:v>103646147</c:v>
                </c:pt>
              </c:numCache>
            </c:numRef>
          </c:val>
        </c:ser>
        <c:ser>
          <c:idx val="9"/>
          <c:order val="9"/>
          <c:tx>
            <c:strRef>
              <c:f>'5 politika súdržnosti'!$O$2</c:f>
              <c:strCache>
                <c:ptCount val="1"/>
                <c:pt idx="0">
                  <c:v>2017</c:v>
                </c:pt>
              </c:strCache>
            </c:strRef>
          </c:tx>
          <c:spPr>
            <a:solidFill>
              <a:srgbClr val="FF0000"/>
            </a:solidFill>
            <a:ln>
              <a:solidFill>
                <a:sysClr val="windowText" lastClr="000000"/>
              </a:solidFill>
            </a:ln>
          </c:spPr>
          <c:invertIfNegative val="0"/>
          <c:cat>
            <c:strRef>
              <c:f>'5 politika súdržnosti'!$A$4:$A$14</c:f>
              <c:strCache>
                <c:ptCount val="11"/>
                <c:pt idx="0">
                  <c:v>OPV</c:v>
                </c:pt>
                <c:pt idx="1">
                  <c:v>OPZaSI</c:v>
                </c:pt>
                <c:pt idx="2">
                  <c:v>OPIS</c:v>
                </c:pt>
                <c:pt idx="3">
                  <c:v>OPŽP</c:v>
                </c:pt>
                <c:pt idx="4">
                  <c:v>ROP</c:v>
                </c:pt>
                <c:pt idx="5">
                  <c:v>OPD</c:v>
                </c:pt>
                <c:pt idx="6">
                  <c:v>OPZ</c:v>
                </c:pt>
                <c:pt idx="7">
                  <c:v>OPKaHR</c:v>
                </c:pt>
                <c:pt idx="8">
                  <c:v>OPTP</c:v>
                </c:pt>
                <c:pt idx="9">
                  <c:v>OPBK</c:v>
                </c:pt>
                <c:pt idx="10">
                  <c:v>OPVaV</c:v>
                </c:pt>
              </c:strCache>
            </c:strRef>
          </c:cat>
          <c:val>
            <c:numRef>
              <c:f>'5 politika súdržnosti'!$O$4:$O$14</c:f>
              <c:numCache>
                <c:formatCode>#,##0</c:formatCode>
                <c:ptCount val="11"/>
                <c:pt idx="0">
                  <c:v>-524141.75999999046</c:v>
                </c:pt>
                <c:pt idx="1">
                  <c:v>-7372589.75</c:v>
                </c:pt>
                <c:pt idx="2">
                  <c:v>-24090393.110000014</c:v>
                </c:pt>
                <c:pt idx="3">
                  <c:v>-3380660.9300000668</c:v>
                </c:pt>
                <c:pt idx="4">
                  <c:v>-3162234.9199998379</c:v>
                </c:pt>
                <c:pt idx="5">
                  <c:v>-3253558.8100004196</c:v>
                </c:pt>
                <c:pt idx="6">
                  <c:v>-4377135.849999994</c:v>
                </c:pt>
                <c:pt idx="7">
                  <c:v>-12624202.700000048</c:v>
                </c:pt>
                <c:pt idx="8">
                  <c:v>-712995.51999998093</c:v>
                </c:pt>
                <c:pt idx="9">
                  <c:v>-1166022</c:v>
                </c:pt>
                <c:pt idx="10">
                  <c:v>-15886011.130000114</c:v>
                </c:pt>
              </c:numCache>
            </c:numRef>
          </c:val>
        </c:ser>
        <c:dLbls>
          <c:showLegendKey val="0"/>
          <c:showVal val="0"/>
          <c:showCatName val="0"/>
          <c:showSerName val="0"/>
          <c:showPercent val="0"/>
          <c:showBubbleSize val="0"/>
        </c:dLbls>
        <c:gapWidth val="150"/>
        <c:axId val="416312680"/>
        <c:axId val="416313072"/>
      </c:barChart>
      <c:catAx>
        <c:axId val="416312680"/>
        <c:scaling>
          <c:orientation val="minMax"/>
        </c:scaling>
        <c:delete val="0"/>
        <c:axPos val="b"/>
        <c:numFmt formatCode="General" sourceLinked="1"/>
        <c:majorTickMark val="out"/>
        <c:minorTickMark val="none"/>
        <c:tickLblPos val="nextTo"/>
        <c:crossAx val="416313072"/>
        <c:crosses val="autoZero"/>
        <c:auto val="1"/>
        <c:lblAlgn val="ctr"/>
        <c:lblOffset val="100"/>
        <c:noMultiLvlLbl val="0"/>
      </c:catAx>
      <c:valAx>
        <c:axId val="416313072"/>
        <c:scaling>
          <c:orientation val="minMax"/>
          <c:max val="1180000000.0000002"/>
          <c:min val="-25000000"/>
        </c:scaling>
        <c:delete val="0"/>
        <c:axPos val="l"/>
        <c:majorGridlines>
          <c:spPr>
            <a:ln>
              <a:solidFill>
                <a:schemeClr val="bg1">
                  <a:lumMod val="75000"/>
                </a:schemeClr>
              </a:solidFill>
              <a:prstDash val="sysDash"/>
            </a:ln>
          </c:spPr>
        </c:majorGridlines>
        <c:numFmt formatCode="#,##0" sourceLinked="0"/>
        <c:majorTickMark val="out"/>
        <c:minorTickMark val="none"/>
        <c:tickLblPos val="nextTo"/>
        <c:crossAx val="416312680"/>
        <c:crosses val="autoZero"/>
        <c:crossBetween val="between"/>
        <c:dispUnits>
          <c:builtInUnit val="millions"/>
        </c:dispUnits>
      </c:valAx>
    </c:plotArea>
    <c:legend>
      <c:legendPos val="r"/>
      <c:layout>
        <c:manualLayout>
          <c:xMode val="edge"/>
          <c:yMode val="edge"/>
          <c:x val="0.10446839334689906"/>
          <c:y val="2.1316900604815702E-4"/>
          <c:w val="0.85742266127669231"/>
          <c:h val="0.17998771788141871"/>
        </c:manualLayout>
      </c:layout>
      <c:overlay val="0"/>
    </c:legend>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099679777191692E-2"/>
          <c:y val="4.8823828544190706E-2"/>
          <c:w val="0.89093095636884034"/>
          <c:h val="0.85748137319626516"/>
        </c:manualLayout>
      </c:layout>
      <c:barChart>
        <c:barDir val="col"/>
        <c:grouping val="stacked"/>
        <c:varyColors val="0"/>
        <c:ser>
          <c:idx val="5"/>
          <c:order val="0"/>
          <c:tx>
            <c:strRef>
              <c:f>Graf_4!$A$3</c:f>
              <c:strCache>
                <c:ptCount val="1"/>
                <c:pt idx="0">
                  <c:v>Čistá inflácia</c:v>
                </c:pt>
              </c:strCache>
            </c:strRef>
          </c:tx>
          <c:spPr>
            <a:solidFill>
              <a:srgbClr val="2C9ADC"/>
            </a:solidFill>
          </c:spPr>
          <c:invertIfNegative val="0"/>
          <c:cat>
            <c:numRef>
              <c:f>Graf_4!$B$1:$AK$1</c:f>
              <c:numCache>
                <c:formatCode>m/d/yyyy</c:formatCode>
                <c:ptCount val="36"/>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numCache>
            </c:numRef>
          </c:cat>
          <c:val>
            <c:numRef>
              <c:f>Graf_4!$B$3:$AK$3</c:f>
              <c:numCache>
                <c:formatCode>0.0</c:formatCode>
                <c:ptCount val="36"/>
                <c:pt idx="0">
                  <c:v>0.21444124806373835</c:v>
                </c:pt>
                <c:pt idx="1">
                  <c:v>9.5356457564574351E-2</c:v>
                </c:pt>
                <c:pt idx="2">
                  <c:v>0.18587650313536475</c:v>
                </c:pt>
                <c:pt idx="3">
                  <c:v>0.17122461900905012</c:v>
                </c:pt>
                <c:pt idx="4">
                  <c:v>0.22801411764705226</c:v>
                </c:pt>
                <c:pt idx="5">
                  <c:v>0.15647207339449698</c:v>
                </c:pt>
                <c:pt idx="6">
                  <c:v>0.14706447349096191</c:v>
                </c:pt>
                <c:pt idx="7">
                  <c:v>0.11392329169728375</c:v>
                </c:pt>
                <c:pt idx="8">
                  <c:v>-5.6957460877232635E-2</c:v>
                </c:pt>
                <c:pt idx="9">
                  <c:v>-0.17515556532571375</c:v>
                </c:pt>
                <c:pt idx="10">
                  <c:v>-7.5770708107310722E-2</c:v>
                </c:pt>
                <c:pt idx="11">
                  <c:v>-3.8013533392180887E-2</c:v>
                </c:pt>
                <c:pt idx="12">
                  <c:v>-1.8921923246588479E-2</c:v>
                </c:pt>
                <c:pt idx="13">
                  <c:v>0.13276580692705217</c:v>
                </c:pt>
                <c:pt idx="14">
                  <c:v>2.3666323377969669E-2</c:v>
                </c:pt>
                <c:pt idx="15">
                  <c:v>0.18898303840223252</c:v>
                </c:pt>
                <c:pt idx="16">
                  <c:v>5.6574443141852893E-2</c:v>
                </c:pt>
                <c:pt idx="17">
                  <c:v>6.5955191096779692E-2</c:v>
                </c:pt>
                <c:pt idx="18">
                  <c:v>-1.4142574547588434E-2</c:v>
                </c:pt>
                <c:pt idx="19">
                  <c:v>4.247440222972327E-2</c:v>
                </c:pt>
                <c:pt idx="20">
                  <c:v>0.28862298698433481</c:v>
                </c:pt>
                <c:pt idx="21">
                  <c:v>0.41130991917707349</c:v>
                </c:pt>
                <c:pt idx="22">
                  <c:v>0.34471686481726405</c:v>
                </c:pt>
                <c:pt idx="23">
                  <c:v>0.55877185752134739</c:v>
                </c:pt>
                <c:pt idx="24">
                  <c:v>0.79475293055152807</c:v>
                </c:pt>
                <c:pt idx="25">
                  <c:v>0.90564868830290768</c:v>
                </c:pt>
                <c:pt idx="26">
                  <c:v>0.93330399235373407</c:v>
                </c:pt>
                <c:pt idx="27">
                  <c:v>0.74980343780115166</c:v>
                </c:pt>
                <c:pt idx="28">
                  <c:v>0.83714254981204406</c:v>
                </c:pt>
                <c:pt idx="29">
                  <c:v>0.7077296638540127</c:v>
                </c:pt>
                <c:pt idx="30">
                  <c:v>0.86102342597311621</c:v>
                </c:pt>
                <c:pt idx="31">
                  <c:v>0.94411024380681019</c:v>
                </c:pt>
                <c:pt idx="32">
                  <c:v>0.93373592094421209</c:v>
                </c:pt>
                <c:pt idx="33">
                  <c:v>0.87157923158845207</c:v>
                </c:pt>
                <c:pt idx="34">
                  <c:v>1.0136362556044296</c:v>
                </c:pt>
                <c:pt idx="35">
                  <c:v>0.95352335623043594</c:v>
                </c:pt>
              </c:numCache>
            </c:numRef>
          </c:val>
        </c:ser>
        <c:ser>
          <c:idx val="8"/>
          <c:order val="1"/>
          <c:tx>
            <c:strRef>
              <c:f>Graf_4!$A$4</c:f>
              <c:strCache>
                <c:ptCount val="1"/>
                <c:pt idx="0">
                  <c:v>Ceny potravín</c:v>
                </c:pt>
              </c:strCache>
            </c:strRef>
          </c:tx>
          <c:spPr>
            <a:solidFill>
              <a:schemeClr val="tx2">
                <a:lumMod val="20000"/>
                <a:lumOff val="80000"/>
              </a:schemeClr>
            </a:solidFill>
            <a:ln>
              <a:noFill/>
            </a:ln>
          </c:spPr>
          <c:invertIfNegative val="0"/>
          <c:cat>
            <c:numRef>
              <c:f>Graf_4!$B$1:$AK$1</c:f>
              <c:numCache>
                <c:formatCode>m/d/yyyy</c:formatCode>
                <c:ptCount val="36"/>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numCache>
            </c:numRef>
          </c:cat>
          <c:val>
            <c:numRef>
              <c:f>Graf_4!$B$4:$AK$4</c:f>
              <c:numCache>
                <c:formatCode>0.0</c:formatCode>
                <c:ptCount val="36"/>
                <c:pt idx="0">
                  <c:v>-0.32305545203845737</c:v>
                </c:pt>
                <c:pt idx="1">
                  <c:v>-0.28689107503553368</c:v>
                </c:pt>
                <c:pt idx="2">
                  <c:v>-0.21067209668943776</c:v>
                </c:pt>
                <c:pt idx="3">
                  <c:v>-1.6659989417190244E-2</c:v>
                </c:pt>
                <c:pt idx="4">
                  <c:v>9.8964975303098991E-3</c:v>
                </c:pt>
                <c:pt idx="5">
                  <c:v>5.2836679652383561E-2</c:v>
                </c:pt>
                <c:pt idx="6">
                  <c:v>-4.7654171066527022E-2</c:v>
                </c:pt>
                <c:pt idx="7">
                  <c:v>-1.0082882195959838E-2</c:v>
                </c:pt>
                <c:pt idx="8">
                  <c:v>4.8335934511512385E-2</c:v>
                </c:pt>
                <c:pt idx="9">
                  <c:v>0.11856478635105851</c:v>
                </c:pt>
                <c:pt idx="10">
                  <c:v>5.8785565899823387E-2</c:v>
                </c:pt>
                <c:pt idx="11">
                  <c:v>-8.1376615384614701E-2</c:v>
                </c:pt>
                <c:pt idx="12">
                  <c:v>-5.8764985995524585E-2</c:v>
                </c:pt>
                <c:pt idx="13">
                  <c:v>1.8370532580499935E-2</c:v>
                </c:pt>
                <c:pt idx="14">
                  <c:v>-2.026715917745495E-2</c:v>
                </c:pt>
                <c:pt idx="15">
                  <c:v>-9.7024973512938609E-2</c:v>
                </c:pt>
                <c:pt idx="16">
                  <c:v>-0.32110567646398863</c:v>
                </c:pt>
                <c:pt idx="17">
                  <c:v>-0.30492624664078866</c:v>
                </c:pt>
                <c:pt idx="18">
                  <c:v>-0.18501036700718967</c:v>
                </c:pt>
                <c:pt idx="19">
                  <c:v>-0.1694866473370982</c:v>
                </c:pt>
                <c:pt idx="20">
                  <c:v>-0.20121366478572283</c:v>
                </c:pt>
                <c:pt idx="21">
                  <c:v>-0.20116764504078435</c:v>
                </c:pt>
                <c:pt idx="22">
                  <c:v>-5.5980688175340756E-2</c:v>
                </c:pt>
                <c:pt idx="23">
                  <c:v>0.12915346534653641</c:v>
                </c:pt>
                <c:pt idx="24">
                  <c:v>0.26803517452203279</c:v>
                </c:pt>
                <c:pt idx="25">
                  <c:v>0.47020378054317608</c:v>
                </c:pt>
                <c:pt idx="26">
                  <c:v>0.38309964607795199</c:v>
                </c:pt>
                <c:pt idx="27">
                  <c:v>0.39953044236381496</c:v>
                </c:pt>
                <c:pt idx="28">
                  <c:v>0.60844694154050394</c:v>
                </c:pt>
                <c:pt idx="29">
                  <c:v>0.62077633489305128</c:v>
                </c:pt>
                <c:pt idx="30">
                  <c:v>0.73270191121319739</c:v>
                </c:pt>
                <c:pt idx="31">
                  <c:v>0.78617736356261836</c:v>
                </c:pt>
                <c:pt idx="32">
                  <c:v>0.89559407977641048</c:v>
                </c:pt>
                <c:pt idx="33">
                  <c:v>1.0921889980670474</c:v>
                </c:pt>
                <c:pt idx="34">
                  <c:v>1.1688788321207841</c:v>
                </c:pt>
                <c:pt idx="35">
                  <c:v>1.1523599811095255</c:v>
                </c:pt>
              </c:numCache>
            </c:numRef>
          </c:val>
        </c:ser>
        <c:ser>
          <c:idx val="0"/>
          <c:order val="2"/>
          <c:tx>
            <c:strRef>
              <c:f>Graf_4!$A$5</c:f>
              <c:strCache>
                <c:ptCount val="1"/>
                <c:pt idx="0">
                  <c:v>Regulované ceny</c:v>
                </c:pt>
              </c:strCache>
            </c:strRef>
          </c:tx>
          <c:spPr>
            <a:solidFill>
              <a:srgbClr val="1F497D"/>
            </a:solidFill>
          </c:spPr>
          <c:invertIfNegative val="0"/>
          <c:cat>
            <c:numRef>
              <c:f>Graf_4!$B$1:$AK$1</c:f>
              <c:numCache>
                <c:formatCode>m/d/yyyy</c:formatCode>
                <c:ptCount val="36"/>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numCache>
            </c:numRef>
          </c:cat>
          <c:val>
            <c:numRef>
              <c:f>Graf_4!$B$5:$AK$5</c:f>
              <c:numCache>
                <c:formatCode>0.0</c:formatCode>
                <c:ptCount val="36"/>
                <c:pt idx="0">
                  <c:v>-0.27234274097106048</c:v>
                </c:pt>
                <c:pt idx="1">
                  <c:v>-0.27147417297728038</c:v>
                </c:pt>
                <c:pt idx="2">
                  <c:v>-0.27472002390914502</c:v>
                </c:pt>
                <c:pt idx="3">
                  <c:v>-0.27067059948979644</c:v>
                </c:pt>
                <c:pt idx="4">
                  <c:v>-0.27227761836441722</c:v>
                </c:pt>
                <c:pt idx="5">
                  <c:v>-0.26896656438050626</c:v>
                </c:pt>
                <c:pt idx="6">
                  <c:v>-0.27545719635103438</c:v>
                </c:pt>
                <c:pt idx="7">
                  <c:v>-0.27618290060528772</c:v>
                </c:pt>
                <c:pt idx="8">
                  <c:v>-0.49724616543141303</c:v>
                </c:pt>
                <c:pt idx="9">
                  <c:v>-0.49140501664289082</c:v>
                </c:pt>
                <c:pt idx="10">
                  <c:v>-0.40775016910038719</c:v>
                </c:pt>
                <c:pt idx="11">
                  <c:v>-0.36646860423394484</c:v>
                </c:pt>
                <c:pt idx="12">
                  <c:v>-0.23382985942801682</c:v>
                </c:pt>
                <c:pt idx="13">
                  <c:v>-0.23043091959129361</c:v>
                </c:pt>
                <c:pt idx="14">
                  <c:v>-0.22539423309910328</c:v>
                </c:pt>
                <c:pt idx="15">
                  <c:v>-0.2153568659127616</c:v>
                </c:pt>
                <c:pt idx="16">
                  <c:v>-0.21450157499394235</c:v>
                </c:pt>
                <c:pt idx="17">
                  <c:v>-0.21780918157225304</c:v>
                </c:pt>
                <c:pt idx="18">
                  <c:v>-0.38197295005854043</c:v>
                </c:pt>
                <c:pt idx="19">
                  <c:v>-0.38603656617023901</c:v>
                </c:pt>
                <c:pt idx="20">
                  <c:v>-0.24939727918781862</c:v>
                </c:pt>
                <c:pt idx="21">
                  <c:v>-0.20127336932256551</c:v>
                </c:pt>
                <c:pt idx="22">
                  <c:v>-0.19873885867359209</c:v>
                </c:pt>
                <c:pt idx="23">
                  <c:v>-0.19788871301594999</c:v>
                </c:pt>
                <c:pt idx="24">
                  <c:v>-0.338428899638192</c:v>
                </c:pt>
                <c:pt idx="25">
                  <c:v>-0.40380954722508922</c:v>
                </c:pt>
                <c:pt idx="26">
                  <c:v>-0.45757528815727022</c:v>
                </c:pt>
                <c:pt idx="27">
                  <c:v>-0.47313199191590832</c:v>
                </c:pt>
                <c:pt idx="28">
                  <c:v>-0.47390257257185991</c:v>
                </c:pt>
                <c:pt idx="29">
                  <c:v>-0.47222630074611233</c:v>
                </c:pt>
                <c:pt idx="30">
                  <c:v>-0.29895783736762155</c:v>
                </c:pt>
                <c:pt idx="31">
                  <c:v>-0.30059090273811456</c:v>
                </c:pt>
                <c:pt idx="32">
                  <c:v>-0.29375405593061643</c:v>
                </c:pt>
                <c:pt idx="33">
                  <c:v>-0.33369954331217649</c:v>
                </c:pt>
                <c:pt idx="34">
                  <c:v>-0.3444612593077222</c:v>
                </c:pt>
                <c:pt idx="35">
                  <c:v>-0.34443302940612125</c:v>
                </c:pt>
              </c:numCache>
            </c:numRef>
          </c:val>
        </c:ser>
        <c:ser>
          <c:idx val="1"/>
          <c:order val="3"/>
          <c:tx>
            <c:strRef>
              <c:f>Graf_4!$A$6</c:f>
              <c:strCache>
                <c:ptCount val="1"/>
                <c:pt idx="0">
                  <c:v>Zmena nepriamych daní</c:v>
                </c:pt>
              </c:strCache>
            </c:strRef>
          </c:tx>
          <c:invertIfNegative val="0"/>
          <c:cat>
            <c:numRef>
              <c:f>Graf_4!$B$1:$AK$1</c:f>
              <c:numCache>
                <c:formatCode>m/d/yyyy</c:formatCode>
                <c:ptCount val="36"/>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numCache>
            </c:numRef>
          </c:cat>
          <c:val>
            <c:numRef>
              <c:f>Graf_4!$B$6:$AK$6</c:f>
              <c:numCache>
                <c:formatCode>0.0</c:formatCode>
                <c:ptCount val="36"/>
                <c:pt idx="0">
                  <c:v>0</c:v>
                </c:pt>
                <c:pt idx="1">
                  <c:v>0</c:v>
                </c:pt>
                <c:pt idx="2">
                  <c:v>0</c:v>
                </c:pt>
                <c:pt idx="3">
                  <c:v>0</c:v>
                </c:pt>
                <c:pt idx="4">
                  <c:v>0</c:v>
                </c:pt>
                <c:pt idx="5">
                  <c:v>0</c:v>
                </c:pt>
                <c:pt idx="6">
                  <c:v>0</c:v>
                </c:pt>
                <c:pt idx="7">
                  <c:v>0</c:v>
                </c:pt>
                <c:pt idx="8">
                  <c:v>0</c:v>
                </c:pt>
                <c:pt idx="9">
                  <c:v>0</c:v>
                </c:pt>
                <c:pt idx="10">
                  <c:v>0</c:v>
                </c:pt>
                <c:pt idx="11">
                  <c:v>0</c:v>
                </c:pt>
                <c:pt idx="12">
                  <c:v>-0.32</c:v>
                </c:pt>
                <c:pt idx="13">
                  <c:v>-0.32</c:v>
                </c:pt>
                <c:pt idx="14">
                  <c:v>-0.32</c:v>
                </c:pt>
                <c:pt idx="15">
                  <c:v>-0.32</c:v>
                </c:pt>
                <c:pt idx="16">
                  <c:v>-0.32</c:v>
                </c:pt>
                <c:pt idx="17">
                  <c:v>-0.32</c:v>
                </c:pt>
                <c:pt idx="18">
                  <c:v>-0.32</c:v>
                </c:pt>
                <c:pt idx="19">
                  <c:v>-0.32</c:v>
                </c:pt>
                <c:pt idx="20">
                  <c:v>-0.32</c:v>
                </c:pt>
                <c:pt idx="21">
                  <c:v>-0.32</c:v>
                </c:pt>
                <c:pt idx="22">
                  <c:v>-0.32</c:v>
                </c:pt>
                <c:pt idx="23">
                  <c:v>-0.32</c:v>
                </c:pt>
                <c:pt idx="24">
                  <c:v>0</c:v>
                </c:pt>
                <c:pt idx="25">
                  <c:v>0.1</c:v>
                </c:pt>
                <c:pt idx="26">
                  <c:v>0.1</c:v>
                </c:pt>
                <c:pt idx="27">
                  <c:v>0.1</c:v>
                </c:pt>
                <c:pt idx="28">
                  <c:v>0.1</c:v>
                </c:pt>
                <c:pt idx="29">
                  <c:v>0.1</c:v>
                </c:pt>
                <c:pt idx="30">
                  <c:v>0.1</c:v>
                </c:pt>
                <c:pt idx="31">
                  <c:v>0.1</c:v>
                </c:pt>
                <c:pt idx="32">
                  <c:v>0.1</c:v>
                </c:pt>
                <c:pt idx="33">
                  <c:v>0.1</c:v>
                </c:pt>
                <c:pt idx="34">
                  <c:v>0.1</c:v>
                </c:pt>
                <c:pt idx="35">
                  <c:v>0.1</c:v>
                </c:pt>
              </c:numCache>
            </c:numRef>
          </c:val>
        </c:ser>
        <c:dLbls>
          <c:showLegendKey val="0"/>
          <c:showVal val="0"/>
          <c:showCatName val="0"/>
          <c:showSerName val="0"/>
          <c:showPercent val="0"/>
          <c:showBubbleSize val="0"/>
        </c:dLbls>
        <c:gapWidth val="150"/>
        <c:overlap val="100"/>
        <c:axId val="296352984"/>
        <c:axId val="296341840"/>
      </c:barChart>
      <c:lineChart>
        <c:grouping val="standard"/>
        <c:varyColors val="0"/>
        <c:ser>
          <c:idx val="2"/>
          <c:order val="4"/>
          <c:tx>
            <c:strRef>
              <c:f>Graf_4!$A$2</c:f>
              <c:strCache>
                <c:ptCount val="1"/>
                <c:pt idx="0">
                  <c:v>Celková inflácia</c:v>
                </c:pt>
              </c:strCache>
            </c:strRef>
          </c:tx>
          <c:spPr>
            <a:ln w="19050">
              <a:solidFill>
                <a:sysClr val="windowText" lastClr="000000"/>
              </a:solidFill>
            </a:ln>
          </c:spPr>
          <c:marker>
            <c:symbol val="none"/>
          </c:marker>
          <c:cat>
            <c:numRef>
              <c:f>Graf_4!$B$1:$AK$1</c:f>
              <c:numCache>
                <c:formatCode>m/d/yyyy</c:formatCode>
                <c:ptCount val="36"/>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pt idx="34">
                  <c:v>43040</c:v>
                </c:pt>
                <c:pt idx="35">
                  <c:v>43070</c:v>
                </c:pt>
              </c:numCache>
            </c:numRef>
          </c:cat>
          <c:val>
            <c:numRef>
              <c:f>Graf_4!$B$2:$AK$2</c:f>
              <c:numCache>
                <c:formatCode>0.0</c:formatCode>
                <c:ptCount val="36"/>
                <c:pt idx="0">
                  <c:v>-0.38095694494577947</c:v>
                </c:pt>
                <c:pt idx="1">
                  <c:v>-0.46300879044823973</c:v>
                </c:pt>
                <c:pt idx="2">
                  <c:v>-0.29951561746321803</c:v>
                </c:pt>
                <c:pt idx="3">
                  <c:v>-0.11610596989793656</c:v>
                </c:pt>
                <c:pt idx="4">
                  <c:v>-3.4367003187055045E-2</c:v>
                </c:pt>
                <c:pt idx="5">
                  <c:v>-5.9657811333625715E-2</c:v>
                </c:pt>
                <c:pt idx="6">
                  <c:v>-0.1760468939265995</c:v>
                </c:pt>
                <c:pt idx="7">
                  <c:v>-0.1723424911039638</c:v>
                </c:pt>
                <c:pt idx="8">
                  <c:v>-0.50586769179713331</c:v>
                </c:pt>
                <c:pt idx="9">
                  <c:v>-0.54799579561754608</c:v>
                </c:pt>
                <c:pt idx="10">
                  <c:v>-0.42473531130787451</c:v>
                </c:pt>
                <c:pt idx="11">
                  <c:v>-0.48585875301074044</c:v>
                </c:pt>
                <c:pt idx="12">
                  <c:v>-0.63151676867012996</c:v>
                </c:pt>
                <c:pt idx="13">
                  <c:v>-0.39929458008374152</c:v>
                </c:pt>
                <c:pt idx="14">
                  <c:v>-0.54199506889858862</c:v>
                </c:pt>
                <c:pt idx="15">
                  <c:v>-0.44339880102346768</c:v>
                </c:pt>
                <c:pt idx="16">
                  <c:v>-0.79903280831607804</c:v>
                </c:pt>
                <c:pt idx="17">
                  <c:v>-0.77678023711626198</c:v>
                </c:pt>
                <c:pt idx="18">
                  <c:v>-0.90112589161331846</c:v>
                </c:pt>
                <c:pt idx="19">
                  <c:v>-0.83304881127761399</c:v>
                </c:pt>
                <c:pt idx="20">
                  <c:v>-0.48198795698920666</c:v>
                </c:pt>
                <c:pt idx="21">
                  <c:v>-0.31113109518627635</c:v>
                </c:pt>
                <c:pt idx="22">
                  <c:v>-0.23000268203166879</c:v>
                </c:pt>
                <c:pt idx="23">
                  <c:v>0.17003660985193375</c:v>
                </c:pt>
                <c:pt idx="24">
                  <c:v>0.7243592054353688</c:v>
                </c:pt>
                <c:pt idx="25">
                  <c:v>1.0720429216209946</c:v>
                </c:pt>
                <c:pt idx="26">
                  <c:v>0.95882835027441571</c:v>
                </c:pt>
                <c:pt idx="27">
                  <c:v>0.77620188824905834</c:v>
                </c:pt>
                <c:pt idx="28">
                  <c:v>1.0716869187806881</c:v>
                </c:pt>
                <c:pt idx="29">
                  <c:v>0.95627969800095169</c:v>
                </c:pt>
                <c:pt idx="30">
                  <c:v>1.3947674998186921</c:v>
                </c:pt>
                <c:pt idx="31">
                  <c:v>1.5296967046313141</c:v>
                </c:pt>
                <c:pt idx="32">
                  <c:v>1.6355759447900062</c:v>
                </c:pt>
                <c:pt idx="33">
                  <c:v>1.730068686343323</c:v>
                </c:pt>
                <c:pt idx="34">
                  <c:v>1.9380538284174915</c:v>
                </c:pt>
                <c:pt idx="35">
                  <c:v>1.8614503079338405</c:v>
                </c:pt>
              </c:numCache>
            </c:numRef>
          </c:val>
          <c:smooth val="0"/>
        </c:ser>
        <c:dLbls>
          <c:showLegendKey val="0"/>
          <c:showVal val="0"/>
          <c:showCatName val="0"/>
          <c:showSerName val="0"/>
          <c:showPercent val="0"/>
          <c:showBubbleSize val="0"/>
        </c:dLbls>
        <c:marker val="1"/>
        <c:smooth val="0"/>
        <c:axId val="296352984"/>
        <c:axId val="296341840"/>
      </c:lineChart>
      <c:dateAx>
        <c:axId val="296352984"/>
        <c:scaling>
          <c:orientation val="minMax"/>
        </c:scaling>
        <c:delete val="0"/>
        <c:axPos val="b"/>
        <c:numFmt formatCode="[$-41B]mmm\-yy;@" sourceLinked="0"/>
        <c:majorTickMark val="out"/>
        <c:minorTickMark val="none"/>
        <c:tickLblPos val="low"/>
        <c:crossAx val="296341840"/>
        <c:crosses val="autoZero"/>
        <c:auto val="1"/>
        <c:lblOffset val="100"/>
        <c:baseTimeUnit val="months"/>
        <c:majorUnit val="3"/>
        <c:majorTimeUnit val="months"/>
      </c:dateAx>
      <c:valAx>
        <c:axId val="296341840"/>
        <c:scaling>
          <c:orientation val="minMax"/>
        </c:scaling>
        <c:delete val="0"/>
        <c:axPos val="l"/>
        <c:majorGridlines>
          <c:spPr>
            <a:ln>
              <a:solidFill>
                <a:schemeClr val="bg1">
                  <a:lumMod val="75000"/>
                </a:schemeClr>
              </a:solidFill>
              <a:prstDash val="dash"/>
            </a:ln>
          </c:spPr>
        </c:majorGridlines>
        <c:numFmt formatCode="#,##0.0" sourceLinked="0"/>
        <c:majorTickMark val="out"/>
        <c:minorTickMark val="none"/>
        <c:tickLblPos val="nextTo"/>
        <c:crossAx val="296352984"/>
        <c:crosses val="autoZero"/>
        <c:crossBetween val="between"/>
      </c:valAx>
    </c:plotArea>
    <c:legend>
      <c:legendPos val="r"/>
      <c:layout>
        <c:manualLayout>
          <c:xMode val="edge"/>
          <c:yMode val="edge"/>
          <c:x val="7.6349825424067305E-2"/>
          <c:y val="4.5935813678433704E-2"/>
          <c:w val="0.56961347494473524"/>
          <c:h val="0.31843425976455908"/>
        </c:manualLayout>
      </c:layout>
      <c:overlay val="0"/>
    </c:legend>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488816965363985E-2"/>
          <c:y val="5.8796688875429035E-2"/>
          <c:w val="0.88775076491428007"/>
          <c:h val="0.79424521301925866"/>
        </c:manualLayout>
      </c:layout>
      <c:lineChart>
        <c:grouping val="standard"/>
        <c:varyColors val="0"/>
        <c:ser>
          <c:idx val="3"/>
          <c:order val="0"/>
          <c:spPr>
            <a:ln w="22225">
              <a:solidFill>
                <a:srgbClr val="2C9ADC"/>
              </a:solidFill>
            </a:ln>
          </c:spPr>
          <c:marker>
            <c:symbol val="none"/>
          </c:marker>
          <c:dLbls>
            <c:dLbl>
              <c:idx val="0"/>
              <c:layout>
                <c:manualLayout>
                  <c:x val="-4.3010752688172053E-2"/>
                  <c:y val="-2.81293952180028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1"/>
              <c:layout>
                <c:manualLayout>
                  <c:x val="-1.7522696819640421E-16"/>
                  <c:y val="-3.9381153305203961E-2"/>
                </c:manualLayout>
              </c:layout>
              <c:numFmt formatCode="#,##0.0" sourceLinked="0"/>
              <c:spPr>
                <a:noFill/>
                <a:ln>
                  <a:noFill/>
                </a:ln>
                <a:effectLst/>
              </c:spPr>
              <c:txPr>
                <a:bodyPr wrap="square" lIns="38100" tIns="19050" rIns="38100" bIns="19050" anchor="ctr">
                  <a:no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9725020931523347E-2"/>
                      <c:h val="0.10227848101265823"/>
                    </c:manualLayout>
                  </c15:layout>
                </c:ext>
              </c:extLst>
            </c:dLbl>
            <c:numFmt formatCode="#,##0.0" sourceLinked="0"/>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Hárok1!$C$2:$C$53</c:f>
              <c:strCache>
                <c:ptCount val="52"/>
                <c:pt idx="0">
                  <c:v>1 Q 05</c:v>
                </c:pt>
                <c:pt idx="1">
                  <c:v>2 Q 05</c:v>
                </c:pt>
                <c:pt idx="2">
                  <c:v>3 Q 05</c:v>
                </c:pt>
                <c:pt idx="3">
                  <c:v>4 Q 05</c:v>
                </c:pt>
                <c:pt idx="4">
                  <c:v>1 Q 06</c:v>
                </c:pt>
                <c:pt idx="5">
                  <c:v>2 Q 06</c:v>
                </c:pt>
                <c:pt idx="6">
                  <c:v>3 Q 06</c:v>
                </c:pt>
                <c:pt idx="7">
                  <c:v>4 Q 06</c:v>
                </c:pt>
                <c:pt idx="8">
                  <c:v>1 Q 07</c:v>
                </c:pt>
                <c:pt idx="9">
                  <c:v>2 Q 07</c:v>
                </c:pt>
                <c:pt idx="10">
                  <c:v>3 Q 07</c:v>
                </c:pt>
                <c:pt idx="11">
                  <c:v>4 Q 07</c:v>
                </c:pt>
                <c:pt idx="12">
                  <c:v>1 Q 08</c:v>
                </c:pt>
                <c:pt idx="13">
                  <c:v>2 Q 08</c:v>
                </c:pt>
                <c:pt idx="14">
                  <c:v>3 Q 08</c:v>
                </c:pt>
                <c:pt idx="15">
                  <c:v>4 Q 08</c:v>
                </c:pt>
                <c:pt idx="16">
                  <c:v>1 Q 09</c:v>
                </c:pt>
                <c:pt idx="17">
                  <c:v>2 Q 09</c:v>
                </c:pt>
                <c:pt idx="18">
                  <c:v>3 Q 09</c:v>
                </c:pt>
                <c:pt idx="19">
                  <c:v>4 Q 09</c:v>
                </c:pt>
                <c:pt idx="20">
                  <c:v>1 Q 10</c:v>
                </c:pt>
                <c:pt idx="21">
                  <c:v>2 Q 10</c:v>
                </c:pt>
                <c:pt idx="22">
                  <c:v>3 Q 10</c:v>
                </c:pt>
                <c:pt idx="23">
                  <c:v>4 Q 10</c:v>
                </c:pt>
                <c:pt idx="24">
                  <c:v>1 Q 11</c:v>
                </c:pt>
                <c:pt idx="25">
                  <c:v>2 Q 11</c:v>
                </c:pt>
                <c:pt idx="26">
                  <c:v>3 Q 11</c:v>
                </c:pt>
                <c:pt idx="27">
                  <c:v>4 Q 11</c:v>
                </c:pt>
                <c:pt idx="28">
                  <c:v>1 Q 12</c:v>
                </c:pt>
                <c:pt idx="29">
                  <c:v>2 Q 12</c:v>
                </c:pt>
                <c:pt idx="30">
                  <c:v>3 Q 12</c:v>
                </c:pt>
                <c:pt idx="31">
                  <c:v>4 Q 12</c:v>
                </c:pt>
                <c:pt idx="32">
                  <c:v>1 Q 13</c:v>
                </c:pt>
                <c:pt idx="33">
                  <c:v>2 Q 13</c:v>
                </c:pt>
                <c:pt idx="34">
                  <c:v>3 Q 13</c:v>
                </c:pt>
                <c:pt idx="35">
                  <c:v>4 Q 13</c:v>
                </c:pt>
                <c:pt idx="36">
                  <c:v>1 Q 14</c:v>
                </c:pt>
                <c:pt idx="37">
                  <c:v>2 Q 14</c:v>
                </c:pt>
                <c:pt idx="38">
                  <c:v>3 Q 14</c:v>
                </c:pt>
                <c:pt idx="39">
                  <c:v>4 Q 14</c:v>
                </c:pt>
                <c:pt idx="40">
                  <c:v>1 Q 15</c:v>
                </c:pt>
                <c:pt idx="41">
                  <c:v>2 Q 15</c:v>
                </c:pt>
                <c:pt idx="42">
                  <c:v>3 Q 15</c:v>
                </c:pt>
                <c:pt idx="43">
                  <c:v>4 Q 15</c:v>
                </c:pt>
                <c:pt idx="44">
                  <c:v>1 Q 16</c:v>
                </c:pt>
                <c:pt idx="45">
                  <c:v>2 Q 16</c:v>
                </c:pt>
                <c:pt idx="46">
                  <c:v>3 Q 16</c:v>
                </c:pt>
                <c:pt idx="47">
                  <c:v>4 Q 16</c:v>
                </c:pt>
                <c:pt idx="48">
                  <c:v>1 Q 17</c:v>
                </c:pt>
                <c:pt idx="49">
                  <c:v>2 Q 17</c:v>
                </c:pt>
                <c:pt idx="50">
                  <c:v>3 Q 17</c:v>
                </c:pt>
                <c:pt idx="51">
                  <c:v>4 Q 17</c:v>
                </c:pt>
              </c:strCache>
            </c:strRef>
          </c:cat>
          <c:val>
            <c:numRef>
              <c:f>Hárok1!$D$2:$D$53</c:f>
              <c:numCache>
                <c:formatCode>General</c:formatCode>
                <c:ptCount val="52"/>
                <c:pt idx="0">
                  <c:v>16.656989894122653</c:v>
                </c:pt>
                <c:pt idx="1">
                  <c:v>16.062083136996431</c:v>
                </c:pt>
                <c:pt idx="2">
                  <c:v>15.787497126580528</c:v>
                </c:pt>
                <c:pt idx="3">
                  <c:v>15.241925861356636</c:v>
                </c:pt>
                <c:pt idx="4">
                  <c:v>15.22328436652769</c:v>
                </c:pt>
                <c:pt idx="5">
                  <c:v>15.320164849674475</c:v>
                </c:pt>
                <c:pt idx="6">
                  <c:v>15.336748407905906</c:v>
                </c:pt>
                <c:pt idx="7">
                  <c:v>15.395980364674328</c:v>
                </c:pt>
                <c:pt idx="8">
                  <c:v>14.779788061936628</c:v>
                </c:pt>
                <c:pt idx="9">
                  <c:v>15.076434733766003</c:v>
                </c:pt>
                <c:pt idx="10">
                  <c:v>14.676238045773509</c:v>
                </c:pt>
                <c:pt idx="11">
                  <c:v>14.707151276953766</c:v>
                </c:pt>
                <c:pt idx="12">
                  <c:v>14.825352991852835</c:v>
                </c:pt>
                <c:pt idx="13">
                  <c:v>14.413274619041063</c:v>
                </c:pt>
                <c:pt idx="14">
                  <c:v>14.56748979174621</c:v>
                </c:pt>
                <c:pt idx="15">
                  <c:v>14.544835670661262</c:v>
                </c:pt>
                <c:pt idx="16">
                  <c:v>13.612531076937911</c:v>
                </c:pt>
                <c:pt idx="17">
                  <c:v>13.2672015713537</c:v>
                </c:pt>
                <c:pt idx="18">
                  <c:v>13.360001273557168</c:v>
                </c:pt>
                <c:pt idx="19">
                  <c:v>13.72768558706467</c:v>
                </c:pt>
                <c:pt idx="20">
                  <c:v>13.370452009060502</c:v>
                </c:pt>
                <c:pt idx="21">
                  <c:v>13.611493499282831</c:v>
                </c:pt>
                <c:pt idx="22">
                  <c:v>13.490464793515217</c:v>
                </c:pt>
                <c:pt idx="23">
                  <c:v>12.858768705126625</c:v>
                </c:pt>
                <c:pt idx="24">
                  <c:v>13.265591604765348</c:v>
                </c:pt>
                <c:pt idx="25">
                  <c:v>12.75179838043387</c:v>
                </c:pt>
                <c:pt idx="26">
                  <c:v>12.906316460979181</c:v>
                </c:pt>
                <c:pt idx="27">
                  <c:v>12.538938520981146</c:v>
                </c:pt>
                <c:pt idx="28">
                  <c:v>12.571896138302014</c:v>
                </c:pt>
                <c:pt idx="29">
                  <c:v>12.155830380675244</c:v>
                </c:pt>
                <c:pt idx="30">
                  <c:v>11.919604728880698</c:v>
                </c:pt>
                <c:pt idx="31">
                  <c:v>12.183355248528867</c:v>
                </c:pt>
                <c:pt idx="32">
                  <c:v>12.294297061164194</c:v>
                </c:pt>
                <c:pt idx="33">
                  <c:v>12.97606141617389</c:v>
                </c:pt>
                <c:pt idx="34">
                  <c:v>12.937339933612543</c:v>
                </c:pt>
                <c:pt idx="35">
                  <c:v>12.968933411535307</c:v>
                </c:pt>
                <c:pt idx="36">
                  <c:v>13.967343389227791</c:v>
                </c:pt>
                <c:pt idx="37">
                  <c:v>13.891301661891516</c:v>
                </c:pt>
                <c:pt idx="38">
                  <c:v>13.830066519983808</c:v>
                </c:pt>
                <c:pt idx="39">
                  <c:v>14.32284238022164</c:v>
                </c:pt>
                <c:pt idx="40">
                  <c:v>14.228306517301389</c:v>
                </c:pt>
                <c:pt idx="41">
                  <c:v>14.135602935482469</c:v>
                </c:pt>
                <c:pt idx="42">
                  <c:v>14.342709074765473</c:v>
                </c:pt>
                <c:pt idx="43">
                  <c:v>13.947548590278904</c:v>
                </c:pt>
                <c:pt idx="44">
                  <c:v>14.405759298341808</c:v>
                </c:pt>
                <c:pt idx="45">
                  <c:v>14.909317999284873</c:v>
                </c:pt>
                <c:pt idx="46">
                  <c:v>14.832969211688397</c:v>
                </c:pt>
                <c:pt idx="47">
                  <c:v>15.083644854175708</c:v>
                </c:pt>
                <c:pt idx="48">
                  <c:v>14.955309382249151</c:v>
                </c:pt>
                <c:pt idx="49">
                  <c:v>15.075944143393938</c:v>
                </c:pt>
                <c:pt idx="50">
                  <c:v>15.328698770134602</c:v>
                </c:pt>
                <c:pt idx="51">
                  <c:v>15.816352067956377</c:v>
                </c:pt>
              </c:numCache>
            </c:numRef>
          </c:val>
          <c:smooth val="0"/>
          <c:extLst xmlns:c16r2="http://schemas.microsoft.com/office/drawing/2015/06/chart">
            <c:ext xmlns:c16="http://schemas.microsoft.com/office/drawing/2014/chart" uri="{C3380CC4-5D6E-409C-BE32-E72D297353CC}">
              <c16:uniqueId val="{00000000-42FA-4AE1-BE9C-5A89F897F022}"/>
            </c:ext>
          </c:extLst>
        </c:ser>
        <c:dLbls>
          <c:showLegendKey val="0"/>
          <c:showVal val="0"/>
          <c:showCatName val="0"/>
          <c:showSerName val="0"/>
          <c:showPercent val="0"/>
          <c:showBubbleSize val="0"/>
        </c:dLbls>
        <c:smooth val="0"/>
        <c:axId val="296716640"/>
        <c:axId val="296098312"/>
      </c:lineChart>
      <c:catAx>
        <c:axId val="296716640"/>
        <c:scaling>
          <c:orientation val="minMax"/>
        </c:scaling>
        <c:delete val="0"/>
        <c:axPos val="b"/>
        <c:numFmt formatCode="General" sourceLinked="0"/>
        <c:majorTickMark val="out"/>
        <c:minorTickMark val="none"/>
        <c:tickLblPos val="low"/>
        <c:txPr>
          <a:bodyPr rot="-5400000" vert="horz"/>
          <a:lstStyle/>
          <a:p>
            <a:pPr>
              <a:defRPr sz="800"/>
            </a:pPr>
            <a:endParaRPr lang="en-US"/>
          </a:p>
        </c:txPr>
        <c:crossAx val="296098312"/>
        <c:crosses val="autoZero"/>
        <c:auto val="1"/>
        <c:lblAlgn val="ctr"/>
        <c:lblOffset val="100"/>
        <c:noMultiLvlLbl val="0"/>
      </c:catAx>
      <c:valAx>
        <c:axId val="296098312"/>
        <c:scaling>
          <c:orientation val="minMax"/>
          <c:max val="20"/>
          <c:min val="4"/>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a:pPr>
            <a:endParaRPr lang="en-US"/>
          </a:p>
        </c:txPr>
        <c:crossAx val="296716640"/>
        <c:crosses val="autoZero"/>
        <c:crossBetween val="between"/>
      </c:valAx>
    </c:plotArea>
    <c:plotVisOnly val="1"/>
    <c:dispBlanksAs val="gap"/>
    <c:showDLblsOverMax val="0"/>
  </c:chart>
  <c:spPr>
    <a:ln>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007421532544449E-2"/>
          <c:y val="2.7117629452259807E-2"/>
          <c:w val="0.91819511922711794"/>
          <c:h val="0.84707157789053678"/>
        </c:manualLayout>
      </c:layout>
      <c:lineChart>
        <c:grouping val="standard"/>
        <c:varyColors val="0"/>
        <c:ser>
          <c:idx val="3"/>
          <c:order val="0"/>
          <c:tx>
            <c:strRef>
              <c:f>EDS!$A$30</c:f>
              <c:strCache>
                <c:ptCount val="1"/>
                <c:pt idx="0">
                  <c:v>EDS (S1)</c:v>
                </c:pt>
              </c:strCache>
            </c:strRef>
          </c:tx>
          <c:spPr>
            <a:ln w="22225">
              <a:solidFill>
                <a:srgbClr val="2C9ADC"/>
              </a:solidFill>
              <a:prstDash val="solid"/>
            </a:ln>
          </c:spPr>
          <c:marker>
            <c:symbol val="none"/>
          </c:marker>
          <c:dLbls>
            <c:dLbl>
              <c:idx val="1"/>
              <c:layout>
                <c:manualLayout>
                  <c:x val="-2.7777777777777779E-3"/>
                  <c:y val="7.588072642352104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77777777777779E-3"/>
                  <c:y val="4.87804669865493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7777777777777267E-3"/>
                  <c:y val="4.87804669865493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0925337632079971E-17"/>
                  <c:y val="5.42005188739436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3888888888888888E-2"/>
                  <c:y val="6.504062264873240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4.87804669865493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0185067526415994E-16"/>
                  <c:y val="4.87804669865493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0785017957927142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4.9149570589390776E-2"/>
                  <c:y val="3.252032520325203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
                  <c:y val="3.252032520325198E-2"/>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wrap="square" lIns="38100" tIns="19050" rIns="38100" bIns="19050" anchor="ctr">
                <a:spAutoFit/>
              </a:bodyPr>
              <a:lstStyle/>
              <a:p>
                <a:pPr>
                  <a:defRPr sz="7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EDS!$J$1:$V$1</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EDS!$J$10:$V$10</c:f>
              <c:numCache>
                <c:formatCode>0.00</c:formatCode>
                <c:ptCount val="13"/>
                <c:pt idx="0">
                  <c:v>15.63670016748698</c:v>
                </c:pt>
                <c:pt idx="1">
                  <c:v>18.185088010539967</c:v>
                </c:pt>
                <c:pt idx="2">
                  <c:v>16.314233252291729</c:v>
                </c:pt>
                <c:pt idx="3">
                  <c:v>15.544200742613395</c:v>
                </c:pt>
                <c:pt idx="4">
                  <c:v>16.25550313452538</c:v>
                </c:pt>
                <c:pt idx="5">
                  <c:v>17.872918712190771</c:v>
                </c:pt>
                <c:pt idx="6">
                  <c:v>15.48971427949952</c:v>
                </c:pt>
                <c:pt idx="7">
                  <c:v>15.20423221446126</c:v>
                </c:pt>
                <c:pt idx="8">
                  <c:v>14.776185893583527</c:v>
                </c:pt>
                <c:pt idx="9">
                  <c:v>18.562692850685625</c:v>
                </c:pt>
                <c:pt idx="10">
                  <c:v>21.646479005583455</c:v>
                </c:pt>
                <c:pt idx="11">
                  <c:v>24.981420343838199</c:v>
                </c:pt>
                <c:pt idx="12">
                  <c:v>23.719501808109118</c:v>
                </c:pt>
              </c:numCache>
            </c:numRef>
          </c:val>
          <c:smooth val="0"/>
        </c:ser>
        <c:ser>
          <c:idx val="0"/>
          <c:order val="1"/>
          <c:tx>
            <c:strRef>
              <c:f>EDS!$A$29</c:f>
              <c:strCache>
                <c:ptCount val="1"/>
                <c:pt idx="0">
                  <c:v>EDS (S11+S12)</c:v>
                </c:pt>
              </c:strCache>
            </c:strRef>
          </c:tx>
          <c:spPr>
            <a:ln w="22225">
              <a:solidFill>
                <a:sysClr val="windowText" lastClr="000000"/>
              </a:solidFill>
            </a:ln>
          </c:spPr>
          <c:marker>
            <c:symbol val="none"/>
          </c:marker>
          <c:dLbls>
            <c:dLbl>
              <c:idx val="0"/>
              <c:layout>
                <c:manualLayout>
                  <c:x val="-4.6372660318435066E-2"/>
                  <c:y val="-7.814530516819190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77777777777779E-3"/>
                  <c:y val="-3.25203113243662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7779236676995201E-3"/>
                  <c:y val="-7.757920562234420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1308363263211903E-3"/>
                  <c:y val="-9.49718010779930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3.85065530382482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0261672652642381E-2"/>
                  <c:y val="-5.04790163725793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6177526936890714E-2"/>
                  <c:y val="-0.12093979123606256"/>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8.0589682574952637E-2"/>
                  <c:y val="-6.16435741102551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11095009352666217"/>
                  <c:y val="-4.79723407815567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7.4609632236196322E-2"/>
                  <c:y val="-3.7940453492400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
                  <c:y val="-4.449278470541377E-2"/>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noFill/>
              <a:ln>
                <a:noFill/>
              </a:ln>
              <a:effectLst/>
            </c:spPr>
            <c:txPr>
              <a:bodyPr wrap="square" lIns="38100" tIns="19050" rIns="38100" bIns="19050" anchor="ctr">
                <a:spAutoFit/>
              </a:bodyPr>
              <a:lstStyle/>
              <a:p>
                <a:pPr>
                  <a:defRPr sz="7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EDS!$J$1:$V$1</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EDS!$J$29:$V$29</c:f>
              <c:numCache>
                <c:formatCode>0.00</c:formatCode>
                <c:ptCount val="13"/>
                <c:pt idx="0">
                  <c:v>18.713599522657866</c:v>
                </c:pt>
                <c:pt idx="1">
                  <c:v>21.490793825832643</c:v>
                </c:pt>
                <c:pt idx="2">
                  <c:v>18.843062587856547</c:v>
                </c:pt>
                <c:pt idx="3">
                  <c:v>18.140236451408249</c:v>
                </c:pt>
                <c:pt idx="4">
                  <c:v>18.883600568541983</c:v>
                </c:pt>
                <c:pt idx="5">
                  <c:v>21.690015655841016</c:v>
                </c:pt>
                <c:pt idx="6">
                  <c:v>18.026393351779486</c:v>
                </c:pt>
                <c:pt idx="7">
                  <c:v>17.54052004162666</c:v>
                </c:pt>
                <c:pt idx="8">
                  <c:v>16.954688835285907</c:v>
                </c:pt>
                <c:pt idx="9">
                  <c:v>21.267097921603295</c:v>
                </c:pt>
                <c:pt idx="10">
                  <c:v>24.910030591759316</c:v>
                </c:pt>
                <c:pt idx="11">
                  <c:v>28.617106346271008</c:v>
                </c:pt>
                <c:pt idx="12">
                  <c:v>27.294768637280477</c:v>
                </c:pt>
              </c:numCache>
            </c:numRef>
          </c:val>
          <c:smooth val="0"/>
        </c:ser>
        <c:dLbls>
          <c:showLegendKey val="0"/>
          <c:showVal val="0"/>
          <c:showCatName val="0"/>
          <c:showSerName val="0"/>
          <c:showPercent val="0"/>
          <c:showBubbleSize val="0"/>
        </c:dLbls>
        <c:smooth val="0"/>
        <c:axId val="293000152"/>
        <c:axId val="292999760"/>
      </c:lineChart>
      <c:catAx>
        <c:axId val="293000152"/>
        <c:scaling>
          <c:orientation val="minMax"/>
        </c:scaling>
        <c:delete val="0"/>
        <c:axPos val="b"/>
        <c:numFmt formatCode="General" sourceLinked="0"/>
        <c:majorTickMark val="out"/>
        <c:minorTickMark val="none"/>
        <c:tickLblPos val="low"/>
        <c:txPr>
          <a:bodyPr rot="-5400000" vert="horz"/>
          <a:lstStyle/>
          <a:p>
            <a:pPr>
              <a:defRPr b="0"/>
            </a:pPr>
            <a:endParaRPr lang="en-US"/>
          </a:p>
        </c:txPr>
        <c:crossAx val="292999760"/>
        <c:crosses val="autoZero"/>
        <c:auto val="1"/>
        <c:lblAlgn val="ctr"/>
        <c:lblOffset val="100"/>
        <c:noMultiLvlLbl val="0"/>
      </c:catAx>
      <c:valAx>
        <c:axId val="292999760"/>
        <c:scaling>
          <c:orientation val="minMax"/>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b="0"/>
            </a:pPr>
            <a:endParaRPr lang="en-US"/>
          </a:p>
        </c:txPr>
        <c:crossAx val="293000152"/>
        <c:crosses val="autoZero"/>
        <c:crossBetween val="between"/>
      </c:valAx>
    </c:plotArea>
    <c:legend>
      <c:legendPos val="l"/>
      <c:layout>
        <c:manualLayout>
          <c:xMode val="edge"/>
          <c:yMode val="edge"/>
          <c:x val="9.5098637298352079E-2"/>
          <c:y val="5.2518577350833248E-2"/>
          <c:w val="0.40851215026693094"/>
          <c:h val="0.20417292196452097"/>
        </c:manualLayout>
      </c:layout>
      <c:overlay val="1"/>
    </c:legend>
    <c:plotVisOnly val="1"/>
    <c:dispBlanksAs val="gap"/>
    <c:showDLblsOverMax val="0"/>
  </c:chart>
  <c:spPr>
    <a:ln>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209341887819573E-2"/>
          <c:y val="2.452485858040308E-2"/>
          <c:w val="0.91336930105958991"/>
          <c:h val="0.60412784142054443"/>
        </c:manualLayout>
      </c:layout>
      <c:barChart>
        <c:barDir val="col"/>
        <c:grouping val="clustered"/>
        <c:varyColors val="0"/>
        <c:ser>
          <c:idx val="0"/>
          <c:order val="0"/>
          <c:tx>
            <c:strRef>
              <c:f>'42 vzdelávanie'!$C$1</c:f>
              <c:strCache>
                <c:ptCount val="1"/>
                <c:pt idx="0">
                  <c:v>Slovensko</c:v>
                </c:pt>
              </c:strCache>
            </c:strRef>
          </c:tx>
          <c:spPr>
            <a:solidFill>
              <a:srgbClr val="2C9ADC"/>
            </a:solidFill>
          </c:spPr>
          <c:invertIfNegative val="0"/>
          <c:dLbls>
            <c:dLbl>
              <c:idx val="3"/>
              <c:layout>
                <c:manualLayout>
                  <c:x val="-7.0360578574482956E-3"/>
                  <c:y val="2.7655893193856182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'42 vzdelávanie'!$A$2:$B$5</c:f>
              <c:multiLvlStrCache>
                <c:ptCount val="4"/>
                <c:lvl>
                  <c:pt idx="0">
                    <c:v>Primárne a sekundárne</c:v>
                  </c:pt>
                  <c:pt idx="1">
                    <c:v>Terciárne</c:v>
                  </c:pt>
                  <c:pt idx="2">
                    <c:v>Primárne a sekundárne</c:v>
                  </c:pt>
                  <c:pt idx="3">
                    <c:v>Terciárne</c:v>
                  </c:pt>
                </c:lvl>
                <c:lvl>
                  <c:pt idx="0">
                    <c:v>% celkových výdavkov</c:v>
                  </c:pt>
                  <c:pt idx="2">
                    <c:v>% HDP</c:v>
                  </c:pt>
                </c:lvl>
              </c:multiLvlStrCache>
            </c:multiLvlStrRef>
          </c:cat>
          <c:val>
            <c:numRef>
              <c:f>'42 vzdelávanie'!$C$2:$C$5</c:f>
              <c:numCache>
                <c:formatCode>0.0</c:formatCode>
                <c:ptCount val="4"/>
                <c:pt idx="0">
                  <c:v>6.25791263222089</c:v>
                </c:pt>
                <c:pt idx="1">
                  <c:v>2.3200363797382</c:v>
                </c:pt>
                <c:pt idx="2">
                  <c:v>2.6294067896</c:v>
                </c:pt>
                <c:pt idx="3">
                  <c:v>0.97481696653819006</c:v>
                </c:pt>
              </c:numCache>
            </c:numRef>
          </c:val>
        </c:ser>
        <c:ser>
          <c:idx val="2"/>
          <c:order val="1"/>
          <c:tx>
            <c:strRef>
              <c:f>'42 vzdelávanie'!$D$1</c:f>
              <c:strCache>
                <c:ptCount val="1"/>
                <c:pt idx="0">
                  <c:v>OECD</c:v>
                </c:pt>
              </c:strCache>
            </c:strRef>
          </c:tx>
          <c:spPr>
            <a:solidFill>
              <a:schemeClr val="tx2">
                <a:lumMod val="20000"/>
                <a:lumOff val="80000"/>
              </a:schemeClr>
            </a:solidFill>
          </c:spPr>
          <c:invertIfNegative val="0"/>
          <c:dLbls>
            <c:dLbl>
              <c:idx val="3"/>
              <c:layout>
                <c:manualLayout>
                  <c:x val="0"/>
                  <c:y val="-4.3328879918891009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'42 vzdelávanie'!$A$2:$B$5</c:f>
              <c:multiLvlStrCache>
                <c:ptCount val="4"/>
                <c:lvl>
                  <c:pt idx="0">
                    <c:v>Primárne a sekundárne</c:v>
                  </c:pt>
                  <c:pt idx="1">
                    <c:v>Terciárne</c:v>
                  </c:pt>
                  <c:pt idx="2">
                    <c:v>Primárne a sekundárne</c:v>
                  </c:pt>
                  <c:pt idx="3">
                    <c:v>Terciárne</c:v>
                  </c:pt>
                </c:lvl>
                <c:lvl>
                  <c:pt idx="0">
                    <c:v>% celkových výdavkov</c:v>
                  </c:pt>
                  <c:pt idx="2">
                    <c:v>% HDP</c:v>
                  </c:pt>
                </c:lvl>
              </c:multiLvlStrCache>
            </c:multiLvlStrRef>
          </c:cat>
          <c:val>
            <c:numRef>
              <c:f>'42 vzdelávanie'!$D$2:$D$5</c:f>
              <c:numCache>
                <c:formatCode>0.0</c:formatCode>
                <c:ptCount val="4"/>
                <c:pt idx="0">
                  <c:v>8.2873711646587047</c:v>
                </c:pt>
                <c:pt idx="1">
                  <c:v>3.1370920941185885</c:v>
                </c:pt>
                <c:pt idx="2">
                  <c:v>3.4340531440451256</c:v>
                </c:pt>
                <c:pt idx="3">
                  <c:v>1.3198981165929367</c:v>
                </c:pt>
              </c:numCache>
            </c:numRef>
          </c:val>
        </c:ser>
        <c:dLbls>
          <c:dLblPos val="inEnd"/>
          <c:showLegendKey val="0"/>
          <c:showVal val="1"/>
          <c:showCatName val="0"/>
          <c:showSerName val="0"/>
          <c:showPercent val="0"/>
          <c:showBubbleSize val="0"/>
        </c:dLbls>
        <c:gapWidth val="150"/>
        <c:axId val="293004464"/>
        <c:axId val="293004856"/>
      </c:barChart>
      <c:catAx>
        <c:axId val="293004464"/>
        <c:scaling>
          <c:orientation val="minMax"/>
        </c:scaling>
        <c:delete val="0"/>
        <c:axPos val="b"/>
        <c:numFmt formatCode="General" sourceLinked="1"/>
        <c:majorTickMark val="out"/>
        <c:minorTickMark val="none"/>
        <c:tickLblPos val="nextTo"/>
        <c:txPr>
          <a:bodyPr/>
          <a:lstStyle/>
          <a:p>
            <a:pPr>
              <a:defRPr sz="900"/>
            </a:pPr>
            <a:endParaRPr lang="en-US"/>
          </a:p>
        </c:txPr>
        <c:crossAx val="293004856"/>
        <c:crosses val="autoZero"/>
        <c:auto val="1"/>
        <c:lblAlgn val="ctr"/>
        <c:lblOffset val="100"/>
        <c:noMultiLvlLbl val="0"/>
      </c:catAx>
      <c:valAx>
        <c:axId val="293004856"/>
        <c:scaling>
          <c:orientation val="minMax"/>
        </c:scaling>
        <c:delete val="0"/>
        <c:axPos val="l"/>
        <c:majorGridlines>
          <c:spPr>
            <a:ln>
              <a:solidFill>
                <a:sysClr val="window" lastClr="FFFFFF">
                  <a:lumMod val="65000"/>
                </a:sysClr>
              </a:solidFill>
              <a:prstDash val="sysDash"/>
            </a:ln>
          </c:spPr>
        </c:majorGridlines>
        <c:numFmt formatCode="0.0" sourceLinked="0"/>
        <c:majorTickMark val="out"/>
        <c:minorTickMark val="none"/>
        <c:tickLblPos val="nextTo"/>
        <c:spPr>
          <a:noFill/>
          <a:ln>
            <a:solidFill>
              <a:sysClr val="windowText" lastClr="000000">
                <a:lumMod val="50000"/>
                <a:lumOff val="50000"/>
              </a:sysClr>
            </a:solidFill>
            <a:prstDash val="solid"/>
          </a:ln>
        </c:spPr>
        <c:txPr>
          <a:bodyPr/>
          <a:lstStyle/>
          <a:p>
            <a:pPr>
              <a:defRPr sz="900"/>
            </a:pPr>
            <a:endParaRPr lang="en-US"/>
          </a:p>
        </c:txPr>
        <c:crossAx val="293004464"/>
        <c:crosses val="autoZero"/>
        <c:crossBetween val="between"/>
      </c:valAx>
    </c:plotArea>
    <c:legend>
      <c:legendPos val="r"/>
      <c:layout>
        <c:manualLayout>
          <c:xMode val="edge"/>
          <c:yMode val="edge"/>
          <c:x val="0.47664697668212169"/>
          <c:y val="2.4298219136734078E-2"/>
          <c:w val="0.47664357927481316"/>
          <c:h val="8.8228601774972673E-2"/>
        </c:manualLayout>
      </c:layout>
      <c:overlay val="0"/>
      <c:txPr>
        <a:bodyPr/>
        <a:lstStyle/>
        <a:p>
          <a:pPr>
            <a:defRPr sz="900"/>
          </a:pPr>
          <a:endParaRPr lang="en-US"/>
        </a:p>
      </c:txPr>
    </c:legend>
    <c:plotVisOnly val="1"/>
    <c:dispBlanksAs val="gap"/>
    <c:showDLblsOverMax val="0"/>
  </c:chart>
  <c:spPr>
    <a:ln>
      <a:noFill/>
    </a:ln>
  </c:spPr>
  <c:txPr>
    <a:bodyPr/>
    <a:lstStyle/>
    <a:p>
      <a:pPr>
        <a:defRPr>
          <a:latin typeface="Arial Narrow" pitchFamily="34"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417436997626964E-2"/>
          <c:y val="5.5989236111111111E-2"/>
          <c:w val="0.93616132135261021"/>
          <c:h val="0.86336284722222201"/>
        </c:manualLayout>
      </c:layout>
      <c:barChart>
        <c:barDir val="col"/>
        <c:grouping val="clustered"/>
        <c:varyColors val="0"/>
        <c:ser>
          <c:idx val="0"/>
          <c:order val="0"/>
          <c:tx>
            <c:strRef>
              <c:f>'42 vzdelávanie'!$B$18</c:f>
              <c:strCache>
                <c:ptCount val="1"/>
                <c:pt idx="0">
                  <c:v>Reálny priemerný plat </c:v>
                </c:pt>
              </c:strCache>
            </c:strRef>
          </c:tx>
          <c:spPr>
            <a:solidFill>
              <a:srgbClr val="AAD3F2"/>
            </a:solidFill>
          </c:spPr>
          <c:invertIfNegative val="0"/>
          <c:dPt>
            <c:idx val="13"/>
            <c:invertIfNegative val="0"/>
            <c:bubble3D val="0"/>
            <c:spPr>
              <a:solidFill>
                <a:sysClr val="windowText" lastClr="000000">
                  <a:lumMod val="75000"/>
                  <a:lumOff val="25000"/>
                </a:sysClr>
              </a:solidFill>
            </c:spPr>
          </c:dPt>
          <c:dPt>
            <c:idx val="15"/>
            <c:invertIfNegative val="0"/>
            <c:bubble3D val="0"/>
          </c:dPt>
          <c:dPt>
            <c:idx val="25"/>
            <c:invertIfNegative val="0"/>
            <c:bubble3D val="0"/>
          </c:dPt>
          <c:dPt>
            <c:idx val="27"/>
            <c:invertIfNegative val="0"/>
            <c:bubble3D val="0"/>
            <c:spPr>
              <a:solidFill>
                <a:srgbClr val="2C9ADC"/>
              </a:solidFill>
            </c:spPr>
          </c:dPt>
          <c:cat>
            <c:strRef>
              <c:f>'42 vzdelávanie'!$A$19:$A$47</c:f>
              <c:strCache>
                <c:ptCount val="29"/>
                <c:pt idx="0">
                  <c:v>PT</c:v>
                </c:pt>
                <c:pt idx="1">
                  <c:v>LU</c:v>
                </c:pt>
                <c:pt idx="2">
                  <c:v>LV</c:v>
                </c:pt>
                <c:pt idx="3">
                  <c:v>GR</c:v>
                </c:pt>
                <c:pt idx="4">
                  <c:v>FI</c:v>
                </c:pt>
                <c:pt idx="5">
                  <c:v>DE</c:v>
                </c:pt>
                <c:pt idx="6">
                  <c:v>IL</c:v>
                </c:pt>
                <c:pt idx="7">
                  <c:v>EE</c:v>
                </c:pt>
                <c:pt idx="8">
                  <c:v>FR</c:v>
                </c:pt>
                <c:pt idx="9">
                  <c:v>UK (Eng.)</c:v>
                </c:pt>
                <c:pt idx="10">
                  <c:v>SI</c:v>
                </c:pt>
                <c:pt idx="11">
                  <c:v>DK</c:v>
                </c:pt>
                <c:pt idx="12">
                  <c:v>BE (Fl.)</c:v>
                </c:pt>
                <c:pt idx="13">
                  <c:v>OECD</c:v>
                </c:pt>
                <c:pt idx="14">
                  <c:v>NZ</c:v>
                </c:pt>
                <c:pt idx="15">
                  <c:v>NL</c:v>
                </c:pt>
                <c:pt idx="16">
                  <c:v>AU</c:v>
                </c:pt>
                <c:pt idx="17">
                  <c:v>SE</c:v>
                </c:pt>
                <c:pt idx="18">
                  <c:v>PL</c:v>
                </c:pt>
                <c:pt idx="19">
                  <c:v>AT</c:v>
                </c:pt>
                <c:pt idx="20">
                  <c:v>BE (Fr.)</c:v>
                </c:pt>
                <c:pt idx="21">
                  <c:v>UK (Šk.)</c:v>
                </c:pt>
                <c:pt idx="22">
                  <c:v>NO</c:v>
                </c:pt>
                <c:pt idx="23">
                  <c:v>CL</c:v>
                </c:pt>
                <c:pt idx="24">
                  <c:v>HU</c:v>
                </c:pt>
                <c:pt idx="25">
                  <c:v>IT</c:v>
                </c:pt>
                <c:pt idx="26">
                  <c:v>US</c:v>
                </c:pt>
                <c:pt idx="27">
                  <c:v>SK</c:v>
                </c:pt>
                <c:pt idx="28">
                  <c:v>CZ</c:v>
                </c:pt>
              </c:strCache>
            </c:strRef>
          </c:cat>
          <c:val>
            <c:numRef>
              <c:f>'42 vzdelávanie'!$B$19:$B$47</c:f>
              <c:numCache>
                <c:formatCode>0.00</c:formatCode>
                <c:ptCount val="29"/>
                <c:pt idx="0">
                  <c:v>1.3022760946345773</c:v>
                </c:pt>
                <c:pt idx="1">
                  <c:v>1.2573525210831118</c:v>
                </c:pt>
                <c:pt idx="2">
                  <c:v>1.1004065443057234</c:v>
                </c:pt>
                <c:pt idx="3">
                  <c:v>1.0591191903286274</c:v>
                </c:pt>
                <c:pt idx="4">
                  <c:v>0.99539779081112567</c:v>
                </c:pt>
                <c:pt idx="5">
                  <c:v>0.98346474671736328</c:v>
                </c:pt>
                <c:pt idx="6">
                  <c:v>0.9698006158696032</c:v>
                </c:pt>
                <c:pt idx="7">
                  <c:v>0.94160906474779216</c:v>
                </c:pt>
                <c:pt idx="8">
                  <c:v>0.91627556341673189</c:v>
                </c:pt>
                <c:pt idx="9">
                  <c:v>0.89367313767337808</c:v>
                </c:pt>
                <c:pt idx="10">
                  <c:v>0.88666185386248741</c:v>
                </c:pt>
                <c:pt idx="11">
                  <c:v>0.88634433432867721</c:v>
                </c:pt>
                <c:pt idx="12">
                  <c:v>0.88383554322962166</c:v>
                </c:pt>
                <c:pt idx="13">
                  <c:v>0.88106710794625498</c:v>
                </c:pt>
                <c:pt idx="14">
                  <c:v>0.88049424593435233</c:v>
                </c:pt>
                <c:pt idx="15">
                  <c:v>0.87930105017533955</c:v>
                </c:pt>
                <c:pt idx="16">
                  <c:v>0.87862894990893026</c:v>
                </c:pt>
                <c:pt idx="17">
                  <c:v>0.86489798228799819</c:v>
                </c:pt>
                <c:pt idx="18">
                  <c:v>0.85493063328698038</c:v>
                </c:pt>
                <c:pt idx="19">
                  <c:v>0.84935665020576723</c:v>
                </c:pt>
                <c:pt idx="20">
                  <c:v>0.84073837080355884</c:v>
                </c:pt>
                <c:pt idx="21">
                  <c:v>0.82295557884512949</c:v>
                </c:pt>
                <c:pt idx="22">
                  <c:v>0.74721823489710026</c:v>
                </c:pt>
                <c:pt idx="23">
                  <c:v>0.74539093573055526</c:v>
                </c:pt>
                <c:pt idx="24">
                  <c:v>0.6862404368016497</c:v>
                </c:pt>
                <c:pt idx="25">
                  <c:v>0.6737144900606673</c:v>
                </c:pt>
                <c:pt idx="26">
                  <c:v>0.66258267008951133</c:v>
                </c:pt>
                <c:pt idx="27">
                  <c:v>0.6241726015248944</c:v>
                </c:pt>
                <c:pt idx="28">
                  <c:v>0.58303919093388179</c:v>
                </c:pt>
              </c:numCache>
            </c:numRef>
          </c:val>
        </c:ser>
        <c:dLbls>
          <c:showLegendKey val="0"/>
          <c:showVal val="0"/>
          <c:showCatName val="0"/>
          <c:showSerName val="0"/>
          <c:showPercent val="0"/>
          <c:showBubbleSize val="0"/>
        </c:dLbls>
        <c:gapWidth val="150"/>
        <c:axId val="296115592"/>
        <c:axId val="296115984"/>
      </c:barChart>
      <c:catAx>
        <c:axId val="296115592"/>
        <c:scaling>
          <c:orientation val="minMax"/>
        </c:scaling>
        <c:delete val="0"/>
        <c:axPos val="b"/>
        <c:numFmt formatCode="General" sourceLinked="1"/>
        <c:majorTickMark val="out"/>
        <c:minorTickMark val="none"/>
        <c:tickLblPos val="nextTo"/>
        <c:crossAx val="296115984"/>
        <c:crosses val="autoZero"/>
        <c:auto val="1"/>
        <c:lblAlgn val="ctr"/>
        <c:lblOffset val="100"/>
        <c:tickLblSkip val="1"/>
        <c:noMultiLvlLbl val="0"/>
      </c:catAx>
      <c:valAx>
        <c:axId val="296115984"/>
        <c:scaling>
          <c:orientation val="minMax"/>
        </c:scaling>
        <c:delete val="0"/>
        <c:axPos val="l"/>
        <c:majorGridlines>
          <c:spPr>
            <a:ln>
              <a:solidFill>
                <a:schemeClr val="bg1">
                  <a:lumMod val="75000"/>
                </a:schemeClr>
              </a:solidFill>
              <a:prstDash val="sysDash"/>
            </a:ln>
          </c:spPr>
        </c:majorGridlines>
        <c:numFmt formatCode="0.0" sourceLinked="0"/>
        <c:majorTickMark val="out"/>
        <c:minorTickMark val="none"/>
        <c:tickLblPos val="nextTo"/>
        <c:crossAx val="296115592"/>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766234865803064"/>
          <c:y val="4.7656077473074487E-2"/>
          <c:w val="0.81233765134196934"/>
          <c:h val="0.62294119618026467"/>
        </c:manualLayout>
      </c:layout>
      <c:lineChart>
        <c:grouping val="standard"/>
        <c:varyColors val="0"/>
        <c:ser>
          <c:idx val="3"/>
          <c:order val="0"/>
          <c:tx>
            <c:strRef>
              <c:f>'42 vzdelávanie'!$A$49</c:f>
              <c:strCache>
                <c:ptCount val="1"/>
                <c:pt idx="0">
                  <c:v>Výdavky na výskum a vývoj (% HDP)</c:v>
                </c:pt>
              </c:strCache>
            </c:strRef>
          </c:tx>
          <c:spPr>
            <a:ln w="22225">
              <a:solidFill>
                <a:srgbClr val="2C9ADC"/>
              </a:solidFill>
              <a:prstDash val="solid"/>
            </a:ln>
          </c:spPr>
          <c:marker>
            <c:symbol val="none"/>
          </c:marker>
          <c:cat>
            <c:strRef>
              <c:f>'42 vzdelávanie'!$B$51:$K$51</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'42 vzdelávanie'!$B$57:$K$57</c:f>
              <c:numCache>
                <c:formatCode>0%</c:formatCode>
                <c:ptCount val="10"/>
                <c:pt idx="0">
                  <c:v>0.47872340425531912</c:v>
                </c:pt>
                <c:pt idx="1">
                  <c:v>0.48936170212765961</c:v>
                </c:pt>
                <c:pt idx="2">
                  <c:v>0.45779220779220781</c:v>
                </c:pt>
                <c:pt idx="3">
                  <c:v>0.58125000000000004</c:v>
                </c:pt>
                <c:pt idx="4">
                  <c:v>0.56571428571428573</c:v>
                </c:pt>
                <c:pt idx="5">
                  <c:v>0.61224489795918369</c:v>
                </c:pt>
                <c:pt idx="6">
                  <c:v>0.59134615384615374</c:v>
                </c:pt>
                <c:pt idx="7">
                  <c:v>0.61971830985915499</c:v>
                </c:pt>
                <c:pt idx="8">
                  <c:v>0.82517482517482521</c:v>
                </c:pt>
                <c:pt idx="9">
                  <c:v>0.61398963730569955</c:v>
                </c:pt>
              </c:numCache>
            </c:numRef>
          </c:val>
          <c:smooth val="0"/>
        </c:ser>
        <c:ser>
          <c:idx val="5"/>
          <c:order val="1"/>
          <c:tx>
            <c:strRef>
              <c:f>'42 vzdelávanie'!$A$59</c:f>
              <c:strCache>
                <c:ptCount val="1"/>
                <c:pt idx="0">
                  <c:v>Výskumníci (na obyv.)</c:v>
                </c:pt>
              </c:strCache>
            </c:strRef>
          </c:tx>
          <c:spPr>
            <a:ln w="22225">
              <a:solidFill>
                <a:sysClr val="windowText" lastClr="000000"/>
              </a:solidFill>
              <a:prstDash val="solid"/>
            </a:ln>
          </c:spPr>
          <c:marker>
            <c:symbol val="none"/>
          </c:marker>
          <c:cat>
            <c:strRef>
              <c:f>'42 vzdelávanie'!$B$51:$K$51</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'42 vzdelávanie'!$B$68:$K$68</c:f>
              <c:numCache>
                <c:formatCode>0%</c:formatCode>
                <c:ptCount val="10"/>
                <c:pt idx="0">
                  <c:v>1.1368763343059352</c:v>
                </c:pt>
                <c:pt idx="1">
                  <c:v>1.1051395834179776</c:v>
                </c:pt>
                <c:pt idx="2">
                  <c:v>1.1599012512099309</c:v>
                </c:pt>
                <c:pt idx="3">
                  <c:v>1.2732682616343294</c:v>
                </c:pt>
                <c:pt idx="4">
                  <c:v>1.2351047036421285</c:v>
                </c:pt>
                <c:pt idx="5">
                  <c:v>1.160467345984467</c:v>
                </c:pt>
                <c:pt idx="6">
                  <c:v>1.0672435755478842</c:v>
                </c:pt>
                <c:pt idx="7">
                  <c:v>1.0046642537003208</c:v>
                </c:pt>
                <c:pt idx="8">
                  <c:v>0.95651046236357395</c:v>
                </c:pt>
                <c:pt idx="9">
                  <c:v>0.9402448530035552</c:v>
                </c:pt>
              </c:numCache>
            </c:numRef>
          </c:val>
          <c:smooth val="0"/>
        </c:ser>
        <c:ser>
          <c:idx val="0"/>
          <c:order val="2"/>
          <c:tx>
            <c:strRef>
              <c:f>'42 vzdelávanie'!$A$70</c:f>
              <c:strCache>
                <c:ptCount val="1"/>
                <c:pt idx="0">
                  <c:v>Publikácie (na 1000 obyv.)</c:v>
                </c:pt>
              </c:strCache>
            </c:strRef>
          </c:tx>
          <c:spPr>
            <a:ln w="19050">
              <a:solidFill>
                <a:srgbClr val="002060"/>
              </a:solidFill>
              <a:prstDash val="dash"/>
            </a:ln>
          </c:spPr>
          <c:marker>
            <c:symbol val="none"/>
          </c:marker>
          <c:cat>
            <c:strRef>
              <c:f>'42 vzdelávanie'!$B$51:$K$51</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'42 vzdelávanie'!$B$79:$K$79</c:f>
              <c:numCache>
                <c:formatCode>0%</c:formatCode>
                <c:ptCount val="10"/>
                <c:pt idx="0">
                  <c:v>0.81412674453804446</c:v>
                </c:pt>
                <c:pt idx="1">
                  <c:v>0.87337463473085708</c:v>
                </c:pt>
                <c:pt idx="2">
                  <c:v>0.81973451515884255</c:v>
                </c:pt>
                <c:pt idx="3">
                  <c:v>0.86419776421241412</c:v>
                </c:pt>
                <c:pt idx="4">
                  <c:v>0.87023183680024507</c:v>
                </c:pt>
                <c:pt idx="5">
                  <c:v>0.89734423543643493</c:v>
                </c:pt>
                <c:pt idx="6">
                  <c:v>0.93597107522050282</c:v>
                </c:pt>
                <c:pt idx="7">
                  <c:v>0.99702033030136006</c:v>
                </c:pt>
                <c:pt idx="8">
                  <c:v>0.91950716803196031</c:v>
                </c:pt>
                <c:pt idx="9">
                  <c:v>0.99378269310657763</c:v>
                </c:pt>
              </c:numCache>
            </c:numRef>
          </c:val>
          <c:smooth val="0"/>
        </c:ser>
        <c:ser>
          <c:idx val="1"/>
          <c:order val="3"/>
          <c:tx>
            <c:strRef>
              <c:f>'42 vzdelávanie'!$A$81</c:f>
              <c:strCache>
                <c:ptCount val="1"/>
                <c:pt idx="0">
                  <c:v>Citácie (na 1 publikáciu)</c:v>
                </c:pt>
              </c:strCache>
            </c:strRef>
          </c:tx>
          <c:spPr>
            <a:ln w="19050">
              <a:solidFill>
                <a:srgbClr val="8064A2">
                  <a:lumMod val="60000"/>
                  <a:lumOff val="40000"/>
                </a:srgbClr>
              </a:solidFill>
            </a:ln>
          </c:spPr>
          <c:marker>
            <c:symbol val="none"/>
          </c:marker>
          <c:cat>
            <c:strRef>
              <c:f>'42 vzdelávanie'!$B$51:$K$51</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'42 vzdelávanie'!$B$90:$K$90</c:f>
              <c:numCache>
                <c:formatCode>0%</c:formatCode>
                <c:ptCount val="10"/>
                <c:pt idx="0">
                  <c:v>0.90554487871218525</c:v>
                </c:pt>
                <c:pt idx="1">
                  <c:v>0.88010393257466657</c:v>
                </c:pt>
                <c:pt idx="2">
                  <c:v>0.81543876841202201</c:v>
                </c:pt>
                <c:pt idx="3">
                  <c:v>0.80555280618709058</c:v>
                </c:pt>
                <c:pt idx="4">
                  <c:v>0.77800092377428831</c:v>
                </c:pt>
                <c:pt idx="5">
                  <c:v>0.84146154523124772</c:v>
                </c:pt>
                <c:pt idx="6">
                  <c:v>0.76087173643564643</c:v>
                </c:pt>
                <c:pt idx="7">
                  <c:v>0.68586100726479204</c:v>
                </c:pt>
                <c:pt idx="8">
                  <c:v>0.80301746072574998</c:v>
                </c:pt>
                <c:pt idx="9">
                  <c:v>0.69434681168034051</c:v>
                </c:pt>
              </c:numCache>
            </c:numRef>
          </c:val>
          <c:smooth val="0"/>
        </c:ser>
        <c:dLbls>
          <c:showLegendKey val="0"/>
          <c:showVal val="0"/>
          <c:showCatName val="0"/>
          <c:showSerName val="0"/>
          <c:showPercent val="0"/>
          <c:showBubbleSize val="0"/>
        </c:dLbls>
        <c:smooth val="0"/>
        <c:axId val="296116768"/>
        <c:axId val="296117160"/>
      </c:lineChart>
      <c:catAx>
        <c:axId val="296116768"/>
        <c:scaling>
          <c:orientation val="minMax"/>
        </c:scaling>
        <c:delete val="0"/>
        <c:axPos val="b"/>
        <c:numFmt formatCode="General" sourceLinked="0"/>
        <c:majorTickMark val="out"/>
        <c:minorTickMark val="none"/>
        <c:tickLblPos val="low"/>
        <c:txPr>
          <a:bodyPr rot="-5400000" vert="horz"/>
          <a:lstStyle/>
          <a:p>
            <a:pPr>
              <a:defRPr sz="800"/>
            </a:pPr>
            <a:endParaRPr lang="en-US"/>
          </a:p>
        </c:txPr>
        <c:crossAx val="296117160"/>
        <c:crosses val="autoZero"/>
        <c:auto val="1"/>
        <c:lblAlgn val="ctr"/>
        <c:lblOffset val="100"/>
        <c:noMultiLvlLbl val="0"/>
      </c:catAx>
      <c:valAx>
        <c:axId val="296117160"/>
        <c:scaling>
          <c:orientation val="minMax"/>
          <c:max val="1.5"/>
        </c:scaling>
        <c:delete val="0"/>
        <c:axPos val="l"/>
        <c:majorGridlines>
          <c:spPr>
            <a:ln>
              <a:solidFill>
                <a:schemeClr val="bg1">
                  <a:lumMod val="75000"/>
                </a:schemeClr>
              </a:solidFill>
              <a:prstDash val="sysDash"/>
            </a:ln>
          </c:spPr>
        </c:majorGridlines>
        <c:title>
          <c:tx>
            <c:rich>
              <a:bodyPr/>
              <a:lstStyle/>
              <a:p>
                <a:pPr>
                  <a:defRPr sz="800"/>
                </a:pPr>
                <a:r>
                  <a:rPr lang="sk-SK" sz="800"/>
                  <a:t>Výkon</a:t>
                </a:r>
                <a:r>
                  <a:rPr lang="sk-SK" sz="800" baseline="0"/>
                  <a:t> Slovenska ako </a:t>
                </a:r>
                <a:r>
                  <a:rPr lang="en-US" sz="800" baseline="0"/>
                  <a:t>% priemeru V3</a:t>
                </a:r>
                <a:endParaRPr lang="en-US" sz="800"/>
              </a:p>
            </c:rich>
          </c:tx>
          <c:layout>
            <c:manualLayout>
              <c:xMode val="edge"/>
              <c:yMode val="edge"/>
              <c:x val="8.004590823996462E-3"/>
              <c:y val="7.9396883900150744E-3"/>
            </c:manualLayout>
          </c:layout>
          <c:overlay val="0"/>
        </c:title>
        <c:numFmt formatCode="0%" sourceLinked="0"/>
        <c:majorTickMark val="out"/>
        <c:minorTickMark val="none"/>
        <c:tickLblPos val="nextTo"/>
        <c:txPr>
          <a:bodyPr rot="0" vert="horz"/>
          <a:lstStyle/>
          <a:p>
            <a:pPr>
              <a:defRPr sz="800"/>
            </a:pPr>
            <a:endParaRPr lang="en-US"/>
          </a:p>
        </c:txPr>
        <c:crossAx val="296116768"/>
        <c:crosses val="autoZero"/>
        <c:crossBetween val="between"/>
        <c:majorUnit val="0.25"/>
      </c:valAx>
    </c:plotArea>
    <c:legend>
      <c:legendPos val="l"/>
      <c:layout>
        <c:manualLayout>
          <c:xMode val="edge"/>
          <c:yMode val="edge"/>
          <c:x val="0.16057197151431341"/>
          <c:y val="0.80337923716982174"/>
          <c:w val="0.77283602028963616"/>
          <c:h val="0.19339596343560503"/>
        </c:manualLayout>
      </c:layout>
      <c:overlay val="1"/>
      <c:txPr>
        <a:bodyPr/>
        <a:lstStyle/>
        <a:p>
          <a:pPr>
            <a:defRPr sz="800"/>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Arial Narrow" pitchFamily="34" charset="0"/>
          <a:ea typeface="Calibri"/>
          <a:cs typeface="Calibri"/>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0.09866</cdr:x>
      <cdr:y>0.55383</cdr:y>
    </cdr:from>
    <cdr:to>
      <cdr:x>0.35567</cdr:x>
      <cdr:y>0.62916</cdr:y>
    </cdr:to>
    <cdr:sp macro="" textlink="">
      <cdr:nvSpPr>
        <cdr:cNvPr id="2" name="BlokTextu 1"/>
        <cdr:cNvSpPr txBox="1"/>
      </cdr:nvSpPr>
      <cdr:spPr>
        <a:xfrm xmlns:a="http://schemas.openxmlformats.org/drawingml/2006/main">
          <a:off x="256540" y="1345178"/>
          <a:ext cx="668310" cy="182967"/>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800">
              <a:latin typeface="Arial Narrow" panose="020B0606020202030204" pitchFamily="34" charset="0"/>
            </a:rPr>
            <a:t>Platy</a:t>
          </a:r>
          <a:r>
            <a:rPr lang="sk-SK" sz="800" baseline="0">
              <a:latin typeface="Arial Narrow" panose="020B0606020202030204" pitchFamily="34" charset="0"/>
            </a:rPr>
            <a:t> učiteľov ZŠ</a:t>
          </a:r>
          <a:endParaRPr lang="sk-SK" sz="800">
            <a:latin typeface="Arial Narrow" panose="020B0606020202030204" pitchFamily="34" charset="0"/>
          </a:endParaRPr>
        </a:p>
      </cdr:txBody>
    </cdr:sp>
  </cdr:relSizeAnchor>
  <cdr:relSizeAnchor xmlns:cdr="http://schemas.openxmlformats.org/drawingml/2006/chartDrawing">
    <cdr:from>
      <cdr:x>0.16468</cdr:x>
      <cdr:y>0.70538</cdr:y>
    </cdr:from>
    <cdr:to>
      <cdr:x>0.58954</cdr:x>
      <cdr:y>0.81765</cdr:y>
    </cdr:to>
    <cdr:sp macro="" textlink="">
      <cdr:nvSpPr>
        <cdr:cNvPr id="3" name="BlokTextu 1"/>
        <cdr:cNvSpPr txBox="1"/>
      </cdr:nvSpPr>
      <cdr:spPr>
        <a:xfrm xmlns:a="http://schemas.openxmlformats.org/drawingml/2006/main">
          <a:off x="505097" y="1751794"/>
          <a:ext cx="1303057" cy="278821"/>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800">
              <a:latin typeface="Arial Narrow" panose="020B0606020202030204" pitchFamily="34" charset="0"/>
            </a:rPr>
            <a:t>Nezamestnanosť ľudí so zákl. vzdelaním</a:t>
          </a:r>
        </a:p>
      </cdr:txBody>
    </cdr:sp>
  </cdr:relSizeAnchor>
  <cdr:relSizeAnchor xmlns:cdr="http://schemas.openxmlformats.org/drawingml/2006/chartDrawing">
    <cdr:from>
      <cdr:x>0.29693</cdr:x>
      <cdr:y>0.55776</cdr:y>
    </cdr:from>
    <cdr:to>
      <cdr:x>0.62918</cdr:x>
      <cdr:y>0.67866</cdr:y>
    </cdr:to>
    <cdr:sp macro="" textlink="">
      <cdr:nvSpPr>
        <cdr:cNvPr id="4" name="BlokTextu 1"/>
        <cdr:cNvSpPr txBox="1"/>
      </cdr:nvSpPr>
      <cdr:spPr>
        <a:xfrm xmlns:a="http://schemas.openxmlformats.org/drawingml/2006/main">
          <a:off x="772112" y="1354735"/>
          <a:ext cx="863958" cy="293651"/>
        </a:xfrm>
        <a:prstGeom xmlns:a="http://schemas.openxmlformats.org/drawingml/2006/main" prst="rect">
          <a:avLst/>
        </a:prstGeom>
        <a:ln xmlns:a="http://schemas.openxmlformats.org/drawingml/2006/main">
          <a:no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800">
              <a:latin typeface="Arial Narrow" panose="020B0606020202030204" pitchFamily="34" charset="0"/>
            </a:rPr>
            <a:t>Predchádzateľné úmrtia</a:t>
          </a:r>
        </a:p>
      </cdr:txBody>
    </cdr:sp>
  </cdr:relSizeAnchor>
</c:userShapes>
</file>

<file path=word/drawings/drawing2.xml><?xml version="1.0" encoding="utf-8"?>
<c:userShapes xmlns:c="http://schemas.openxmlformats.org/drawingml/2006/chart">
  <cdr:relSizeAnchor xmlns:cdr="http://schemas.openxmlformats.org/drawingml/2006/chartDrawing">
    <cdr:from>
      <cdr:x>0.18719</cdr:x>
      <cdr:y>0.1342</cdr:y>
    </cdr:from>
    <cdr:to>
      <cdr:x>0.31166</cdr:x>
      <cdr:y>0.22695</cdr:y>
    </cdr:to>
    <cdr:sp macro="" textlink="">
      <cdr:nvSpPr>
        <cdr:cNvPr id="10" name="BlokTextu 1"/>
        <cdr:cNvSpPr txBox="1"/>
      </cdr:nvSpPr>
      <cdr:spPr>
        <a:xfrm xmlns:a="http://schemas.openxmlformats.org/drawingml/2006/main">
          <a:off x="506355" y="310626"/>
          <a:ext cx="336704" cy="21467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sk-SK" sz="800" b="1">
              <a:solidFill>
                <a:srgbClr val="2C9ADC"/>
              </a:solidFill>
              <a:latin typeface="Arial Narrow" panose="020B0606020202030204" pitchFamily="34" charset="0"/>
            </a:rPr>
            <a:t>SK</a:t>
          </a:r>
        </a:p>
      </cdr:txBody>
    </cdr:sp>
  </cdr:relSizeAnchor>
  <cdr:relSizeAnchor xmlns:cdr="http://schemas.openxmlformats.org/drawingml/2006/chartDrawing">
    <cdr:from>
      <cdr:x>0.19009</cdr:x>
      <cdr:y>0.37449</cdr:y>
    </cdr:from>
    <cdr:to>
      <cdr:x>0.3293</cdr:x>
      <cdr:y>0.50979</cdr:y>
    </cdr:to>
    <cdr:sp macro="" textlink="">
      <cdr:nvSpPr>
        <cdr:cNvPr id="11" name="BlokTextu 1"/>
        <cdr:cNvSpPr txBox="1"/>
      </cdr:nvSpPr>
      <cdr:spPr>
        <a:xfrm xmlns:a="http://schemas.openxmlformats.org/drawingml/2006/main">
          <a:off x="514224" y="866775"/>
          <a:ext cx="376577" cy="31316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sk-SK" sz="800" b="1">
              <a:solidFill>
                <a:sysClr val="windowText" lastClr="000000"/>
              </a:solidFill>
              <a:latin typeface="Arial Narrow" panose="020B0606020202030204" pitchFamily="34" charset="0"/>
            </a:rPr>
            <a:t>CZ</a:t>
          </a:r>
        </a:p>
      </cdr:txBody>
    </cdr:sp>
  </cdr:relSizeAnchor>
  <cdr:relSizeAnchor xmlns:cdr="http://schemas.openxmlformats.org/drawingml/2006/chartDrawing">
    <cdr:from>
      <cdr:x>0.42891</cdr:x>
      <cdr:y>0.58347</cdr:y>
    </cdr:from>
    <cdr:to>
      <cdr:x>0.56743</cdr:x>
      <cdr:y>0.65953</cdr:y>
    </cdr:to>
    <cdr:sp macro="" textlink="">
      <cdr:nvSpPr>
        <cdr:cNvPr id="12" name="BlokTextu 1"/>
        <cdr:cNvSpPr txBox="1"/>
      </cdr:nvSpPr>
      <cdr:spPr>
        <a:xfrm xmlns:a="http://schemas.openxmlformats.org/drawingml/2006/main">
          <a:off x="1160244" y="1350493"/>
          <a:ext cx="374711" cy="1760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sk-SK" sz="800" b="1">
              <a:solidFill>
                <a:sysClr val="windowText" lastClr="000000"/>
              </a:solidFill>
              <a:latin typeface="Arial Narrow" panose="020B0606020202030204" pitchFamily="34" charset="0"/>
            </a:rPr>
            <a:t>HU</a:t>
          </a:r>
        </a:p>
      </cdr:txBody>
    </cdr:sp>
  </cdr:relSizeAnchor>
  <cdr:relSizeAnchor xmlns:cdr="http://schemas.openxmlformats.org/drawingml/2006/chartDrawing">
    <cdr:from>
      <cdr:x>0.17381</cdr:x>
      <cdr:y>0.54888</cdr:y>
    </cdr:from>
    <cdr:to>
      <cdr:x>0.33099</cdr:x>
      <cdr:y>0.65225</cdr:y>
    </cdr:to>
    <cdr:sp macro="" textlink="">
      <cdr:nvSpPr>
        <cdr:cNvPr id="13" name="BlokTextu 1"/>
        <cdr:cNvSpPr txBox="1"/>
      </cdr:nvSpPr>
      <cdr:spPr>
        <a:xfrm xmlns:a="http://schemas.openxmlformats.org/drawingml/2006/main">
          <a:off x="470186" y="1270418"/>
          <a:ext cx="425164" cy="2392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sk-SK" sz="800" b="1">
              <a:solidFill>
                <a:sysClr val="windowText" lastClr="000000"/>
              </a:solidFill>
              <a:latin typeface="Arial Narrow" panose="020B0606020202030204" pitchFamily="34" charset="0"/>
            </a:rPr>
            <a:t>PL</a:t>
          </a:r>
        </a:p>
      </cdr:txBody>
    </cdr:sp>
  </cdr:relSizeAnchor>
</c:userShapes>
</file>

<file path=word/drawings/drawing3.xml><?xml version="1.0" encoding="utf-8"?>
<c:userShapes xmlns:c="http://schemas.openxmlformats.org/drawingml/2006/chart">
  <cdr:relSizeAnchor xmlns:cdr="http://schemas.openxmlformats.org/drawingml/2006/chartDrawing">
    <cdr:from>
      <cdr:x>0.35634</cdr:x>
      <cdr:y>0.61712</cdr:y>
    </cdr:from>
    <cdr:to>
      <cdr:x>0.60915</cdr:x>
      <cdr:y>0.74324</cdr:y>
    </cdr:to>
    <cdr:sp macro="" textlink="">
      <cdr:nvSpPr>
        <cdr:cNvPr id="2" name="BlokTextu 1"/>
        <cdr:cNvSpPr txBox="1"/>
      </cdr:nvSpPr>
      <cdr:spPr>
        <a:xfrm xmlns:a="http://schemas.openxmlformats.org/drawingml/2006/main">
          <a:off x="963937" y="1304925"/>
          <a:ext cx="683887"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k-SK" sz="700" b="1" baseline="0">
              <a:solidFill>
                <a:srgbClr val="2C9ADC"/>
              </a:solidFill>
              <a:latin typeface="Arial Narrow" panose="020B0606020202030204" pitchFamily="34" charset="0"/>
            </a:rPr>
            <a:t>Jan 2006</a:t>
          </a:r>
        </a:p>
      </cdr:txBody>
    </cdr:sp>
  </cdr:relSizeAnchor>
  <cdr:relSizeAnchor xmlns:cdr="http://schemas.openxmlformats.org/drawingml/2006/chartDrawing">
    <cdr:from>
      <cdr:x>0.82121</cdr:x>
      <cdr:y>0.5914</cdr:y>
    </cdr:from>
    <cdr:to>
      <cdr:x>0.98087</cdr:x>
      <cdr:y>0.70968</cdr:y>
    </cdr:to>
    <cdr:sp macro="" textlink="">
      <cdr:nvSpPr>
        <cdr:cNvPr id="4" name="BlokTextu 3"/>
        <cdr:cNvSpPr txBox="1"/>
      </cdr:nvSpPr>
      <cdr:spPr>
        <a:xfrm xmlns:a="http://schemas.openxmlformats.org/drawingml/2006/main">
          <a:off x="4702969" y="1964532"/>
          <a:ext cx="914400" cy="3929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sk-SK" sz="1100"/>
        </a:p>
      </cdr:txBody>
    </cdr:sp>
  </cdr:relSizeAnchor>
  <cdr:relSizeAnchor xmlns:cdr="http://schemas.openxmlformats.org/drawingml/2006/chartDrawing">
    <cdr:from>
      <cdr:x>0.36008</cdr:x>
      <cdr:y>0.40271</cdr:y>
    </cdr:from>
    <cdr:to>
      <cdr:x>0.50366</cdr:x>
      <cdr:y>0.47846</cdr:y>
    </cdr:to>
    <cdr:sp macro="" textlink="">
      <cdr:nvSpPr>
        <cdr:cNvPr id="5" name="BlokTextu 4"/>
        <cdr:cNvSpPr txBox="1"/>
      </cdr:nvSpPr>
      <cdr:spPr>
        <a:xfrm xmlns:a="http://schemas.openxmlformats.org/drawingml/2006/main">
          <a:off x="950031" y="851550"/>
          <a:ext cx="378825" cy="16017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k-SK" sz="700" b="1">
              <a:latin typeface="Arial Narrow" panose="020B0606020202030204" pitchFamily="34" charset="0"/>
            </a:rPr>
            <a:t>Dec 2016</a:t>
          </a:r>
        </a:p>
      </cdr:txBody>
    </cdr:sp>
  </cdr:relSizeAnchor>
  <cdr:relSizeAnchor xmlns:cdr="http://schemas.openxmlformats.org/drawingml/2006/chartDrawing">
    <cdr:from>
      <cdr:x>0.17317</cdr:x>
      <cdr:y>0.53611</cdr:y>
    </cdr:from>
    <cdr:to>
      <cdr:x>0.37613</cdr:x>
      <cdr:y>0.62733</cdr:y>
    </cdr:to>
    <cdr:sp macro="" textlink="">
      <cdr:nvSpPr>
        <cdr:cNvPr id="8" name="BlokTextu 1"/>
        <cdr:cNvSpPr txBox="1"/>
      </cdr:nvSpPr>
      <cdr:spPr>
        <a:xfrm xmlns:a="http://schemas.openxmlformats.org/drawingml/2006/main">
          <a:off x="456895" y="1133628"/>
          <a:ext cx="535495" cy="19289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700" b="1" baseline="0">
              <a:solidFill>
                <a:schemeClr val="tx1"/>
              </a:solidFill>
              <a:latin typeface="Arial Narrow" panose="020B0606020202030204" pitchFamily="34" charset="0"/>
            </a:rPr>
            <a:t>Dec 2007</a:t>
          </a:r>
          <a:endParaRPr lang="sk-SK" sz="700" b="1">
            <a:solidFill>
              <a:schemeClr val="tx1"/>
            </a:solidFill>
            <a:latin typeface="Arial Narrow" panose="020B0606020202030204" pitchFamily="34" charset="0"/>
          </a:endParaRPr>
        </a:p>
      </cdr:txBody>
    </cdr:sp>
  </cdr:relSizeAnchor>
  <cdr:relSizeAnchor xmlns:cdr="http://schemas.openxmlformats.org/drawingml/2006/chartDrawing">
    <cdr:from>
      <cdr:x>0.63697</cdr:x>
      <cdr:y>0.69305</cdr:y>
    </cdr:from>
    <cdr:to>
      <cdr:x>0.78099</cdr:x>
      <cdr:y>0.75301</cdr:y>
    </cdr:to>
    <cdr:sp macro="" textlink="">
      <cdr:nvSpPr>
        <cdr:cNvPr id="10" name="BlokTextu 1"/>
        <cdr:cNvSpPr txBox="1"/>
      </cdr:nvSpPr>
      <cdr:spPr>
        <a:xfrm xmlns:a="http://schemas.openxmlformats.org/drawingml/2006/main">
          <a:off x="1680586" y="1465481"/>
          <a:ext cx="379986" cy="12678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700" b="1">
              <a:latin typeface="Arial Narrow" panose="020B0606020202030204" pitchFamily="34" charset="0"/>
            </a:rPr>
            <a:t>Dec 2014</a:t>
          </a:r>
        </a:p>
      </cdr:txBody>
    </cdr:sp>
  </cdr:relSizeAnchor>
  <cdr:relSizeAnchor xmlns:cdr="http://schemas.openxmlformats.org/drawingml/2006/chartDrawing">
    <cdr:from>
      <cdr:x>0.48821</cdr:x>
      <cdr:y>0.46701</cdr:y>
    </cdr:from>
    <cdr:to>
      <cdr:x>0.6686</cdr:x>
      <cdr:y>0.54625</cdr:y>
    </cdr:to>
    <cdr:sp macro="" textlink="">
      <cdr:nvSpPr>
        <cdr:cNvPr id="9" name="BlokTextu 1"/>
        <cdr:cNvSpPr txBox="1"/>
      </cdr:nvSpPr>
      <cdr:spPr>
        <a:xfrm xmlns:a="http://schemas.openxmlformats.org/drawingml/2006/main">
          <a:off x="1288114" y="987513"/>
          <a:ext cx="475946" cy="16755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700" b="1">
              <a:latin typeface="Arial Narrow" panose="020B0606020202030204" pitchFamily="34" charset="0"/>
            </a:rPr>
            <a:t>Dec 2015</a:t>
          </a:r>
        </a:p>
      </cdr:txBody>
    </cdr:sp>
  </cdr:relSizeAnchor>
  <cdr:relSizeAnchor xmlns:cdr="http://schemas.openxmlformats.org/drawingml/2006/chartDrawing">
    <cdr:from>
      <cdr:x>0.22183</cdr:x>
      <cdr:y>0.73824</cdr:y>
    </cdr:from>
    <cdr:to>
      <cdr:x>0.43049</cdr:x>
      <cdr:y>0.81532</cdr:y>
    </cdr:to>
    <cdr:sp macro="" textlink="">
      <cdr:nvSpPr>
        <cdr:cNvPr id="11" name="BlokTextu 1"/>
        <cdr:cNvSpPr txBox="1"/>
      </cdr:nvSpPr>
      <cdr:spPr>
        <a:xfrm xmlns:a="http://schemas.openxmlformats.org/drawingml/2006/main">
          <a:off x="600075" y="1561037"/>
          <a:ext cx="564438" cy="1629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700" b="1" baseline="0">
              <a:solidFill>
                <a:schemeClr val="tx1"/>
              </a:solidFill>
              <a:latin typeface="Arial Narrow" panose="020B0606020202030204" pitchFamily="34" charset="0"/>
            </a:rPr>
            <a:t>Dec 2008</a:t>
          </a:r>
          <a:endParaRPr lang="sk-SK" sz="700" b="1">
            <a:solidFill>
              <a:schemeClr val="tx1"/>
            </a:solidFill>
            <a:latin typeface="Arial Narrow" panose="020B0606020202030204" pitchFamily="34" charset="0"/>
          </a:endParaRPr>
        </a:p>
      </cdr:txBody>
    </cdr:sp>
  </cdr:relSizeAnchor>
  <cdr:relSizeAnchor xmlns:cdr="http://schemas.openxmlformats.org/drawingml/2006/chartDrawing">
    <cdr:from>
      <cdr:x>0.80267</cdr:x>
      <cdr:y>0.7888</cdr:y>
    </cdr:from>
    <cdr:to>
      <cdr:x>0.92791</cdr:x>
      <cdr:y>0.86875</cdr:y>
    </cdr:to>
    <cdr:sp macro="" textlink="">
      <cdr:nvSpPr>
        <cdr:cNvPr id="13" name="BlokTextu 1"/>
        <cdr:cNvSpPr txBox="1"/>
      </cdr:nvSpPr>
      <cdr:spPr>
        <a:xfrm xmlns:a="http://schemas.openxmlformats.org/drawingml/2006/main">
          <a:off x="2117791" y="1667950"/>
          <a:ext cx="330436" cy="16905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700" b="1">
              <a:latin typeface="Arial Narrow" panose="020B0606020202030204" pitchFamily="34" charset="0"/>
            </a:rPr>
            <a:t>Dec 2013</a:t>
          </a:r>
        </a:p>
      </cdr:txBody>
    </cdr:sp>
  </cdr:relSizeAnchor>
  <cdr:relSizeAnchor xmlns:cdr="http://schemas.openxmlformats.org/drawingml/2006/chartDrawing">
    <cdr:from>
      <cdr:x>0.14371</cdr:x>
      <cdr:y>0.06286</cdr:y>
    </cdr:from>
    <cdr:to>
      <cdr:x>0.40133</cdr:x>
      <cdr:y>0.12306</cdr:y>
    </cdr:to>
    <cdr:sp macro="" textlink="">
      <cdr:nvSpPr>
        <cdr:cNvPr id="14" name="BlokTextu 1"/>
        <cdr:cNvSpPr txBox="1"/>
      </cdr:nvSpPr>
      <cdr:spPr>
        <a:xfrm xmlns:a="http://schemas.openxmlformats.org/drawingml/2006/main">
          <a:off x="388753" y="132912"/>
          <a:ext cx="696888" cy="1272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700" b="1" baseline="0">
              <a:solidFill>
                <a:srgbClr val="FF0000"/>
              </a:solidFill>
              <a:latin typeface="Arial Narrow" panose="020B0606020202030204" pitchFamily="34" charset="0"/>
            </a:rPr>
            <a:t>Dec 2017</a:t>
          </a:r>
          <a:endParaRPr lang="sk-SK" sz="700" b="1">
            <a:solidFill>
              <a:srgbClr val="FF0000"/>
            </a:solidFill>
            <a:latin typeface="Arial Narrow" panose="020B0606020202030204" pitchFamily="34" charset="0"/>
          </a:endParaRPr>
        </a:p>
      </cdr:txBody>
    </cdr:sp>
  </cdr:relSizeAnchor>
  <cdr:relSizeAnchor xmlns:cdr="http://schemas.openxmlformats.org/drawingml/2006/chartDrawing">
    <cdr:from>
      <cdr:x>0.73895</cdr:x>
      <cdr:y>0.72769</cdr:y>
    </cdr:from>
    <cdr:to>
      <cdr:x>0.86419</cdr:x>
      <cdr:y>0.78118</cdr:y>
    </cdr:to>
    <cdr:sp macro="" textlink="">
      <cdr:nvSpPr>
        <cdr:cNvPr id="15" name="BlokTextu 1"/>
        <cdr:cNvSpPr txBox="1"/>
      </cdr:nvSpPr>
      <cdr:spPr>
        <a:xfrm xmlns:a="http://schemas.openxmlformats.org/drawingml/2006/main">
          <a:off x="1949652" y="1538732"/>
          <a:ext cx="330436" cy="11310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700" b="1">
              <a:latin typeface="Arial Narrow" panose="020B0606020202030204" pitchFamily="34" charset="0"/>
            </a:rPr>
            <a:t>Dec 2012</a:t>
          </a:r>
        </a:p>
      </cdr:txBody>
    </cdr:sp>
  </cdr:relSizeAnchor>
  <cdr:relSizeAnchor xmlns:cdr="http://schemas.openxmlformats.org/drawingml/2006/chartDrawing">
    <cdr:from>
      <cdr:x>0.64588</cdr:x>
      <cdr:y>0.79801</cdr:y>
    </cdr:from>
    <cdr:to>
      <cdr:x>0.77112</cdr:x>
      <cdr:y>0.87795</cdr:y>
    </cdr:to>
    <cdr:sp macro="" textlink="">
      <cdr:nvSpPr>
        <cdr:cNvPr id="16" name="BlokTextu 1"/>
        <cdr:cNvSpPr txBox="1"/>
      </cdr:nvSpPr>
      <cdr:spPr>
        <a:xfrm xmlns:a="http://schemas.openxmlformats.org/drawingml/2006/main">
          <a:off x="1704116" y="1687437"/>
          <a:ext cx="330436" cy="169037"/>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700" b="1">
              <a:latin typeface="Arial Narrow" panose="020B0606020202030204" pitchFamily="34" charset="0"/>
            </a:rPr>
            <a:t>Dec 2011</a:t>
          </a:r>
        </a:p>
      </cdr:txBody>
    </cdr:sp>
  </cdr:relSizeAnchor>
  <cdr:relSizeAnchor xmlns:cdr="http://schemas.openxmlformats.org/drawingml/2006/chartDrawing">
    <cdr:from>
      <cdr:x>0.48292</cdr:x>
      <cdr:y>0.71046</cdr:y>
    </cdr:from>
    <cdr:to>
      <cdr:x>0.60816</cdr:x>
      <cdr:y>0.79041</cdr:y>
    </cdr:to>
    <cdr:sp macro="" textlink="">
      <cdr:nvSpPr>
        <cdr:cNvPr id="17" name="BlokTextu 1"/>
        <cdr:cNvSpPr txBox="1"/>
      </cdr:nvSpPr>
      <cdr:spPr>
        <a:xfrm xmlns:a="http://schemas.openxmlformats.org/drawingml/2006/main">
          <a:off x="1306349" y="1502301"/>
          <a:ext cx="338787" cy="16905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700" b="1">
              <a:latin typeface="Arial Narrow" panose="020B0606020202030204" pitchFamily="34" charset="0"/>
            </a:rPr>
            <a:t>Dec 2010</a:t>
          </a:r>
        </a:p>
      </cdr:txBody>
    </cdr:sp>
  </cdr:relSizeAnchor>
  <cdr:relSizeAnchor xmlns:cdr="http://schemas.openxmlformats.org/drawingml/2006/chartDrawing">
    <cdr:from>
      <cdr:x>0.52584</cdr:x>
      <cdr:y>0.7817</cdr:y>
    </cdr:from>
    <cdr:to>
      <cdr:x>0.65108</cdr:x>
      <cdr:y>0.86165</cdr:y>
    </cdr:to>
    <cdr:sp macro="" textlink="">
      <cdr:nvSpPr>
        <cdr:cNvPr id="18" name="BlokTextu 1"/>
        <cdr:cNvSpPr txBox="1"/>
      </cdr:nvSpPr>
      <cdr:spPr>
        <a:xfrm xmlns:a="http://schemas.openxmlformats.org/drawingml/2006/main">
          <a:off x="1387381" y="1652942"/>
          <a:ext cx="330436" cy="16905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700" b="1">
              <a:latin typeface="Arial Narrow" panose="020B0606020202030204" pitchFamily="34" charset="0"/>
            </a:rPr>
            <a:t>Dec 2009</a:t>
          </a:r>
        </a:p>
      </cdr:txBody>
    </cdr:sp>
  </cdr:relSizeAnchor>
  <cdr:relSizeAnchor xmlns:cdr="http://schemas.openxmlformats.org/drawingml/2006/chartDrawing">
    <cdr:from>
      <cdr:x>0.30912</cdr:x>
      <cdr:y>0.51351</cdr:y>
    </cdr:from>
    <cdr:to>
      <cdr:x>0.51761</cdr:x>
      <cdr:y>0.58559</cdr:y>
    </cdr:to>
    <cdr:sp macro="" textlink="">
      <cdr:nvSpPr>
        <cdr:cNvPr id="19" name="BlokTextu 1"/>
        <cdr:cNvSpPr txBox="1"/>
      </cdr:nvSpPr>
      <cdr:spPr>
        <a:xfrm xmlns:a="http://schemas.openxmlformats.org/drawingml/2006/main">
          <a:off x="836209" y="1085850"/>
          <a:ext cx="563966" cy="1524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700" b="1" baseline="0">
              <a:solidFill>
                <a:schemeClr val="tx1"/>
              </a:solidFill>
              <a:latin typeface="Arial Narrow" panose="020B0606020202030204" pitchFamily="34" charset="0"/>
            </a:rPr>
            <a:t>Dec 2006</a:t>
          </a:r>
          <a:endParaRPr lang="sk-SK" sz="700" b="1">
            <a:solidFill>
              <a:schemeClr val="tx1"/>
            </a:solidFill>
            <a:latin typeface="Arial Narrow" panose="020B060602020203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50FDF-998F-495F-9D45-A7BA69BF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25011</Words>
  <Characters>142563</Characters>
  <Application>Microsoft Office Word</Application>
  <DocSecurity>0</DocSecurity>
  <Lines>1188</Lines>
  <Paragraphs>334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167240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IFP</dc:creator>
  <cp:keywords/>
  <dc:description/>
  <cp:lastModifiedBy>Hidas Slavomir</cp:lastModifiedBy>
  <cp:revision>5</cp:revision>
  <cp:lastPrinted>2018-03-23T10:44:00Z</cp:lastPrinted>
  <dcterms:created xsi:type="dcterms:W3CDTF">2018-03-27T07:37:00Z</dcterms:created>
  <dcterms:modified xsi:type="dcterms:W3CDTF">2018-03-27T07:40:00Z</dcterms:modified>
</cp:coreProperties>
</file>