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2E4B6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2E4B64">
      <w:pPr>
        <w:pStyle w:val="Odsekzoznamu"/>
        <w:widowControl w:val="0"/>
        <w:spacing w:after="0" w:line="240" w:lineRule="auto"/>
        <w:ind w:left="426"/>
        <w:contextualSpacing w:val="0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2E4B64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2E4B64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2E4B64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2E4B64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2E4B64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876E68" w:rsidRDefault="00876E68" w:rsidP="002E4B64">
            <w:pPr>
              <w:widowControl w:val="0"/>
              <w:jc w:val="both"/>
            </w:pPr>
            <w:r w:rsidRPr="00876E68">
              <w:t xml:space="preserve">Nariadenie vlády Slovenskej republiky, </w:t>
            </w:r>
            <w:r w:rsidR="00806E3A" w:rsidRPr="00806E3A">
              <w:t>ktorým sa mení a dopĺňa nariadenie vlády Slovenskej republiky</w:t>
            </w:r>
            <w:r w:rsidR="002E4B64">
              <w:t xml:space="preserve"> </w:t>
            </w:r>
            <w:r w:rsidR="00806E3A" w:rsidRPr="00806E3A">
              <w:t xml:space="preserve">č. 75/2015 Z. z., ktorým sa ustanovujú pravidlá poskytovania podpory v súvislosti s opatreniami programu rozvoja vidieka v znení </w:t>
            </w:r>
            <w:r w:rsidR="00F669BA">
              <w:t xml:space="preserve">neskorších predpisov </w:t>
            </w:r>
          </w:p>
        </w:tc>
      </w:tr>
      <w:tr w:rsidR="003501A1" w:rsidRPr="00A179AE" w:rsidTr="002E4B6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2E4B64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2E4B64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CB57C5" w:rsidP="002E4B64">
            <w:pPr>
              <w:widowControl w:val="0"/>
            </w:pPr>
            <w:r>
              <w:t>Ministerstvo</w:t>
            </w:r>
            <w:r w:rsidR="00993C93">
              <w:t xml:space="preserve"> pôdohospodárstva a rozvoja vidieka Slovenskej republiky</w:t>
            </w:r>
          </w:p>
        </w:tc>
      </w:tr>
      <w:tr w:rsidR="003501A1" w:rsidRPr="00A179AE" w:rsidTr="002E4B64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2E4B64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2E4B64">
                <w:pPr>
                  <w:widowControl w:val="0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E4B64">
            <w:pPr>
              <w:widowControl w:val="0"/>
            </w:pPr>
            <w:r w:rsidRPr="00A179AE">
              <w:t>Materiál nelegislatívnej povahy</w:t>
            </w:r>
          </w:p>
        </w:tc>
      </w:tr>
      <w:tr w:rsidR="003501A1" w:rsidRPr="00A179AE" w:rsidTr="002E4B64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2E4B64">
            <w:pPr>
              <w:widowControl w:val="0"/>
            </w:pPr>
          </w:p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993C93" w:rsidP="002E4B64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E4B64">
            <w:pPr>
              <w:widowControl w:val="0"/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2E4B64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widowControl w:val="0"/>
            </w:pPr>
          </w:p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2E4B64">
                <w:pPr>
                  <w:widowControl w:val="0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E4B64">
            <w:pPr>
              <w:widowControl w:val="0"/>
            </w:pPr>
            <w:r w:rsidRPr="00A179AE">
              <w:t>Transpozícia práva EÚ</w:t>
            </w:r>
          </w:p>
        </w:tc>
      </w:tr>
      <w:tr w:rsidR="003501A1" w:rsidRPr="00A179AE" w:rsidTr="002E4B6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2E4B64">
            <w:pPr>
              <w:widowControl w:val="0"/>
            </w:pPr>
            <w:r w:rsidRPr="00A179AE">
              <w:rPr>
                <w:i/>
              </w:rPr>
              <w:t>V prípade transpozície uveďte zoznam transponovaných predpisov:</w:t>
            </w:r>
          </w:p>
        </w:tc>
      </w:tr>
      <w:tr w:rsidR="003501A1" w:rsidRPr="00A179AE" w:rsidTr="002E4B64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F2FE8" w:rsidRDefault="00C3150D" w:rsidP="002E4B64">
            <w:pPr>
              <w:widowControl w:val="0"/>
            </w:pPr>
            <w:r>
              <w:t>nie</w:t>
            </w:r>
          </w:p>
        </w:tc>
      </w:tr>
      <w:tr w:rsidR="003501A1" w:rsidRPr="00A179AE" w:rsidTr="002E4B6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F2FE8" w:rsidRDefault="007323BA" w:rsidP="002E4B64">
            <w:pPr>
              <w:widowControl w:val="0"/>
            </w:pPr>
            <w:r>
              <w:t>december 2017</w:t>
            </w:r>
          </w:p>
        </w:tc>
      </w:tr>
      <w:tr w:rsidR="003501A1" w:rsidRPr="00A179AE" w:rsidTr="002E4B6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F2FE8" w:rsidRDefault="007323BA" w:rsidP="002E4B64">
            <w:pPr>
              <w:widowControl w:val="0"/>
            </w:pPr>
            <w:r>
              <w:t>január 2018</w:t>
            </w:r>
          </w:p>
        </w:tc>
      </w:tr>
      <w:tr w:rsidR="003501A1" w:rsidRPr="00A179AE" w:rsidTr="002E4B64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2E4B64">
            <w:pPr>
              <w:widowControl w:val="0"/>
            </w:pPr>
          </w:p>
        </w:tc>
      </w:tr>
      <w:tr w:rsidR="003501A1" w:rsidRPr="00A179AE" w:rsidTr="002E4B6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3501A1" w:rsidRPr="00A179AE" w:rsidTr="002E4B64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E4B64">
            <w:pPr>
              <w:widowControl w:val="0"/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9856C2" w:rsidRDefault="003F0067" w:rsidP="002E4B64">
            <w:pPr>
              <w:widowControl w:val="0"/>
            </w:pPr>
            <w:r>
              <w:t>Navrhované nariadenie vlády reaguje na problematiku certifikátov vydávaných inšpekčnou organizáciou po skončení konverzie na certifikovanú produkciu v kvalite „bio“.</w:t>
            </w:r>
          </w:p>
        </w:tc>
      </w:tr>
      <w:tr w:rsidR="003501A1" w:rsidRPr="00A179AE" w:rsidTr="002E4B6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2E4B64">
        <w:trPr>
          <w:trHeight w:val="575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CA9" w:rsidRDefault="00680939" w:rsidP="00F82CA9">
            <w:pPr>
              <w:widowControl w:val="0"/>
              <w:jc w:val="both"/>
            </w:pPr>
            <w:r w:rsidRPr="00680939">
              <w:t>Cieľom návrhu</w:t>
            </w:r>
            <w:r w:rsidR="002E4B64">
              <w:t xml:space="preserve"> </w:t>
            </w:r>
            <w:r w:rsidRPr="00680939">
              <w:t xml:space="preserve">nariadenia vlády je </w:t>
            </w:r>
            <w:r w:rsidRPr="00680939">
              <w:rPr>
                <w:color w:val="000000"/>
              </w:rPr>
              <w:t>upraviť najmä</w:t>
            </w:r>
            <w:r w:rsidRPr="00680939">
              <w:t xml:space="preserve"> certifikáciu rastlinných produktov a živočíšnych produktov inšpekčnou organizáciou, ktorá vystavuje</w:t>
            </w:r>
            <w:r w:rsidR="002E4B64">
              <w:t xml:space="preserve"> </w:t>
            </w:r>
            <w:r w:rsidRPr="00680939">
              <w:t>certifikát na certifikovanú produkciu v kvalite „bio“</w:t>
            </w:r>
            <w:r w:rsidR="003F0067">
              <w:t xml:space="preserve"> a spresniť text niektorých ustanovení z dôvodu ich jednoznačného výkladu a aplikácie v praxi.</w:t>
            </w:r>
            <w:r w:rsidRPr="00680939">
              <w:t xml:space="preserve"> </w:t>
            </w:r>
            <w:r w:rsidR="00F82CA9">
              <w:t>U</w:t>
            </w:r>
            <w:r w:rsidR="00F82CA9" w:rsidRPr="00277ECF">
              <w:rPr>
                <w:lang w:eastAsia="en-US"/>
              </w:rPr>
              <w:t>prav</w:t>
            </w:r>
            <w:r w:rsidR="00F82CA9">
              <w:rPr>
                <w:lang w:eastAsia="en-US"/>
              </w:rPr>
              <w:t>uje sa</w:t>
            </w:r>
            <w:r w:rsidR="00F82CA9" w:rsidRPr="00277ECF">
              <w:rPr>
                <w:lang w:eastAsia="en-US"/>
              </w:rPr>
              <w:t xml:space="preserve"> predkladanie grafických príloh a </w:t>
            </w:r>
            <w:r w:rsidR="00F82CA9" w:rsidRPr="00277ECF">
              <w:t>zoznamov poľnohospodárskych pozemkov prostredníctvom IS GSAA podľa článku 17 vykonávacieho nariadenia Komisie (EÚ) č. 809/2014</w:t>
            </w:r>
            <w:r w:rsidR="00F82CA9">
              <w:t>, ďalej</w:t>
            </w:r>
            <w:r w:rsidR="00F82CA9" w:rsidRPr="00277ECF">
              <w:t xml:space="preserve"> certifikáci</w:t>
            </w:r>
            <w:r w:rsidR="00F82CA9">
              <w:t>a</w:t>
            </w:r>
            <w:r w:rsidR="00F82CA9" w:rsidRPr="00277ECF">
              <w:t xml:space="preserve"> rastlinných a živočíšnych produktov v oblasti ekologickej poľnohospodárskej výroby a niektoré podmienky operácie multifunkčné biopásy na ornej pôde</w:t>
            </w:r>
            <w:r w:rsidR="00F82CA9">
              <w:t xml:space="preserve"> a z</w:t>
            </w:r>
            <w:r w:rsidR="00F82CA9" w:rsidRPr="00F82CA9">
              <w:t>ároveň aj niektoré úpravy formálneho charakteru z dôvodu spresnenia textu s ohľadom na jednoznačnosť výkladu a aplikácie príslušných ustanovení v praxi</w:t>
            </w:r>
          </w:p>
          <w:p w:rsidR="003501A1" w:rsidRPr="00A179AE" w:rsidRDefault="004212E7" w:rsidP="002E4B64">
            <w:pPr>
              <w:widowControl w:val="0"/>
              <w:jc w:val="both"/>
            </w:pPr>
            <w:r>
              <w:t>Prijatím navrhovaného nariadenia vlády sa jednoznačne ustanoví, že v rastlinnej produkci</w:t>
            </w:r>
            <w:r w:rsidR="00F669BA">
              <w:t>i</w:t>
            </w:r>
            <w:r w:rsidR="002E4B64">
              <w:t xml:space="preserve"> </w:t>
            </w:r>
            <w:r>
              <w:t>postačuje, ak je certifikovaný jeden rastlinný produkt a v živočíšnej produkcii pri platbách na TTP postačuje, ak je certifikovaný jeden živočíšny produkt, napríklad mlieko, syr.</w:t>
            </w:r>
          </w:p>
        </w:tc>
      </w:tr>
      <w:tr w:rsidR="003501A1" w:rsidRPr="00A179AE" w:rsidTr="002E4B6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2E4B64">
        <w:trPr>
          <w:trHeight w:val="66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C2D" w:rsidRDefault="003F0067" w:rsidP="002E4B64">
            <w:pPr>
              <w:widowControl w:val="0"/>
              <w:jc w:val="both"/>
            </w:pPr>
            <w:r w:rsidRPr="00D13C2D">
              <w:t xml:space="preserve">Žiadatelia o poskytnutie podpory na opatrenia programu rozvoja vidieka, Pôdohospodárska platobná agentúra, Ministerstvo pôdohospodárstva a rozvoja </w:t>
            </w:r>
            <w:r w:rsidR="00D13C2D">
              <w:t>vidieka SR,</w:t>
            </w:r>
            <w:r w:rsidR="002E4B64">
              <w:t xml:space="preserve"> </w:t>
            </w:r>
            <w:r w:rsidRPr="00D13C2D">
              <w:t>Ústredný kontrolný a skúšobný ústav poľnohospodársky v</w:t>
            </w:r>
            <w:r w:rsidR="00D13C2D">
              <w:t> </w:t>
            </w:r>
            <w:r w:rsidRPr="00D13C2D">
              <w:t>Bratislave</w:t>
            </w:r>
            <w:r w:rsidR="00D13C2D">
              <w:t>.</w:t>
            </w:r>
          </w:p>
        </w:tc>
      </w:tr>
      <w:tr w:rsidR="003501A1" w:rsidRPr="00A179AE" w:rsidTr="002E4B6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2E4B64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E4B64">
            <w:pPr>
              <w:widowControl w:val="0"/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2E4B64">
            <w:pPr>
              <w:widowControl w:val="0"/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9856C2" w:rsidRPr="00A179AE" w:rsidRDefault="009856C2" w:rsidP="002E4B64">
            <w:pPr>
              <w:widowControl w:val="0"/>
              <w:rPr>
                <w:i/>
              </w:rPr>
            </w:pPr>
            <w:r>
              <w:rPr>
                <w:i/>
              </w:rPr>
              <w:t>- - -</w:t>
            </w:r>
          </w:p>
        </w:tc>
      </w:tr>
      <w:tr w:rsidR="003501A1" w:rsidRPr="00A179AE" w:rsidTr="002E4B6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2E4B64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2E4B64">
            <w:pPr>
              <w:widowControl w:val="0"/>
              <w:rPr>
                <w:i/>
              </w:rPr>
            </w:pPr>
            <w:r w:rsidRPr="00A179AE">
              <w:rPr>
                <w:i/>
              </w:rPr>
              <w:t>Predpokladá sa prijatie/zmena</w:t>
            </w:r>
            <w:r w:rsidR="002E4B64">
              <w:rPr>
                <w:i/>
              </w:rPr>
              <w:t xml:space="preserve"> </w:t>
            </w:r>
            <w:r w:rsidRPr="00A179AE">
              <w:rPr>
                <w:i/>
              </w:rPr>
              <w:t>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003EFC" w:rsidP="002E4B64">
            <w:pPr>
              <w:widowControl w:val="0"/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B64">
              <w:t xml:space="preserve"> </w:t>
            </w:r>
            <w:r w:rsidR="003501A1" w:rsidRPr="00A179AE"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003EFC" w:rsidP="002E4B64">
            <w:pPr>
              <w:widowControl w:val="0"/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5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E4B64">
              <w:t xml:space="preserve"> </w:t>
            </w:r>
            <w:r w:rsidR="003501A1" w:rsidRPr="00A179AE">
              <w:t>Nie</w:t>
            </w:r>
          </w:p>
        </w:tc>
      </w:tr>
      <w:tr w:rsidR="003501A1" w:rsidRPr="00A179AE" w:rsidTr="002E4B64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2E4B64" w:rsidRDefault="003501A1" w:rsidP="002E4B64">
            <w:pPr>
              <w:widowControl w:val="0"/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3501A1" w:rsidRPr="00A179AE" w:rsidTr="002E4B6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2E4B64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E4B64">
            <w:pPr>
              <w:widowControl w:val="0"/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2E4B64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47200C" w:rsidP="002E4B64">
            <w:pPr>
              <w:widowControl w:val="0"/>
            </w:pPr>
            <w:r>
              <w:rPr>
                <w:i/>
              </w:rPr>
              <w:t>- - -</w:t>
            </w:r>
          </w:p>
        </w:tc>
      </w:tr>
      <w:tr w:rsidR="003501A1" w:rsidRPr="00A179AE" w:rsidTr="002E4B6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2E4B64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E4B64">
            <w:pPr>
              <w:widowControl w:val="0"/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2E4B64">
            <w:pPr>
              <w:widowControl w:val="0"/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9856C2" w:rsidP="002E4B64">
            <w:pPr>
              <w:widowControl w:val="0"/>
              <w:rPr>
                <w:i/>
              </w:rPr>
            </w:pPr>
            <w:r>
              <w:rPr>
                <w:i/>
              </w:rPr>
              <w:t>- - -</w:t>
            </w:r>
          </w:p>
        </w:tc>
      </w:tr>
      <w:tr w:rsidR="003501A1" w:rsidRPr="00A179AE" w:rsidTr="002E4B64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Default="00F62771" w:rsidP="002E4B64">
            <w:pPr>
              <w:widowControl w:val="0"/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2E4B64">
              <w:t xml:space="preserve">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2E4B64">
            <w:pPr>
              <w:widowControl w:val="0"/>
            </w:pPr>
            <w:r>
              <w:t>*</w:t>
            </w:r>
            <w:r w:rsidR="00F22831">
              <w:t>* nepovinné</w:t>
            </w:r>
          </w:p>
        </w:tc>
      </w:tr>
      <w:tr w:rsidR="003501A1" w:rsidRPr="00A179AE" w:rsidTr="002E4B64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2E4B64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3501A1" w:rsidRPr="00A179AE" w:rsidTr="002E4B6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widowControl w:val="0"/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46459F" w:rsidP="002E4B64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E4B64">
            <w:pPr>
              <w:widowControl w:val="0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13C2D" w:rsidP="002E4B64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E4B64">
            <w:pPr>
              <w:widowControl w:val="0"/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13C2D" w:rsidP="002E4B64">
                <w:pPr>
                  <w:widowControl w:val="0"/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E4B64">
            <w:pPr>
              <w:widowControl w:val="0"/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2E4B64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2E4B64" w:rsidP="002E4B64">
            <w:pPr>
              <w:widowControl w:val="0"/>
            </w:pPr>
            <w:r>
              <w:t xml:space="preserve"> </w:t>
            </w:r>
            <w:r w:rsidR="003501A1" w:rsidRPr="00A179AE">
              <w:t>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D13C2D" w:rsidP="002E4B64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E4B64">
            <w:pPr>
              <w:widowControl w:val="0"/>
            </w:pPr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03EFC" w:rsidP="002E4B64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E4B64">
            <w:pPr>
              <w:widowControl w:val="0"/>
            </w:pPr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E4B64">
                <w:pPr>
                  <w:widowControl w:val="0"/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E4B64">
            <w:pPr>
              <w:widowControl w:val="0"/>
              <w:ind w:left="34"/>
            </w:pPr>
            <w:r w:rsidRPr="00A179AE">
              <w:t>Čiastočne</w:t>
            </w:r>
          </w:p>
        </w:tc>
      </w:tr>
      <w:tr w:rsidR="003501A1" w:rsidRPr="00A179AE" w:rsidTr="002E4B64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widowControl w:val="0"/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D13C2D" w:rsidP="002E4B64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E4B64">
            <w:pPr>
              <w:widowControl w:val="0"/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13C2D" w:rsidP="002E4B64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E4B64">
            <w:pPr>
              <w:widowControl w:val="0"/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E4B64">
                <w:pPr>
                  <w:widowControl w:val="0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E4B64">
            <w:pPr>
              <w:widowControl w:val="0"/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2E4B64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2E4B64" w:rsidP="002E4B64">
            <w:pPr>
              <w:widowControl w:val="0"/>
            </w:pPr>
            <w:r>
              <w:t xml:space="preserve"> </w:t>
            </w:r>
            <w:r w:rsidR="003501A1" w:rsidRPr="00A179AE">
              <w:t>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D13C2D" w:rsidP="002E4B64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E4B64">
            <w:pPr>
              <w:widowControl w:val="0"/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E4B64">
                <w:pPr>
                  <w:widowControl w:val="0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E4B64">
            <w:pPr>
              <w:widowControl w:val="0"/>
            </w:pPr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E4B64">
                <w:pPr>
                  <w:widowControl w:val="0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E4B64">
            <w:pPr>
              <w:widowControl w:val="0"/>
              <w:ind w:left="54"/>
            </w:pPr>
            <w:r w:rsidRPr="00A179AE">
              <w:t>Negatívne</w:t>
            </w:r>
          </w:p>
        </w:tc>
      </w:tr>
      <w:tr w:rsidR="003501A1" w:rsidRPr="00A179AE" w:rsidTr="002E4B64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widowControl w:val="0"/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2E4B64">
                <w:pPr>
                  <w:widowControl w:val="0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E4B64">
            <w:pPr>
              <w:widowControl w:val="0"/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6459F" w:rsidP="002E4B64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E4B64">
            <w:pPr>
              <w:widowControl w:val="0"/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E4B64">
                <w:pPr>
                  <w:widowControl w:val="0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E4B64">
            <w:pPr>
              <w:widowControl w:val="0"/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2E4B6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widowControl w:val="0"/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2E4B64">
                <w:pPr>
                  <w:widowControl w:val="0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E4B64">
            <w:pPr>
              <w:widowControl w:val="0"/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6459F" w:rsidP="002E4B64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E4B64">
            <w:pPr>
              <w:widowControl w:val="0"/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E4B64">
                <w:pPr>
                  <w:widowControl w:val="0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E4B64">
            <w:pPr>
              <w:widowControl w:val="0"/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  <w:bookmarkStart w:id="0" w:name="_GoBack"/>
        <w:bookmarkEnd w:id="0"/>
      </w:tr>
      <w:tr w:rsidR="003501A1" w:rsidRPr="00A179AE" w:rsidTr="002E4B6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widowControl w:val="0"/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2E4B64">
                <w:pPr>
                  <w:widowControl w:val="0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E4B64">
            <w:pPr>
              <w:widowControl w:val="0"/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6459F" w:rsidP="002E4B64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E4B64">
            <w:pPr>
              <w:widowControl w:val="0"/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E4B64">
                <w:pPr>
                  <w:widowControl w:val="0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E4B64">
            <w:pPr>
              <w:widowControl w:val="0"/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84193C" w:rsidRPr="00A179AE" w:rsidTr="002E4B6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4193C" w:rsidRPr="0084193C" w:rsidRDefault="0084193C" w:rsidP="002E4B64">
            <w:pPr>
              <w:widowControl w:val="0"/>
              <w:rPr>
                <w:b/>
              </w:rPr>
            </w:pPr>
            <w:r w:rsidRPr="0084193C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93C" w:rsidRPr="0084193C" w:rsidRDefault="0084193C" w:rsidP="002E4B64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3C" w:rsidRPr="0084193C" w:rsidRDefault="0084193C" w:rsidP="002E4B64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3C" w:rsidRPr="0084193C" w:rsidRDefault="0084193C" w:rsidP="002E4B64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3C" w:rsidRPr="0084193C" w:rsidRDefault="0084193C" w:rsidP="002E4B64">
            <w:pPr>
              <w:widowControl w:val="0"/>
              <w:rPr>
                <w:b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3C" w:rsidRPr="0084193C" w:rsidRDefault="0084193C" w:rsidP="002E4B64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93C" w:rsidRPr="0084193C" w:rsidRDefault="0084193C" w:rsidP="002E4B64">
            <w:pPr>
              <w:widowControl w:val="0"/>
              <w:ind w:left="54"/>
              <w:rPr>
                <w:b/>
              </w:rPr>
            </w:pPr>
          </w:p>
        </w:tc>
      </w:tr>
      <w:tr w:rsidR="0084193C" w:rsidRPr="00A179AE" w:rsidTr="002E4B6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4193C" w:rsidRPr="0084193C" w:rsidRDefault="002E4B64" w:rsidP="002E4B64">
            <w:pPr>
              <w:widowControl w:val="0"/>
              <w:ind w:left="196" w:hanging="19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84193C" w:rsidRPr="0084193C">
              <w:rPr>
                <w:rFonts w:eastAsia="Calibri"/>
                <w:b/>
                <w:lang w:eastAsia="en-US"/>
              </w:rPr>
              <w:t>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4193C" w:rsidRPr="0084193C" w:rsidRDefault="0084193C" w:rsidP="002E4B64">
                <w:pPr>
                  <w:widowControl w:val="0"/>
                  <w:jc w:val="center"/>
                  <w:rPr>
                    <w:b/>
                  </w:rPr>
                </w:pPr>
                <w:r w:rsidRPr="0084193C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3C" w:rsidRPr="0084193C" w:rsidRDefault="0084193C" w:rsidP="002E4B64">
            <w:pPr>
              <w:widowControl w:val="0"/>
              <w:ind w:right="-108"/>
              <w:rPr>
                <w:b/>
              </w:rPr>
            </w:pPr>
            <w:r w:rsidRPr="0084193C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4193C" w:rsidRPr="0084193C" w:rsidRDefault="0084193C" w:rsidP="002E4B64">
                <w:pPr>
                  <w:widowControl w:val="0"/>
                  <w:jc w:val="center"/>
                  <w:rPr>
                    <w:b/>
                  </w:rPr>
                </w:pPr>
                <w:r w:rsidRPr="0084193C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3C" w:rsidRPr="0084193C" w:rsidRDefault="0084193C" w:rsidP="002E4B64">
            <w:pPr>
              <w:widowControl w:val="0"/>
              <w:rPr>
                <w:b/>
              </w:rPr>
            </w:pPr>
            <w:r w:rsidRPr="0084193C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4193C" w:rsidRPr="0084193C" w:rsidRDefault="0084193C" w:rsidP="002E4B64">
                <w:pPr>
                  <w:widowControl w:val="0"/>
                  <w:jc w:val="center"/>
                  <w:rPr>
                    <w:b/>
                  </w:rPr>
                </w:pPr>
                <w:r w:rsidRPr="0084193C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93C" w:rsidRPr="0084193C" w:rsidRDefault="0084193C" w:rsidP="002E4B64">
            <w:pPr>
              <w:widowControl w:val="0"/>
              <w:ind w:left="54"/>
              <w:rPr>
                <w:b/>
              </w:rPr>
            </w:pPr>
            <w:r w:rsidRPr="0084193C">
              <w:rPr>
                <w:b/>
              </w:rPr>
              <w:t>Negatívne</w:t>
            </w:r>
          </w:p>
        </w:tc>
      </w:tr>
      <w:tr w:rsidR="0084193C" w:rsidRPr="00A179AE" w:rsidTr="002E4B6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4193C" w:rsidRPr="0084193C" w:rsidRDefault="002E4B64" w:rsidP="002E4B64">
            <w:pPr>
              <w:widowControl w:val="0"/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84193C" w:rsidRPr="0084193C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4193C" w:rsidRPr="0084193C" w:rsidRDefault="0084193C" w:rsidP="002E4B64">
                <w:pPr>
                  <w:widowControl w:val="0"/>
                  <w:jc w:val="center"/>
                  <w:rPr>
                    <w:b/>
                  </w:rPr>
                </w:pPr>
                <w:r w:rsidRPr="0084193C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3C" w:rsidRPr="0084193C" w:rsidRDefault="0084193C" w:rsidP="002E4B64">
            <w:pPr>
              <w:widowControl w:val="0"/>
              <w:ind w:right="-108"/>
              <w:rPr>
                <w:b/>
              </w:rPr>
            </w:pPr>
            <w:r w:rsidRPr="0084193C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4193C" w:rsidRPr="0084193C" w:rsidRDefault="0084193C" w:rsidP="002E4B64">
                <w:pPr>
                  <w:widowControl w:val="0"/>
                  <w:jc w:val="center"/>
                  <w:rPr>
                    <w:b/>
                  </w:rPr>
                </w:pPr>
                <w:r w:rsidRPr="0084193C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3C" w:rsidRPr="0084193C" w:rsidRDefault="0084193C" w:rsidP="002E4B64">
            <w:pPr>
              <w:widowControl w:val="0"/>
              <w:rPr>
                <w:b/>
              </w:rPr>
            </w:pPr>
            <w:r w:rsidRPr="0084193C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4193C" w:rsidRPr="0084193C" w:rsidRDefault="0084193C" w:rsidP="002E4B64">
                <w:pPr>
                  <w:widowControl w:val="0"/>
                  <w:jc w:val="center"/>
                  <w:rPr>
                    <w:b/>
                  </w:rPr>
                </w:pPr>
                <w:r w:rsidRPr="0084193C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93C" w:rsidRPr="0084193C" w:rsidRDefault="0084193C" w:rsidP="002E4B64">
            <w:pPr>
              <w:widowControl w:val="0"/>
              <w:ind w:left="54"/>
              <w:rPr>
                <w:b/>
              </w:rPr>
            </w:pPr>
            <w:r w:rsidRPr="0084193C">
              <w:rPr>
                <w:b/>
              </w:rPr>
              <w:t>Negatívne</w:t>
            </w:r>
          </w:p>
        </w:tc>
      </w:tr>
      <w:tr w:rsidR="004F6F1F" w:rsidRPr="00A179AE" w:rsidTr="002E4B64">
        <w:tc>
          <w:tcPr>
            <w:tcW w:w="91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2E4B64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2E4B64">
        <w:trPr>
          <w:trHeight w:val="561"/>
        </w:trPr>
        <w:tc>
          <w:tcPr>
            <w:tcW w:w="9176" w:type="dxa"/>
            <w:gridSpan w:val="10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2E4B64" w:rsidRDefault="00233C83" w:rsidP="002E4B64">
            <w:pPr>
              <w:widowControl w:val="0"/>
            </w:pPr>
            <w:r w:rsidRPr="002E4B64">
              <w:t xml:space="preserve">Návrh nariadenia vlády bol predmetom konzultácií na základe rozhodnutia Ministerstva hospodárstva SR, Centra pre hospodárske otázky zo 16. novembra 2017. </w:t>
            </w:r>
            <w:r w:rsidR="00B87BB9" w:rsidRPr="002E4B64">
              <w:t>Na konzultáciách</w:t>
            </w:r>
            <w:r w:rsidR="002E4B64" w:rsidRPr="002E4B64">
              <w:t xml:space="preserve"> </w:t>
            </w:r>
            <w:r w:rsidRPr="002E4B64">
              <w:t xml:space="preserve">sa zúčastnil Klub 500, Obchodná 6, 811 06 Bratislava, ktorý 24. </w:t>
            </w:r>
            <w:r w:rsidR="00B87BB9" w:rsidRPr="002E4B64">
              <w:t>n</w:t>
            </w:r>
            <w:r w:rsidRPr="002E4B64">
              <w:t>ovembra 2017 písomne oznámil</w:t>
            </w:r>
            <w:r w:rsidR="00B87BB9" w:rsidRPr="002E4B64">
              <w:t xml:space="preserve"> Ministerstvu pôdohospodárstva a rozvoja vidieka SR </w:t>
            </w:r>
            <w:r w:rsidRPr="002E4B64">
              <w:t>, že k navrhovanému nariadeniu vlády nemá pripomienky.</w:t>
            </w:r>
          </w:p>
        </w:tc>
      </w:tr>
      <w:tr w:rsidR="003501A1" w:rsidRPr="00A179AE" w:rsidTr="002E4B64">
        <w:tc>
          <w:tcPr>
            <w:tcW w:w="9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8B66B2">
        <w:trPr>
          <w:trHeight w:val="256"/>
        </w:trPr>
        <w:tc>
          <w:tcPr>
            <w:tcW w:w="9176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939" w:rsidRPr="00392253" w:rsidRDefault="00003EFC" w:rsidP="002E4B64">
            <w:pPr>
              <w:widowControl w:val="0"/>
            </w:pPr>
            <w:hyperlink r:id="rId8" w:history="1">
              <w:r w:rsidR="002E4B64" w:rsidRPr="00305D46">
                <w:rPr>
                  <w:rStyle w:val="Hypertextovprepojenie"/>
                </w:rPr>
                <w:t>zuzana.gergelova@land.gov.sk</w:t>
              </w:r>
            </w:hyperlink>
            <w:r w:rsidR="002E4B64">
              <w:t xml:space="preserve"> </w:t>
            </w:r>
            <w:r w:rsidR="008B66B2">
              <w:t xml:space="preserve">; </w:t>
            </w:r>
            <w:hyperlink r:id="rId9" w:history="1">
              <w:r w:rsidR="008B66B2" w:rsidRPr="00305D46">
                <w:rPr>
                  <w:rStyle w:val="Hypertextovprepojenie"/>
                </w:rPr>
                <w:t>martin.illas@land.gov.sk</w:t>
              </w:r>
            </w:hyperlink>
            <w:r w:rsidR="008B66B2">
              <w:t xml:space="preserve"> </w:t>
            </w:r>
          </w:p>
        </w:tc>
      </w:tr>
      <w:tr w:rsidR="003501A1" w:rsidRPr="00A179AE" w:rsidTr="002E4B64">
        <w:tc>
          <w:tcPr>
            <w:tcW w:w="9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2E4B64">
        <w:trPr>
          <w:trHeight w:val="401"/>
        </w:trPr>
        <w:tc>
          <w:tcPr>
            <w:tcW w:w="9176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2E4B64" w:rsidRDefault="003501A1" w:rsidP="002E4B64">
            <w:pPr>
              <w:widowControl w:val="0"/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</w:tc>
      </w:tr>
      <w:tr w:rsidR="003501A1" w:rsidRPr="00A179AE" w:rsidTr="002E4B64">
        <w:tc>
          <w:tcPr>
            <w:tcW w:w="9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E4B64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2E4B64">
        <w:tc>
          <w:tcPr>
            <w:tcW w:w="9176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2E4B64" w:rsidRDefault="003501A1" w:rsidP="002E4B64">
            <w:pPr>
              <w:widowControl w:val="0"/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</w:tc>
      </w:tr>
    </w:tbl>
    <w:p w:rsidR="003501A1" w:rsidRDefault="003501A1" w:rsidP="002E4B64">
      <w:pPr>
        <w:widowControl w:val="0"/>
        <w:rPr>
          <w:b/>
        </w:rPr>
      </w:pPr>
    </w:p>
    <w:p w:rsidR="003501A1" w:rsidRDefault="003501A1" w:rsidP="002E4B64">
      <w:pPr>
        <w:widowControl w:val="0"/>
        <w:rPr>
          <w:b/>
        </w:rPr>
      </w:pPr>
    </w:p>
    <w:p w:rsidR="00CB3623" w:rsidRDefault="00CB3623" w:rsidP="002E4B64">
      <w:pPr>
        <w:widowControl w:val="0"/>
      </w:pPr>
    </w:p>
    <w:sectPr w:rsidR="00CB3623" w:rsidSect="007C23B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22" w:rsidRDefault="00B63822" w:rsidP="003501A1">
      <w:r>
        <w:separator/>
      </w:r>
    </w:p>
  </w:endnote>
  <w:endnote w:type="continuationSeparator" w:id="0">
    <w:p w:rsidR="00B63822" w:rsidRDefault="00B6382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352617820"/>
      <w:docPartObj>
        <w:docPartGallery w:val="Page Numbers (Bottom of Page)"/>
        <w:docPartUnique/>
      </w:docPartObj>
    </w:sdtPr>
    <w:sdtEndPr/>
    <w:sdtContent>
      <w:p w:rsidR="007C23BB" w:rsidRPr="007C23BB" w:rsidRDefault="007C23BB">
        <w:pPr>
          <w:pStyle w:val="Pta"/>
          <w:jc w:val="center"/>
          <w:rPr>
            <w:sz w:val="24"/>
            <w:szCs w:val="24"/>
          </w:rPr>
        </w:pPr>
        <w:r w:rsidRPr="007C23BB">
          <w:rPr>
            <w:sz w:val="24"/>
            <w:szCs w:val="24"/>
          </w:rPr>
          <w:fldChar w:fldCharType="begin"/>
        </w:r>
        <w:r w:rsidRPr="007C23BB">
          <w:rPr>
            <w:sz w:val="24"/>
            <w:szCs w:val="24"/>
          </w:rPr>
          <w:instrText>PAGE   \* MERGEFORMAT</w:instrText>
        </w:r>
        <w:r w:rsidRPr="007C23BB">
          <w:rPr>
            <w:sz w:val="24"/>
            <w:szCs w:val="24"/>
          </w:rPr>
          <w:fldChar w:fldCharType="separate"/>
        </w:r>
        <w:r w:rsidR="00003EFC">
          <w:rPr>
            <w:noProof/>
            <w:sz w:val="24"/>
            <w:szCs w:val="24"/>
          </w:rPr>
          <w:t>4</w:t>
        </w:r>
        <w:r w:rsidRPr="007C23BB">
          <w:rPr>
            <w:sz w:val="24"/>
            <w:szCs w:val="24"/>
          </w:rPr>
          <w:fldChar w:fldCharType="end"/>
        </w:r>
      </w:p>
    </w:sdtContent>
  </w:sdt>
  <w:p w:rsidR="007C23BB" w:rsidRPr="007C23BB" w:rsidRDefault="007C23BB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22" w:rsidRDefault="00B63822" w:rsidP="003501A1">
      <w:r>
        <w:separator/>
      </w:r>
    </w:p>
  </w:footnote>
  <w:footnote w:type="continuationSeparator" w:id="0">
    <w:p w:rsidR="00B63822" w:rsidRDefault="00B63822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A1" w:rsidRPr="000A15AE" w:rsidRDefault="003501A1" w:rsidP="003501A1">
    <w:pPr>
      <w:pStyle w:val="Hlavika"/>
      <w:jc w:val="right"/>
      <w:rPr>
        <w:sz w:val="24"/>
        <w:szCs w:val="24"/>
      </w:rPr>
    </w:pP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3EFC"/>
    <w:rsid w:val="00013155"/>
    <w:rsid w:val="00020ACD"/>
    <w:rsid w:val="0004581F"/>
    <w:rsid w:val="000E13AD"/>
    <w:rsid w:val="000E65BD"/>
    <w:rsid w:val="00175FD8"/>
    <w:rsid w:val="00205474"/>
    <w:rsid w:val="002302A8"/>
    <w:rsid w:val="00233C83"/>
    <w:rsid w:val="002D63B9"/>
    <w:rsid w:val="002E4B64"/>
    <w:rsid w:val="002E7B50"/>
    <w:rsid w:val="003501A1"/>
    <w:rsid w:val="00392253"/>
    <w:rsid w:val="00395098"/>
    <w:rsid w:val="003C6422"/>
    <w:rsid w:val="003F0067"/>
    <w:rsid w:val="003F2FE8"/>
    <w:rsid w:val="004212E7"/>
    <w:rsid w:val="0046459F"/>
    <w:rsid w:val="0046494A"/>
    <w:rsid w:val="0047200C"/>
    <w:rsid w:val="004C60B8"/>
    <w:rsid w:val="004C794A"/>
    <w:rsid w:val="004F6F1F"/>
    <w:rsid w:val="0051139E"/>
    <w:rsid w:val="005B7A8D"/>
    <w:rsid w:val="005C76B6"/>
    <w:rsid w:val="00601D56"/>
    <w:rsid w:val="00680939"/>
    <w:rsid w:val="006C3B7D"/>
    <w:rsid w:val="007323BA"/>
    <w:rsid w:val="00754784"/>
    <w:rsid w:val="007655EA"/>
    <w:rsid w:val="007C23BB"/>
    <w:rsid w:val="007D557E"/>
    <w:rsid w:val="00806E3A"/>
    <w:rsid w:val="0084193C"/>
    <w:rsid w:val="00866807"/>
    <w:rsid w:val="00876E68"/>
    <w:rsid w:val="008B66B2"/>
    <w:rsid w:val="008D74C7"/>
    <w:rsid w:val="00900DEB"/>
    <w:rsid w:val="00944F97"/>
    <w:rsid w:val="00953157"/>
    <w:rsid w:val="009856C2"/>
    <w:rsid w:val="00993C93"/>
    <w:rsid w:val="00A2098A"/>
    <w:rsid w:val="00A674F0"/>
    <w:rsid w:val="00AA5E63"/>
    <w:rsid w:val="00AF2DAD"/>
    <w:rsid w:val="00B07BDD"/>
    <w:rsid w:val="00B56CF2"/>
    <w:rsid w:val="00B63822"/>
    <w:rsid w:val="00B65A86"/>
    <w:rsid w:val="00B87BB9"/>
    <w:rsid w:val="00B97699"/>
    <w:rsid w:val="00BC08D4"/>
    <w:rsid w:val="00BC2698"/>
    <w:rsid w:val="00BF46E2"/>
    <w:rsid w:val="00C02132"/>
    <w:rsid w:val="00C140E9"/>
    <w:rsid w:val="00C3150D"/>
    <w:rsid w:val="00C32642"/>
    <w:rsid w:val="00CB3623"/>
    <w:rsid w:val="00CB57C5"/>
    <w:rsid w:val="00CC1E3F"/>
    <w:rsid w:val="00D13B6F"/>
    <w:rsid w:val="00D13C2D"/>
    <w:rsid w:val="00D75D35"/>
    <w:rsid w:val="00DE2A12"/>
    <w:rsid w:val="00E3182C"/>
    <w:rsid w:val="00EB59E3"/>
    <w:rsid w:val="00F22831"/>
    <w:rsid w:val="00F62771"/>
    <w:rsid w:val="00F669BA"/>
    <w:rsid w:val="00F82CA9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D53F9-5282-4B93-8E71-9558CB53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3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93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92253"/>
    <w:rPr>
      <w:color w:val="0000FF" w:themeColor="hyperlink"/>
      <w:u w:val="single"/>
    </w:rPr>
  </w:style>
  <w:style w:type="paragraph" w:customStyle="1" w:styleId="CM1">
    <w:name w:val="CM1"/>
    <w:basedOn w:val="Normlny"/>
    <w:next w:val="Normlny"/>
    <w:uiPriority w:val="99"/>
    <w:rsid w:val="00F82CA9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gergelova@land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illas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2066-644D-405E-AC3B-11E94371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8</cp:revision>
  <dcterms:created xsi:type="dcterms:W3CDTF">2017-12-21T10:05:00Z</dcterms:created>
  <dcterms:modified xsi:type="dcterms:W3CDTF">2018-01-18T06:28:00Z</dcterms:modified>
</cp:coreProperties>
</file>