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B" w:rsidRPr="00AC1FAB" w:rsidRDefault="00924E4B" w:rsidP="003F44EE">
      <w:pPr>
        <w:rPr>
          <w:b/>
          <w:sz w:val="24"/>
          <w:szCs w:val="24"/>
        </w:rPr>
      </w:pPr>
      <w:bookmarkStart w:id="0" w:name="_GoBack"/>
      <w:bookmarkEnd w:id="0"/>
    </w:p>
    <w:p w:rsidR="008D1374" w:rsidRPr="00AC1FAB" w:rsidRDefault="008D1374" w:rsidP="00B14078">
      <w:pPr>
        <w:jc w:val="center"/>
        <w:rPr>
          <w:b/>
          <w:sz w:val="24"/>
          <w:szCs w:val="24"/>
        </w:rPr>
      </w:pPr>
      <w:r w:rsidRPr="00AC1FAB">
        <w:rPr>
          <w:b/>
          <w:sz w:val="24"/>
          <w:szCs w:val="24"/>
        </w:rPr>
        <w:t>TABUĽKA ZHODY</w:t>
      </w:r>
    </w:p>
    <w:p w:rsidR="00EE2449" w:rsidRPr="00AC1FAB" w:rsidRDefault="00EE2449" w:rsidP="00B1407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992"/>
        <w:gridCol w:w="851"/>
        <w:gridCol w:w="3260"/>
        <w:gridCol w:w="709"/>
        <w:gridCol w:w="2054"/>
      </w:tblGrid>
      <w:tr w:rsidR="008D1374" w:rsidRPr="00AC1FAB" w:rsidTr="008F72AC">
        <w:trPr>
          <w:cantSplit/>
        </w:trPr>
        <w:tc>
          <w:tcPr>
            <w:tcW w:w="5812" w:type="dxa"/>
            <w:gridSpan w:val="3"/>
          </w:tcPr>
          <w:p w:rsidR="008D1374" w:rsidRPr="00AC1FAB" w:rsidRDefault="008D1374" w:rsidP="008F72AC">
            <w:pPr>
              <w:jc w:val="center"/>
              <w:rPr>
                <w:b/>
                <w:bCs/>
                <w:iCs/>
              </w:rPr>
            </w:pPr>
          </w:p>
          <w:p w:rsidR="008D1374" w:rsidRPr="00AC1FAB" w:rsidRDefault="008D1374" w:rsidP="00680F48">
            <w:pPr>
              <w:jc w:val="both"/>
              <w:rPr>
                <w:i/>
                <w:iCs/>
                <w:sz w:val="24"/>
                <w:szCs w:val="24"/>
              </w:rPr>
            </w:pPr>
            <w:r w:rsidRPr="00AC1FAB">
              <w:rPr>
                <w:b/>
                <w:bCs/>
                <w:iCs/>
                <w:sz w:val="24"/>
                <w:szCs w:val="24"/>
              </w:rPr>
              <w:t>Smernica Rady 98/49/ES z 29. júna 1998</w:t>
            </w:r>
            <w:r w:rsidRPr="00AC1FAB">
              <w:rPr>
                <w:b/>
                <w:iCs/>
                <w:sz w:val="24"/>
                <w:szCs w:val="24"/>
              </w:rPr>
              <w:t xml:space="preserve"> o ochrane nárokov na dávky zo systému doplnkového poistenia zamestnancov a samostatne zárobkovo činných osôb pohybujúcich sa v rámci spoločenstva</w:t>
            </w:r>
          </w:p>
        </w:tc>
        <w:tc>
          <w:tcPr>
            <w:tcW w:w="7866" w:type="dxa"/>
            <w:gridSpan w:val="5"/>
          </w:tcPr>
          <w:p w:rsidR="008D1374" w:rsidRPr="00AC1FAB" w:rsidRDefault="008D1374" w:rsidP="008F72AC">
            <w:pPr>
              <w:jc w:val="center"/>
              <w:rPr>
                <w:b/>
                <w:bCs/>
                <w:i/>
                <w:iCs/>
              </w:rPr>
            </w:pPr>
          </w:p>
          <w:p w:rsidR="008D1374" w:rsidRPr="00AC1FAB" w:rsidRDefault="008D1374" w:rsidP="00680F48">
            <w:pPr>
              <w:jc w:val="both"/>
              <w:rPr>
                <w:b/>
                <w:sz w:val="24"/>
                <w:szCs w:val="24"/>
              </w:rPr>
            </w:pPr>
            <w:r w:rsidRPr="00AC1FAB">
              <w:rPr>
                <w:b/>
                <w:sz w:val="24"/>
                <w:szCs w:val="24"/>
              </w:rPr>
              <w:t>Návrh zákona z ...2017, ktorým sa mení a dopĺňa zákon č. 650/2004 Z. z. o doplnkovom dôchodkovom sporení a o zmene a doplnení niektorých zákonov v znení neskorších</w:t>
            </w:r>
            <w:r w:rsidRPr="00AC1FAB">
              <w:rPr>
                <w:sz w:val="24"/>
                <w:szCs w:val="24"/>
              </w:rPr>
              <w:t xml:space="preserve"> </w:t>
            </w:r>
            <w:r w:rsidRPr="00AC1FAB">
              <w:rPr>
                <w:b/>
                <w:sz w:val="24"/>
                <w:szCs w:val="24"/>
              </w:rPr>
              <w:t>predpisov (ďalej len „nz“)</w:t>
            </w:r>
          </w:p>
          <w:p w:rsidR="008D1374" w:rsidRPr="00AC1FAB" w:rsidRDefault="008D1374" w:rsidP="00680F48">
            <w:pPr>
              <w:jc w:val="both"/>
              <w:rPr>
                <w:iCs/>
                <w:sz w:val="24"/>
                <w:szCs w:val="24"/>
              </w:rPr>
            </w:pPr>
          </w:p>
          <w:p w:rsidR="008D1374" w:rsidRPr="00AC1FAB" w:rsidRDefault="008D1374" w:rsidP="00680F48">
            <w:pPr>
              <w:jc w:val="both"/>
              <w:rPr>
                <w:iCs/>
                <w:sz w:val="24"/>
                <w:szCs w:val="24"/>
              </w:rPr>
            </w:pPr>
            <w:r w:rsidRPr="00AC1FAB">
              <w:rPr>
                <w:bCs/>
                <w:iCs/>
                <w:sz w:val="24"/>
                <w:szCs w:val="24"/>
              </w:rPr>
              <w:t>Zákon č. 650/2004 Z. z o doplnkovom dôchodkovom sporení a o zmene a doplnení niektorých zákonov v znení neskorších predpisov (ďalej</w:t>
            </w:r>
            <w:r w:rsidR="00CB0CEA" w:rsidRPr="00AC1FAB">
              <w:rPr>
                <w:bCs/>
                <w:iCs/>
                <w:sz w:val="24"/>
                <w:szCs w:val="24"/>
              </w:rPr>
              <w:t xml:space="preserve"> len „650/2004 Z. z.“)</w:t>
            </w:r>
          </w:p>
          <w:p w:rsidR="008D1374" w:rsidRPr="00AC1FAB" w:rsidRDefault="008D1374" w:rsidP="008F72AC">
            <w:pPr>
              <w:jc w:val="center"/>
              <w:rPr>
                <w:i/>
                <w:iCs/>
              </w:rPr>
            </w:pPr>
          </w:p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666BFB">
            <w:pPr>
              <w:jc w:val="center"/>
            </w:pPr>
            <w:r w:rsidRPr="00AC1FAB">
              <w:t>1</w:t>
            </w:r>
          </w:p>
          <w:p w:rsidR="008D1374" w:rsidRPr="00AC1FAB" w:rsidRDefault="008D1374" w:rsidP="008F72AC"/>
        </w:tc>
        <w:tc>
          <w:tcPr>
            <w:tcW w:w="3969" w:type="dxa"/>
          </w:tcPr>
          <w:p w:rsidR="008D1374" w:rsidRPr="00AC1FAB" w:rsidRDefault="008D1374" w:rsidP="00666BFB">
            <w:pPr>
              <w:jc w:val="center"/>
            </w:pPr>
            <w:r w:rsidRPr="00AC1FAB">
              <w:t>2</w:t>
            </w:r>
          </w:p>
        </w:tc>
        <w:tc>
          <w:tcPr>
            <w:tcW w:w="1134" w:type="dxa"/>
          </w:tcPr>
          <w:p w:rsidR="008D1374" w:rsidRPr="00AC1FAB" w:rsidRDefault="008D1374" w:rsidP="00666BFB">
            <w:pPr>
              <w:jc w:val="center"/>
            </w:pPr>
            <w:r w:rsidRPr="00AC1FAB">
              <w:t>3</w:t>
            </w:r>
          </w:p>
        </w:tc>
        <w:tc>
          <w:tcPr>
            <w:tcW w:w="992" w:type="dxa"/>
          </w:tcPr>
          <w:p w:rsidR="008D1374" w:rsidRPr="00AC1FAB" w:rsidRDefault="008D1374" w:rsidP="00666BFB">
            <w:pPr>
              <w:jc w:val="center"/>
            </w:pPr>
            <w:r w:rsidRPr="00AC1FAB">
              <w:t>4</w:t>
            </w:r>
          </w:p>
        </w:tc>
        <w:tc>
          <w:tcPr>
            <w:tcW w:w="851" w:type="dxa"/>
          </w:tcPr>
          <w:p w:rsidR="008D1374" w:rsidRPr="00AC1FAB" w:rsidRDefault="008D1374" w:rsidP="00666BFB">
            <w:pPr>
              <w:jc w:val="center"/>
            </w:pPr>
            <w:r w:rsidRPr="00AC1FAB">
              <w:t>5</w:t>
            </w:r>
          </w:p>
        </w:tc>
        <w:tc>
          <w:tcPr>
            <w:tcW w:w="3260" w:type="dxa"/>
          </w:tcPr>
          <w:p w:rsidR="008D1374" w:rsidRPr="00AC1FAB" w:rsidRDefault="008D1374" w:rsidP="00666BFB">
            <w:pPr>
              <w:jc w:val="center"/>
            </w:pPr>
            <w:r w:rsidRPr="00AC1FAB">
              <w:t>6</w:t>
            </w:r>
          </w:p>
        </w:tc>
        <w:tc>
          <w:tcPr>
            <w:tcW w:w="709" w:type="dxa"/>
          </w:tcPr>
          <w:p w:rsidR="008D1374" w:rsidRPr="00AC1FAB" w:rsidRDefault="008D1374" w:rsidP="00666BFB">
            <w:pPr>
              <w:jc w:val="center"/>
            </w:pPr>
            <w:r w:rsidRPr="00AC1FAB">
              <w:t>7</w:t>
            </w:r>
          </w:p>
        </w:tc>
        <w:tc>
          <w:tcPr>
            <w:tcW w:w="2054" w:type="dxa"/>
          </w:tcPr>
          <w:p w:rsidR="008D1374" w:rsidRPr="00AC1FAB" w:rsidRDefault="008D1374" w:rsidP="00666BFB">
            <w:pPr>
              <w:jc w:val="center"/>
            </w:pPr>
            <w:r w:rsidRPr="00AC1FAB">
              <w:t>8</w:t>
            </w:r>
          </w:p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623BA9">
            <w:pPr>
              <w:jc w:val="center"/>
            </w:pPr>
            <w:r w:rsidRPr="00AC1FAB">
              <w:t>Článok</w:t>
            </w:r>
          </w:p>
          <w:p w:rsidR="008D1374" w:rsidRPr="00AC1FAB" w:rsidRDefault="008D1374" w:rsidP="00623BA9">
            <w:pPr>
              <w:jc w:val="center"/>
            </w:pPr>
            <w:r w:rsidRPr="00AC1FAB">
              <w:t>(Č, O, V, P)</w:t>
            </w:r>
          </w:p>
        </w:tc>
        <w:tc>
          <w:tcPr>
            <w:tcW w:w="3969" w:type="dxa"/>
          </w:tcPr>
          <w:p w:rsidR="008D1374" w:rsidRPr="00AC1FAB" w:rsidRDefault="008D1374" w:rsidP="00623BA9">
            <w:pPr>
              <w:jc w:val="center"/>
            </w:pPr>
            <w:r w:rsidRPr="00AC1FAB">
              <w:t>Text</w:t>
            </w:r>
          </w:p>
        </w:tc>
        <w:tc>
          <w:tcPr>
            <w:tcW w:w="1134" w:type="dxa"/>
          </w:tcPr>
          <w:p w:rsidR="008D1374" w:rsidRPr="00AC1FAB" w:rsidRDefault="008D1374" w:rsidP="00623BA9">
            <w:pPr>
              <w:jc w:val="center"/>
            </w:pPr>
            <w:r w:rsidRPr="00AC1FAB">
              <w:t>Spôsob</w:t>
            </w:r>
          </w:p>
          <w:p w:rsidR="008D1374" w:rsidRPr="00AC1FAB" w:rsidRDefault="008D1374" w:rsidP="00623BA9">
            <w:pPr>
              <w:jc w:val="center"/>
            </w:pPr>
            <w:r w:rsidRPr="00AC1FAB">
              <w:t>transpozície</w:t>
            </w:r>
          </w:p>
          <w:p w:rsidR="008D1374" w:rsidRPr="00AC1FAB" w:rsidRDefault="008D1374" w:rsidP="00623BA9">
            <w:pPr>
              <w:jc w:val="center"/>
            </w:pPr>
            <w:r w:rsidRPr="00AC1FAB">
              <w:t>(N,O, D, n.a.)</w:t>
            </w:r>
          </w:p>
        </w:tc>
        <w:tc>
          <w:tcPr>
            <w:tcW w:w="992" w:type="dxa"/>
          </w:tcPr>
          <w:p w:rsidR="008D1374" w:rsidRPr="00AC1FAB" w:rsidRDefault="008D1374" w:rsidP="00623BA9">
            <w:pPr>
              <w:jc w:val="center"/>
            </w:pPr>
            <w:r w:rsidRPr="00AC1FAB">
              <w:t>Číslo</w:t>
            </w:r>
          </w:p>
        </w:tc>
        <w:tc>
          <w:tcPr>
            <w:tcW w:w="851" w:type="dxa"/>
          </w:tcPr>
          <w:p w:rsidR="008D1374" w:rsidRPr="00AC1FAB" w:rsidRDefault="008D1374" w:rsidP="00623BA9">
            <w:pPr>
              <w:jc w:val="center"/>
            </w:pPr>
            <w:r w:rsidRPr="00AC1FAB">
              <w:t>Článok</w:t>
            </w:r>
          </w:p>
          <w:p w:rsidR="008D1374" w:rsidRPr="00AC1FAB" w:rsidRDefault="008D1374" w:rsidP="00623BA9">
            <w:pPr>
              <w:jc w:val="center"/>
            </w:pPr>
            <w:r w:rsidRPr="00AC1FAB">
              <w:t>(Č, §, O, V, P)</w:t>
            </w:r>
          </w:p>
        </w:tc>
        <w:tc>
          <w:tcPr>
            <w:tcW w:w="3260" w:type="dxa"/>
          </w:tcPr>
          <w:p w:rsidR="008D1374" w:rsidRPr="00AC1FAB" w:rsidRDefault="008D1374" w:rsidP="00623BA9">
            <w:pPr>
              <w:jc w:val="center"/>
            </w:pPr>
            <w:r w:rsidRPr="00AC1FAB">
              <w:t>Text</w:t>
            </w:r>
          </w:p>
        </w:tc>
        <w:tc>
          <w:tcPr>
            <w:tcW w:w="709" w:type="dxa"/>
          </w:tcPr>
          <w:p w:rsidR="008D1374" w:rsidRPr="00AC1FAB" w:rsidRDefault="008D1374" w:rsidP="00623BA9">
            <w:pPr>
              <w:jc w:val="center"/>
            </w:pPr>
            <w:r w:rsidRPr="00AC1FAB">
              <w:t>Zhoda</w:t>
            </w:r>
          </w:p>
        </w:tc>
        <w:tc>
          <w:tcPr>
            <w:tcW w:w="2054" w:type="dxa"/>
          </w:tcPr>
          <w:p w:rsidR="008D1374" w:rsidRPr="00AC1FAB" w:rsidRDefault="008D1374" w:rsidP="00623BA9">
            <w:pPr>
              <w:jc w:val="center"/>
            </w:pPr>
            <w:r w:rsidRPr="00AC1FAB">
              <w:t>Poznámky</w:t>
            </w:r>
          </w:p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8F72AC">
            <w:r w:rsidRPr="00AC1FAB">
              <w:t>Č: 2</w:t>
            </w:r>
          </w:p>
        </w:tc>
        <w:tc>
          <w:tcPr>
            <w:tcW w:w="3969" w:type="dxa"/>
          </w:tcPr>
          <w:p w:rsidR="008D1374" w:rsidRPr="00AC1FAB" w:rsidRDefault="008D1374" w:rsidP="008F72AC"/>
          <w:p w:rsidR="008D1374" w:rsidRPr="00AC1FAB" w:rsidRDefault="008D1374" w:rsidP="008F72AC">
            <w:r w:rsidRPr="00AC1FAB">
              <w:t>Táto smernica sa vzťahuje na účastníkov v doplnkových dôchodkových systémoch a iné osoby, ktoré majú oprávnený nárok vyplývajúci z týchto systémov a ktoré získali alebo sú v štádiu získavania práv v jednom alebo viacerých členských štátoch.</w:t>
            </w:r>
          </w:p>
          <w:p w:rsidR="008D1374" w:rsidRPr="00AC1FAB" w:rsidRDefault="008D1374" w:rsidP="008F72AC"/>
        </w:tc>
        <w:tc>
          <w:tcPr>
            <w:tcW w:w="1134" w:type="dxa"/>
          </w:tcPr>
          <w:p w:rsidR="008D1374" w:rsidRPr="00AC1FAB" w:rsidRDefault="008D1374" w:rsidP="008F72AC">
            <w:r w:rsidRPr="00AC1FAB">
              <w:t>N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992" w:type="dxa"/>
          </w:tcPr>
          <w:p w:rsidR="008D1374" w:rsidRPr="00AC1FAB" w:rsidRDefault="008D1374" w:rsidP="008F72AC">
            <w:r w:rsidRPr="00AC1FAB">
              <w:t xml:space="preserve">650/2004 Z. z. + </w:t>
            </w:r>
            <w:r w:rsidRPr="00AC1FAB">
              <w:rPr>
                <w:b/>
              </w:rPr>
              <w:t>nz</w:t>
            </w:r>
          </w:p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851" w:type="dxa"/>
          </w:tcPr>
          <w:p w:rsidR="008D1374" w:rsidRPr="00AC1FAB" w:rsidRDefault="008D1374" w:rsidP="008F72AC">
            <w:r w:rsidRPr="00AC1FAB">
              <w:t>§ 5</w:t>
            </w:r>
          </w:p>
          <w:p w:rsidR="008D1374" w:rsidRPr="00AC1FAB" w:rsidRDefault="008D1374" w:rsidP="008F72AC">
            <w:r w:rsidRPr="00AC1FAB">
              <w:t>O: 1</w:t>
            </w:r>
          </w:p>
          <w:p w:rsidR="008D1374" w:rsidRPr="00AC1FAB" w:rsidRDefault="008D1374" w:rsidP="008F72AC"/>
        </w:tc>
        <w:tc>
          <w:tcPr>
            <w:tcW w:w="3260" w:type="dxa"/>
          </w:tcPr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(1) Účastník podľa tohto zákona je 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a) zamestnanec, ktorý uzatvoril 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účastnícku zmluvu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="008D1374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iná fyzická osoba, ktorá ku dňu uzatvorenia účastníckej zmluvy  dovŕšila najmenej 18 rokov veku.</w:t>
            </w:r>
          </w:p>
        </w:tc>
        <w:tc>
          <w:tcPr>
            <w:tcW w:w="709" w:type="dxa"/>
          </w:tcPr>
          <w:p w:rsidR="008D1374" w:rsidRPr="00AC1FAB" w:rsidRDefault="008D1374" w:rsidP="008F72AC">
            <w:r w:rsidRPr="00AC1FAB">
              <w:t>Ú</w:t>
            </w:r>
          </w:p>
        </w:tc>
        <w:tc>
          <w:tcPr>
            <w:tcW w:w="2054" w:type="dxa"/>
          </w:tcPr>
          <w:p w:rsidR="008D1374" w:rsidRPr="00AC1FAB" w:rsidRDefault="008D1374" w:rsidP="008F72AC"/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8F72AC">
            <w:r w:rsidRPr="00AC1FAB">
              <w:t>Č:3</w:t>
            </w:r>
          </w:p>
          <w:p w:rsidR="008D1374" w:rsidRPr="00AC1FAB" w:rsidRDefault="008D1374" w:rsidP="008F72AC">
            <w:r w:rsidRPr="00AC1FAB">
              <w:t>P: a</w:t>
            </w:r>
          </w:p>
        </w:tc>
        <w:tc>
          <w:tcPr>
            <w:tcW w:w="3969" w:type="dxa"/>
          </w:tcPr>
          <w:p w:rsidR="008D1374" w:rsidRPr="00AC1FAB" w:rsidRDefault="008D1374" w:rsidP="008F72AC">
            <w:r w:rsidRPr="00AC1FAB">
              <w:t>Na účely tejto smernice:</w:t>
            </w:r>
          </w:p>
          <w:p w:rsidR="008D1374" w:rsidRPr="00AC1FAB" w:rsidRDefault="008D1374" w:rsidP="008F72AC"/>
          <w:p w:rsidR="008D1374" w:rsidRPr="00AC1FAB" w:rsidRDefault="008D1374" w:rsidP="008F72AC">
            <w:r w:rsidRPr="00AC1FAB">
              <w:t xml:space="preserve">"doplnkový dôchodok" znamená starobné dôchodky a v prípadoch, kde pravidlá doplnkového dôchodkového systému ustanovujú, v súlade s vnútroštátnymi právnymi predpismi a praxou, dávky v invalidite a pozostalostné dávky, ktoré majú doplniť alebo nahradiť dôchodky poskytované s ohľadom na rovnaké nepredvídané udalosti zákonnými  systémami  sociálneho </w:t>
            </w:r>
            <w:r w:rsidRPr="00AC1FAB">
              <w:lastRenderedPageBreak/>
              <w:t>zabezpečenia;</w:t>
            </w:r>
          </w:p>
          <w:p w:rsidR="008D1374" w:rsidRPr="00AC1FAB" w:rsidRDefault="008D1374" w:rsidP="008F72AC"/>
        </w:tc>
        <w:tc>
          <w:tcPr>
            <w:tcW w:w="1134" w:type="dxa"/>
          </w:tcPr>
          <w:p w:rsidR="008D1374" w:rsidRPr="00AC1FAB" w:rsidRDefault="008D1374" w:rsidP="008F72AC">
            <w:r w:rsidRPr="00AC1FAB">
              <w:lastRenderedPageBreak/>
              <w:t>N</w:t>
            </w:r>
          </w:p>
        </w:tc>
        <w:tc>
          <w:tcPr>
            <w:tcW w:w="992" w:type="dxa"/>
          </w:tcPr>
          <w:p w:rsidR="008D1374" w:rsidRPr="00AC1FAB" w:rsidRDefault="008D1374" w:rsidP="008F72AC">
            <w:r w:rsidRPr="00AC1FAB">
              <w:t xml:space="preserve">650/2004 Z. z. 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851" w:type="dxa"/>
          </w:tcPr>
          <w:p w:rsidR="008D1374" w:rsidRPr="00AC1FAB" w:rsidRDefault="008D1374" w:rsidP="008F72AC">
            <w:r w:rsidRPr="00AC1FAB">
              <w:lastRenderedPageBreak/>
              <w:t>§ 15</w:t>
            </w:r>
          </w:p>
          <w:p w:rsidR="008D1374" w:rsidRPr="00AC1FAB" w:rsidRDefault="008D1374" w:rsidP="008F72AC"/>
        </w:tc>
        <w:tc>
          <w:tcPr>
            <w:tcW w:w="3260" w:type="dxa"/>
          </w:tcPr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 doplnkového dôchodkového sporenia sa za podmienok ustanovených týmto zákonom vyplácajú tieto dávky: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a) doplnkový starobný dôchodok, a to vo forme</w:t>
            </w:r>
          </w:p>
          <w:p w:rsidR="008D1374" w:rsidRPr="00AC1FAB" w:rsidRDefault="008D1374" w:rsidP="008F72AC">
            <w:pPr>
              <w:pStyle w:val="Normlnweb"/>
              <w:numPr>
                <w:ilvl w:val="1"/>
                <w:numId w:val="2"/>
              </w:numPr>
              <w:tabs>
                <w:tab w:val="clear" w:pos="1440"/>
                <w:tab w:val="num" w:pos="-1620"/>
              </w:tabs>
              <w:spacing w:before="120" w:after="0"/>
              <w:ind w:left="709" w:hanging="349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doživotného doplnkového starobného dôchodku,</w:t>
            </w:r>
          </w:p>
          <w:p w:rsidR="008D1374" w:rsidRPr="00AC1FAB" w:rsidRDefault="008D1374" w:rsidP="008F72AC">
            <w:pPr>
              <w:pStyle w:val="Normlnweb"/>
              <w:numPr>
                <w:ilvl w:val="1"/>
                <w:numId w:val="2"/>
              </w:numPr>
              <w:tabs>
                <w:tab w:val="clear" w:pos="1440"/>
                <w:tab w:val="num" w:pos="-1620"/>
              </w:tabs>
              <w:spacing w:before="120" w:after="0"/>
              <w:ind w:left="70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dočasného doplnkového </w:t>
            </w: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starobného dôchodku,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="008D1374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doplnkový výsluhový dôchodok, a to vo forme</w:t>
            </w:r>
          </w:p>
          <w:p w:rsidR="008D1374" w:rsidRPr="00AC1FAB" w:rsidRDefault="008D1374" w:rsidP="008F72AC">
            <w:pPr>
              <w:pStyle w:val="Normlnweb"/>
              <w:numPr>
                <w:ilvl w:val="0"/>
                <w:numId w:val="3"/>
              </w:numPr>
              <w:tabs>
                <w:tab w:val="clear" w:pos="1440"/>
              </w:tabs>
              <w:spacing w:before="120" w:after="0"/>
              <w:ind w:left="70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doživotného doplnkového výsluhového dôchodku,</w:t>
            </w:r>
          </w:p>
          <w:p w:rsidR="008D1374" w:rsidRPr="00AC1FAB" w:rsidRDefault="008D1374" w:rsidP="008F72AC">
            <w:pPr>
              <w:pStyle w:val="Normlnweb"/>
              <w:numPr>
                <w:ilvl w:val="0"/>
                <w:numId w:val="3"/>
              </w:numPr>
              <w:tabs>
                <w:tab w:val="clear" w:pos="1440"/>
              </w:tabs>
              <w:spacing w:before="120" w:after="0"/>
              <w:ind w:left="70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dočasného doplnkového výsluhového dôchodku,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napToGrid w:val="0"/>
                <w:sz w:val="20"/>
                <w:szCs w:val="20"/>
                <w:lang w:val="sk-SK"/>
              </w:rPr>
              <w:t>c</w:t>
            </w:r>
            <w:r w:rsidR="008D1374" w:rsidRPr="00AC1FAB">
              <w:rPr>
                <w:rFonts w:ascii="Times New Roman" w:hAnsi="Times New Roman" w:cs="Times New Roman"/>
                <w:snapToGrid w:val="0"/>
                <w:sz w:val="20"/>
                <w:szCs w:val="20"/>
                <w:lang w:val="sk-SK"/>
              </w:rPr>
              <w:t>) jednorazové vyrovnanie,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</w:t>
            </w:r>
            <w:r w:rsidR="008D1374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predčasný výber.</w:t>
            </w:r>
          </w:p>
        </w:tc>
        <w:tc>
          <w:tcPr>
            <w:tcW w:w="709" w:type="dxa"/>
          </w:tcPr>
          <w:p w:rsidR="008D1374" w:rsidRPr="00AC1FAB" w:rsidRDefault="008D1374" w:rsidP="008F72AC">
            <w:r w:rsidRPr="00AC1FAB">
              <w:lastRenderedPageBreak/>
              <w:t>Ú</w:t>
            </w:r>
          </w:p>
        </w:tc>
        <w:tc>
          <w:tcPr>
            <w:tcW w:w="2054" w:type="dxa"/>
          </w:tcPr>
          <w:p w:rsidR="008D1374" w:rsidRPr="00AC1FAB" w:rsidRDefault="008D1374" w:rsidP="008F72AC"/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8F72AC">
            <w:r w:rsidRPr="00AC1FAB">
              <w:lastRenderedPageBreak/>
              <w:t>Č:3</w:t>
            </w:r>
          </w:p>
          <w:p w:rsidR="008D1374" w:rsidRPr="00AC1FAB" w:rsidRDefault="008D1374" w:rsidP="008F72AC">
            <w:r w:rsidRPr="00AC1FAB">
              <w:t xml:space="preserve">P: c </w:t>
            </w:r>
          </w:p>
        </w:tc>
        <w:tc>
          <w:tcPr>
            <w:tcW w:w="3969" w:type="dxa"/>
          </w:tcPr>
          <w:p w:rsidR="008D1374" w:rsidRPr="00AC1FAB" w:rsidRDefault="008D1374" w:rsidP="008F72AC">
            <w:r w:rsidRPr="00AC1FAB">
              <w:t>"práva na dôchodok" znamená akékoľvek dávky, na ktoré majú nárok účastníci daného systému a iné osoby majúce oprávnený nárok podľa pravidiel doplnkového dôchodkového systému a, ak je to použiteľné, podľa vnútroštátnych právnych predpisov;</w:t>
            </w:r>
          </w:p>
          <w:p w:rsidR="008D1374" w:rsidRPr="00AC1FAB" w:rsidRDefault="008D1374" w:rsidP="008F72AC"/>
        </w:tc>
        <w:tc>
          <w:tcPr>
            <w:tcW w:w="1134" w:type="dxa"/>
          </w:tcPr>
          <w:p w:rsidR="008D1374" w:rsidRPr="00AC1FAB" w:rsidRDefault="008D1374" w:rsidP="008F72AC">
            <w:r w:rsidRPr="00AC1FAB">
              <w:t>N</w:t>
            </w:r>
          </w:p>
        </w:tc>
        <w:tc>
          <w:tcPr>
            <w:tcW w:w="992" w:type="dxa"/>
          </w:tcPr>
          <w:p w:rsidR="008D1374" w:rsidRPr="00AC1FAB" w:rsidRDefault="008D1374" w:rsidP="008F72AC">
            <w:r w:rsidRPr="00AC1FAB">
              <w:t xml:space="preserve">650/2004 Z. z. 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851" w:type="dxa"/>
          </w:tcPr>
          <w:p w:rsidR="008D1374" w:rsidRPr="00AC1FAB" w:rsidRDefault="008D1374" w:rsidP="008F72AC">
            <w:r w:rsidRPr="00AC1FAB">
              <w:t>§ 15</w:t>
            </w:r>
          </w:p>
        </w:tc>
        <w:tc>
          <w:tcPr>
            <w:tcW w:w="3260" w:type="dxa"/>
          </w:tcPr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 doplnkového dôchodkového sporenia sa za podmienok ustanovených týmto zákonom vyplácajú tieto dávky: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a) doplnkový starobný dôchodok, a to vo forme</w:t>
            </w:r>
          </w:p>
          <w:p w:rsidR="008D1374" w:rsidRPr="00AC1FAB" w:rsidRDefault="008D1374" w:rsidP="008F72AC">
            <w:pPr>
              <w:pStyle w:val="Normlnweb"/>
              <w:numPr>
                <w:ilvl w:val="1"/>
                <w:numId w:val="2"/>
              </w:numPr>
              <w:tabs>
                <w:tab w:val="clear" w:pos="1440"/>
                <w:tab w:val="num" w:pos="-1620"/>
              </w:tabs>
              <w:spacing w:before="120" w:after="0"/>
              <w:ind w:left="709" w:hanging="349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doživotného doplnkového starobného dôchodku,</w:t>
            </w:r>
          </w:p>
          <w:p w:rsidR="008D1374" w:rsidRPr="00AC1FAB" w:rsidRDefault="008D1374" w:rsidP="008F72AC">
            <w:pPr>
              <w:pStyle w:val="Normlnweb"/>
              <w:numPr>
                <w:ilvl w:val="1"/>
                <w:numId w:val="2"/>
              </w:numPr>
              <w:tabs>
                <w:tab w:val="clear" w:pos="1440"/>
                <w:tab w:val="num" w:pos="-1620"/>
              </w:tabs>
              <w:spacing w:before="120" w:after="0"/>
              <w:ind w:left="70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dočasného doplnkového starobného dôchodku,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="008D1374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doplnkový výsluhový dôchodok, a to vo forme</w:t>
            </w:r>
          </w:p>
          <w:p w:rsidR="008D1374" w:rsidRPr="00AC1FAB" w:rsidRDefault="008D1374" w:rsidP="008F72AC">
            <w:pPr>
              <w:pStyle w:val="Normlnweb"/>
              <w:numPr>
                <w:ilvl w:val="0"/>
                <w:numId w:val="3"/>
              </w:numPr>
              <w:tabs>
                <w:tab w:val="clear" w:pos="1440"/>
              </w:tabs>
              <w:spacing w:before="120" w:after="0"/>
              <w:ind w:left="70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doživotného doplnkového výsluhového dôchodku,</w:t>
            </w:r>
          </w:p>
          <w:p w:rsidR="008D1374" w:rsidRPr="00AC1FAB" w:rsidRDefault="008D1374" w:rsidP="008F72AC">
            <w:pPr>
              <w:pStyle w:val="Normlnweb"/>
              <w:numPr>
                <w:ilvl w:val="0"/>
                <w:numId w:val="3"/>
              </w:numPr>
              <w:tabs>
                <w:tab w:val="clear" w:pos="1440"/>
              </w:tabs>
              <w:spacing w:before="120" w:after="0"/>
              <w:ind w:left="709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dočasného doplnkového výsluhového dôchodku,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napToGrid w:val="0"/>
                <w:sz w:val="20"/>
                <w:szCs w:val="20"/>
                <w:lang w:val="sk-SK"/>
              </w:rPr>
              <w:t>c</w:t>
            </w:r>
            <w:r w:rsidR="008D1374" w:rsidRPr="00AC1FAB">
              <w:rPr>
                <w:rFonts w:ascii="Times New Roman" w:hAnsi="Times New Roman" w:cs="Times New Roman"/>
                <w:snapToGrid w:val="0"/>
                <w:sz w:val="20"/>
                <w:szCs w:val="20"/>
                <w:lang w:val="sk-SK"/>
              </w:rPr>
              <w:t>) jednorazové vyrovnanie,</w:t>
            </w:r>
          </w:p>
          <w:p w:rsidR="008D1374" w:rsidRPr="00AC1FAB" w:rsidRDefault="008D2AC6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</w:t>
            </w:r>
            <w:r w:rsidR="008D1374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predčasný výber.</w:t>
            </w:r>
          </w:p>
        </w:tc>
        <w:tc>
          <w:tcPr>
            <w:tcW w:w="709" w:type="dxa"/>
          </w:tcPr>
          <w:p w:rsidR="008D1374" w:rsidRPr="00AC1FAB" w:rsidRDefault="008D1374" w:rsidP="008F72AC">
            <w:r w:rsidRPr="00AC1FAB">
              <w:t>Ú</w:t>
            </w:r>
          </w:p>
        </w:tc>
        <w:tc>
          <w:tcPr>
            <w:tcW w:w="2054" w:type="dxa"/>
          </w:tcPr>
          <w:p w:rsidR="008D1374" w:rsidRPr="00AC1FAB" w:rsidRDefault="008D1374" w:rsidP="008F72AC"/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8F72AC">
            <w:r w:rsidRPr="00AC1FAB">
              <w:t>Č: 3</w:t>
            </w:r>
          </w:p>
          <w:p w:rsidR="008D1374" w:rsidRPr="00AC1FAB" w:rsidRDefault="008D1374" w:rsidP="008F72AC">
            <w:r w:rsidRPr="00AC1FAB">
              <w:t>P: d</w:t>
            </w:r>
          </w:p>
        </w:tc>
        <w:tc>
          <w:tcPr>
            <w:tcW w:w="3969" w:type="dxa"/>
          </w:tcPr>
          <w:p w:rsidR="008D1374" w:rsidRPr="00AC1FAB" w:rsidRDefault="008D1374" w:rsidP="008F72AC">
            <w:r w:rsidRPr="00AC1FAB">
              <w:t xml:space="preserve">"neodňateľné práva na dôchodok" znamená akékoľvek oprávnenie na dávky, ktoré sa poskytnú po splnení podmienok stanovených pravidlami doplnkového dôchodkového </w:t>
            </w:r>
            <w:r w:rsidRPr="00AC1FAB">
              <w:lastRenderedPageBreak/>
              <w:t>systému  a, ak je to použiteľné, podľa vnútroštátnych právnych predpisov;</w:t>
            </w:r>
          </w:p>
          <w:p w:rsidR="008D1374" w:rsidRPr="00AC1FAB" w:rsidRDefault="008D1374" w:rsidP="008F72AC"/>
        </w:tc>
        <w:tc>
          <w:tcPr>
            <w:tcW w:w="1134" w:type="dxa"/>
          </w:tcPr>
          <w:p w:rsidR="008D1374" w:rsidRPr="00AC1FAB" w:rsidRDefault="008D1374" w:rsidP="008F72AC">
            <w:r w:rsidRPr="00AC1FAB">
              <w:lastRenderedPageBreak/>
              <w:t>N</w:t>
            </w:r>
          </w:p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992" w:type="dxa"/>
          </w:tcPr>
          <w:p w:rsidR="008D1374" w:rsidRPr="00AC1FAB" w:rsidRDefault="008D1374" w:rsidP="008F72AC">
            <w:pPr>
              <w:rPr>
                <w:b/>
              </w:rPr>
            </w:pPr>
            <w:r w:rsidRPr="00AC1FAB">
              <w:t xml:space="preserve">650/2004 Z. z. + </w:t>
            </w:r>
            <w:r w:rsidRPr="00AC1FAB">
              <w:rPr>
                <w:b/>
              </w:rPr>
              <w:t>nz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851" w:type="dxa"/>
          </w:tcPr>
          <w:p w:rsidR="008D1374" w:rsidRPr="00AC1FAB" w:rsidRDefault="008D1374" w:rsidP="008F72AC">
            <w:r w:rsidRPr="00AC1FAB">
              <w:lastRenderedPageBreak/>
              <w:t>§ 16</w:t>
            </w:r>
          </w:p>
          <w:p w:rsidR="008D1374" w:rsidRPr="00AC1FAB" w:rsidRDefault="008D1374" w:rsidP="008F72AC">
            <w:r w:rsidRPr="00AC1FAB">
              <w:t>O: 1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>
            <w:r w:rsidRPr="00AC1FAB">
              <w:t xml:space="preserve">§ 18 </w:t>
            </w:r>
          </w:p>
          <w:p w:rsidR="008D1374" w:rsidRPr="00AC1FAB" w:rsidRDefault="008D1374" w:rsidP="008F72AC">
            <w:r w:rsidRPr="00AC1FAB">
              <w:t>O: 1</w:t>
            </w:r>
          </w:p>
          <w:p w:rsidR="008D1374" w:rsidRPr="00AC1FAB" w:rsidRDefault="008D1374" w:rsidP="008F72AC">
            <w:r w:rsidRPr="00AC1FAB">
              <w:t>P: a</w:t>
            </w:r>
          </w:p>
          <w:p w:rsidR="008D1374" w:rsidRPr="00AC1FAB" w:rsidRDefault="008D1374" w:rsidP="008F72AC">
            <w:r w:rsidRPr="00AC1FAB">
              <w:t>O: 6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>
            <w:r w:rsidRPr="00AC1FAB">
              <w:t xml:space="preserve">§ 19 </w:t>
            </w:r>
          </w:p>
          <w:p w:rsidR="008D1374" w:rsidRPr="00AC1FAB" w:rsidRDefault="008D1374" w:rsidP="008F72AC">
            <w:r w:rsidRPr="00AC1FAB">
              <w:t>O: 1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>
            <w:r w:rsidRPr="00AC1FAB">
              <w:t>§ 21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3260" w:type="dxa"/>
          </w:tcPr>
          <w:p w:rsidR="008D1374" w:rsidRPr="00AC1FAB" w:rsidRDefault="008D1374" w:rsidP="008F72AC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Účastníkovi, ktorý požiada doplnkovú dôchodkovú spoločnosť o vyplácanie doplnkového starobného dôchodku, sa tento dôchodok vypláca, ak</w:t>
            </w:r>
          </w:p>
          <w:p w:rsidR="008D1374" w:rsidRPr="00AC1FAB" w:rsidRDefault="008D1374" w:rsidP="008F72AC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 xml:space="preserve"> a) mu vznikol nárok na výplatu starobného dôchodku podľa osobitného predpisu,5)</w:t>
            </w:r>
          </w:p>
          <w:p w:rsidR="008D1374" w:rsidRPr="00AC1FAB" w:rsidRDefault="008D1374" w:rsidP="008F72AC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b) mu vznikol nárok na výplatu predčasného starobného dôchodku podľa osobitného predpisu5a) alebo</w:t>
            </w:r>
          </w:p>
          <w:p w:rsidR="008D1374" w:rsidRPr="00AC1FAB" w:rsidRDefault="008D1374" w:rsidP="008F72AC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c) dovŕšil vek potrebný na nárok na starobný dôchodok podľa osobitného predpisu,5b) platný v príslušnom kalendárnom roku (ďalej len „dôchodkový vek“).</w:t>
            </w:r>
          </w:p>
          <w:p w:rsidR="008D1374" w:rsidRPr="00AC1FAB" w:rsidRDefault="008D1374" w:rsidP="008F72AC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Poznámka pod čiarou k odkazu 5b znie:</w:t>
            </w:r>
          </w:p>
          <w:p w:rsidR="008D1374" w:rsidRPr="00AC1FAB" w:rsidRDefault="008D1374" w:rsidP="008F72AC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„5b) § 65a ods. 1 zákona č. 461/2003 Z. z. v znení neskorších predpisov.“.</w:t>
            </w:r>
          </w:p>
          <w:p w:rsidR="008D1374" w:rsidRPr="00AC1FAB" w:rsidRDefault="008D1374" w:rsidP="008F72AC">
            <w:pPr>
              <w:jc w:val="both"/>
            </w:pP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(1) Účastníkovi sa vyplatí jednorazové vyrovnanie z dôvodu 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a) invalidity z dôvodu poklesu schopnosti vykonávať zárobkovú činnosť o viac ako 70 % podľa osobitného predpisu,5) ak táto skutočnosť nastala po uzatvorení účastníckej zmluvy a ak o vyplatenie jednorazového vyrovnania požiada,</w:t>
            </w:r>
          </w:p>
          <w:p w:rsidR="008D1374" w:rsidRPr="00AC1FAB" w:rsidRDefault="008D1374" w:rsidP="008F72AC">
            <w:pPr>
              <w:jc w:val="both"/>
              <w:rPr>
                <w:b/>
              </w:rPr>
            </w:pPr>
            <w:r w:rsidRPr="00AC1FAB">
              <w:rPr>
                <w:b/>
              </w:rPr>
              <w:t>Poznámka pod čiarou k odkazu 6 sa vypúšťa.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(6) Jednorazové vyrovnanie sa vyplatí oprávnenej osobe určenej v účastníckej zmluve v prípade smrti účastníka, poberateľa dočasného doplnkového starobného dôchodku alebo dočasného doplnkového výsluhového dôchodku v sume </w:t>
            </w: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zodpovedajúcej 100 % aktuálnej hodnoty osobného účtu účastníka.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(1) Účastníkovi, ktorý nesplnil podmienky na vyplácanie dávok uvedených v § 15 písm. a) a </w:t>
            </w:r>
            <w:r w:rsidR="008D2AC6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a požiada o predčasný výber, vyplatí sa suma zodpovedajúca súčinu aktuálnej hodnoty doplnkovej dôchodkovej jednotky zo dňa predchádzajúceho dňu určenému v žiadosti o vyplatenie predčasného výberu a počtu všetkých doplnkových dôchodkových jednotiek z príspevkov zaplatených účastníkom alebo ním určená časť tejto sumy; podanie žiadosti o výplatu dávok podľa § 15 písm. a) a </w:t>
            </w:r>
            <w:r w:rsidR="008D2AC6"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) sa na tento účel nepovažuje za podmienku vyplácania dávok.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Aktuálna hodnota osobného účtu účastníka, poberateľa dočasného doplnkového starobného dôchodku alebo dočasného doplnkového výsluhového dôchodku je predmetom dedenia, ak zomretý účastník, poberateľ dočasného doplnkového starobného dôchodku,alebo dočasného doplnkového výsluhového dôchodku v účastníckej zmluve neurčil ako oprávnenú osobu na vyplatenie aktuálnej hodnoty osobného účtu inú fyzickú osobu alebo právnickú osobu.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lang w:val="sk-SK"/>
              </w:rPr>
            </w:pPr>
          </w:p>
        </w:tc>
        <w:tc>
          <w:tcPr>
            <w:tcW w:w="709" w:type="dxa"/>
          </w:tcPr>
          <w:p w:rsidR="008D1374" w:rsidRPr="00AC1FAB" w:rsidRDefault="008D1374" w:rsidP="008F72AC">
            <w:r w:rsidRPr="00AC1FAB">
              <w:lastRenderedPageBreak/>
              <w:t>Ú</w:t>
            </w:r>
          </w:p>
        </w:tc>
        <w:tc>
          <w:tcPr>
            <w:tcW w:w="2054" w:type="dxa"/>
          </w:tcPr>
          <w:p w:rsidR="008D1374" w:rsidRPr="00AC1FAB" w:rsidRDefault="008D1374" w:rsidP="008F72AC"/>
        </w:tc>
      </w:tr>
      <w:tr w:rsidR="008D1374" w:rsidRPr="00AC1FAB" w:rsidTr="008F72AC">
        <w:tc>
          <w:tcPr>
            <w:tcW w:w="709" w:type="dxa"/>
          </w:tcPr>
          <w:p w:rsidR="008D1374" w:rsidRPr="00AC1FAB" w:rsidRDefault="008D1374" w:rsidP="008F72AC">
            <w:r w:rsidRPr="00AC1FAB">
              <w:lastRenderedPageBreak/>
              <w:t>Č: 7</w:t>
            </w:r>
          </w:p>
        </w:tc>
        <w:tc>
          <w:tcPr>
            <w:tcW w:w="3969" w:type="dxa"/>
          </w:tcPr>
          <w:p w:rsidR="008D1374" w:rsidRPr="00AC1FAB" w:rsidRDefault="008D1374" w:rsidP="008F72AC">
            <w:r w:rsidRPr="00AC1FAB">
              <w:t xml:space="preserve">Členské štáty prijmú opatrenia, ktoré zabezpečia, že zamestnávatelia, správcovia alebo iné osoby zodpovedné za riadenie doplnkových dôchodkových systémov poskytnú členom systému pri sťahovaní sa do iného členského štátu primerané informácie </w:t>
            </w:r>
            <w:r w:rsidRPr="00AC1FAB">
              <w:lastRenderedPageBreak/>
              <w:t>týkajúce sa ich práv na dôchodok a možností, ktoré majú v rámci systému k dispozícii. Tieto informácie budú minimálne zodpovedať informáciám poskytnutým tým členom systému, ktorí prestali platiť príspevky do systému, avšak zostávajú v tom istom členskom štáte.</w:t>
            </w:r>
          </w:p>
          <w:p w:rsidR="008D1374" w:rsidRPr="00AC1FAB" w:rsidRDefault="008D1374" w:rsidP="008F72AC"/>
        </w:tc>
        <w:tc>
          <w:tcPr>
            <w:tcW w:w="1134" w:type="dxa"/>
          </w:tcPr>
          <w:p w:rsidR="008D1374" w:rsidRPr="00AC1FAB" w:rsidRDefault="008D1374" w:rsidP="008F72AC">
            <w:r w:rsidRPr="00AC1FAB">
              <w:lastRenderedPageBreak/>
              <w:t>N</w:t>
            </w:r>
          </w:p>
        </w:tc>
        <w:tc>
          <w:tcPr>
            <w:tcW w:w="992" w:type="dxa"/>
          </w:tcPr>
          <w:p w:rsidR="008D1374" w:rsidRPr="00AC1FAB" w:rsidRDefault="008D1374" w:rsidP="008F72AC">
            <w:pPr>
              <w:rPr>
                <w:b/>
              </w:rPr>
            </w:pPr>
            <w:r w:rsidRPr="00AC1FAB">
              <w:rPr>
                <w:b/>
              </w:rPr>
              <w:t>nz</w:t>
            </w:r>
          </w:p>
        </w:tc>
        <w:tc>
          <w:tcPr>
            <w:tcW w:w="851" w:type="dxa"/>
          </w:tcPr>
          <w:p w:rsidR="008D1374" w:rsidRPr="00AC1FAB" w:rsidRDefault="008D1374" w:rsidP="008F72AC">
            <w:r w:rsidRPr="00AC1FAB">
              <w:t xml:space="preserve">§ 66a </w:t>
            </w:r>
          </w:p>
          <w:p w:rsidR="008D1374" w:rsidRPr="00AC1FAB" w:rsidRDefault="008D1374" w:rsidP="008F72AC">
            <w:r w:rsidRPr="00AC1FAB">
              <w:t>O: 3</w:t>
            </w:r>
          </w:p>
          <w:p w:rsidR="008D1374" w:rsidRPr="00AC1FAB" w:rsidRDefault="008D1374" w:rsidP="008F72AC">
            <w:r w:rsidRPr="00AC1FAB">
              <w:t>P: k</w:t>
            </w:r>
          </w:p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  <w:p w:rsidR="008D1374" w:rsidRPr="00AC1FAB" w:rsidRDefault="008D1374" w:rsidP="008F72AC"/>
        </w:tc>
        <w:tc>
          <w:tcPr>
            <w:tcW w:w="3260" w:type="dxa"/>
          </w:tcPr>
          <w:p w:rsidR="008D1374" w:rsidRPr="00AC1FAB" w:rsidRDefault="008D1374" w:rsidP="0023160A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lastRenderedPageBreak/>
              <w:t>(3) Výpis z osobného účtu a výkaz predpokladaných dôchodkových dávok účastníka obsahuje najmä</w:t>
            </w:r>
          </w:p>
          <w:p w:rsidR="008D1374" w:rsidRPr="00AC1FAB" w:rsidRDefault="008D1374" w:rsidP="0023160A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k)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ab/>
              <w:t xml:space="preserve">informáciu o tom, kde možno získať ďalšie informácie 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lastRenderedPageBreak/>
              <w:t>najmä o</w:t>
            </w:r>
          </w:p>
          <w:p w:rsidR="008D1374" w:rsidRPr="00AC1FAB" w:rsidRDefault="008D1374" w:rsidP="0023160A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1.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ab/>
              <w:t>možnostiach účastníka spojených s jeho účasťou na doplnkovom dôchodkovom sporení,</w:t>
            </w:r>
          </w:p>
          <w:p w:rsidR="008D1374" w:rsidRPr="00AC1FAB" w:rsidRDefault="008D1374" w:rsidP="0023160A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2.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ab/>
              <w:t>dokumentoch uvedených v § 30 ods. 1, § 48a a § 65 ods. 1 písm. j),</w:t>
            </w:r>
          </w:p>
          <w:p w:rsidR="008D1374" w:rsidRPr="00AC1FAB" w:rsidRDefault="008D1374" w:rsidP="0023160A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3.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ab/>
              <w:t>vplyve skončenia pracovnoprávneho vzťahu alebo obdobného právneho vzťahu na výšku predpokladaných dôchodkových dávok účastníka,</w:t>
            </w:r>
          </w:p>
          <w:p w:rsidR="008D1374" w:rsidRPr="00AC1FAB" w:rsidRDefault="008D1374" w:rsidP="0023160A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4.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ab/>
              <w:t>pravidlách investovania doplnkového dôchodkového fondu,</w:t>
            </w:r>
          </w:p>
          <w:p w:rsidR="008D1374" w:rsidRPr="00AC1FAB" w:rsidRDefault="008D1374" w:rsidP="0023160A">
            <w:pPr>
              <w:pStyle w:val="Normlnweb"/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5.</w:t>
            </w: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ab/>
              <w:t>dávkach z doplnkového dôchodkového sporenia.</w:t>
            </w:r>
          </w:p>
          <w:p w:rsidR="008D1374" w:rsidRPr="00AC1FAB" w:rsidRDefault="008D1374" w:rsidP="008F72AC">
            <w:pPr>
              <w:pStyle w:val="Normlnweb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</w:tcPr>
          <w:p w:rsidR="008D1374" w:rsidRPr="00AC1FAB" w:rsidRDefault="008D1374" w:rsidP="008F72AC">
            <w:r w:rsidRPr="00AC1FAB">
              <w:lastRenderedPageBreak/>
              <w:t>Ú</w:t>
            </w:r>
          </w:p>
        </w:tc>
        <w:tc>
          <w:tcPr>
            <w:tcW w:w="2054" w:type="dxa"/>
          </w:tcPr>
          <w:p w:rsidR="008D1374" w:rsidRPr="00AC1FAB" w:rsidRDefault="008D1374" w:rsidP="008F72AC"/>
        </w:tc>
      </w:tr>
    </w:tbl>
    <w:p w:rsidR="008D1374" w:rsidRPr="00AC1FAB" w:rsidRDefault="008D1374" w:rsidP="003F44EE"/>
    <w:sectPr w:rsidR="008D1374" w:rsidRPr="00AC1FAB">
      <w:footerReference w:type="default" r:id="rId8"/>
      <w:pgSz w:w="16840" w:h="11907" w:orient="landscape" w:code="9"/>
      <w:pgMar w:top="1418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37" w:rsidRDefault="00EA6437">
      <w:r>
        <w:separator/>
      </w:r>
    </w:p>
  </w:endnote>
  <w:endnote w:type="continuationSeparator" w:id="0">
    <w:p w:rsidR="00EA6437" w:rsidRDefault="00E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77177"/>
      <w:docPartObj>
        <w:docPartGallery w:val="Page Numbers (Bottom of Page)"/>
        <w:docPartUnique/>
      </w:docPartObj>
    </w:sdtPr>
    <w:sdtContent>
      <w:p w:rsidR="002003B4" w:rsidRDefault="002003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5F56" w:rsidRDefault="00EA6437" w:rsidP="00BD38F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37" w:rsidRDefault="00EA6437">
      <w:r>
        <w:separator/>
      </w:r>
    </w:p>
  </w:footnote>
  <w:footnote w:type="continuationSeparator" w:id="0">
    <w:p w:rsidR="00EA6437" w:rsidRDefault="00EA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DB8"/>
    <w:multiLevelType w:val="multilevel"/>
    <w:tmpl w:val="75862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3B3DB0"/>
    <w:multiLevelType w:val="multilevel"/>
    <w:tmpl w:val="0D0859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EE"/>
    <w:rsid w:val="00024C72"/>
    <w:rsid w:val="00043388"/>
    <w:rsid w:val="0005014C"/>
    <w:rsid w:val="00091D2D"/>
    <w:rsid w:val="000D1792"/>
    <w:rsid w:val="000D21F3"/>
    <w:rsid w:val="00125394"/>
    <w:rsid w:val="0018201F"/>
    <w:rsid w:val="00194C67"/>
    <w:rsid w:val="002003B4"/>
    <w:rsid w:val="0023160A"/>
    <w:rsid w:val="002D7C0E"/>
    <w:rsid w:val="003F44EE"/>
    <w:rsid w:val="003F5350"/>
    <w:rsid w:val="00450872"/>
    <w:rsid w:val="004B2902"/>
    <w:rsid w:val="004C2E1D"/>
    <w:rsid w:val="004C7BDF"/>
    <w:rsid w:val="004E10E2"/>
    <w:rsid w:val="004F46B3"/>
    <w:rsid w:val="005C521F"/>
    <w:rsid w:val="005E6A7A"/>
    <w:rsid w:val="00623BA9"/>
    <w:rsid w:val="00666BFB"/>
    <w:rsid w:val="00680F48"/>
    <w:rsid w:val="00681550"/>
    <w:rsid w:val="00720B0A"/>
    <w:rsid w:val="007268E0"/>
    <w:rsid w:val="008C4062"/>
    <w:rsid w:val="008D1374"/>
    <w:rsid w:val="008D2AC6"/>
    <w:rsid w:val="00924E4B"/>
    <w:rsid w:val="009A5D83"/>
    <w:rsid w:val="009C1A21"/>
    <w:rsid w:val="009D3ABB"/>
    <w:rsid w:val="00A064D6"/>
    <w:rsid w:val="00A83F52"/>
    <w:rsid w:val="00A84506"/>
    <w:rsid w:val="00AB6DB7"/>
    <w:rsid w:val="00AC1FAB"/>
    <w:rsid w:val="00B14078"/>
    <w:rsid w:val="00B54D7D"/>
    <w:rsid w:val="00B8460B"/>
    <w:rsid w:val="00BC5DF7"/>
    <w:rsid w:val="00BD066F"/>
    <w:rsid w:val="00CB0840"/>
    <w:rsid w:val="00CB0CEA"/>
    <w:rsid w:val="00D56DED"/>
    <w:rsid w:val="00E620F1"/>
    <w:rsid w:val="00E66DB4"/>
    <w:rsid w:val="00EA6437"/>
    <w:rsid w:val="00EB6D6A"/>
    <w:rsid w:val="00EE2449"/>
    <w:rsid w:val="00F90980"/>
    <w:rsid w:val="00F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4EE"/>
    <w:pPr>
      <w:autoSpaceDE w:val="0"/>
      <w:autoSpaceDN w:val="0"/>
      <w:spacing w:after="0"/>
      <w:ind w:left="0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styleId="Pta">
    <w:name w:val="footer"/>
    <w:basedOn w:val="Normlny"/>
    <w:link w:val="PtaChar"/>
    <w:uiPriority w:val="99"/>
    <w:rsid w:val="003F44EE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F44E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F44EE"/>
    <w:rPr>
      <w:rFonts w:cs="Times New Roman"/>
    </w:rPr>
  </w:style>
  <w:style w:type="paragraph" w:customStyle="1" w:styleId="Normlnweb">
    <w:name w:val="Normální (web)"/>
    <w:basedOn w:val="Normlny"/>
    <w:uiPriority w:val="99"/>
    <w:rsid w:val="003F44EE"/>
    <w:pPr>
      <w:spacing w:before="100" w:after="100"/>
    </w:pPr>
    <w:rPr>
      <w:rFonts w:ascii="Verdana" w:hAnsi="Verdana" w:cs="Verdana"/>
      <w:sz w:val="15"/>
      <w:szCs w:val="15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F44E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4E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4EE"/>
    <w:rPr>
      <w:rFonts w:ascii="Times New Roman" w:eastAsiaTheme="minorEastAsia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4EE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03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3B4"/>
    <w:rPr>
      <w:rFonts w:ascii="Times New Roman" w:eastAsiaTheme="minorEastAsia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4EE"/>
    <w:pPr>
      <w:autoSpaceDE w:val="0"/>
      <w:autoSpaceDN w:val="0"/>
      <w:spacing w:after="0"/>
      <w:ind w:left="0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basedOn w:val="Normlny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styleId="Pta">
    <w:name w:val="footer"/>
    <w:basedOn w:val="Normlny"/>
    <w:link w:val="PtaChar"/>
    <w:uiPriority w:val="99"/>
    <w:rsid w:val="003F44EE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F44E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F44EE"/>
    <w:rPr>
      <w:rFonts w:cs="Times New Roman"/>
    </w:rPr>
  </w:style>
  <w:style w:type="paragraph" w:customStyle="1" w:styleId="Normlnweb">
    <w:name w:val="Normální (web)"/>
    <w:basedOn w:val="Normlny"/>
    <w:uiPriority w:val="99"/>
    <w:rsid w:val="003F44EE"/>
    <w:pPr>
      <w:spacing w:before="100" w:after="100"/>
    </w:pPr>
    <w:rPr>
      <w:rFonts w:ascii="Verdana" w:hAnsi="Verdana" w:cs="Verdana"/>
      <w:sz w:val="15"/>
      <w:szCs w:val="15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F44E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4E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4EE"/>
    <w:rPr>
      <w:rFonts w:ascii="Times New Roman" w:eastAsiaTheme="minorEastAsia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4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4EE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03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3B4"/>
    <w:rPr>
      <w:rFonts w:ascii="Times New Roman" w:eastAsiaTheme="minorEastAsia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Cebulakova Monika</cp:lastModifiedBy>
  <cp:revision>4</cp:revision>
  <cp:lastPrinted>2017-12-14T09:54:00Z</cp:lastPrinted>
  <dcterms:created xsi:type="dcterms:W3CDTF">2017-12-14T09:34:00Z</dcterms:created>
  <dcterms:modified xsi:type="dcterms:W3CDTF">2017-12-14T09:54:00Z</dcterms:modified>
</cp:coreProperties>
</file>