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AA2" w:rsidRPr="00042E63" w:rsidRDefault="00830652" w:rsidP="005B6611">
      <w:pPr>
        <w:jc w:val="both"/>
        <w:rPr>
          <w:rFonts w:ascii="Times New Roman" w:hAnsi="Times New Roman" w:cs="Times New Roman"/>
          <w:b/>
          <w:sz w:val="24"/>
          <w:szCs w:val="24"/>
        </w:rPr>
      </w:pPr>
      <w:bookmarkStart w:id="0" w:name="_GoBack"/>
      <w:bookmarkEnd w:id="0"/>
      <w:r w:rsidRPr="00042E63">
        <w:rPr>
          <w:rFonts w:ascii="Times New Roman" w:hAnsi="Times New Roman" w:cs="Times New Roman"/>
          <w:b/>
          <w:sz w:val="24"/>
          <w:szCs w:val="24"/>
        </w:rPr>
        <w:t>Vnímanie rozvojových potrieb mestskými samosprávami</w:t>
      </w:r>
      <w:r w:rsidR="00064570">
        <w:rPr>
          <w:rFonts w:ascii="Times New Roman" w:hAnsi="Times New Roman" w:cs="Times New Roman"/>
          <w:b/>
          <w:sz w:val="24"/>
          <w:szCs w:val="24"/>
        </w:rPr>
        <w:t xml:space="preserve"> – výsledky dotazníkového prieskumu</w:t>
      </w:r>
    </w:p>
    <w:p w:rsidR="00830652" w:rsidRPr="00042E63" w:rsidRDefault="00830652" w:rsidP="005B6611">
      <w:pPr>
        <w:jc w:val="both"/>
        <w:rPr>
          <w:rFonts w:ascii="Times New Roman" w:hAnsi="Times New Roman" w:cs="Times New Roman"/>
          <w:sz w:val="24"/>
          <w:szCs w:val="24"/>
        </w:rPr>
      </w:pPr>
    </w:p>
    <w:p w:rsidR="00830652" w:rsidRDefault="00830652" w:rsidP="0022564F">
      <w:pPr>
        <w:autoSpaceDE w:val="0"/>
        <w:autoSpaceDN w:val="0"/>
        <w:adjustRightInd w:val="0"/>
        <w:spacing w:after="120"/>
        <w:ind w:firstLine="360"/>
        <w:jc w:val="both"/>
        <w:rPr>
          <w:rFonts w:ascii="Times New Roman" w:hAnsi="Times New Roman" w:cs="Times New Roman"/>
          <w:sz w:val="24"/>
          <w:szCs w:val="24"/>
        </w:rPr>
      </w:pPr>
      <w:r w:rsidRPr="00042E63">
        <w:rPr>
          <w:rFonts w:ascii="Times New Roman" w:hAnsi="Times New Roman" w:cs="Times New Roman"/>
          <w:color w:val="000000"/>
          <w:sz w:val="24"/>
          <w:szCs w:val="24"/>
        </w:rPr>
        <w:t>V období november 2013 – február 2014 realizovalo MDVRR SR prieskum o</w:t>
      </w:r>
      <w:r w:rsidR="00D73605" w:rsidRPr="00042E63">
        <w:rPr>
          <w:rFonts w:ascii="Times New Roman" w:hAnsi="Times New Roman" w:cs="Times New Roman"/>
          <w:sz w:val="24"/>
          <w:szCs w:val="24"/>
        </w:rPr>
        <w:t> </w:t>
      </w:r>
      <w:r w:rsidRPr="00042E63">
        <w:rPr>
          <w:rFonts w:ascii="Times New Roman" w:hAnsi="Times New Roman" w:cs="Times New Roman"/>
          <w:color w:val="000000"/>
          <w:sz w:val="24"/>
          <w:szCs w:val="24"/>
        </w:rPr>
        <w:t>rozvojový</w:t>
      </w:r>
      <w:r w:rsidR="00A25FA7" w:rsidRPr="00042E63">
        <w:rPr>
          <w:rFonts w:ascii="Times New Roman" w:hAnsi="Times New Roman" w:cs="Times New Roman"/>
          <w:color w:val="000000"/>
          <w:sz w:val="24"/>
          <w:szCs w:val="24"/>
        </w:rPr>
        <w:t>ch prioritách slovenských miest.</w:t>
      </w:r>
      <w:r w:rsidRPr="00042E63">
        <w:rPr>
          <w:rFonts w:ascii="Times New Roman" w:hAnsi="Times New Roman" w:cs="Times New Roman"/>
          <w:color w:val="000000"/>
          <w:sz w:val="24"/>
          <w:szCs w:val="24"/>
        </w:rPr>
        <w:t xml:space="preserve"> </w:t>
      </w:r>
      <w:r w:rsidR="00A25FA7" w:rsidRPr="00042E63">
        <w:rPr>
          <w:rFonts w:ascii="Times New Roman" w:hAnsi="Times New Roman" w:cs="Times New Roman"/>
          <w:color w:val="000000"/>
          <w:sz w:val="24"/>
          <w:szCs w:val="24"/>
        </w:rPr>
        <w:t>O</w:t>
      </w:r>
      <w:r w:rsidR="00A25FA7" w:rsidRPr="00042E63">
        <w:rPr>
          <w:rFonts w:ascii="Times New Roman" w:hAnsi="Times New Roman" w:cs="Times New Roman"/>
          <w:sz w:val="24"/>
          <w:szCs w:val="24"/>
        </w:rPr>
        <w:t>slovených bolo 138 miest, z ktorých odpovedalo 108. Do prieskumu sa zapojili všetky krajské mestá, 56 okresných miest z celkového počtu 63 a 44 ostatných miest z celkového počtu 67.</w:t>
      </w:r>
      <w:r w:rsidRPr="00042E63">
        <w:rPr>
          <w:rFonts w:ascii="Times New Roman" w:hAnsi="Times New Roman" w:cs="Times New Roman"/>
          <w:sz w:val="24"/>
          <w:szCs w:val="24"/>
        </w:rPr>
        <w:t xml:space="preserve"> Cieľom prieskumu bolo najmä zistiť, ktoré oblasti mestá považujú za kľúčové pre svoj rozvoj, ako vnímajú svoje rozšírené kompetencie, podľa čoho sa rozhodujú pri príprave projektov a ako sp</w:t>
      </w:r>
      <w:r w:rsidR="00C06370" w:rsidRPr="00042E63">
        <w:rPr>
          <w:rFonts w:ascii="Times New Roman" w:hAnsi="Times New Roman" w:cs="Times New Roman"/>
          <w:sz w:val="24"/>
          <w:szCs w:val="24"/>
        </w:rPr>
        <w:t>olupracujú s rôznymi partnermi.</w:t>
      </w:r>
    </w:p>
    <w:p w:rsidR="006A54FD" w:rsidRPr="00042E63" w:rsidRDefault="006A54FD" w:rsidP="0022564F">
      <w:pPr>
        <w:autoSpaceDE w:val="0"/>
        <w:autoSpaceDN w:val="0"/>
        <w:adjustRightInd w:val="0"/>
        <w:spacing w:after="120"/>
        <w:ind w:firstLine="360"/>
        <w:jc w:val="both"/>
        <w:rPr>
          <w:rFonts w:ascii="Times New Roman" w:hAnsi="Times New Roman" w:cs="Times New Roman"/>
          <w:sz w:val="24"/>
          <w:szCs w:val="24"/>
        </w:rPr>
      </w:pPr>
      <w:r w:rsidRPr="00042E63">
        <w:rPr>
          <w:rFonts w:ascii="Times New Roman" w:hAnsi="Times New Roman" w:cs="Times New Roman"/>
          <w:color w:val="000000"/>
          <w:sz w:val="24"/>
          <w:szCs w:val="24"/>
        </w:rPr>
        <w:t xml:space="preserve">Prieskum vznikal v čase prípravy nového </w:t>
      </w:r>
      <w:r w:rsidRPr="00042E63">
        <w:rPr>
          <w:rFonts w:ascii="Times New Roman" w:hAnsi="Times New Roman" w:cs="Times New Roman"/>
          <w:sz w:val="24"/>
          <w:szCs w:val="24"/>
        </w:rPr>
        <w:t>programového obdobia a pred podpísaním Partnerskej dohody SR na</w:t>
      </w:r>
      <w:r w:rsidRPr="00042E63">
        <w:rPr>
          <w:rFonts w:ascii="Times New Roman" w:hAnsi="Times New Roman" w:cs="Times New Roman"/>
          <w:color w:val="000000"/>
          <w:sz w:val="24"/>
          <w:szCs w:val="24"/>
        </w:rPr>
        <w:t> </w:t>
      </w:r>
      <w:r w:rsidRPr="00042E63">
        <w:rPr>
          <w:rFonts w:ascii="Times New Roman" w:hAnsi="Times New Roman" w:cs="Times New Roman"/>
          <w:sz w:val="24"/>
          <w:szCs w:val="24"/>
        </w:rPr>
        <w:t>roky 2014</w:t>
      </w:r>
      <w:r w:rsidR="00B27F96">
        <w:rPr>
          <w:rFonts w:ascii="Times New Roman" w:hAnsi="Times New Roman" w:cs="Times New Roman"/>
          <w:sz w:val="24"/>
          <w:szCs w:val="24"/>
        </w:rPr>
        <w:t xml:space="preserve"> </w:t>
      </w:r>
      <w:r w:rsidRPr="00042E63">
        <w:rPr>
          <w:rFonts w:ascii="Times New Roman" w:hAnsi="Times New Roman" w:cs="Times New Roman"/>
          <w:sz w:val="24"/>
          <w:szCs w:val="24"/>
        </w:rPr>
        <w:t>-</w:t>
      </w:r>
      <w:r w:rsidR="00B27F96">
        <w:rPr>
          <w:rFonts w:ascii="Times New Roman" w:hAnsi="Times New Roman" w:cs="Times New Roman"/>
          <w:sz w:val="24"/>
          <w:szCs w:val="24"/>
        </w:rPr>
        <w:t xml:space="preserve"> </w:t>
      </w:r>
      <w:r w:rsidRPr="00042E63">
        <w:rPr>
          <w:rFonts w:ascii="Times New Roman" w:hAnsi="Times New Roman" w:cs="Times New Roman"/>
          <w:sz w:val="24"/>
          <w:szCs w:val="24"/>
        </w:rPr>
        <w:t xml:space="preserve">2020, ktorá je </w:t>
      </w:r>
      <w:r w:rsidRPr="00042E63">
        <w:rPr>
          <w:rFonts w:ascii="Times New Roman" w:hAnsi="Times New Roman" w:cs="Times New Roman"/>
          <w:color w:val="000000"/>
          <w:sz w:val="24"/>
          <w:szCs w:val="24"/>
        </w:rPr>
        <w:t>základným programovým dokumentom pre</w:t>
      </w:r>
      <w:r w:rsidR="0022564F" w:rsidRPr="00042E63">
        <w:rPr>
          <w:rFonts w:ascii="Times New Roman" w:hAnsi="Times New Roman" w:cs="Times New Roman"/>
          <w:sz w:val="24"/>
          <w:szCs w:val="24"/>
        </w:rPr>
        <w:t> </w:t>
      </w:r>
      <w:r w:rsidRPr="00042E63">
        <w:rPr>
          <w:rFonts w:ascii="Times New Roman" w:hAnsi="Times New Roman" w:cs="Times New Roman"/>
          <w:color w:val="000000"/>
          <w:sz w:val="24"/>
          <w:szCs w:val="24"/>
        </w:rPr>
        <w:t>riadenie pomoci zo štrukturálnych a invest</w:t>
      </w:r>
      <w:r w:rsidR="00D73605">
        <w:rPr>
          <w:rFonts w:ascii="Times New Roman" w:hAnsi="Times New Roman" w:cs="Times New Roman"/>
          <w:color w:val="000000"/>
          <w:sz w:val="24"/>
          <w:szCs w:val="24"/>
        </w:rPr>
        <w:t>ičných fondov EÚ (EŠIF) a r</w:t>
      </w:r>
      <w:r w:rsidRPr="00042E63">
        <w:rPr>
          <w:rFonts w:ascii="Times New Roman" w:hAnsi="Times New Roman" w:cs="Times New Roman"/>
          <w:color w:val="000000"/>
          <w:sz w:val="24"/>
          <w:szCs w:val="24"/>
        </w:rPr>
        <w:t>ozpracovanosť jednotlivých operačných program</w:t>
      </w:r>
      <w:r w:rsidR="00D73605">
        <w:rPr>
          <w:rFonts w:ascii="Times New Roman" w:hAnsi="Times New Roman" w:cs="Times New Roman"/>
          <w:color w:val="000000"/>
          <w:sz w:val="24"/>
          <w:szCs w:val="24"/>
        </w:rPr>
        <w:t>ov bola iba v počiatočnom štádi</w:t>
      </w:r>
      <w:r w:rsidR="00970E96">
        <w:rPr>
          <w:rFonts w:ascii="Times New Roman" w:hAnsi="Times New Roman" w:cs="Times New Roman"/>
          <w:color w:val="000000"/>
          <w:sz w:val="24"/>
          <w:szCs w:val="24"/>
        </w:rPr>
        <w:t>u.</w:t>
      </w:r>
      <w:r w:rsidRPr="00042E63">
        <w:rPr>
          <w:rFonts w:ascii="Times New Roman" w:hAnsi="Times New Roman" w:cs="Times New Roman"/>
          <w:color w:val="000000"/>
          <w:sz w:val="24"/>
          <w:szCs w:val="24"/>
        </w:rPr>
        <w:t> </w:t>
      </w:r>
      <w:r w:rsidR="00D73605">
        <w:rPr>
          <w:rFonts w:ascii="Times New Roman" w:hAnsi="Times New Roman" w:cs="Times New Roman"/>
          <w:color w:val="000000"/>
          <w:sz w:val="24"/>
          <w:szCs w:val="24"/>
        </w:rPr>
        <w:t xml:space="preserve">Na základe tejto skutočnosti je možné predpokladať, že respondenti dotazníka </w:t>
      </w:r>
      <w:r w:rsidR="00970E96">
        <w:rPr>
          <w:rFonts w:ascii="Times New Roman" w:hAnsi="Times New Roman" w:cs="Times New Roman"/>
          <w:color w:val="000000"/>
          <w:sz w:val="24"/>
          <w:szCs w:val="24"/>
        </w:rPr>
        <w:t>(</w:t>
      </w:r>
      <w:r w:rsidR="00D73605" w:rsidRPr="00042E63">
        <w:rPr>
          <w:rFonts w:ascii="Times New Roman" w:hAnsi="Times New Roman" w:cs="Times New Roman"/>
          <w:color w:val="000000"/>
          <w:sz w:val="24"/>
          <w:szCs w:val="24"/>
        </w:rPr>
        <w:t>mestá</w:t>
      </w:r>
      <w:r w:rsidR="00970E96">
        <w:rPr>
          <w:rFonts w:ascii="Times New Roman" w:hAnsi="Times New Roman" w:cs="Times New Roman"/>
          <w:color w:val="000000"/>
          <w:sz w:val="24"/>
          <w:szCs w:val="24"/>
        </w:rPr>
        <w:t>)</w:t>
      </w:r>
      <w:r w:rsidR="00D73605" w:rsidRPr="00042E63">
        <w:rPr>
          <w:rFonts w:ascii="Times New Roman" w:hAnsi="Times New Roman" w:cs="Times New Roman"/>
          <w:color w:val="000000"/>
          <w:sz w:val="24"/>
          <w:szCs w:val="24"/>
        </w:rPr>
        <w:t xml:space="preserve"> neboli ovplyvnen</w:t>
      </w:r>
      <w:r w:rsidR="00D73605">
        <w:rPr>
          <w:rFonts w:ascii="Times New Roman" w:hAnsi="Times New Roman" w:cs="Times New Roman"/>
          <w:color w:val="000000"/>
          <w:sz w:val="24"/>
          <w:szCs w:val="24"/>
        </w:rPr>
        <w:t>í</w:t>
      </w:r>
      <w:r w:rsidR="00D73605" w:rsidRPr="00042E63">
        <w:rPr>
          <w:rFonts w:ascii="Times New Roman" w:hAnsi="Times New Roman" w:cs="Times New Roman"/>
          <w:color w:val="000000"/>
          <w:sz w:val="24"/>
          <w:szCs w:val="24"/>
        </w:rPr>
        <w:t xml:space="preserve"> </w:t>
      </w:r>
      <w:r w:rsidR="00D73605">
        <w:rPr>
          <w:rFonts w:ascii="Times New Roman" w:hAnsi="Times New Roman" w:cs="Times New Roman"/>
          <w:color w:val="000000"/>
          <w:sz w:val="24"/>
          <w:szCs w:val="24"/>
        </w:rPr>
        <w:t xml:space="preserve">investičnými prioritami a </w:t>
      </w:r>
      <w:r w:rsidR="00D73605" w:rsidRPr="00042E63">
        <w:rPr>
          <w:rFonts w:ascii="Times New Roman" w:hAnsi="Times New Roman" w:cs="Times New Roman"/>
          <w:color w:val="000000"/>
          <w:sz w:val="24"/>
          <w:szCs w:val="24"/>
        </w:rPr>
        <w:t xml:space="preserve">výberom </w:t>
      </w:r>
      <w:r w:rsidR="00D73605">
        <w:rPr>
          <w:rFonts w:ascii="Times New Roman" w:hAnsi="Times New Roman" w:cs="Times New Roman"/>
          <w:color w:val="000000"/>
          <w:sz w:val="24"/>
          <w:szCs w:val="24"/>
        </w:rPr>
        <w:t>oprávnených aktivít jednotlivých operačných programov. Na druhej strane to nevylučuje, že mestá očakávali kontinuitu oprávnených aktivít z končiaceho sa programového obdobia. Ministerstvo, ktoré prieskum organizovalo, mohlo byť vnímané ako správny adresát na</w:t>
      </w:r>
      <w:r w:rsidR="0022564F" w:rsidRPr="00042E63">
        <w:rPr>
          <w:rFonts w:ascii="Times New Roman" w:hAnsi="Times New Roman" w:cs="Times New Roman"/>
          <w:sz w:val="24"/>
          <w:szCs w:val="24"/>
        </w:rPr>
        <w:t> </w:t>
      </w:r>
      <w:r w:rsidR="00D73605">
        <w:rPr>
          <w:rFonts w:ascii="Times New Roman" w:hAnsi="Times New Roman" w:cs="Times New Roman"/>
          <w:color w:val="000000"/>
          <w:sz w:val="24"/>
          <w:szCs w:val="24"/>
        </w:rPr>
        <w:t>vyjadrenie potrieb v oblasti dopravnej infraštruktúry, avšak absolútna prevaha týchto potrieb jednoznačne svedčí o tom, že táto potreba je v úvahách o rozvoji miest dominantná.</w:t>
      </w:r>
    </w:p>
    <w:p w:rsidR="00C06370" w:rsidRPr="00042E63" w:rsidRDefault="00C06370" w:rsidP="005B6611">
      <w:pPr>
        <w:autoSpaceDE w:val="0"/>
        <w:autoSpaceDN w:val="0"/>
        <w:adjustRightInd w:val="0"/>
        <w:ind w:firstLine="360"/>
        <w:jc w:val="both"/>
        <w:rPr>
          <w:rFonts w:ascii="Times New Roman" w:hAnsi="Times New Roman" w:cs="Times New Roman"/>
          <w:sz w:val="24"/>
          <w:szCs w:val="24"/>
        </w:rPr>
      </w:pPr>
      <w:r w:rsidRPr="00042E63">
        <w:rPr>
          <w:rFonts w:ascii="Times New Roman" w:hAnsi="Times New Roman" w:cs="Times New Roman"/>
          <w:noProof/>
          <w:sz w:val="24"/>
          <w:szCs w:val="24"/>
          <w:lang w:eastAsia="sk-SK"/>
        </w:rPr>
        <w:drawing>
          <wp:inline distT="0" distB="0" distL="0" distR="0" wp14:anchorId="41BA495F" wp14:editId="229DABC3">
            <wp:extent cx="5172075" cy="3037772"/>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1 A5 200dpi-page-0.jpg"/>
                    <pic:cNvPicPr/>
                  </pic:nvPicPr>
                  <pic:blipFill rotWithShape="1">
                    <a:blip r:embed="rId7" cstate="print">
                      <a:extLst>
                        <a:ext uri="{28A0092B-C50C-407E-A947-70E740481C1C}">
                          <a14:useLocalDpi xmlns:a14="http://schemas.microsoft.com/office/drawing/2010/main" val="0"/>
                        </a:ext>
                      </a:extLst>
                    </a:blip>
                    <a:srcRect t="6313" b="10512"/>
                    <a:stretch/>
                  </pic:blipFill>
                  <pic:spPr bwMode="auto">
                    <a:xfrm>
                      <a:off x="0" y="0"/>
                      <a:ext cx="5234315" cy="3074328"/>
                    </a:xfrm>
                    <a:prstGeom prst="rect">
                      <a:avLst/>
                    </a:prstGeom>
                    <a:ln>
                      <a:noFill/>
                    </a:ln>
                    <a:extLst>
                      <a:ext uri="{53640926-AAD7-44D8-BBD7-CCE9431645EC}">
                        <a14:shadowObscured xmlns:a14="http://schemas.microsoft.com/office/drawing/2010/main"/>
                      </a:ext>
                    </a:extLst>
                  </pic:spPr>
                </pic:pic>
              </a:graphicData>
            </a:graphic>
          </wp:inline>
        </w:drawing>
      </w:r>
    </w:p>
    <w:p w:rsidR="00C06370" w:rsidRPr="00042E63" w:rsidRDefault="000C283D" w:rsidP="005B6611">
      <w:pPr>
        <w:autoSpaceDE w:val="0"/>
        <w:autoSpaceDN w:val="0"/>
        <w:adjustRightInd w:val="0"/>
        <w:ind w:firstLine="360"/>
        <w:jc w:val="both"/>
        <w:rPr>
          <w:rFonts w:ascii="Times New Roman" w:hAnsi="Times New Roman" w:cs="Times New Roman"/>
          <w:i/>
          <w:sz w:val="24"/>
          <w:szCs w:val="24"/>
        </w:rPr>
      </w:pPr>
      <w:bookmarkStart w:id="1" w:name="_Toc403461986"/>
      <w:r w:rsidRPr="00042E63">
        <w:rPr>
          <w:rFonts w:ascii="Times New Roman" w:hAnsi="Times New Roman" w:cs="Times New Roman"/>
          <w:i/>
          <w:sz w:val="24"/>
          <w:szCs w:val="24"/>
        </w:rPr>
        <w:t>Mapa č. 1</w:t>
      </w:r>
      <w:r w:rsidR="00C06370" w:rsidRPr="00042E63">
        <w:rPr>
          <w:rFonts w:ascii="Times New Roman" w:hAnsi="Times New Roman" w:cs="Times New Roman"/>
          <w:i/>
          <w:sz w:val="24"/>
          <w:szCs w:val="24"/>
        </w:rPr>
        <w:t>: Mapa miest, ktoré sa zapojili do dotazníkového prieskumu</w:t>
      </w:r>
      <w:bookmarkEnd w:id="1"/>
    </w:p>
    <w:p w:rsidR="00830652" w:rsidRPr="00042E63" w:rsidRDefault="00830652" w:rsidP="005B6611">
      <w:pPr>
        <w:autoSpaceDE w:val="0"/>
        <w:autoSpaceDN w:val="0"/>
        <w:adjustRightInd w:val="0"/>
        <w:ind w:firstLine="360"/>
        <w:jc w:val="both"/>
        <w:rPr>
          <w:rFonts w:ascii="Times New Roman" w:hAnsi="Times New Roman" w:cs="Times New Roman"/>
          <w:sz w:val="24"/>
          <w:szCs w:val="24"/>
        </w:rPr>
      </w:pPr>
    </w:p>
    <w:p w:rsidR="00C06370" w:rsidRPr="00042E63" w:rsidRDefault="00C06370" w:rsidP="0022564F">
      <w:pPr>
        <w:autoSpaceDE w:val="0"/>
        <w:autoSpaceDN w:val="0"/>
        <w:adjustRightInd w:val="0"/>
        <w:ind w:firstLine="360"/>
        <w:jc w:val="both"/>
        <w:rPr>
          <w:rFonts w:ascii="Times New Roman" w:hAnsi="Times New Roman" w:cs="Times New Roman"/>
          <w:sz w:val="24"/>
          <w:szCs w:val="24"/>
        </w:rPr>
      </w:pPr>
      <w:r w:rsidRPr="00042E63">
        <w:rPr>
          <w:rFonts w:ascii="Times New Roman" w:hAnsi="Times New Roman" w:cs="Times New Roman"/>
          <w:sz w:val="24"/>
          <w:szCs w:val="24"/>
        </w:rPr>
        <w:t xml:space="preserve">Prieskum sa okrem iného pýtal na počty denne prítomného obyvateľstva v mestách. </w:t>
      </w:r>
      <w:r w:rsidR="0022564F">
        <w:rPr>
          <w:rFonts w:ascii="Times New Roman" w:hAnsi="Times New Roman" w:cs="Times New Roman"/>
          <w:sz w:val="24"/>
          <w:szCs w:val="24"/>
        </w:rPr>
        <w:t>Táto otázka vychádzala z predpokladu, že mestá poskytujú služby pre viac obyvateľov než počet prihlásených k trvalému pobytu. Ú</w:t>
      </w:r>
      <w:r w:rsidRPr="00042E63">
        <w:rPr>
          <w:rFonts w:ascii="Times New Roman" w:hAnsi="Times New Roman" w:cs="Times New Roman"/>
          <w:sz w:val="24"/>
          <w:szCs w:val="24"/>
        </w:rPr>
        <w:t>daje</w:t>
      </w:r>
      <w:r w:rsidR="0022564F">
        <w:rPr>
          <w:rFonts w:ascii="Times New Roman" w:hAnsi="Times New Roman" w:cs="Times New Roman"/>
          <w:sz w:val="24"/>
          <w:szCs w:val="24"/>
        </w:rPr>
        <w:t xml:space="preserve">, ktoré dotazník zozbieral </w:t>
      </w:r>
      <w:r w:rsidRPr="00042E63">
        <w:rPr>
          <w:rFonts w:ascii="Times New Roman" w:hAnsi="Times New Roman" w:cs="Times New Roman"/>
          <w:sz w:val="24"/>
          <w:szCs w:val="24"/>
        </w:rPr>
        <w:t xml:space="preserve">sú síce subjektívne, </w:t>
      </w:r>
      <w:r w:rsidR="0022564F">
        <w:rPr>
          <w:rFonts w:ascii="Times New Roman" w:hAnsi="Times New Roman" w:cs="Times New Roman"/>
          <w:sz w:val="24"/>
          <w:szCs w:val="24"/>
        </w:rPr>
        <w:t xml:space="preserve">ale vzhľadom na to, že žiadne hodnoverné údaje neexistujú a predpokladáme, že mestá odpovedali na základe </w:t>
      </w:r>
      <w:r w:rsidR="00570AE0">
        <w:rPr>
          <w:rFonts w:ascii="Times New Roman" w:hAnsi="Times New Roman" w:cs="Times New Roman"/>
          <w:sz w:val="24"/>
          <w:szCs w:val="24"/>
        </w:rPr>
        <w:t xml:space="preserve">reálneho </w:t>
      </w:r>
      <w:r w:rsidRPr="00042E63">
        <w:rPr>
          <w:rFonts w:ascii="Times New Roman" w:hAnsi="Times New Roman" w:cs="Times New Roman"/>
          <w:sz w:val="24"/>
          <w:szCs w:val="24"/>
        </w:rPr>
        <w:t>poznania situácie</w:t>
      </w:r>
      <w:r w:rsidR="00570AE0">
        <w:rPr>
          <w:rFonts w:ascii="Times New Roman" w:hAnsi="Times New Roman" w:cs="Times New Roman"/>
          <w:sz w:val="24"/>
          <w:szCs w:val="24"/>
        </w:rPr>
        <w:t xml:space="preserve">, uvážiac </w:t>
      </w:r>
      <w:r w:rsidR="0022564F">
        <w:rPr>
          <w:rFonts w:ascii="Times New Roman" w:hAnsi="Times New Roman" w:cs="Times New Roman"/>
          <w:sz w:val="24"/>
          <w:szCs w:val="24"/>
        </w:rPr>
        <w:t xml:space="preserve">početnosť odpovedí je možné </w:t>
      </w:r>
      <w:r w:rsidR="00570AE0">
        <w:rPr>
          <w:rFonts w:ascii="Times New Roman" w:hAnsi="Times New Roman" w:cs="Times New Roman"/>
          <w:sz w:val="24"/>
          <w:szCs w:val="24"/>
        </w:rPr>
        <w:t xml:space="preserve">výsledok zisťovania považovať </w:t>
      </w:r>
      <w:r w:rsidRPr="00042E63">
        <w:rPr>
          <w:rFonts w:ascii="Times New Roman" w:hAnsi="Times New Roman" w:cs="Times New Roman"/>
          <w:sz w:val="24"/>
          <w:szCs w:val="24"/>
        </w:rPr>
        <w:t>za reprezentatívn</w:t>
      </w:r>
      <w:r w:rsidR="00570AE0">
        <w:rPr>
          <w:rFonts w:ascii="Times New Roman" w:hAnsi="Times New Roman" w:cs="Times New Roman"/>
          <w:sz w:val="24"/>
          <w:szCs w:val="24"/>
        </w:rPr>
        <w:t>y</w:t>
      </w:r>
      <w:r w:rsidRPr="00042E63">
        <w:rPr>
          <w:rFonts w:ascii="Times New Roman" w:hAnsi="Times New Roman" w:cs="Times New Roman"/>
          <w:sz w:val="24"/>
          <w:szCs w:val="24"/>
        </w:rPr>
        <w:t>.</w:t>
      </w:r>
    </w:p>
    <w:p w:rsidR="00C06370" w:rsidRPr="00042E63" w:rsidRDefault="00C06370" w:rsidP="005B6611">
      <w:pPr>
        <w:autoSpaceDE w:val="0"/>
        <w:autoSpaceDN w:val="0"/>
        <w:adjustRightInd w:val="0"/>
        <w:ind w:firstLine="360"/>
        <w:jc w:val="both"/>
        <w:rPr>
          <w:rFonts w:ascii="Times New Roman" w:hAnsi="Times New Roman" w:cs="Times New Roman"/>
          <w:sz w:val="24"/>
          <w:szCs w:val="24"/>
        </w:rPr>
      </w:pPr>
      <w:r w:rsidRPr="00042E63">
        <w:rPr>
          <w:rFonts w:ascii="Times New Roman" w:hAnsi="Times New Roman" w:cs="Times New Roman"/>
          <w:b/>
          <w:noProof/>
          <w:sz w:val="24"/>
          <w:szCs w:val="24"/>
          <w:lang w:eastAsia="sk-SK"/>
        </w:rPr>
        <w:lastRenderedPageBreak/>
        <w:drawing>
          <wp:inline distT="0" distB="0" distL="0" distR="0" wp14:anchorId="15D3210C" wp14:editId="5FA78E97">
            <wp:extent cx="5172075" cy="2996319"/>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2 A5 200dpi.png"/>
                    <pic:cNvPicPr/>
                  </pic:nvPicPr>
                  <pic:blipFill rotWithShape="1">
                    <a:blip r:embed="rId8" cstate="print">
                      <a:extLst>
                        <a:ext uri="{28A0092B-C50C-407E-A947-70E740481C1C}">
                          <a14:useLocalDpi xmlns:a14="http://schemas.microsoft.com/office/drawing/2010/main" val="0"/>
                        </a:ext>
                      </a:extLst>
                    </a:blip>
                    <a:srcRect t="9103" b="8832"/>
                    <a:stretch/>
                  </pic:blipFill>
                  <pic:spPr bwMode="auto">
                    <a:xfrm>
                      <a:off x="0" y="0"/>
                      <a:ext cx="5223278" cy="3025982"/>
                    </a:xfrm>
                    <a:prstGeom prst="rect">
                      <a:avLst/>
                    </a:prstGeom>
                    <a:ln>
                      <a:noFill/>
                    </a:ln>
                    <a:extLst>
                      <a:ext uri="{53640926-AAD7-44D8-BBD7-CCE9431645EC}">
                        <a14:shadowObscured xmlns:a14="http://schemas.microsoft.com/office/drawing/2010/main"/>
                      </a:ext>
                    </a:extLst>
                  </pic:spPr>
                </pic:pic>
              </a:graphicData>
            </a:graphic>
          </wp:inline>
        </w:drawing>
      </w:r>
    </w:p>
    <w:p w:rsidR="00C06370" w:rsidRPr="00042E63" w:rsidRDefault="00C06370" w:rsidP="005B6611">
      <w:pPr>
        <w:autoSpaceDE w:val="0"/>
        <w:autoSpaceDN w:val="0"/>
        <w:adjustRightInd w:val="0"/>
        <w:ind w:firstLine="360"/>
        <w:jc w:val="both"/>
        <w:rPr>
          <w:rFonts w:ascii="Times New Roman" w:hAnsi="Times New Roman" w:cs="Times New Roman"/>
          <w:i/>
          <w:sz w:val="24"/>
          <w:szCs w:val="24"/>
        </w:rPr>
      </w:pPr>
      <w:bookmarkStart w:id="2" w:name="_Toc403461989"/>
      <w:r w:rsidRPr="00042E63">
        <w:rPr>
          <w:rFonts w:ascii="Times New Roman" w:hAnsi="Times New Roman" w:cs="Times New Roman"/>
          <w:i/>
          <w:sz w:val="24"/>
          <w:szCs w:val="24"/>
        </w:rPr>
        <w:t>Mapa č. 2: Počet denne prítomného obyvateľstva</w:t>
      </w:r>
      <w:bookmarkEnd w:id="2"/>
    </w:p>
    <w:p w:rsidR="00570AE0" w:rsidRDefault="00570AE0" w:rsidP="00570AE0">
      <w:pPr>
        <w:autoSpaceDE w:val="0"/>
        <w:autoSpaceDN w:val="0"/>
        <w:adjustRightInd w:val="0"/>
        <w:ind w:firstLine="709"/>
        <w:jc w:val="both"/>
        <w:rPr>
          <w:rFonts w:ascii="Times New Roman" w:hAnsi="Times New Roman" w:cs="Times New Roman"/>
          <w:sz w:val="24"/>
          <w:szCs w:val="24"/>
        </w:rPr>
      </w:pPr>
    </w:p>
    <w:p w:rsidR="00C06370" w:rsidRPr="00042E63" w:rsidRDefault="00C06370" w:rsidP="00570AE0">
      <w:pPr>
        <w:autoSpaceDE w:val="0"/>
        <w:autoSpaceDN w:val="0"/>
        <w:adjustRightInd w:val="0"/>
        <w:ind w:firstLine="709"/>
        <w:jc w:val="both"/>
        <w:rPr>
          <w:rFonts w:ascii="Times New Roman" w:hAnsi="Times New Roman" w:cs="Times New Roman"/>
          <w:sz w:val="24"/>
          <w:szCs w:val="24"/>
        </w:rPr>
      </w:pPr>
      <w:r w:rsidRPr="00042E63">
        <w:rPr>
          <w:rFonts w:ascii="Times New Roman" w:hAnsi="Times New Roman" w:cs="Times New Roman"/>
          <w:sz w:val="24"/>
          <w:szCs w:val="24"/>
        </w:rPr>
        <w:t>Z odpovedí je zrejmé, že väčšina respondentov sa domnieva, že poče</w:t>
      </w:r>
      <w:r w:rsidR="00ED3CB3" w:rsidRPr="00042E63">
        <w:rPr>
          <w:rFonts w:ascii="Times New Roman" w:hAnsi="Times New Roman" w:cs="Times New Roman"/>
          <w:sz w:val="24"/>
          <w:szCs w:val="24"/>
        </w:rPr>
        <w:t xml:space="preserve">t ľudí v meste počas dňa je </w:t>
      </w:r>
      <w:r w:rsidRPr="00042E63">
        <w:rPr>
          <w:rFonts w:ascii="Times New Roman" w:hAnsi="Times New Roman" w:cs="Times New Roman"/>
          <w:sz w:val="24"/>
          <w:szCs w:val="24"/>
        </w:rPr>
        <w:t xml:space="preserve">vyšší než oficiálny počet obyvateľov. Ide pritom nielen o najväčšie mestá ale i o mestá ostatných veľkostných kategórií, z čoho možno usúdiť, že aj menšie mestá majú kapacitu pôsobiť ako ekonomické centrá (napr. Vráble, Námestovo, Liptovský Hrádok, Sobrance). Zároveň sa ukazuje, že najvýraznejší nárast počtu ľudí počas dňa pociťujú mestá v západnej časti Slovenska. Na druhej strane je tiež evidentné, že sú mestá, </w:t>
      </w:r>
      <w:r w:rsidR="006347B2" w:rsidRPr="00042E63">
        <w:rPr>
          <w:rFonts w:ascii="Times New Roman" w:hAnsi="Times New Roman" w:cs="Times New Roman"/>
          <w:sz w:val="24"/>
          <w:szCs w:val="24"/>
        </w:rPr>
        <w:t>v ktorých</w:t>
      </w:r>
      <w:r w:rsidRPr="00042E63">
        <w:rPr>
          <w:rFonts w:ascii="Times New Roman" w:hAnsi="Times New Roman" w:cs="Times New Roman"/>
          <w:sz w:val="24"/>
          <w:szCs w:val="24"/>
        </w:rPr>
        <w:t xml:space="preserve"> </w:t>
      </w:r>
      <w:r w:rsidR="00CC2804" w:rsidRPr="00042E63">
        <w:rPr>
          <w:rFonts w:ascii="Times New Roman" w:hAnsi="Times New Roman" w:cs="Times New Roman"/>
          <w:sz w:val="24"/>
          <w:szCs w:val="24"/>
        </w:rPr>
        <w:t xml:space="preserve">počet ľudí </w:t>
      </w:r>
      <w:r w:rsidRPr="00042E63">
        <w:rPr>
          <w:rFonts w:ascii="Times New Roman" w:hAnsi="Times New Roman" w:cs="Times New Roman"/>
          <w:sz w:val="24"/>
          <w:szCs w:val="24"/>
        </w:rPr>
        <w:t xml:space="preserve">počas dňa </w:t>
      </w:r>
      <w:r w:rsidR="006347B2" w:rsidRPr="00042E63">
        <w:rPr>
          <w:rFonts w:ascii="Times New Roman" w:hAnsi="Times New Roman" w:cs="Times New Roman"/>
          <w:sz w:val="24"/>
          <w:szCs w:val="24"/>
        </w:rPr>
        <w:t>klesá</w:t>
      </w:r>
      <w:r w:rsidRPr="00042E63">
        <w:rPr>
          <w:rFonts w:ascii="Times New Roman" w:hAnsi="Times New Roman" w:cs="Times New Roman"/>
          <w:sz w:val="24"/>
          <w:szCs w:val="24"/>
        </w:rPr>
        <w:t>, čo je nepochybne spôsobené dochádzkou za prácou do väčších miest (Šamorín, Šaľa, Šurany, Kežmarok, Sabinov). Tieto údaje sú dôležité, pretože ukazujú počet obyvateľov, ktorí môžu byť zasiahnutí zmenami v politike rozvoja miest na Slovensku.</w:t>
      </w:r>
    </w:p>
    <w:p w:rsidR="00C06370" w:rsidRPr="00042E63" w:rsidRDefault="00C06370" w:rsidP="005B6611">
      <w:pPr>
        <w:autoSpaceDE w:val="0"/>
        <w:autoSpaceDN w:val="0"/>
        <w:adjustRightInd w:val="0"/>
        <w:jc w:val="both"/>
        <w:rPr>
          <w:rFonts w:ascii="Times New Roman" w:hAnsi="Times New Roman" w:cs="Times New Roman"/>
          <w:sz w:val="24"/>
          <w:szCs w:val="24"/>
        </w:rPr>
      </w:pPr>
    </w:p>
    <w:p w:rsidR="00C06370" w:rsidRDefault="00C06370" w:rsidP="005B6611">
      <w:pPr>
        <w:autoSpaceDE w:val="0"/>
        <w:autoSpaceDN w:val="0"/>
        <w:adjustRightInd w:val="0"/>
        <w:jc w:val="both"/>
        <w:rPr>
          <w:rFonts w:ascii="Times New Roman" w:hAnsi="Times New Roman" w:cs="Times New Roman"/>
          <w:b/>
          <w:sz w:val="24"/>
          <w:szCs w:val="24"/>
        </w:rPr>
      </w:pPr>
      <w:r w:rsidRPr="00042E63">
        <w:rPr>
          <w:rFonts w:ascii="Times New Roman" w:hAnsi="Times New Roman" w:cs="Times New Roman"/>
          <w:b/>
          <w:sz w:val="24"/>
          <w:szCs w:val="24"/>
        </w:rPr>
        <w:t>Rozvojové priority slovenských miest</w:t>
      </w:r>
    </w:p>
    <w:p w:rsidR="00B27F96" w:rsidRPr="00042E63" w:rsidRDefault="00B27F96" w:rsidP="005B6611">
      <w:pPr>
        <w:autoSpaceDE w:val="0"/>
        <w:autoSpaceDN w:val="0"/>
        <w:adjustRightInd w:val="0"/>
        <w:jc w:val="both"/>
        <w:rPr>
          <w:rFonts w:ascii="Times New Roman" w:hAnsi="Times New Roman" w:cs="Times New Roman"/>
          <w:b/>
          <w:sz w:val="24"/>
          <w:szCs w:val="24"/>
        </w:rPr>
      </w:pPr>
    </w:p>
    <w:p w:rsidR="00C06370" w:rsidRPr="00042E63" w:rsidRDefault="00C06370" w:rsidP="00B27F96">
      <w:pPr>
        <w:spacing w:after="240"/>
        <w:ind w:firstLine="709"/>
        <w:jc w:val="both"/>
        <w:rPr>
          <w:rFonts w:ascii="Times New Roman" w:hAnsi="Times New Roman" w:cs="Times New Roman"/>
          <w:sz w:val="24"/>
          <w:szCs w:val="24"/>
        </w:rPr>
      </w:pPr>
      <w:r w:rsidRPr="00042E63">
        <w:rPr>
          <w:rFonts w:ascii="Times New Roman" w:hAnsi="Times New Roman" w:cs="Times New Roman"/>
          <w:sz w:val="24"/>
          <w:szCs w:val="24"/>
        </w:rPr>
        <w:t>Významným poznatkom bolo vyjadrenie miest o tom, ktoré aktivity plánujú v období 2014</w:t>
      </w:r>
      <w:r w:rsidR="000C283D" w:rsidRPr="00042E63">
        <w:rPr>
          <w:rFonts w:ascii="Times New Roman" w:hAnsi="Times New Roman" w:cs="Times New Roman"/>
          <w:sz w:val="24"/>
          <w:szCs w:val="24"/>
        </w:rPr>
        <w:t xml:space="preserve"> – </w:t>
      </w:r>
      <w:r w:rsidRPr="00042E63">
        <w:rPr>
          <w:rFonts w:ascii="Times New Roman" w:hAnsi="Times New Roman" w:cs="Times New Roman"/>
          <w:sz w:val="24"/>
          <w:szCs w:val="24"/>
        </w:rPr>
        <w:t>2020 realizovať a ktoré realizovali v období 2007</w:t>
      </w:r>
      <w:r w:rsidR="000C283D" w:rsidRPr="00042E63">
        <w:rPr>
          <w:rFonts w:ascii="Times New Roman" w:hAnsi="Times New Roman" w:cs="Times New Roman"/>
          <w:sz w:val="24"/>
          <w:szCs w:val="24"/>
        </w:rPr>
        <w:t xml:space="preserve"> – </w:t>
      </w:r>
      <w:r w:rsidRPr="00042E63">
        <w:rPr>
          <w:rFonts w:ascii="Times New Roman" w:hAnsi="Times New Roman" w:cs="Times New Roman"/>
          <w:sz w:val="24"/>
          <w:szCs w:val="24"/>
        </w:rPr>
        <w:t>2013. Nasledovná tabuľka dokumentuje percentuálne vyjadrenie miest, ktoré označili plánované a realizované aktivity v jednotlivých položkách a ich celkové poradie (od 1 do 53) medzi prioritami:</w:t>
      </w:r>
    </w:p>
    <w:tbl>
      <w:tblPr>
        <w:tblStyle w:val="Svetlpodfarbeniezvraznenie1"/>
        <w:tblW w:w="9157" w:type="dxa"/>
        <w:tblLayout w:type="fixed"/>
        <w:tblLook w:val="04A0" w:firstRow="1" w:lastRow="0" w:firstColumn="1" w:lastColumn="0" w:noHBand="0" w:noVBand="1"/>
      </w:tblPr>
      <w:tblGrid>
        <w:gridCol w:w="6252"/>
        <w:gridCol w:w="726"/>
        <w:gridCol w:w="726"/>
        <w:gridCol w:w="726"/>
        <w:gridCol w:w="727"/>
      </w:tblGrid>
      <w:tr w:rsidR="00C06370" w:rsidRPr="00042E63" w:rsidTr="00B27B2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 xml:space="preserve">SPRÁVA </w:t>
            </w:r>
          </w:p>
        </w:tc>
        <w:tc>
          <w:tcPr>
            <w:tcW w:w="726" w:type="dxa"/>
            <w:noWrap/>
            <w:hideMark/>
          </w:tcPr>
          <w:p w:rsidR="00C06370" w:rsidRPr="00042E63"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2014-2020</w:t>
            </w:r>
          </w:p>
        </w:tc>
        <w:tc>
          <w:tcPr>
            <w:tcW w:w="726" w:type="dxa"/>
          </w:tcPr>
          <w:p w:rsidR="00C06370" w:rsidRPr="002769AC"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0"/>
                <w:szCs w:val="20"/>
              </w:rPr>
            </w:pPr>
            <w:r w:rsidRPr="002769AC">
              <w:rPr>
                <w:rFonts w:ascii="Times New Roman" w:eastAsia="Times New Roman" w:hAnsi="Times New Roman" w:cs="Times New Roman"/>
                <w:b w:val="0"/>
                <w:i/>
                <w:caps/>
                <w:color w:val="000000"/>
                <w:sz w:val="20"/>
                <w:szCs w:val="20"/>
              </w:rPr>
              <w:t>p</w:t>
            </w:r>
            <w:r w:rsidRPr="002769AC">
              <w:rPr>
                <w:rFonts w:ascii="Times New Roman" w:eastAsia="Times New Roman" w:hAnsi="Times New Roman" w:cs="Times New Roman"/>
                <w:b w:val="0"/>
                <w:i/>
                <w:color w:val="000000"/>
                <w:sz w:val="20"/>
                <w:szCs w:val="20"/>
              </w:rPr>
              <w:t>oradie</w:t>
            </w:r>
          </w:p>
          <w:p w:rsidR="00C06370" w:rsidRPr="00042E63"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sidRPr="002769AC">
              <w:rPr>
                <w:rFonts w:ascii="Times New Roman" w:eastAsia="Times New Roman" w:hAnsi="Times New Roman" w:cs="Times New Roman"/>
                <w:b w:val="0"/>
                <w:i/>
                <w:color w:val="000000"/>
                <w:sz w:val="20"/>
                <w:szCs w:val="20"/>
              </w:rPr>
              <w:t>(1-53)</w:t>
            </w:r>
          </w:p>
        </w:tc>
        <w:tc>
          <w:tcPr>
            <w:tcW w:w="726" w:type="dxa"/>
            <w:noWrap/>
            <w:hideMark/>
          </w:tcPr>
          <w:p w:rsidR="00C06370" w:rsidRPr="00042E63"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2007-2013</w:t>
            </w:r>
          </w:p>
        </w:tc>
        <w:tc>
          <w:tcPr>
            <w:tcW w:w="727" w:type="dxa"/>
          </w:tcPr>
          <w:p w:rsidR="00C06370" w:rsidRPr="002769AC"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0"/>
                <w:szCs w:val="20"/>
              </w:rPr>
            </w:pPr>
            <w:r w:rsidRPr="002769AC">
              <w:rPr>
                <w:rFonts w:ascii="Times New Roman" w:eastAsia="Times New Roman" w:hAnsi="Times New Roman" w:cs="Times New Roman"/>
                <w:b w:val="0"/>
                <w:i/>
                <w:caps/>
                <w:color w:val="000000"/>
                <w:sz w:val="20"/>
                <w:szCs w:val="20"/>
              </w:rPr>
              <w:t>p</w:t>
            </w:r>
            <w:r w:rsidRPr="002769AC">
              <w:rPr>
                <w:rFonts w:ascii="Times New Roman" w:eastAsia="Times New Roman" w:hAnsi="Times New Roman" w:cs="Times New Roman"/>
                <w:b w:val="0"/>
                <w:i/>
                <w:color w:val="000000"/>
                <w:sz w:val="20"/>
                <w:szCs w:val="20"/>
              </w:rPr>
              <w:t>oradie</w:t>
            </w:r>
          </w:p>
          <w:p w:rsidR="00C06370" w:rsidRPr="00042E63"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sidRPr="002769AC">
              <w:rPr>
                <w:rFonts w:ascii="Times New Roman" w:eastAsia="Times New Roman" w:hAnsi="Times New Roman" w:cs="Times New Roman"/>
                <w:b w:val="0"/>
                <w:i/>
                <w:color w:val="000000"/>
                <w:sz w:val="20"/>
                <w:szCs w:val="20"/>
              </w:rPr>
              <w:t>(1-53)</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posilnenie spolupráce</w:t>
            </w:r>
            <w:r w:rsidRPr="00042E63">
              <w:rPr>
                <w:rFonts w:ascii="Times New Roman" w:eastAsia="Times New Roman" w:hAnsi="Times New Roman" w:cs="Times New Roman"/>
                <w:color w:val="000000"/>
                <w:sz w:val="24"/>
                <w:szCs w:val="24"/>
              </w:rPr>
              <w:t xml:space="preserve"> samosprávy mesta s ďalšími zainteresovanými </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73%</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18</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54%</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30</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zlepšenie prístupu k službám a informáciám samosprávy, </w:t>
            </w:r>
            <w:r w:rsidRPr="00042E63">
              <w:rPr>
                <w:rFonts w:ascii="Times New Roman" w:eastAsia="Times New Roman" w:hAnsi="Times New Roman" w:cs="Times New Roman"/>
                <w:b w:val="0"/>
                <w:bCs w:val="0"/>
                <w:color w:val="000000"/>
                <w:sz w:val="24"/>
                <w:szCs w:val="24"/>
              </w:rPr>
              <w:t>elektronizácia</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87% </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60%</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23</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posilnenie inštitucionálnych </w:t>
            </w:r>
            <w:r w:rsidRPr="00042E63">
              <w:rPr>
                <w:rFonts w:ascii="Times New Roman" w:eastAsia="Times New Roman" w:hAnsi="Times New Roman" w:cs="Times New Roman"/>
                <w:b w:val="0"/>
                <w:bCs w:val="0"/>
                <w:color w:val="000000"/>
                <w:sz w:val="24"/>
                <w:szCs w:val="24"/>
              </w:rPr>
              <w:t>kapacít a efektivity</w:t>
            </w:r>
            <w:r w:rsidRPr="00042E63">
              <w:rPr>
                <w:rFonts w:ascii="Times New Roman" w:eastAsia="Times New Roman" w:hAnsi="Times New Roman" w:cs="Times New Roman"/>
                <w:color w:val="000000"/>
                <w:sz w:val="24"/>
                <w:szCs w:val="24"/>
              </w:rPr>
              <w:t xml:space="preserve"> výkonu samosprávy </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56%</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35</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43%</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38</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budovanie </w:t>
            </w:r>
            <w:r w:rsidRPr="00042E63">
              <w:rPr>
                <w:rFonts w:ascii="Times New Roman" w:eastAsia="Times New Roman" w:hAnsi="Times New Roman" w:cs="Times New Roman"/>
                <w:b w:val="0"/>
                <w:bCs w:val="0"/>
                <w:color w:val="000000"/>
                <w:sz w:val="24"/>
                <w:szCs w:val="24"/>
              </w:rPr>
              <w:t>značky mesta, propagácia</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77%</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14</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67%</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16</w:t>
            </w:r>
          </w:p>
        </w:tc>
      </w:tr>
    </w:tbl>
    <w:p w:rsidR="00C06370" w:rsidRPr="00042E63" w:rsidRDefault="00C06370" w:rsidP="005B6611">
      <w:pPr>
        <w:jc w:val="both"/>
        <w:rPr>
          <w:rFonts w:ascii="Times New Roman" w:hAnsi="Times New Roman" w:cs="Times New Roman"/>
          <w:sz w:val="24"/>
          <w:szCs w:val="24"/>
        </w:rPr>
      </w:pPr>
    </w:p>
    <w:tbl>
      <w:tblPr>
        <w:tblStyle w:val="Svetlpodfarbeniezvraznenie1"/>
        <w:tblW w:w="9157" w:type="dxa"/>
        <w:tblLayout w:type="fixed"/>
        <w:tblLook w:val="04A0" w:firstRow="1" w:lastRow="0" w:firstColumn="1" w:lastColumn="0" w:noHBand="0" w:noVBand="1"/>
      </w:tblPr>
      <w:tblGrid>
        <w:gridCol w:w="6252"/>
        <w:gridCol w:w="726"/>
        <w:gridCol w:w="726"/>
        <w:gridCol w:w="726"/>
        <w:gridCol w:w="727"/>
      </w:tblGrid>
      <w:tr w:rsidR="00C06370" w:rsidRPr="00042E63" w:rsidTr="00B27B2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SLUŽBY A INFRAŠTRUKTÚRA  </w:t>
            </w:r>
          </w:p>
        </w:tc>
        <w:tc>
          <w:tcPr>
            <w:tcW w:w="726" w:type="dxa"/>
            <w:noWrap/>
            <w:hideMark/>
          </w:tcPr>
          <w:p w:rsidR="00C06370" w:rsidRPr="00042E63"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2014-2020</w:t>
            </w:r>
          </w:p>
        </w:tc>
        <w:tc>
          <w:tcPr>
            <w:tcW w:w="726" w:type="dxa"/>
          </w:tcPr>
          <w:p w:rsidR="00C06370" w:rsidRPr="002769AC"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0"/>
                <w:szCs w:val="20"/>
              </w:rPr>
            </w:pPr>
            <w:r w:rsidRPr="002769AC">
              <w:rPr>
                <w:rFonts w:ascii="Times New Roman" w:eastAsia="Times New Roman" w:hAnsi="Times New Roman" w:cs="Times New Roman"/>
                <w:b w:val="0"/>
                <w:i/>
                <w:caps/>
                <w:color w:val="000000"/>
                <w:sz w:val="20"/>
                <w:szCs w:val="20"/>
              </w:rPr>
              <w:t>p</w:t>
            </w:r>
            <w:r w:rsidRPr="002769AC">
              <w:rPr>
                <w:rFonts w:ascii="Times New Roman" w:eastAsia="Times New Roman" w:hAnsi="Times New Roman" w:cs="Times New Roman"/>
                <w:b w:val="0"/>
                <w:i/>
                <w:color w:val="000000"/>
                <w:sz w:val="20"/>
                <w:szCs w:val="20"/>
              </w:rPr>
              <w:t>oradie</w:t>
            </w:r>
          </w:p>
          <w:p w:rsidR="00C06370" w:rsidRPr="00042E63"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sidRPr="002769AC">
              <w:rPr>
                <w:rFonts w:ascii="Times New Roman" w:eastAsia="Times New Roman" w:hAnsi="Times New Roman" w:cs="Times New Roman"/>
                <w:b w:val="0"/>
                <w:i/>
                <w:color w:val="000000"/>
                <w:sz w:val="20"/>
                <w:szCs w:val="20"/>
              </w:rPr>
              <w:t>(1-53)</w:t>
            </w:r>
          </w:p>
        </w:tc>
        <w:tc>
          <w:tcPr>
            <w:tcW w:w="726" w:type="dxa"/>
            <w:noWrap/>
            <w:hideMark/>
          </w:tcPr>
          <w:p w:rsidR="00C06370" w:rsidRPr="00042E63"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2007-2013</w:t>
            </w:r>
          </w:p>
        </w:tc>
        <w:tc>
          <w:tcPr>
            <w:tcW w:w="727" w:type="dxa"/>
          </w:tcPr>
          <w:p w:rsidR="00C06370" w:rsidRPr="002769AC"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0"/>
                <w:szCs w:val="20"/>
              </w:rPr>
            </w:pPr>
            <w:r w:rsidRPr="002769AC">
              <w:rPr>
                <w:rFonts w:ascii="Times New Roman" w:eastAsia="Times New Roman" w:hAnsi="Times New Roman" w:cs="Times New Roman"/>
                <w:b w:val="0"/>
                <w:i/>
                <w:caps/>
                <w:color w:val="000000"/>
                <w:sz w:val="20"/>
                <w:szCs w:val="20"/>
              </w:rPr>
              <w:t>p</w:t>
            </w:r>
            <w:r w:rsidRPr="002769AC">
              <w:rPr>
                <w:rFonts w:ascii="Times New Roman" w:eastAsia="Times New Roman" w:hAnsi="Times New Roman" w:cs="Times New Roman"/>
                <w:b w:val="0"/>
                <w:i/>
                <w:color w:val="000000"/>
                <w:sz w:val="20"/>
                <w:szCs w:val="20"/>
              </w:rPr>
              <w:t>oradie</w:t>
            </w:r>
          </w:p>
          <w:p w:rsidR="00C06370" w:rsidRPr="00042E63"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sidRPr="002769AC">
              <w:rPr>
                <w:rFonts w:ascii="Times New Roman" w:eastAsia="Times New Roman" w:hAnsi="Times New Roman" w:cs="Times New Roman"/>
                <w:b w:val="0"/>
                <w:i/>
                <w:color w:val="000000"/>
                <w:sz w:val="20"/>
                <w:szCs w:val="20"/>
              </w:rPr>
              <w:t>(1-53)</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kapitálové investície do sociálnej</w:t>
            </w:r>
            <w:r w:rsidRPr="00042E63">
              <w:rPr>
                <w:rFonts w:ascii="Times New Roman" w:eastAsia="Times New Roman" w:hAnsi="Times New Roman" w:cs="Times New Roman"/>
                <w:color w:val="000000"/>
                <w:sz w:val="24"/>
                <w:szCs w:val="24"/>
              </w:rPr>
              <w:t xml:space="preserve"> infraštruktúry </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65%</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27</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51%</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33</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lastRenderedPageBreak/>
              <w:t xml:space="preserve">terénne poskytované </w:t>
            </w:r>
            <w:r w:rsidRPr="00042E63">
              <w:rPr>
                <w:rFonts w:ascii="Times New Roman" w:eastAsia="Times New Roman" w:hAnsi="Times New Roman" w:cs="Times New Roman"/>
                <w:b w:val="0"/>
                <w:bCs w:val="0"/>
                <w:color w:val="000000"/>
                <w:sz w:val="24"/>
                <w:szCs w:val="24"/>
              </w:rPr>
              <w:t>sociálne služby</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68%</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24</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72%</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13</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pobytové</w:t>
            </w:r>
            <w:r w:rsidRPr="00042E63">
              <w:rPr>
                <w:rFonts w:ascii="Times New Roman" w:eastAsia="Times New Roman" w:hAnsi="Times New Roman" w:cs="Times New Roman"/>
                <w:b w:val="0"/>
                <w:bCs w:val="0"/>
                <w:color w:val="000000"/>
                <w:sz w:val="24"/>
                <w:szCs w:val="24"/>
              </w:rPr>
              <w:t xml:space="preserve"> sociálne služby</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47%</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41</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45%</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36</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kapitálové investície do vzdelávacej</w:t>
            </w:r>
            <w:r w:rsidRPr="00042E63">
              <w:rPr>
                <w:rFonts w:ascii="Times New Roman" w:eastAsia="Times New Roman" w:hAnsi="Times New Roman" w:cs="Times New Roman"/>
                <w:color w:val="000000"/>
                <w:sz w:val="24"/>
                <w:szCs w:val="24"/>
              </w:rPr>
              <w:t xml:space="preserve"> infraštruktúry</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65%</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28</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79%</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8</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skvalitňovanie procesu predškolského</w:t>
            </w:r>
            <w:r w:rsidRPr="00042E63">
              <w:rPr>
                <w:rFonts w:ascii="Times New Roman" w:eastAsia="Times New Roman" w:hAnsi="Times New Roman" w:cs="Times New Roman"/>
                <w:color w:val="000000"/>
                <w:sz w:val="24"/>
                <w:szCs w:val="24"/>
              </w:rPr>
              <w:t xml:space="preserve"> vzdelávania</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71%</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22</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72%</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12</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skvalitňovanie procesu základného</w:t>
            </w:r>
            <w:r w:rsidRPr="00042E63">
              <w:rPr>
                <w:rFonts w:ascii="Times New Roman" w:eastAsia="Times New Roman" w:hAnsi="Times New Roman" w:cs="Times New Roman"/>
                <w:color w:val="000000"/>
                <w:sz w:val="24"/>
                <w:szCs w:val="24"/>
              </w:rPr>
              <w:t xml:space="preserve"> vzdelávania</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73%</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19</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85%</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5</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skvalitňovanie procesu stredoškolského</w:t>
            </w:r>
            <w:r w:rsidRPr="00042E63">
              <w:rPr>
                <w:rFonts w:ascii="Times New Roman" w:eastAsia="Times New Roman" w:hAnsi="Times New Roman" w:cs="Times New Roman"/>
                <w:color w:val="000000"/>
                <w:sz w:val="24"/>
                <w:szCs w:val="24"/>
              </w:rPr>
              <w:t xml:space="preserve"> vzdelávania</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21%</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49</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9%</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49</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skvalitňovanie procesu vysokoškolského</w:t>
            </w:r>
            <w:r w:rsidRPr="00042E63">
              <w:rPr>
                <w:rFonts w:ascii="Times New Roman" w:eastAsia="Times New Roman" w:hAnsi="Times New Roman" w:cs="Times New Roman"/>
                <w:color w:val="000000"/>
                <w:sz w:val="24"/>
                <w:szCs w:val="24"/>
              </w:rPr>
              <w:t xml:space="preserve"> vzdelávania</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53</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3%</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53</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skvalitňovanie a rozširovanie </w:t>
            </w:r>
            <w:r w:rsidRPr="00042E63">
              <w:rPr>
                <w:rFonts w:ascii="Times New Roman" w:eastAsia="Times New Roman" w:hAnsi="Times New Roman" w:cs="Times New Roman"/>
                <w:b w:val="0"/>
                <w:bCs w:val="0"/>
                <w:color w:val="000000"/>
                <w:sz w:val="24"/>
                <w:szCs w:val="24"/>
              </w:rPr>
              <w:t>celoživotného vzdelávania</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36%</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44</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31%</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45</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kapitálové investície do zdravotnej</w:t>
            </w:r>
            <w:r w:rsidRPr="00042E63">
              <w:rPr>
                <w:rFonts w:ascii="Times New Roman" w:eastAsia="Times New Roman" w:hAnsi="Times New Roman" w:cs="Times New Roman"/>
                <w:color w:val="000000"/>
                <w:sz w:val="24"/>
                <w:szCs w:val="24"/>
              </w:rPr>
              <w:t xml:space="preserve"> infraštruktúry</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30%</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46</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31%</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44</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 xml:space="preserve">skvalitňovanie </w:t>
            </w:r>
            <w:r w:rsidRPr="00042E63">
              <w:rPr>
                <w:rFonts w:ascii="Times New Roman" w:eastAsia="Times New Roman" w:hAnsi="Times New Roman" w:cs="Times New Roman"/>
                <w:color w:val="000000"/>
                <w:sz w:val="24"/>
                <w:szCs w:val="24"/>
              </w:rPr>
              <w:t xml:space="preserve">poskytovania </w:t>
            </w:r>
            <w:r w:rsidRPr="00042E63">
              <w:rPr>
                <w:rFonts w:ascii="Times New Roman" w:eastAsia="Times New Roman" w:hAnsi="Times New Roman" w:cs="Times New Roman"/>
                <w:b w:val="0"/>
                <w:bCs w:val="0"/>
                <w:color w:val="000000"/>
                <w:sz w:val="24"/>
                <w:szCs w:val="24"/>
              </w:rPr>
              <w:t>zdravotníckych</w:t>
            </w:r>
            <w:r w:rsidRPr="00042E63">
              <w:rPr>
                <w:rFonts w:ascii="Times New Roman" w:eastAsia="Times New Roman" w:hAnsi="Times New Roman" w:cs="Times New Roman"/>
                <w:color w:val="000000"/>
                <w:sz w:val="24"/>
                <w:szCs w:val="24"/>
              </w:rPr>
              <w:t xml:space="preserve"> služieb</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30%</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47</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22%</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47</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kapitálové investície do športových</w:t>
            </w:r>
            <w:r w:rsidRPr="00042E63">
              <w:rPr>
                <w:rFonts w:ascii="Times New Roman" w:eastAsia="Times New Roman" w:hAnsi="Times New Roman" w:cs="Times New Roman"/>
                <w:color w:val="000000"/>
                <w:sz w:val="24"/>
                <w:szCs w:val="24"/>
              </w:rPr>
              <w:t xml:space="preserve"> zariadení</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88%</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76%</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10</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kapitálové investície do kultúrnych</w:t>
            </w:r>
            <w:r w:rsidRPr="00042E63">
              <w:rPr>
                <w:rFonts w:ascii="Times New Roman" w:eastAsia="Times New Roman" w:hAnsi="Times New Roman" w:cs="Times New Roman"/>
                <w:color w:val="000000"/>
                <w:sz w:val="24"/>
                <w:szCs w:val="24"/>
              </w:rPr>
              <w:t xml:space="preserve"> zariadení</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79%</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11</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67%</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17</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kapitálové investície do voľnočasových</w:t>
            </w:r>
            <w:r w:rsidRPr="00042E63">
              <w:rPr>
                <w:rFonts w:ascii="Times New Roman" w:eastAsia="Times New Roman" w:hAnsi="Times New Roman" w:cs="Times New Roman"/>
                <w:color w:val="000000"/>
                <w:sz w:val="24"/>
                <w:szCs w:val="24"/>
              </w:rPr>
              <w:t xml:space="preserve"> zariadení</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67%</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26</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60%</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22</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podpora</w:t>
            </w:r>
            <w:r w:rsidR="000C283D" w:rsidRPr="00042E63">
              <w:rPr>
                <w:rFonts w:ascii="Times New Roman" w:eastAsia="Times New Roman" w:hAnsi="Times New Roman" w:cs="Times New Roman"/>
                <w:color w:val="000000"/>
                <w:sz w:val="24"/>
                <w:szCs w:val="24"/>
              </w:rPr>
              <w:t xml:space="preserve"> kultúry</w:t>
            </w:r>
            <w:r w:rsidRPr="00042E63">
              <w:rPr>
                <w:rFonts w:ascii="Times New Roman" w:eastAsia="Times New Roman" w:hAnsi="Times New Roman" w:cs="Times New Roman"/>
                <w:color w:val="000000"/>
                <w:sz w:val="24"/>
                <w:szCs w:val="24"/>
              </w:rPr>
              <w:t xml:space="preserve">, umenia, športu, voľnočasových </w:t>
            </w:r>
            <w:r w:rsidRPr="00042E63">
              <w:rPr>
                <w:rFonts w:ascii="Times New Roman" w:eastAsia="Times New Roman" w:hAnsi="Times New Roman" w:cs="Times New Roman"/>
                <w:b w:val="0"/>
                <w:bCs w:val="0"/>
                <w:color w:val="000000"/>
                <w:sz w:val="24"/>
                <w:szCs w:val="24"/>
              </w:rPr>
              <w:t>aktivít</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78%</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12</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76%</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11</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cestné </w:t>
            </w:r>
            <w:r w:rsidRPr="00042E63">
              <w:rPr>
                <w:rFonts w:ascii="Times New Roman" w:eastAsia="Times New Roman" w:hAnsi="Times New Roman" w:cs="Times New Roman"/>
                <w:b w:val="0"/>
                <w:bCs w:val="0"/>
                <w:color w:val="000000"/>
                <w:sz w:val="24"/>
                <w:szCs w:val="24"/>
              </w:rPr>
              <w:t>komunikácie na území</w:t>
            </w:r>
            <w:r w:rsidRPr="00042E63">
              <w:rPr>
                <w:rFonts w:ascii="Times New Roman" w:eastAsia="Times New Roman" w:hAnsi="Times New Roman" w:cs="Times New Roman"/>
                <w:color w:val="000000"/>
                <w:sz w:val="24"/>
                <w:szCs w:val="24"/>
              </w:rPr>
              <w:t xml:space="preserve"> mesta</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91%</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86%</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cestné </w:t>
            </w:r>
            <w:r w:rsidRPr="00042E63">
              <w:rPr>
                <w:rFonts w:ascii="Times New Roman" w:eastAsia="Times New Roman" w:hAnsi="Times New Roman" w:cs="Times New Roman"/>
                <w:b w:val="0"/>
                <w:bCs w:val="0"/>
                <w:color w:val="000000"/>
                <w:sz w:val="24"/>
                <w:szCs w:val="24"/>
              </w:rPr>
              <w:t>komunikácie v priľahlom území</w:t>
            </w:r>
            <w:r w:rsidRPr="00042E63">
              <w:rPr>
                <w:rFonts w:ascii="Times New Roman" w:eastAsia="Times New Roman" w:hAnsi="Times New Roman" w:cs="Times New Roman"/>
                <w:color w:val="000000"/>
                <w:sz w:val="24"/>
                <w:szCs w:val="24"/>
              </w:rPr>
              <w:t xml:space="preserve"> mesta</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40%</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43</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33%</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42</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riešenie </w:t>
            </w:r>
            <w:r w:rsidRPr="00042E63">
              <w:rPr>
                <w:rFonts w:ascii="Times New Roman" w:eastAsia="Times New Roman" w:hAnsi="Times New Roman" w:cs="Times New Roman"/>
                <w:b w:val="0"/>
                <w:bCs w:val="0"/>
                <w:color w:val="000000"/>
                <w:sz w:val="24"/>
                <w:szCs w:val="24"/>
              </w:rPr>
              <w:t>statickej dopravy</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73%</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20</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58%</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27</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skvalitňovanie organizácie</w:t>
            </w:r>
            <w:r w:rsidRPr="00042E63">
              <w:rPr>
                <w:rFonts w:ascii="Times New Roman" w:eastAsia="Times New Roman" w:hAnsi="Times New Roman" w:cs="Times New Roman"/>
                <w:color w:val="000000"/>
                <w:sz w:val="24"/>
                <w:szCs w:val="24"/>
              </w:rPr>
              <w:t xml:space="preserve"> dopravy</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60%</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31</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52%</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32</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skvalitňovanie </w:t>
            </w:r>
            <w:r w:rsidRPr="00042E63">
              <w:rPr>
                <w:rFonts w:ascii="Times New Roman" w:eastAsia="Times New Roman" w:hAnsi="Times New Roman" w:cs="Times New Roman"/>
                <w:b w:val="0"/>
                <w:bCs w:val="0"/>
                <w:color w:val="000000"/>
                <w:sz w:val="24"/>
                <w:szCs w:val="24"/>
              </w:rPr>
              <w:t>verejnej dopravy</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48%</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40</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34%</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41</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budovanie a údržba </w:t>
            </w:r>
            <w:r w:rsidRPr="00042E63">
              <w:rPr>
                <w:rFonts w:ascii="Times New Roman" w:eastAsia="Times New Roman" w:hAnsi="Times New Roman" w:cs="Times New Roman"/>
                <w:b w:val="0"/>
                <w:bCs w:val="0"/>
                <w:color w:val="000000"/>
                <w:sz w:val="24"/>
                <w:szCs w:val="24"/>
              </w:rPr>
              <w:t>cyklotrás</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86%</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5</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55%</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29</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skvalitňovanie podmienok </w:t>
            </w:r>
            <w:r w:rsidRPr="00042E63">
              <w:rPr>
                <w:rFonts w:ascii="Times New Roman" w:eastAsia="Times New Roman" w:hAnsi="Times New Roman" w:cs="Times New Roman"/>
                <w:b w:val="0"/>
                <w:bCs w:val="0"/>
                <w:color w:val="000000"/>
                <w:sz w:val="24"/>
                <w:szCs w:val="24"/>
              </w:rPr>
              <w:t>pre pešiu dopravu</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78%</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13</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66%</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18</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bytová výstavba</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65%</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29</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58%</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26</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poskytovanie </w:t>
            </w:r>
            <w:r w:rsidRPr="00042E63">
              <w:rPr>
                <w:rFonts w:ascii="Times New Roman" w:eastAsia="Times New Roman" w:hAnsi="Times New Roman" w:cs="Times New Roman"/>
                <w:b w:val="0"/>
                <w:bCs w:val="0"/>
                <w:color w:val="000000"/>
                <w:sz w:val="24"/>
                <w:szCs w:val="24"/>
              </w:rPr>
              <w:t>nájomného bývania</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71%</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23</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64%</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19</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skvalitňovanie </w:t>
            </w:r>
            <w:r w:rsidRPr="00042E63">
              <w:rPr>
                <w:rFonts w:ascii="Times New Roman" w:eastAsia="Times New Roman" w:hAnsi="Times New Roman" w:cs="Times New Roman"/>
                <w:b w:val="0"/>
                <w:bCs w:val="0"/>
                <w:color w:val="000000"/>
                <w:sz w:val="24"/>
                <w:szCs w:val="24"/>
              </w:rPr>
              <w:t>obchodnej siete</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33%</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45</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30%</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46</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skvalitňovanie </w:t>
            </w:r>
            <w:r w:rsidRPr="00042E63">
              <w:rPr>
                <w:rFonts w:ascii="Times New Roman" w:eastAsia="Times New Roman" w:hAnsi="Times New Roman" w:cs="Times New Roman"/>
                <w:b w:val="0"/>
                <w:bCs w:val="0"/>
                <w:color w:val="000000"/>
                <w:sz w:val="24"/>
                <w:szCs w:val="24"/>
              </w:rPr>
              <w:t>ostatných služieb</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43%</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42</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35%</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40</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zvyšovanie </w:t>
            </w:r>
            <w:r w:rsidRPr="00042E63">
              <w:rPr>
                <w:rFonts w:ascii="Times New Roman" w:eastAsia="Times New Roman" w:hAnsi="Times New Roman" w:cs="Times New Roman"/>
                <w:b w:val="0"/>
                <w:bCs w:val="0"/>
                <w:color w:val="000000"/>
                <w:sz w:val="24"/>
                <w:szCs w:val="24"/>
              </w:rPr>
              <w:t xml:space="preserve">bezpečnosti </w:t>
            </w:r>
            <w:r w:rsidRPr="00042E63">
              <w:rPr>
                <w:rFonts w:ascii="Times New Roman" w:eastAsia="Times New Roman" w:hAnsi="Times New Roman" w:cs="Times New Roman"/>
                <w:color w:val="000000"/>
                <w:sz w:val="24"/>
                <w:szCs w:val="24"/>
              </w:rPr>
              <w:t>občanov</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85%</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6</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83%</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6</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aktívne začleňovanie sociálne </w:t>
            </w:r>
            <w:r w:rsidRPr="00042E63">
              <w:rPr>
                <w:rFonts w:ascii="Times New Roman" w:eastAsia="Times New Roman" w:hAnsi="Times New Roman" w:cs="Times New Roman"/>
                <w:b w:val="0"/>
                <w:bCs w:val="0"/>
                <w:color w:val="000000"/>
                <w:sz w:val="24"/>
                <w:szCs w:val="24"/>
              </w:rPr>
              <w:t>ohrozených skupín</w:t>
            </w:r>
            <w:r w:rsidRPr="00042E63">
              <w:rPr>
                <w:rFonts w:ascii="Times New Roman" w:eastAsia="Times New Roman" w:hAnsi="Times New Roman" w:cs="Times New Roman"/>
                <w:color w:val="000000"/>
                <w:sz w:val="24"/>
                <w:szCs w:val="24"/>
              </w:rPr>
              <w:t xml:space="preserve"> obyvateľov</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68%</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25</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55%</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28</w:t>
            </w:r>
          </w:p>
        </w:tc>
      </w:tr>
    </w:tbl>
    <w:p w:rsidR="00C06370" w:rsidRPr="00042E63" w:rsidRDefault="00C06370" w:rsidP="005B6611">
      <w:pPr>
        <w:jc w:val="both"/>
        <w:rPr>
          <w:rFonts w:ascii="Times New Roman" w:hAnsi="Times New Roman" w:cs="Times New Roman"/>
          <w:sz w:val="24"/>
          <w:szCs w:val="24"/>
        </w:rPr>
      </w:pPr>
    </w:p>
    <w:tbl>
      <w:tblPr>
        <w:tblStyle w:val="Svetlpodfarbeniezvraznenie1"/>
        <w:tblW w:w="9157" w:type="dxa"/>
        <w:tblLayout w:type="fixed"/>
        <w:tblLook w:val="04A0" w:firstRow="1" w:lastRow="0" w:firstColumn="1" w:lastColumn="0" w:noHBand="0" w:noVBand="1"/>
      </w:tblPr>
      <w:tblGrid>
        <w:gridCol w:w="6252"/>
        <w:gridCol w:w="726"/>
        <w:gridCol w:w="726"/>
        <w:gridCol w:w="726"/>
        <w:gridCol w:w="727"/>
      </w:tblGrid>
      <w:tr w:rsidR="00C06370" w:rsidRPr="00042E63" w:rsidTr="00B27B2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ŽIVOTNÉ PROSTREDIE A OCHRANA ZDROJOV</w:t>
            </w:r>
          </w:p>
        </w:tc>
        <w:tc>
          <w:tcPr>
            <w:tcW w:w="726" w:type="dxa"/>
            <w:noWrap/>
            <w:hideMark/>
          </w:tcPr>
          <w:p w:rsidR="00C06370" w:rsidRPr="00042E63"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2014-2020</w:t>
            </w:r>
          </w:p>
        </w:tc>
        <w:tc>
          <w:tcPr>
            <w:tcW w:w="726" w:type="dxa"/>
          </w:tcPr>
          <w:p w:rsidR="00C06370" w:rsidRPr="002769AC"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0"/>
                <w:szCs w:val="20"/>
              </w:rPr>
            </w:pPr>
            <w:r w:rsidRPr="002769AC">
              <w:rPr>
                <w:rFonts w:ascii="Times New Roman" w:eastAsia="Times New Roman" w:hAnsi="Times New Roman" w:cs="Times New Roman"/>
                <w:b w:val="0"/>
                <w:i/>
                <w:caps/>
                <w:color w:val="000000"/>
                <w:sz w:val="20"/>
                <w:szCs w:val="20"/>
              </w:rPr>
              <w:t>p</w:t>
            </w:r>
            <w:r w:rsidRPr="002769AC">
              <w:rPr>
                <w:rFonts w:ascii="Times New Roman" w:eastAsia="Times New Roman" w:hAnsi="Times New Roman" w:cs="Times New Roman"/>
                <w:b w:val="0"/>
                <w:i/>
                <w:color w:val="000000"/>
                <w:sz w:val="20"/>
                <w:szCs w:val="20"/>
              </w:rPr>
              <w:t>oradie</w:t>
            </w:r>
          </w:p>
          <w:p w:rsidR="00C06370" w:rsidRPr="00042E63"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sidRPr="002769AC">
              <w:rPr>
                <w:rFonts w:ascii="Times New Roman" w:eastAsia="Times New Roman" w:hAnsi="Times New Roman" w:cs="Times New Roman"/>
                <w:b w:val="0"/>
                <w:i/>
                <w:color w:val="000000"/>
                <w:sz w:val="20"/>
                <w:szCs w:val="20"/>
              </w:rPr>
              <w:t>(1-53)</w:t>
            </w:r>
          </w:p>
        </w:tc>
        <w:tc>
          <w:tcPr>
            <w:tcW w:w="726" w:type="dxa"/>
            <w:noWrap/>
            <w:hideMark/>
          </w:tcPr>
          <w:p w:rsidR="00C06370" w:rsidRPr="00042E63"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2007-2013</w:t>
            </w:r>
          </w:p>
        </w:tc>
        <w:tc>
          <w:tcPr>
            <w:tcW w:w="727" w:type="dxa"/>
          </w:tcPr>
          <w:p w:rsidR="00C06370" w:rsidRPr="002769AC"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0"/>
                <w:szCs w:val="20"/>
              </w:rPr>
            </w:pPr>
            <w:r w:rsidRPr="002769AC">
              <w:rPr>
                <w:rFonts w:ascii="Times New Roman" w:eastAsia="Times New Roman" w:hAnsi="Times New Roman" w:cs="Times New Roman"/>
                <w:b w:val="0"/>
                <w:i/>
                <w:caps/>
                <w:color w:val="000000"/>
                <w:sz w:val="20"/>
                <w:szCs w:val="20"/>
              </w:rPr>
              <w:t>p</w:t>
            </w:r>
            <w:r w:rsidRPr="002769AC">
              <w:rPr>
                <w:rFonts w:ascii="Times New Roman" w:eastAsia="Times New Roman" w:hAnsi="Times New Roman" w:cs="Times New Roman"/>
                <w:b w:val="0"/>
                <w:i/>
                <w:color w:val="000000"/>
                <w:sz w:val="20"/>
                <w:szCs w:val="20"/>
              </w:rPr>
              <w:t>oradie</w:t>
            </w:r>
          </w:p>
          <w:p w:rsidR="00C06370" w:rsidRPr="00042E63"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sidRPr="002769AC">
              <w:rPr>
                <w:rFonts w:ascii="Times New Roman" w:eastAsia="Times New Roman" w:hAnsi="Times New Roman" w:cs="Times New Roman"/>
                <w:b w:val="0"/>
                <w:i/>
                <w:color w:val="000000"/>
                <w:sz w:val="20"/>
                <w:szCs w:val="20"/>
              </w:rPr>
              <w:t>(1-53)</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kanalizácia, zásobovanie vodou</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60%</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32</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68%</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14</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 xml:space="preserve">odpadové hospodárstvo </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83%</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10</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81%</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7</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podpora </w:t>
            </w:r>
            <w:r w:rsidRPr="00042E63">
              <w:rPr>
                <w:rFonts w:ascii="Times New Roman" w:eastAsia="Times New Roman" w:hAnsi="Times New Roman" w:cs="Times New Roman"/>
                <w:b w:val="0"/>
                <w:bCs w:val="0"/>
                <w:color w:val="000000"/>
                <w:sz w:val="24"/>
                <w:szCs w:val="24"/>
              </w:rPr>
              <w:t>separovaného zberu</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84%</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8</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88%</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zvyšovanie </w:t>
            </w:r>
            <w:r w:rsidRPr="00042E63">
              <w:rPr>
                <w:rFonts w:ascii="Times New Roman" w:eastAsia="Times New Roman" w:hAnsi="Times New Roman" w:cs="Times New Roman"/>
                <w:b w:val="0"/>
                <w:bCs w:val="0"/>
                <w:color w:val="000000"/>
                <w:sz w:val="24"/>
                <w:szCs w:val="24"/>
              </w:rPr>
              <w:t>kvality ovzdušia</w:t>
            </w:r>
            <w:r w:rsidRPr="00042E63">
              <w:rPr>
                <w:rFonts w:ascii="Times New Roman" w:eastAsia="Times New Roman" w:hAnsi="Times New Roman" w:cs="Times New Roman"/>
                <w:color w:val="000000"/>
                <w:sz w:val="24"/>
                <w:szCs w:val="24"/>
              </w:rPr>
              <w:t xml:space="preserve"> </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52%</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38</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53%</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31</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dekontaminácia</w:t>
            </w:r>
            <w:r w:rsidRPr="00042E63">
              <w:rPr>
                <w:rFonts w:ascii="Times New Roman" w:eastAsia="Times New Roman" w:hAnsi="Times New Roman" w:cs="Times New Roman"/>
                <w:color w:val="000000"/>
                <w:sz w:val="24"/>
                <w:szCs w:val="24"/>
              </w:rPr>
              <w:t xml:space="preserve"> znečistených lokalít</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25%</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48</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13%</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48</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protipovodňová</w:t>
            </w:r>
            <w:r w:rsidRPr="00042E63">
              <w:rPr>
                <w:rFonts w:ascii="Times New Roman" w:eastAsia="Times New Roman" w:hAnsi="Times New Roman" w:cs="Times New Roman"/>
                <w:color w:val="000000"/>
                <w:sz w:val="24"/>
                <w:szCs w:val="24"/>
              </w:rPr>
              <w:t xml:space="preserve"> ochrana </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61%</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30</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59%</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25</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adaptačné opatrenia na</w:t>
            </w:r>
            <w:r w:rsidRPr="00042E63">
              <w:rPr>
                <w:rFonts w:ascii="Times New Roman" w:eastAsia="Times New Roman" w:hAnsi="Times New Roman" w:cs="Times New Roman"/>
                <w:b w:val="0"/>
                <w:bCs w:val="0"/>
                <w:color w:val="000000"/>
                <w:sz w:val="24"/>
                <w:szCs w:val="24"/>
              </w:rPr>
              <w:t xml:space="preserve"> zmenu klímy</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18%</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51</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5%</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52</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revitalizácia</w:t>
            </w:r>
            <w:r w:rsidRPr="00042E63">
              <w:rPr>
                <w:rFonts w:ascii="Times New Roman" w:eastAsia="Times New Roman" w:hAnsi="Times New Roman" w:cs="Times New Roman"/>
                <w:color w:val="000000"/>
                <w:sz w:val="24"/>
                <w:szCs w:val="24"/>
              </w:rPr>
              <w:t xml:space="preserve"> vybraných území</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60%</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33</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46%</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35</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obnova a údržba </w:t>
            </w:r>
            <w:r w:rsidRPr="00042E63">
              <w:rPr>
                <w:rFonts w:ascii="Times New Roman" w:eastAsia="Times New Roman" w:hAnsi="Times New Roman" w:cs="Times New Roman"/>
                <w:b w:val="0"/>
                <w:bCs w:val="0"/>
                <w:color w:val="000000"/>
                <w:sz w:val="24"/>
                <w:szCs w:val="24"/>
              </w:rPr>
              <w:t>verejných priestorov</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84%</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9</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89%</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obnova a údržba </w:t>
            </w:r>
            <w:r w:rsidRPr="00042E63">
              <w:rPr>
                <w:rFonts w:ascii="Times New Roman" w:eastAsia="Times New Roman" w:hAnsi="Times New Roman" w:cs="Times New Roman"/>
                <w:b w:val="0"/>
                <w:bCs w:val="0"/>
                <w:color w:val="000000"/>
                <w:sz w:val="24"/>
                <w:szCs w:val="24"/>
              </w:rPr>
              <w:t>zelene</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87%</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85%</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obnova a údržba </w:t>
            </w:r>
            <w:r w:rsidRPr="00042E63">
              <w:rPr>
                <w:rFonts w:ascii="Times New Roman" w:eastAsia="Times New Roman" w:hAnsi="Times New Roman" w:cs="Times New Roman"/>
                <w:b w:val="0"/>
                <w:bCs w:val="0"/>
                <w:color w:val="000000"/>
                <w:sz w:val="24"/>
                <w:szCs w:val="24"/>
              </w:rPr>
              <w:t>kultúrneho dedičstva</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77%</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15</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68%</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15</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znižovanie </w:t>
            </w:r>
            <w:r w:rsidRPr="00042E63">
              <w:rPr>
                <w:rFonts w:ascii="Times New Roman" w:eastAsia="Times New Roman" w:hAnsi="Times New Roman" w:cs="Times New Roman"/>
                <w:b w:val="0"/>
                <w:bCs w:val="0"/>
                <w:color w:val="000000"/>
                <w:sz w:val="24"/>
                <w:szCs w:val="24"/>
              </w:rPr>
              <w:t>energetickej náročnosti budov</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85%</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7</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77%</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9</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využívanie energie z </w:t>
            </w:r>
            <w:r w:rsidRPr="00042E63">
              <w:rPr>
                <w:rFonts w:ascii="Times New Roman" w:eastAsia="Times New Roman" w:hAnsi="Times New Roman" w:cs="Times New Roman"/>
                <w:b w:val="0"/>
                <w:bCs w:val="0"/>
                <w:color w:val="000000"/>
                <w:sz w:val="24"/>
                <w:szCs w:val="24"/>
              </w:rPr>
              <w:t>obnoviteľných zdrojov</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55%</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37</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38%</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39</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lastRenderedPageBreak/>
              <w:t xml:space="preserve">znižovanie energetickej </w:t>
            </w:r>
            <w:r w:rsidRPr="00042E63">
              <w:rPr>
                <w:rFonts w:ascii="Times New Roman" w:eastAsia="Times New Roman" w:hAnsi="Times New Roman" w:cs="Times New Roman"/>
                <w:b w:val="0"/>
                <w:bCs w:val="0"/>
                <w:color w:val="000000"/>
                <w:sz w:val="24"/>
                <w:szCs w:val="24"/>
              </w:rPr>
              <w:t>náročnosti technickej infraštruktúry</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56%</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36</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47%</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34</w:t>
            </w:r>
          </w:p>
        </w:tc>
      </w:tr>
    </w:tbl>
    <w:p w:rsidR="00C06370" w:rsidRPr="00042E63" w:rsidRDefault="00C06370" w:rsidP="005B6611">
      <w:pPr>
        <w:jc w:val="both"/>
        <w:rPr>
          <w:rFonts w:ascii="Times New Roman" w:hAnsi="Times New Roman" w:cs="Times New Roman"/>
          <w:sz w:val="24"/>
          <w:szCs w:val="24"/>
        </w:rPr>
      </w:pPr>
    </w:p>
    <w:tbl>
      <w:tblPr>
        <w:tblStyle w:val="Svetlpodfarbeniezvraznenie1"/>
        <w:tblW w:w="9157" w:type="dxa"/>
        <w:tblLayout w:type="fixed"/>
        <w:tblLook w:val="04A0" w:firstRow="1" w:lastRow="0" w:firstColumn="1" w:lastColumn="0" w:noHBand="0" w:noVBand="1"/>
      </w:tblPr>
      <w:tblGrid>
        <w:gridCol w:w="6252"/>
        <w:gridCol w:w="726"/>
        <w:gridCol w:w="726"/>
        <w:gridCol w:w="726"/>
        <w:gridCol w:w="727"/>
      </w:tblGrid>
      <w:tr w:rsidR="00C06370" w:rsidRPr="00042E63" w:rsidTr="00B27B2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EKONOMIKA</w:t>
            </w:r>
          </w:p>
        </w:tc>
        <w:tc>
          <w:tcPr>
            <w:tcW w:w="726" w:type="dxa"/>
            <w:noWrap/>
            <w:hideMark/>
          </w:tcPr>
          <w:p w:rsidR="00C06370" w:rsidRPr="00042E63"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2014-2020</w:t>
            </w:r>
          </w:p>
        </w:tc>
        <w:tc>
          <w:tcPr>
            <w:tcW w:w="726" w:type="dxa"/>
          </w:tcPr>
          <w:p w:rsidR="00C06370" w:rsidRPr="002769AC"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0"/>
                <w:szCs w:val="20"/>
              </w:rPr>
            </w:pPr>
            <w:r w:rsidRPr="002769AC">
              <w:rPr>
                <w:rFonts w:ascii="Times New Roman" w:eastAsia="Times New Roman" w:hAnsi="Times New Roman" w:cs="Times New Roman"/>
                <w:b w:val="0"/>
                <w:i/>
                <w:caps/>
                <w:color w:val="000000"/>
                <w:sz w:val="20"/>
                <w:szCs w:val="20"/>
              </w:rPr>
              <w:t>p</w:t>
            </w:r>
            <w:r w:rsidRPr="002769AC">
              <w:rPr>
                <w:rFonts w:ascii="Times New Roman" w:eastAsia="Times New Roman" w:hAnsi="Times New Roman" w:cs="Times New Roman"/>
                <w:b w:val="0"/>
                <w:i/>
                <w:color w:val="000000"/>
                <w:sz w:val="20"/>
                <w:szCs w:val="20"/>
              </w:rPr>
              <w:t>oradie</w:t>
            </w:r>
          </w:p>
          <w:p w:rsidR="00C06370" w:rsidRPr="00042E63"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sidRPr="002769AC">
              <w:rPr>
                <w:rFonts w:ascii="Times New Roman" w:eastAsia="Times New Roman" w:hAnsi="Times New Roman" w:cs="Times New Roman"/>
                <w:b w:val="0"/>
                <w:i/>
                <w:color w:val="000000"/>
                <w:sz w:val="20"/>
                <w:szCs w:val="20"/>
              </w:rPr>
              <w:t>(1-53)</w:t>
            </w:r>
          </w:p>
        </w:tc>
        <w:tc>
          <w:tcPr>
            <w:tcW w:w="726" w:type="dxa"/>
            <w:noWrap/>
            <w:hideMark/>
          </w:tcPr>
          <w:p w:rsidR="00C06370" w:rsidRPr="00042E63"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2007-2013</w:t>
            </w:r>
          </w:p>
        </w:tc>
        <w:tc>
          <w:tcPr>
            <w:tcW w:w="727" w:type="dxa"/>
          </w:tcPr>
          <w:p w:rsidR="00C06370" w:rsidRPr="002769AC"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0"/>
                <w:szCs w:val="20"/>
              </w:rPr>
            </w:pPr>
            <w:r w:rsidRPr="002769AC">
              <w:rPr>
                <w:rFonts w:ascii="Times New Roman" w:eastAsia="Times New Roman" w:hAnsi="Times New Roman" w:cs="Times New Roman"/>
                <w:b w:val="0"/>
                <w:i/>
                <w:caps/>
                <w:color w:val="000000"/>
                <w:sz w:val="20"/>
                <w:szCs w:val="20"/>
              </w:rPr>
              <w:t>p</w:t>
            </w:r>
            <w:r w:rsidRPr="002769AC">
              <w:rPr>
                <w:rFonts w:ascii="Times New Roman" w:eastAsia="Times New Roman" w:hAnsi="Times New Roman" w:cs="Times New Roman"/>
                <w:b w:val="0"/>
                <w:i/>
                <w:color w:val="000000"/>
                <w:sz w:val="20"/>
                <w:szCs w:val="20"/>
              </w:rPr>
              <w:t>oradie</w:t>
            </w:r>
          </w:p>
          <w:p w:rsidR="00C06370" w:rsidRPr="00042E63" w:rsidRDefault="00C06370" w:rsidP="005B661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rPr>
            </w:pPr>
            <w:r w:rsidRPr="002769AC">
              <w:rPr>
                <w:rFonts w:ascii="Times New Roman" w:eastAsia="Times New Roman" w:hAnsi="Times New Roman" w:cs="Times New Roman"/>
                <w:b w:val="0"/>
                <w:i/>
                <w:color w:val="000000"/>
                <w:sz w:val="20"/>
                <w:szCs w:val="20"/>
              </w:rPr>
              <w:t>(1-53)</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podpora </w:t>
            </w:r>
            <w:r w:rsidRPr="00042E63">
              <w:rPr>
                <w:rFonts w:ascii="Times New Roman" w:eastAsia="Times New Roman" w:hAnsi="Times New Roman" w:cs="Times New Roman"/>
                <w:b w:val="0"/>
                <w:bCs w:val="0"/>
                <w:color w:val="000000"/>
                <w:sz w:val="24"/>
                <w:szCs w:val="24"/>
              </w:rPr>
              <w:t>prílevu investícií</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72%</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21</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63%</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20</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podpora </w:t>
            </w:r>
            <w:r w:rsidRPr="00042E63">
              <w:rPr>
                <w:rFonts w:ascii="Times New Roman" w:eastAsia="Times New Roman" w:hAnsi="Times New Roman" w:cs="Times New Roman"/>
                <w:b w:val="0"/>
                <w:bCs w:val="0"/>
                <w:color w:val="000000"/>
                <w:sz w:val="24"/>
                <w:szCs w:val="24"/>
              </w:rPr>
              <w:t>tvorby pracovných</w:t>
            </w:r>
            <w:r w:rsidRPr="00042E63">
              <w:rPr>
                <w:rFonts w:ascii="Times New Roman" w:eastAsia="Times New Roman" w:hAnsi="Times New Roman" w:cs="Times New Roman"/>
                <w:color w:val="000000"/>
                <w:sz w:val="24"/>
                <w:szCs w:val="24"/>
              </w:rPr>
              <w:t xml:space="preserve"> miest</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75%</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16</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61%</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21</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podpora </w:t>
            </w:r>
            <w:r w:rsidRPr="00042E63">
              <w:rPr>
                <w:rFonts w:ascii="Times New Roman" w:eastAsia="Times New Roman" w:hAnsi="Times New Roman" w:cs="Times New Roman"/>
                <w:b w:val="0"/>
                <w:bCs w:val="0"/>
                <w:color w:val="000000"/>
                <w:sz w:val="24"/>
                <w:szCs w:val="24"/>
              </w:rPr>
              <w:t>malého a stredného podnikania</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60%</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34</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43%</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37</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zakladanie a podpora </w:t>
            </w:r>
            <w:r w:rsidRPr="00042E63">
              <w:rPr>
                <w:rFonts w:ascii="Times New Roman" w:eastAsia="Times New Roman" w:hAnsi="Times New Roman" w:cs="Times New Roman"/>
                <w:b w:val="0"/>
                <w:bCs w:val="0"/>
                <w:color w:val="000000"/>
                <w:sz w:val="24"/>
                <w:szCs w:val="24"/>
              </w:rPr>
              <w:t>sociálnych podnikov</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19%</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50</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8%</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50</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 xml:space="preserve">investície do </w:t>
            </w:r>
            <w:r w:rsidRPr="00042E63">
              <w:rPr>
                <w:rFonts w:ascii="Times New Roman" w:eastAsia="Times New Roman" w:hAnsi="Times New Roman" w:cs="Times New Roman"/>
                <w:b w:val="0"/>
                <w:bCs w:val="0"/>
                <w:color w:val="000000"/>
                <w:sz w:val="24"/>
                <w:szCs w:val="24"/>
              </w:rPr>
              <w:t>inovácií a výskumu</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12%</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52</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6%</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51</w:t>
            </w:r>
          </w:p>
        </w:tc>
      </w:tr>
      <w:tr w:rsidR="00C06370" w:rsidRPr="00042E63" w:rsidTr="00B27B27">
        <w:trPr>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kapitálové investície</w:t>
            </w:r>
            <w:r w:rsidRPr="00042E63">
              <w:rPr>
                <w:rFonts w:ascii="Times New Roman" w:eastAsia="Times New Roman" w:hAnsi="Times New Roman" w:cs="Times New Roman"/>
                <w:color w:val="000000"/>
                <w:sz w:val="24"/>
                <w:szCs w:val="24"/>
              </w:rPr>
              <w:t xml:space="preserve"> do zariadení pre </w:t>
            </w:r>
            <w:r w:rsidRPr="00042E63">
              <w:rPr>
                <w:rFonts w:ascii="Times New Roman" w:eastAsia="Times New Roman" w:hAnsi="Times New Roman" w:cs="Times New Roman"/>
                <w:b w:val="0"/>
                <w:bCs w:val="0"/>
                <w:color w:val="000000"/>
                <w:sz w:val="24"/>
                <w:szCs w:val="24"/>
              </w:rPr>
              <w:t>cestovný ruch</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49%</w:t>
            </w:r>
          </w:p>
        </w:tc>
        <w:tc>
          <w:tcPr>
            <w:tcW w:w="726"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39</w:t>
            </w:r>
          </w:p>
        </w:tc>
        <w:tc>
          <w:tcPr>
            <w:tcW w:w="726" w:type="dxa"/>
            <w:noWrap/>
            <w:hideMark/>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31%</w:t>
            </w:r>
          </w:p>
        </w:tc>
        <w:tc>
          <w:tcPr>
            <w:tcW w:w="727" w:type="dxa"/>
          </w:tcPr>
          <w:p w:rsidR="00C06370" w:rsidRPr="00042E63" w:rsidRDefault="00C06370" w:rsidP="005B661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43</w:t>
            </w:r>
          </w:p>
        </w:tc>
      </w:tr>
      <w:tr w:rsidR="00C06370" w:rsidRPr="00042E63" w:rsidTr="00B27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52" w:type="dxa"/>
            <w:noWrap/>
            <w:hideMark/>
          </w:tcPr>
          <w:p w:rsidR="00C06370" w:rsidRPr="00042E63" w:rsidRDefault="00C06370" w:rsidP="005B6611">
            <w:pPr>
              <w:jc w:val="both"/>
              <w:rPr>
                <w:rFonts w:ascii="Times New Roman" w:eastAsia="Times New Roman" w:hAnsi="Times New Roman" w:cs="Times New Roman"/>
                <w:b w:val="0"/>
                <w:bCs w:val="0"/>
                <w:color w:val="000000"/>
                <w:sz w:val="24"/>
                <w:szCs w:val="24"/>
              </w:rPr>
            </w:pPr>
            <w:r w:rsidRPr="00042E63">
              <w:rPr>
                <w:rFonts w:ascii="Times New Roman" w:eastAsia="Times New Roman" w:hAnsi="Times New Roman" w:cs="Times New Roman"/>
                <w:b w:val="0"/>
                <w:bCs w:val="0"/>
                <w:color w:val="000000"/>
                <w:sz w:val="24"/>
                <w:szCs w:val="24"/>
              </w:rPr>
              <w:t>podpora služieb</w:t>
            </w:r>
            <w:r w:rsidRPr="00042E63">
              <w:rPr>
                <w:rFonts w:ascii="Times New Roman" w:eastAsia="Times New Roman" w:hAnsi="Times New Roman" w:cs="Times New Roman"/>
                <w:color w:val="000000"/>
                <w:sz w:val="24"/>
                <w:szCs w:val="24"/>
              </w:rPr>
              <w:t xml:space="preserve"> cestovného ruchu</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74%</w:t>
            </w:r>
          </w:p>
        </w:tc>
        <w:tc>
          <w:tcPr>
            <w:tcW w:w="726"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17</w:t>
            </w:r>
          </w:p>
        </w:tc>
        <w:tc>
          <w:tcPr>
            <w:tcW w:w="726" w:type="dxa"/>
            <w:noWrap/>
            <w:hideMark/>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42E63">
              <w:rPr>
                <w:rFonts w:ascii="Times New Roman" w:eastAsia="Times New Roman" w:hAnsi="Times New Roman" w:cs="Times New Roman"/>
                <w:color w:val="000000"/>
                <w:sz w:val="24"/>
                <w:szCs w:val="24"/>
              </w:rPr>
              <w:t>59%</w:t>
            </w:r>
          </w:p>
        </w:tc>
        <w:tc>
          <w:tcPr>
            <w:tcW w:w="727" w:type="dxa"/>
          </w:tcPr>
          <w:p w:rsidR="00C06370" w:rsidRPr="00042E63" w:rsidRDefault="00C06370" w:rsidP="005B661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r w:rsidRPr="00042E63">
              <w:rPr>
                <w:rFonts w:ascii="Times New Roman" w:eastAsia="Times New Roman" w:hAnsi="Times New Roman" w:cs="Times New Roman"/>
                <w:b/>
                <w:i/>
                <w:color w:val="000000"/>
                <w:sz w:val="24"/>
                <w:szCs w:val="24"/>
              </w:rPr>
              <w:t>24</w:t>
            </w:r>
          </w:p>
        </w:tc>
      </w:tr>
    </w:tbl>
    <w:p w:rsidR="00C06370" w:rsidRPr="00042E63" w:rsidRDefault="000C283D" w:rsidP="005B6611">
      <w:pPr>
        <w:pStyle w:val="popisky"/>
        <w:spacing w:before="240"/>
        <w:rPr>
          <w:rFonts w:ascii="Times New Roman" w:hAnsi="Times New Roman"/>
          <w:sz w:val="24"/>
          <w:szCs w:val="24"/>
        </w:rPr>
      </w:pPr>
      <w:bookmarkStart w:id="3" w:name="_Toc403461990"/>
      <w:r w:rsidRPr="00042E63">
        <w:rPr>
          <w:rFonts w:ascii="Times New Roman" w:hAnsi="Times New Roman"/>
          <w:sz w:val="24"/>
          <w:szCs w:val="24"/>
        </w:rPr>
        <w:t>Tab. č. 1</w:t>
      </w:r>
      <w:r w:rsidR="00C06370" w:rsidRPr="00042E63">
        <w:rPr>
          <w:rFonts w:ascii="Times New Roman" w:hAnsi="Times New Roman"/>
          <w:sz w:val="24"/>
          <w:szCs w:val="24"/>
        </w:rPr>
        <w:t>: Rozvojové priority slovenských miest v období 2007</w:t>
      </w:r>
      <w:r w:rsidRPr="00042E63">
        <w:rPr>
          <w:rFonts w:ascii="Times New Roman" w:hAnsi="Times New Roman"/>
          <w:sz w:val="24"/>
          <w:szCs w:val="24"/>
        </w:rPr>
        <w:t xml:space="preserve"> – </w:t>
      </w:r>
      <w:r w:rsidR="00C06370" w:rsidRPr="00042E63">
        <w:rPr>
          <w:rFonts w:ascii="Times New Roman" w:hAnsi="Times New Roman"/>
          <w:sz w:val="24"/>
          <w:szCs w:val="24"/>
        </w:rPr>
        <w:t>2013 a</w:t>
      </w:r>
      <w:r w:rsidRPr="00042E63">
        <w:rPr>
          <w:rFonts w:ascii="Times New Roman" w:hAnsi="Times New Roman"/>
          <w:sz w:val="24"/>
          <w:szCs w:val="24"/>
        </w:rPr>
        <w:t> </w:t>
      </w:r>
      <w:r w:rsidR="00C06370" w:rsidRPr="00042E63">
        <w:rPr>
          <w:rFonts w:ascii="Times New Roman" w:hAnsi="Times New Roman"/>
          <w:sz w:val="24"/>
          <w:szCs w:val="24"/>
        </w:rPr>
        <w:t>2014</w:t>
      </w:r>
      <w:r w:rsidRPr="00042E63">
        <w:rPr>
          <w:rFonts w:ascii="Times New Roman" w:hAnsi="Times New Roman"/>
          <w:sz w:val="24"/>
          <w:szCs w:val="24"/>
        </w:rPr>
        <w:t xml:space="preserve"> – </w:t>
      </w:r>
      <w:r w:rsidR="00C06370" w:rsidRPr="00042E63">
        <w:rPr>
          <w:rFonts w:ascii="Times New Roman" w:hAnsi="Times New Roman"/>
          <w:sz w:val="24"/>
          <w:szCs w:val="24"/>
        </w:rPr>
        <w:t>2020</w:t>
      </w:r>
      <w:bookmarkEnd w:id="3"/>
      <w:r w:rsidR="00C06370" w:rsidRPr="00042E63">
        <w:rPr>
          <w:rFonts w:ascii="Times New Roman" w:hAnsi="Times New Roman"/>
          <w:sz w:val="24"/>
          <w:szCs w:val="24"/>
        </w:rPr>
        <w:t xml:space="preserve">  </w:t>
      </w:r>
    </w:p>
    <w:p w:rsidR="009A4FC8" w:rsidRDefault="00C06370" w:rsidP="005B6611">
      <w:pPr>
        <w:spacing w:after="240"/>
        <w:ind w:firstLine="709"/>
        <w:jc w:val="both"/>
        <w:rPr>
          <w:rFonts w:ascii="Times New Roman" w:hAnsi="Times New Roman" w:cs="Times New Roman"/>
          <w:sz w:val="24"/>
          <w:szCs w:val="24"/>
        </w:rPr>
      </w:pPr>
      <w:r w:rsidRPr="00042E63">
        <w:rPr>
          <w:rFonts w:ascii="Times New Roman" w:hAnsi="Times New Roman" w:cs="Times New Roman"/>
          <w:sz w:val="24"/>
          <w:szCs w:val="24"/>
        </w:rPr>
        <w:t xml:space="preserve">Z výsledkov prieskumu vyplynulo, že najväčšou </w:t>
      </w:r>
      <w:r w:rsidRPr="00042E63">
        <w:rPr>
          <w:rFonts w:ascii="Times New Roman" w:hAnsi="Times New Roman" w:cs="Times New Roman"/>
          <w:b/>
          <w:sz w:val="24"/>
          <w:szCs w:val="24"/>
        </w:rPr>
        <w:t>prioritou miest je riešenie cestných komunikácií</w:t>
      </w:r>
      <w:r w:rsidRPr="00042E63">
        <w:rPr>
          <w:rFonts w:ascii="Times New Roman" w:hAnsi="Times New Roman" w:cs="Times New Roman"/>
          <w:sz w:val="24"/>
          <w:szCs w:val="24"/>
        </w:rPr>
        <w:t xml:space="preserve"> na území mesta, kapitálové investície do športových zariadení, obnova a údržba zelene, ale aj zlepšenie prístupu k službám a informáciám, budovanie a údržba cyklotrás. Práve posledné dve zmienené kategórie oproti obdobiu 2007</w:t>
      </w:r>
      <w:r w:rsidR="00CC2804" w:rsidRPr="00042E63">
        <w:rPr>
          <w:rFonts w:ascii="Times New Roman" w:hAnsi="Times New Roman" w:cs="Times New Roman"/>
          <w:sz w:val="24"/>
          <w:szCs w:val="24"/>
        </w:rPr>
        <w:t xml:space="preserve"> – </w:t>
      </w:r>
      <w:r w:rsidRPr="00042E63">
        <w:rPr>
          <w:rFonts w:ascii="Times New Roman" w:hAnsi="Times New Roman" w:cs="Times New Roman"/>
          <w:sz w:val="24"/>
          <w:szCs w:val="24"/>
        </w:rPr>
        <w:t xml:space="preserve">2013 stúpli na dôležitosti. Naopak, na najnižšiu priečku v rebríčku priorít sa dostalo skvalitňovanie procesu vysokoškolského vzdelávania, zakladanie a podpora sociálnych podnikov, investície do inovácií a výskumu a skvalitňovanie stredoškolského vzdelávania. Z prieskumu tiež vyplynul celkovo </w:t>
      </w:r>
      <w:r w:rsidR="00B47D56" w:rsidRPr="00042E63">
        <w:rPr>
          <w:rFonts w:ascii="Times New Roman" w:hAnsi="Times New Roman" w:cs="Times New Roman"/>
          <w:sz w:val="24"/>
          <w:szCs w:val="24"/>
        </w:rPr>
        <w:t xml:space="preserve">nízky </w:t>
      </w:r>
      <w:r w:rsidR="00F26B28" w:rsidRPr="00042E63">
        <w:rPr>
          <w:rFonts w:ascii="Times New Roman" w:hAnsi="Times New Roman" w:cs="Times New Roman"/>
          <w:sz w:val="24"/>
          <w:szCs w:val="24"/>
        </w:rPr>
        <w:t>záujem</w:t>
      </w:r>
      <w:r w:rsidRPr="00042E63">
        <w:rPr>
          <w:rFonts w:ascii="Times New Roman" w:hAnsi="Times New Roman" w:cs="Times New Roman"/>
          <w:sz w:val="24"/>
          <w:szCs w:val="24"/>
        </w:rPr>
        <w:t xml:space="preserve"> </w:t>
      </w:r>
      <w:r w:rsidR="00F26B28" w:rsidRPr="00042E63">
        <w:rPr>
          <w:rFonts w:ascii="Times New Roman" w:hAnsi="Times New Roman" w:cs="Times New Roman"/>
          <w:sz w:val="24"/>
          <w:szCs w:val="24"/>
        </w:rPr>
        <w:t>o spomenuté oblasti,</w:t>
      </w:r>
      <w:r w:rsidRPr="00042E63">
        <w:rPr>
          <w:rFonts w:ascii="Times New Roman" w:hAnsi="Times New Roman" w:cs="Times New Roman"/>
          <w:sz w:val="24"/>
          <w:szCs w:val="24"/>
        </w:rPr>
        <w:t xml:space="preserve"> a to aj z pohľadu potreby spolupráce s inými aktérmi.</w:t>
      </w:r>
      <w:r w:rsidR="00B47D56" w:rsidRPr="00042E63">
        <w:rPr>
          <w:rFonts w:ascii="Times New Roman" w:hAnsi="Times New Roman" w:cs="Times New Roman"/>
          <w:sz w:val="24"/>
          <w:szCs w:val="24"/>
        </w:rPr>
        <w:t xml:space="preserve"> Je to možné vysvetliť tým, že v</w:t>
      </w:r>
      <w:r w:rsidR="00B47D56" w:rsidRPr="00042E63">
        <w:rPr>
          <w:rFonts w:ascii="Times New Roman" w:hAnsi="Times New Roman" w:cs="Times New Roman"/>
          <w:color w:val="000000"/>
          <w:sz w:val="24"/>
          <w:szCs w:val="24"/>
        </w:rPr>
        <w:t> </w:t>
      </w:r>
      <w:r w:rsidR="00B47D56" w:rsidRPr="00042E63">
        <w:rPr>
          <w:rFonts w:ascii="Times New Roman" w:hAnsi="Times New Roman" w:cs="Times New Roman"/>
          <w:sz w:val="24"/>
          <w:szCs w:val="24"/>
        </w:rPr>
        <w:t>týchto oblastiach mestá nemajú priame kompetencie.</w:t>
      </w:r>
      <w:r w:rsidRPr="00042E63">
        <w:rPr>
          <w:rFonts w:ascii="Times New Roman" w:hAnsi="Times New Roman" w:cs="Times New Roman"/>
          <w:sz w:val="24"/>
          <w:szCs w:val="24"/>
        </w:rPr>
        <w:t xml:space="preserve"> </w:t>
      </w:r>
    </w:p>
    <w:p w:rsidR="00C06370" w:rsidRPr="00042E63" w:rsidRDefault="00C06370" w:rsidP="005B6611">
      <w:pPr>
        <w:spacing w:after="240"/>
        <w:ind w:firstLine="709"/>
        <w:jc w:val="both"/>
        <w:rPr>
          <w:rFonts w:ascii="Times New Roman" w:hAnsi="Times New Roman" w:cs="Times New Roman"/>
          <w:sz w:val="24"/>
          <w:szCs w:val="24"/>
        </w:rPr>
      </w:pPr>
      <w:r w:rsidRPr="00042E63">
        <w:rPr>
          <w:rFonts w:ascii="Times New Roman" w:hAnsi="Times New Roman" w:cs="Times New Roman"/>
          <w:sz w:val="24"/>
          <w:szCs w:val="24"/>
        </w:rPr>
        <w:t>Markantne nízko tiež boli hodnotené adaptačné opatrenia na zmenu klímy</w:t>
      </w:r>
      <w:r w:rsidR="009A4FC8" w:rsidRPr="009A4FC8">
        <w:rPr>
          <w:rFonts w:ascii="Times New Roman" w:hAnsi="Times New Roman" w:cs="Times New Roman"/>
          <w:sz w:val="24"/>
          <w:szCs w:val="24"/>
        </w:rPr>
        <w:t>, pričom paradoxne vysokú prioritu dosiahli aktivity, ktoré k</w:t>
      </w:r>
      <w:r w:rsidR="009A4FC8" w:rsidRPr="00330E8C">
        <w:rPr>
          <w:rFonts w:ascii="Times New Roman" w:hAnsi="Times New Roman" w:cs="Times New Roman"/>
          <w:sz w:val="24"/>
          <w:szCs w:val="24"/>
        </w:rPr>
        <w:t xml:space="preserve"> adaptácii priamo prispievajú ako napríklad obnova a údržba zelene či dokonca pôsobia na </w:t>
      </w:r>
      <w:r w:rsidR="009A4FC8" w:rsidRPr="009B0972">
        <w:rPr>
          <w:rFonts w:ascii="Times New Roman" w:hAnsi="Times New Roman" w:cs="Times New Roman"/>
          <w:sz w:val="24"/>
          <w:szCs w:val="24"/>
        </w:rPr>
        <w:t>zníženie zdrojov skleníkových plynov (znižovanie energetickej náročnosti budov, využívanie energie z obnoviteľných zdrojov</w:t>
      </w:r>
      <w:r w:rsidR="00FF03F8">
        <w:rPr>
          <w:rFonts w:ascii="Times New Roman" w:hAnsi="Times New Roman" w:cs="Times New Roman"/>
          <w:sz w:val="24"/>
          <w:szCs w:val="24"/>
        </w:rPr>
        <w:t>)</w:t>
      </w:r>
      <w:r w:rsidR="009A4FC8" w:rsidRPr="009B0972">
        <w:rPr>
          <w:rFonts w:ascii="Times New Roman" w:hAnsi="Times New Roman" w:cs="Times New Roman"/>
          <w:sz w:val="24"/>
          <w:szCs w:val="24"/>
        </w:rPr>
        <w:t>.</w:t>
      </w:r>
      <w:r w:rsidR="00FF03F8">
        <w:rPr>
          <w:rFonts w:ascii="Times New Roman" w:hAnsi="Times New Roman" w:cs="Times New Roman"/>
          <w:sz w:val="24"/>
          <w:szCs w:val="24"/>
        </w:rPr>
        <w:t xml:space="preserve"> </w:t>
      </w:r>
      <w:r w:rsidR="00330E8C">
        <w:rPr>
          <w:rFonts w:ascii="Times New Roman" w:hAnsi="Times New Roman" w:cs="Times New Roman"/>
          <w:sz w:val="24"/>
          <w:szCs w:val="24"/>
        </w:rPr>
        <w:t>Toto zistenie svedčí o nízkej informovanosti miest o podstate adaptačných opatrení na nepriaznivé dôsledky zmeny klímy.</w:t>
      </w:r>
    </w:p>
    <w:p w:rsidR="00F26B28" w:rsidRPr="00042E63" w:rsidRDefault="00EC40E5" w:rsidP="005B6611">
      <w:pPr>
        <w:autoSpaceDE w:val="0"/>
        <w:autoSpaceDN w:val="0"/>
        <w:adjustRightInd w:val="0"/>
        <w:ind w:firstLine="709"/>
        <w:jc w:val="both"/>
        <w:rPr>
          <w:rFonts w:ascii="Times New Roman" w:eastAsia="Times New Roman" w:hAnsi="Times New Roman" w:cs="Times New Roman"/>
          <w:sz w:val="24"/>
          <w:szCs w:val="24"/>
        </w:rPr>
      </w:pPr>
      <w:r w:rsidRPr="00042E63">
        <w:rPr>
          <w:rFonts w:ascii="Times New Roman" w:eastAsia="Times New Roman" w:hAnsi="Times New Roman" w:cs="Times New Roman"/>
          <w:sz w:val="24"/>
          <w:szCs w:val="24"/>
        </w:rPr>
        <w:t xml:space="preserve">Zisťované boli aj odpovede na otázku, </w:t>
      </w:r>
      <w:r w:rsidRPr="00042E63">
        <w:rPr>
          <w:rFonts w:ascii="Times New Roman" w:hAnsi="Times New Roman" w:cs="Times New Roman"/>
          <w:sz w:val="24"/>
          <w:szCs w:val="24"/>
        </w:rPr>
        <w:t xml:space="preserve">s ktorými aktérmi (podnikatelia, štát, iní aktéri) by mesto chcelo v daných oblastiach spolupracovať, pričom môže ísť aj o aktivity, ktoré nie sú v kompetencii mesta. </w:t>
      </w:r>
      <w:r w:rsidRPr="00042E63">
        <w:rPr>
          <w:rFonts w:ascii="Times New Roman" w:eastAsia="Times New Roman" w:hAnsi="Times New Roman" w:cs="Times New Roman"/>
          <w:sz w:val="24"/>
          <w:szCs w:val="24"/>
        </w:rPr>
        <w:t xml:space="preserve">Pri piatich najčastejšie uvádzaných rozvojových prioritách miest pre obdobie 2014 – 2020 </w:t>
      </w:r>
      <w:r w:rsidR="00933ACD" w:rsidRPr="00042E63">
        <w:rPr>
          <w:rFonts w:ascii="Times New Roman" w:eastAsia="Times New Roman" w:hAnsi="Times New Roman" w:cs="Times New Roman"/>
          <w:sz w:val="24"/>
          <w:szCs w:val="24"/>
        </w:rPr>
        <w:t>samosprávy uviedli</w:t>
      </w:r>
      <w:r w:rsidRPr="00042E63">
        <w:rPr>
          <w:rFonts w:ascii="Times New Roman" w:eastAsia="Times New Roman" w:hAnsi="Times New Roman" w:cs="Times New Roman"/>
          <w:sz w:val="24"/>
          <w:szCs w:val="24"/>
        </w:rPr>
        <w:t xml:space="preserve">, že rozvoj v oblasti dopravy </w:t>
      </w:r>
      <w:r w:rsidR="00933ACD" w:rsidRPr="00042E63">
        <w:rPr>
          <w:rFonts w:ascii="Times New Roman" w:eastAsia="Times New Roman" w:hAnsi="Times New Roman" w:cs="Times New Roman"/>
          <w:sz w:val="24"/>
          <w:szCs w:val="24"/>
        </w:rPr>
        <w:t>–</w:t>
      </w:r>
      <w:r w:rsidRPr="00042E63">
        <w:rPr>
          <w:rFonts w:ascii="Times New Roman" w:eastAsia="Times New Roman" w:hAnsi="Times New Roman" w:cs="Times New Roman"/>
          <w:sz w:val="24"/>
          <w:szCs w:val="24"/>
        </w:rPr>
        <w:t xml:space="preserve"> </w:t>
      </w:r>
      <w:r w:rsidRPr="00042E63">
        <w:rPr>
          <w:rFonts w:ascii="Times New Roman" w:eastAsia="Times New Roman" w:hAnsi="Times New Roman" w:cs="Times New Roman"/>
          <w:b/>
          <w:sz w:val="24"/>
          <w:szCs w:val="24"/>
        </w:rPr>
        <w:t xml:space="preserve">cestné </w:t>
      </w:r>
      <w:r w:rsidRPr="00042E63">
        <w:rPr>
          <w:rFonts w:ascii="Times New Roman" w:eastAsia="Times New Roman" w:hAnsi="Times New Roman" w:cs="Times New Roman"/>
          <w:b/>
          <w:bCs/>
          <w:sz w:val="24"/>
          <w:szCs w:val="24"/>
        </w:rPr>
        <w:t>komunikácie na území</w:t>
      </w:r>
      <w:r w:rsidR="00933ACD" w:rsidRPr="00042E63">
        <w:rPr>
          <w:rFonts w:ascii="Times New Roman" w:eastAsia="Times New Roman" w:hAnsi="Times New Roman" w:cs="Times New Roman"/>
          <w:sz w:val="24"/>
          <w:szCs w:val="24"/>
        </w:rPr>
        <w:t xml:space="preserve"> </w:t>
      </w:r>
      <w:r w:rsidR="00933ACD" w:rsidRPr="00042E63">
        <w:rPr>
          <w:rFonts w:ascii="Times New Roman" w:eastAsia="Times New Roman" w:hAnsi="Times New Roman" w:cs="Times New Roman"/>
          <w:b/>
          <w:sz w:val="24"/>
          <w:szCs w:val="24"/>
        </w:rPr>
        <w:t>mesta</w:t>
      </w:r>
      <w:r w:rsidR="00933ACD" w:rsidRPr="00042E63">
        <w:rPr>
          <w:rFonts w:ascii="Times New Roman" w:eastAsia="Times New Roman" w:hAnsi="Times New Roman" w:cs="Times New Roman"/>
          <w:sz w:val="24"/>
          <w:szCs w:val="24"/>
        </w:rPr>
        <w:t xml:space="preserve"> – vidia </w:t>
      </w:r>
      <w:r w:rsidRPr="00042E63">
        <w:rPr>
          <w:rFonts w:ascii="Times New Roman" w:eastAsia="Times New Roman" w:hAnsi="Times New Roman" w:cs="Times New Roman"/>
          <w:sz w:val="24"/>
          <w:szCs w:val="24"/>
        </w:rPr>
        <w:t xml:space="preserve">najmä v spolupráci so štátnou úrovňou. Budovanie a údržba </w:t>
      </w:r>
      <w:r w:rsidRPr="00042E63">
        <w:rPr>
          <w:rFonts w:ascii="Times New Roman" w:eastAsia="Times New Roman" w:hAnsi="Times New Roman" w:cs="Times New Roman"/>
          <w:b/>
          <w:bCs/>
          <w:sz w:val="24"/>
          <w:szCs w:val="24"/>
        </w:rPr>
        <w:t xml:space="preserve">cyklotrás, </w:t>
      </w:r>
      <w:r w:rsidRPr="00042E63">
        <w:rPr>
          <w:rFonts w:ascii="Times New Roman" w:eastAsia="Times New Roman" w:hAnsi="Times New Roman" w:cs="Times New Roman"/>
          <w:bCs/>
          <w:sz w:val="24"/>
          <w:szCs w:val="24"/>
        </w:rPr>
        <w:t xml:space="preserve">ako ďalšia z priorít, je opäť témou na spoluprácu so štátom, ale vo vysokej miere </w:t>
      </w:r>
      <w:r w:rsidR="000C283D" w:rsidRPr="00042E63">
        <w:rPr>
          <w:rFonts w:ascii="Times New Roman" w:eastAsia="Times New Roman" w:hAnsi="Times New Roman" w:cs="Times New Roman"/>
          <w:bCs/>
          <w:sz w:val="24"/>
          <w:szCs w:val="24"/>
        </w:rPr>
        <w:t>i s inými aktérmi a čiastočne i </w:t>
      </w:r>
      <w:r w:rsidRPr="00042E63">
        <w:rPr>
          <w:rFonts w:ascii="Times New Roman" w:eastAsia="Times New Roman" w:hAnsi="Times New Roman" w:cs="Times New Roman"/>
          <w:bCs/>
          <w:sz w:val="24"/>
          <w:szCs w:val="24"/>
        </w:rPr>
        <w:t>s</w:t>
      </w:r>
      <w:r w:rsidR="004A1638" w:rsidRPr="00042E63">
        <w:rPr>
          <w:rFonts w:ascii="Times New Roman" w:eastAsia="Times New Roman" w:hAnsi="Times New Roman" w:cs="Times New Roman"/>
          <w:bCs/>
          <w:sz w:val="24"/>
          <w:szCs w:val="24"/>
        </w:rPr>
        <w:t> </w:t>
      </w:r>
      <w:r w:rsidRPr="00042E63">
        <w:rPr>
          <w:rFonts w:ascii="Times New Roman" w:eastAsia="Times New Roman" w:hAnsi="Times New Roman" w:cs="Times New Roman"/>
          <w:bCs/>
          <w:sz w:val="24"/>
          <w:szCs w:val="24"/>
        </w:rPr>
        <w:t>podnikateľským sektorom. Takisto i zabezpečenie</w:t>
      </w:r>
      <w:r w:rsidRPr="00042E63">
        <w:rPr>
          <w:rFonts w:ascii="Times New Roman" w:eastAsia="Times New Roman" w:hAnsi="Times New Roman" w:cs="Times New Roman"/>
          <w:b/>
          <w:bCs/>
          <w:sz w:val="24"/>
          <w:szCs w:val="24"/>
        </w:rPr>
        <w:t xml:space="preserve"> </w:t>
      </w:r>
      <w:r w:rsidRPr="00042E63">
        <w:rPr>
          <w:rFonts w:ascii="Times New Roman" w:eastAsia="Times New Roman" w:hAnsi="Times New Roman" w:cs="Times New Roman"/>
          <w:bCs/>
          <w:sz w:val="24"/>
          <w:szCs w:val="24"/>
        </w:rPr>
        <w:t>obnovy a údržby</w:t>
      </w:r>
      <w:r w:rsidRPr="00042E63">
        <w:rPr>
          <w:rFonts w:ascii="Times New Roman" w:eastAsia="Times New Roman" w:hAnsi="Times New Roman" w:cs="Times New Roman"/>
          <w:b/>
          <w:bCs/>
          <w:sz w:val="24"/>
          <w:szCs w:val="24"/>
        </w:rPr>
        <w:t xml:space="preserve"> zelene</w:t>
      </w:r>
      <w:r w:rsidRPr="00042E63">
        <w:rPr>
          <w:rFonts w:ascii="Times New Roman" w:eastAsia="Times New Roman" w:hAnsi="Times New Roman" w:cs="Times New Roman"/>
          <w:bCs/>
          <w:sz w:val="24"/>
          <w:szCs w:val="24"/>
        </w:rPr>
        <w:t xml:space="preserve"> v meste vidia samosprávy v súčinnosti všetkých troch spomenutých aktérov, pričom je znovu väčší dôraz kladený na úlohu štátu.</w:t>
      </w:r>
      <w:r w:rsidRPr="00042E63">
        <w:rPr>
          <w:rFonts w:ascii="Times New Roman" w:eastAsia="Times New Roman" w:hAnsi="Times New Roman" w:cs="Times New Roman"/>
          <w:b/>
          <w:bCs/>
          <w:sz w:val="24"/>
          <w:szCs w:val="24"/>
        </w:rPr>
        <w:t xml:space="preserve">  </w:t>
      </w:r>
      <w:r w:rsidRPr="00042E63">
        <w:rPr>
          <w:rFonts w:ascii="Times New Roman" w:eastAsia="Times New Roman" w:hAnsi="Times New Roman" w:cs="Times New Roman"/>
          <w:bCs/>
          <w:sz w:val="24"/>
          <w:szCs w:val="24"/>
        </w:rPr>
        <w:t>Inou významnou oblasťou spolupráce mesta so štátom je</w:t>
      </w:r>
      <w:r w:rsidRPr="00042E63">
        <w:rPr>
          <w:rFonts w:ascii="Times New Roman" w:eastAsia="Times New Roman" w:hAnsi="Times New Roman" w:cs="Times New Roman"/>
          <w:b/>
          <w:bCs/>
          <w:sz w:val="24"/>
          <w:szCs w:val="24"/>
        </w:rPr>
        <w:t xml:space="preserve"> </w:t>
      </w:r>
      <w:r w:rsidRPr="00042E63">
        <w:rPr>
          <w:rFonts w:ascii="Times New Roman" w:eastAsia="Times New Roman" w:hAnsi="Times New Roman" w:cs="Times New Roman"/>
          <w:b/>
          <w:sz w:val="24"/>
          <w:szCs w:val="24"/>
        </w:rPr>
        <w:t>zlepšenie prístupu k službám a</w:t>
      </w:r>
      <w:r w:rsidR="004A1638" w:rsidRPr="00042E63">
        <w:rPr>
          <w:rFonts w:ascii="Times New Roman" w:eastAsia="Times New Roman" w:hAnsi="Times New Roman" w:cs="Times New Roman"/>
          <w:b/>
          <w:sz w:val="24"/>
          <w:szCs w:val="24"/>
        </w:rPr>
        <w:t> </w:t>
      </w:r>
      <w:r w:rsidRPr="00042E63">
        <w:rPr>
          <w:rFonts w:ascii="Times New Roman" w:eastAsia="Times New Roman" w:hAnsi="Times New Roman" w:cs="Times New Roman"/>
          <w:b/>
          <w:sz w:val="24"/>
          <w:szCs w:val="24"/>
        </w:rPr>
        <w:t>informáciám samosprávy</w:t>
      </w:r>
      <w:r w:rsidRPr="00042E63">
        <w:rPr>
          <w:rFonts w:ascii="Times New Roman" w:eastAsia="Times New Roman" w:hAnsi="Times New Roman" w:cs="Times New Roman"/>
          <w:sz w:val="24"/>
          <w:szCs w:val="24"/>
        </w:rPr>
        <w:t xml:space="preserve">, </w:t>
      </w:r>
      <w:r w:rsidRPr="00042E63">
        <w:rPr>
          <w:rFonts w:ascii="Times New Roman" w:eastAsia="Times New Roman" w:hAnsi="Times New Roman" w:cs="Times New Roman"/>
          <w:b/>
          <w:bCs/>
          <w:sz w:val="24"/>
          <w:szCs w:val="24"/>
        </w:rPr>
        <w:t xml:space="preserve">elektronizácia. </w:t>
      </w:r>
      <w:r w:rsidRPr="00042E63">
        <w:rPr>
          <w:rFonts w:ascii="Times New Roman" w:eastAsia="Times New Roman" w:hAnsi="Times New Roman" w:cs="Times New Roman"/>
          <w:bCs/>
          <w:sz w:val="24"/>
          <w:szCs w:val="24"/>
        </w:rPr>
        <w:t>A napokon kapitálové</w:t>
      </w:r>
      <w:r w:rsidRPr="00042E63">
        <w:rPr>
          <w:rFonts w:ascii="Times New Roman" w:eastAsia="Times New Roman" w:hAnsi="Times New Roman" w:cs="Times New Roman"/>
          <w:b/>
          <w:bCs/>
          <w:sz w:val="24"/>
          <w:szCs w:val="24"/>
        </w:rPr>
        <w:t xml:space="preserve"> investície do športových</w:t>
      </w:r>
      <w:r w:rsidRPr="00042E63">
        <w:rPr>
          <w:rFonts w:ascii="Times New Roman" w:eastAsia="Times New Roman" w:hAnsi="Times New Roman" w:cs="Times New Roman"/>
          <w:b/>
          <w:sz w:val="24"/>
          <w:szCs w:val="24"/>
        </w:rPr>
        <w:t xml:space="preserve"> zariadení</w:t>
      </w:r>
      <w:r w:rsidRPr="00042E63">
        <w:rPr>
          <w:rFonts w:ascii="Times New Roman" w:eastAsia="Times New Roman" w:hAnsi="Times New Roman" w:cs="Times New Roman"/>
          <w:sz w:val="24"/>
          <w:szCs w:val="24"/>
        </w:rPr>
        <w:t xml:space="preserve"> sú témou, pri ktorej je podľa odpovedí miest potrebná spolupráca nielen so štátnou úrovňou ale i</w:t>
      </w:r>
      <w:r w:rsidR="009D7AE0" w:rsidRPr="00042E63">
        <w:rPr>
          <w:rFonts w:ascii="Times New Roman" w:eastAsia="Times New Roman" w:hAnsi="Times New Roman" w:cs="Times New Roman"/>
          <w:sz w:val="24"/>
          <w:szCs w:val="24"/>
        </w:rPr>
        <w:t> s </w:t>
      </w:r>
      <w:r w:rsidRPr="00042E63">
        <w:rPr>
          <w:rFonts w:ascii="Times New Roman" w:eastAsia="Times New Roman" w:hAnsi="Times New Roman" w:cs="Times New Roman"/>
          <w:sz w:val="24"/>
          <w:szCs w:val="24"/>
        </w:rPr>
        <w:t>podnikateľmi.</w:t>
      </w:r>
    </w:p>
    <w:p w:rsidR="00F26B28" w:rsidRPr="00042E63" w:rsidRDefault="00F26B28" w:rsidP="005B6611">
      <w:pPr>
        <w:autoSpaceDE w:val="0"/>
        <w:autoSpaceDN w:val="0"/>
        <w:adjustRightInd w:val="0"/>
        <w:ind w:firstLine="709"/>
        <w:jc w:val="both"/>
        <w:rPr>
          <w:rFonts w:ascii="Times New Roman" w:eastAsia="Times New Roman" w:hAnsi="Times New Roman" w:cs="Times New Roman"/>
          <w:sz w:val="24"/>
          <w:szCs w:val="24"/>
        </w:rPr>
      </w:pPr>
    </w:p>
    <w:p w:rsidR="00C06370" w:rsidRPr="00042E63" w:rsidRDefault="00F26B28" w:rsidP="005B6611">
      <w:pPr>
        <w:autoSpaceDE w:val="0"/>
        <w:autoSpaceDN w:val="0"/>
        <w:adjustRightInd w:val="0"/>
        <w:ind w:firstLine="709"/>
        <w:jc w:val="both"/>
        <w:rPr>
          <w:rFonts w:ascii="Times New Roman" w:eastAsia="Times New Roman" w:hAnsi="Times New Roman" w:cs="Times New Roman"/>
          <w:bCs/>
          <w:sz w:val="24"/>
          <w:szCs w:val="24"/>
        </w:rPr>
      </w:pPr>
      <w:r w:rsidRPr="00042E63">
        <w:rPr>
          <w:rFonts w:ascii="Times New Roman" w:eastAsia="Times New Roman" w:hAnsi="Times New Roman" w:cs="Times New Roman"/>
          <w:bCs/>
          <w:sz w:val="24"/>
          <w:szCs w:val="24"/>
        </w:rPr>
        <w:t xml:space="preserve">Ďalšie dôležité oblasti pre spoluprácu mesta s podnikateľmi sú budovanie značky a propagácia mesta a v ekonomickej oblasti podpora rozvoja cestovného ruchu a tvorby pracovných miest, pričom na podpore tvorby pracovných miest chcú mestá výrazne spolupracovať aj so štátom. </w:t>
      </w:r>
      <w:r w:rsidR="00EC40E5" w:rsidRPr="00042E63">
        <w:rPr>
          <w:rFonts w:ascii="Times New Roman" w:eastAsia="Times New Roman" w:hAnsi="Times New Roman" w:cs="Times New Roman"/>
          <w:bCs/>
          <w:sz w:val="24"/>
          <w:szCs w:val="24"/>
        </w:rPr>
        <w:t xml:space="preserve">Zvyšovanie bezpečnosti občanov a investície do vzdelávania sú </w:t>
      </w:r>
      <w:r w:rsidR="00EC40E5" w:rsidRPr="00042E63">
        <w:rPr>
          <w:rFonts w:ascii="Times New Roman" w:eastAsia="Times New Roman" w:hAnsi="Times New Roman" w:cs="Times New Roman"/>
          <w:bCs/>
          <w:sz w:val="24"/>
          <w:szCs w:val="24"/>
        </w:rPr>
        <w:lastRenderedPageBreak/>
        <w:t>popri už spomenutej podpore tvorby pr</w:t>
      </w:r>
      <w:r w:rsidR="009D7AE0" w:rsidRPr="00042E63">
        <w:rPr>
          <w:rFonts w:ascii="Times New Roman" w:eastAsia="Times New Roman" w:hAnsi="Times New Roman" w:cs="Times New Roman"/>
          <w:bCs/>
          <w:sz w:val="24"/>
          <w:szCs w:val="24"/>
        </w:rPr>
        <w:t xml:space="preserve">acovných miest </w:t>
      </w:r>
      <w:r w:rsidR="00EC40E5" w:rsidRPr="00042E63">
        <w:rPr>
          <w:rFonts w:ascii="Times New Roman" w:eastAsia="Times New Roman" w:hAnsi="Times New Roman" w:cs="Times New Roman"/>
          <w:bCs/>
          <w:sz w:val="24"/>
          <w:szCs w:val="24"/>
        </w:rPr>
        <w:t>a elektronizácii dve najvýznamnejšie oblasti spolupráce mesta a štátnej úrovne.</w:t>
      </w:r>
      <w:r w:rsidR="009D7AE0" w:rsidRPr="00042E63">
        <w:rPr>
          <w:rFonts w:ascii="Times New Roman" w:eastAsia="Times New Roman" w:hAnsi="Times New Roman" w:cs="Times New Roman"/>
          <w:bCs/>
          <w:sz w:val="24"/>
          <w:szCs w:val="24"/>
        </w:rPr>
        <w:t xml:space="preserve"> </w:t>
      </w:r>
    </w:p>
    <w:p w:rsidR="002A29B9" w:rsidRPr="00042E63" w:rsidRDefault="002A29B9" w:rsidP="005B6611">
      <w:pPr>
        <w:autoSpaceDE w:val="0"/>
        <w:autoSpaceDN w:val="0"/>
        <w:adjustRightInd w:val="0"/>
        <w:jc w:val="both"/>
        <w:rPr>
          <w:rFonts w:ascii="Times New Roman" w:eastAsia="Times New Roman" w:hAnsi="Times New Roman" w:cs="Times New Roman"/>
          <w:bCs/>
          <w:sz w:val="24"/>
          <w:szCs w:val="24"/>
        </w:rPr>
      </w:pPr>
    </w:p>
    <w:p w:rsidR="002A29B9" w:rsidRPr="00042E63" w:rsidRDefault="002A29B9" w:rsidP="005B6611">
      <w:pPr>
        <w:autoSpaceDE w:val="0"/>
        <w:autoSpaceDN w:val="0"/>
        <w:adjustRightInd w:val="0"/>
        <w:jc w:val="both"/>
        <w:rPr>
          <w:rFonts w:ascii="Times New Roman" w:hAnsi="Times New Roman" w:cs="Times New Roman"/>
          <w:b/>
          <w:sz w:val="24"/>
          <w:szCs w:val="24"/>
        </w:rPr>
      </w:pPr>
      <w:r w:rsidRPr="00042E63">
        <w:rPr>
          <w:rFonts w:ascii="Times New Roman" w:eastAsia="Times New Roman" w:hAnsi="Times New Roman" w:cs="Times New Roman"/>
          <w:b/>
          <w:bCs/>
          <w:sz w:val="24"/>
          <w:szCs w:val="24"/>
        </w:rPr>
        <w:t>Rozhodovanie o rozvojových projektoch</w:t>
      </w:r>
    </w:p>
    <w:p w:rsidR="00C06370" w:rsidRPr="00042E63" w:rsidRDefault="00C06370" w:rsidP="005B6611">
      <w:pPr>
        <w:autoSpaceDE w:val="0"/>
        <w:autoSpaceDN w:val="0"/>
        <w:adjustRightInd w:val="0"/>
        <w:jc w:val="both"/>
        <w:rPr>
          <w:rFonts w:ascii="Times New Roman" w:hAnsi="Times New Roman" w:cs="Times New Roman"/>
          <w:sz w:val="24"/>
          <w:szCs w:val="24"/>
        </w:rPr>
      </w:pPr>
    </w:p>
    <w:p w:rsidR="006363CA" w:rsidRPr="00042E63" w:rsidRDefault="006363CA" w:rsidP="005B6611">
      <w:pPr>
        <w:autoSpaceDE w:val="0"/>
        <w:autoSpaceDN w:val="0"/>
        <w:adjustRightInd w:val="0"/>
        <w:ind w:firstLine="709"/>
        <w:jc w:val="both"/>
        <w:rPr>
          <w:rFonts w:ascii="Times New Roman" w:hAnsi="Times New Roman" w:cs="Times New Roman"/>
          <w:sz w:val="24"/>
          <w:szCs w:val="24"/>
        </w:rPr>
      </w:pPr>
      <w:r w:rsidRPr="00042E63">
        <w:rPr>
          <w:rFonts w:ascii="Times New Roman" w:hAnsi="Times New Roman" w:cs="Times New Roman"/>
          <w:sz w:val="24"/>
          <w:szCs w:val="24"/>
        </w:rPr>
        <w:t>Rozhodnutia o smerovaní rozvoja (graf č.</w:t>
      </w:r>
      <w:r w:rsidR="004A1638" w:rsidRPr="00042E63">
        <w:rPr>
          <w:rFonts w:ascii="Times New Roman" w:hAnsi="Times New Roman" w:cs="Times New Roman"/>
          <w:sz w:val="24"/>
          <w:szCs w:val="24"/>
        </w:rPr>
        <w:t xml:space="preserve"> 1</w:t>
      </w:r>
      <w:r w:rsidRPr="00042E63">
        <w:rPr>
          <w:rFonts w:ascii="Times New Roman" w:hAnsi="Times New Roman" w:cs="Times New Roman"/>
          <w:sz w:val="24"/>
          <w:szCs w:val="24"/>
        </w:rPr>
        <w:t>) sú v 108 slovenských mestách prevažne iniciované volenými predstaviteľmi mesta alebo vyplývajú z plnenia kompetencií. V menšej miere vyplývajú z expertných odporučení. Pri príprave rozvojových dokumentov (graf č.</w:t>
      </w:r>
      <w:r w:rsidR="00B73B35" w:rsidRPr="00042E63">
        <w:rPr>
          <w:rFonts w:ascii="Times New Roman" w:hAnsi="Times New Roman" w:cs="Times New Roman"/>
          <w:sz w:val="24"/>
          <w:szCs w:val="24"/>
        </w:rPr>
        <w:t xml:space="preserve"> 2</w:t>
      </w:r>
      <w:r w:rsidRPr="00042E63">
        <w:rPr>
          <w:rFonts w:ascii="Times New Roman" w:hAnsi="Times New Roman" w:cs="Times New Roman"/>
          <w:sz w:val="24"/>
          <w:szCs w:val="24"/>
        </w:rPr>
        <w:t>) mestá zohľadňujú v prvom rade  aktuálne výzvy a výšku disponibilných finan</w:t>
      </w:r>
      <w:r w:rsidR="0071680B" w:rsidRPr="00042E63">
        <w:rPr>
          <w:rFonts w:ascii="Times New Roman" w:hAnsi="Times New Roman" w:cs="Times New Roman"/>
          <w:sz w:val="24"/>
          <w:szCs w:val="24"/>
        </w:rPr>
        <w:t>čných zdrojov mesta a až potom P</w:t>
      </w:r>
      <w:r w:rsidRPr="00042E63">
        <w:rPr>
          <w:rFonts w:ascii="Times New Roman" w:hAnsi="Times New Roman" w:cs="Times New Roman"/>
          <w:sz w:val="24"/>
          <w:szCs w:val="24"/>
        </w:rPr>
        <w:t>rogram hospodárskeho a sociálneho rozvoja (PHSR).</w:t>
      </w:r>
    </w:p>
    <w:p w:rsidR="002769AC" w:rsidRDefault="00970E96" w:rsidP="005B6611">
      <w:pPr>
        <w:autoSpaceDE w:val="0"/>
        <w:autoSpaceDN w:val="0"/>
        <w:adjustRightInd w:val="0"/>
        <w:jc w:val="both"/>
        <w:rPr>
          <w:rFonts w:ascii="Times New Roman" w:hAnsi="Times New Roman" w:cs="Times New Roman"/>
          <w:i/>
          <w:sz w:val="24"/>
          <w:szCs w:val="24"/>
        </w:rPr>
      </w:pPr>
      <w:bookmarkStart w:id="4" w:name="_Toc403461994"/>
      <w:r w:rsidRPr="00042E63">
        <w:rPr>
          <w:rFonts w:ascii="Times New Roman" w:hAnsi="Times New Roman" w:cs="Times New Roman"/>
          <w:noProof/>
          <w:sz w:val="24"/>
          <w:szCs w:val="24"/>
          <w:lang w:eastAsia="sk-SK"/>
        </w:rPr>
        <w:drawing>
          <wp:anchor distT="0" distB="0" distL="114300" distR="114300" simplePos="0" relativeHeight="251675136" behindDoc="0" locked="0" layoutInCell="1" allowOverlap="1" wp14:anchorId="08021BD7" wp14:editId="53F2B5DC">
            <wp:simplePos x="0" y="0"/>
            <wp:positionH relativeFrom="column">
              <wp:posOffset>33655</wp:posOffset>
            </wp:positionH>
            <wp:positionV relativeFrom="paragraph">
              <wp:posOffset>13970</wp:posOffset>
            </wp:positionV>
            <wp:extent cx="5553075" cy="2286000"/>
            <wp:effectExtent l="0" t="0" r="9525" b="0"/>
            <wp:wrapThrough wrapText="bothSides">
              <wp:wrapPolygon edited="0">
                <wp:start x="0" y="0"/>
                <wp:lineTo x="0" y="21420"/>
                <wp:lineTo x="21563" y="21420"/>
                <wp:lineTo x="21563" y="0"/>
                <wp:lineTo x="0" y="0"/>
              </wp:wrapPolygon>
            </wp:wrapThrough>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6F0AB4" w:rsidRPr="00042E63" w:rsidRDefault="006363CA" w:rsidP="005B6611">
      <w:pPr>
        <w:autoSpaceDE w:val="0"/>
        <w:autoSpaceDN w:val="0"/>
        <w:adjustRightInd w:val="0"/>
        <w:jc w:val="both"/>
        <w:rPr>
          <w:rFonts w:ascii="Times New Roman" w:hAnsi="Times New Roman" w:cs="Times New Roman"/>
          <w:i/>
          <w:sz w:val="24"/>
          <w:szCs w:val="24"/>
        </w:rPr>
      </w:pPr>
      <w:r w:rsidRPr="00042E63">
        <w:rPr>
          <w:rFonts w:ascii="Times New Roman" w:hAnsi="Times New Roman" w:cs="Times New Roman"/>
          <w:i/>
          <w:sz w:val="24"/>
          <w:szCs w:val="24"/>
        </w:rPr>
        <w:t xml:space="preserve">Graf č. </w:t>
      </w:r>
      <w:r w:rsidR="004A1638" w:rsidRPr="00042E63">
        <w:rPr>
          <w:rFonts w:ascii="Times New Roman" w:hAnsi="Times New Roman" w:cs="Times New Roman"/>
          <w:i/>
          <w:sz w:val="24"/>
          <w:szCs w:val="24"/>
        </w:rPr>
        <w:t>1</w:t>
      </w:r>
      <w:r w:rsidRPr="00042E63">
        <w:rPr>
          <w:rFonts w:ascii="Times New Roman" w:hAnsi="Times New Roman" w:cs="Times New Roman"/>
          <w:i/>
          <w:sz w:val="24"/>
          <w:szCs w:val="24"/>
        </w:rPr>
        <w:t>: Ako vznikajú rozhodnutia o rozvojových a investičných projektoch mesta</w:t>
      </w:r>
      <w:bookmarkEnd w:id="4"/>
      <w:r w:rsidRPr="00042E63">
        <w:rPr>
          <w:rFonts w:ascii="Times New Roman" w:hAnsi="Times New Roman" w:cs="Times New Roman"/>
          <w:i/>
          <w:sz w:val="24"/>
          <w:szCs w:val="24"/>
        </w:rPr>
        <w:t xml:space="preserve"> </w:t>
      </w:r>
      <w:bookmarkStart w:id="5" w:name="_Toc403047020"/>
      <w:bookmarkStart w:id="6" w:name="_Toc403047424"/>
      <w:bookmarkStart w:id="7" w:name="_Toc403048242"/>
      <w:bookmarkStart w:id="8" w:name="_Toc403461995"/>
    </w:p>
    <w:p w:rsidR="006363CA" w:rsidRPr="00042E63" w:rsidRDefault="006363CA" w:rsidP="005B6611">
      <w:pPr>
        <w:autoSpaceDE w:val="0"/>
        <w:autoSpaceDN w:val="0"/>
        <w:adjustRightInd w:val="0"/>
        <w:jc w:val="both"/>
        <w:rPr>
          <w:rFonts w:ascii="Times New Roman" w:hAnsi="Times New Roman" w:cs="Times New Roman"/>
          <w:i/>
          <w:sz w:val="24"/>
          <w:szCs w:val="24"/>
        </w:rPr>
      </w:pPr>
      <w:r w:rsidRPr="00042E63">
        <w:rPr>
          <w:rFonts w:ascii="Times New Roman" w:hAnsi="Times New Roman" w:cs="Times New Roman"/>
          <w:i/>
          <w:sz w:val="24"/>
          <w:szCs w:val="24"/>
        </w:rPr>
        <w:t xml:space="preserve">(Pozn. </w:t>
      </w:r>
      <w:r w:rsidR="000C283D" w:rsidRPr="00042E63">
        <w:rPr>
          <w:rFonts w:ascii="Times New Roman" w:hAnsi="Times New Roman" w:cs="Times New Roman"/>
          <w:i/>
          <w:sz w:val="24"/>
          <w:szCs w:val="24"/>
        </w:rPr>
        <w:t>–</w:t>
      </w:r>
      <w:r w:rsidRPr="00042E63">
        <w:rPr>
          <w:rFonts w:ascii="Times New Roman" w:hAnsi="Times New Roman" w:cs="Times New Roman"/>
          <w:i/>
          <w:sz w:val="24"/>
          <w:szCs w:val="24"/>
        </w:rPr>
        <w:t xml:space="preserve"> zoradené od 1 po 4, kde 1 je najčastejšie a 4 zriedkavo)</w:t>
      </w:r>
      <w:bookmarkEnd w:id="5"/>
      <w:bookmarkEnd w:id="6"/>
      <w:bookmarkEnd w:id="7"/>
      <w:bookmarkEnd w:id="8"/>
    </w:p>
    <w:p w:rsidR="00F26B28" w:rsidRPr="00042E63" w:rsidRDefault="00F26B28" w:rsidP="005B6611">
      <w:pPr>
        <w:autoSpaceDE w:val="0"/>
        <w:autoSpaceDN w:val="0"/>
        <w:adjustRightInd w:val="0"/>
        <w:jc w:val="both"/>
        <w:rPr>
          <w:rFonts w:ascii="Times New Roman" w:hAnsi="Times New Roman" w:cs="Times New Roman"/>
          <w:sz w:val="24"/>
          <w:szCs w:val="24"/>
        </w:rPr>
      </w:pPr>
      <w:bookmarkStart w:id="9" w:name="_Toc403461996"/>
    </w:p>
    <w:p w:rsidR="00970E96" w:rsidRDefault="00970E96" w:rsidP="005B6611">
      <w:pPr>
        <w:autoSpaceDE w:val="0"/>
        <w:autoSpaceDN w:val="0"/>
        <w:adjustRightInd w:val="0"/>
        <w:jc w:val="both"/>
        <w:rPr>
          <w:rFonts w:ascii="Times New Roman" w:hAnsi="Times New Roman" w:cs="Times New Roman"/>
          <w:i/>
          <w:sz w:val="24"/>
          <w:szCs w:val="24"/>
        </w:rPr>
      </w:pPr>
      <w:bookmarkStart w:id="10" w:name="_Toc403461997"/>
      <w:bookmarkEnd w:id="9"/>
      <w:r w:rsidRPr="00042E63">
        <w:rPr>
          <w:rFonts w:ascii="Times New Roman" w:hAnsi="Times New Roman" w:cs="Times New Roman"/>
          <w:noProof/>
          <w:sz w:val="24"/>
          <w:szCs w:val="24"/>
          <w:lang w:eastAsia="sk-SK"/>
        </w:rPr>
        <w:drawing>
          <wp:anchor distT="0" distB="0" distL="114300" distR="114300" simplePos="0" relativeHeight="251665920" behindDoc="0" locked="0" layoutInCell="1" allowOverlap="1" wp14:anchorId="3A1630C4" wp14:editId="005996FD">
            <wp:simplePos x="0" y="0"/>
            <wp:positionH relativeFrom="column">
              <wp:posOffset>109855</wp:posOffset>
            </wp:positionH>
            <wp:positionV relativeFrom="page">
              <wp:posOffset>4324350</wp:posOffset>
            </wp:positionV>
            <wp:extent cx="5543550" cy="2409825"/>
            <wp:effectExtent l="0" t="0" r="0" b="9525"/>
            <wp:wrapThrough wrapText="bothSides">
              <wp:wrapPolygon edited="0">
                <wp:start x="0" y="0"/>
                <wp:lineTo x="0" y="21515"/>
                <wp:lineTo x="21526" y="21515"/>
                <wp:lineTo x="21526" y="0"/>
                <wp:lineTo x="0" y="0"/>
              </wp:wrapPolygon>
            </wp:wrapThrough>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6F0AB4" w:rsidRPr="00042E63" w:rsidRDefault="006F0AB4" w:rsidP="005B6611">
      <w:pPr>
        <w:autoSpaceDE w:val="0"/>
        <w:autoSpaceDN w:val="0"/>
        <w:adjustRightInd w:val="0"/>
        <w:jc w:val="both"/>
        <w:rPr>
          <w:rFonts w:ascii="Times New Roman" w:hAnsi="Times New Roman" w:cs="Times New Roman"/>
          <w:i/>
          <w:sz w:val="24"/>
          <w:szCs w:val="24"/>
        </w:rPr>
      </w:pPr>
      <w:r w:rsidRPr="00042E63">
        <w:rPr>
          <w:rFonts w:ascii="Times New Roman" w:hAnsi="Times New Roman" w:cs="Times New Roman"/>
          <w:i/>
          <w:sz w:val="24"/>
          <w:szCs w:val="24"/>
        </w:rPr>
        <w:t>Graf č. 2: Čo zohľadňujú mestá pri príprave rozvojových projektov</w:t>
      </w:r>
      <w:bookmarkEnd w:id="10"/>
      <w:r w:rsidRPr="00042E63">
        <w:rPr>
          <w:rFonts w:ascii="Times New Roman" w:hAnsi="Times New Roman" w:cs="Times New Roman"/>
          <w:i/>
          <w:sz w:val="24"/>
          <w:szCs w:val="24"/>
        </w:rPr>
        <w:t xml:space="preserve"> </w:t>
      </w:r>
      <w:bookmarkStart w:id="11" w:name="_Toc403047426"/>
      <w:bookmarkStart w:id="12" w:name="_Toc403048244"/>
      <w:bookmarkStart w:id="13" w:name="_Toc403461998"/>
    </w:p>
    <w:p w:rsidR="00830652" w:rsidRPr="00042E63" w:rsidRDefault="006F0AB4" w:rsidP="005B6611">
      <w:pPr>
        <w:autoSpaceDE w:val="0"/>
        <w:autoSpaceDN w:val="0"/>
        <w:adjustRightInd w:val="0"/>
        <w:jc w:val="both"/>
        <w:rPr>
          <w:rFonts w:ascii="Times New Roman" w:hAnsi="Times New Roman" w:cs="Times New Roman"/>
          <w:i/>
          <w:color w:val="000000"/>
          <w:sz w:val="24"/>
          <w:szCs w:val="24"/>
        </w:rPr>
      </w:pPr>
      <w:r w:rsidRPr="00042E63">
        <w:rPr>
          <w:rFonts w:ascii="Times New Roman" w:hAnsi="Times New Roman" w:cs="Times New Roman"/>
          <w:i/>
          <w:sz w:val="24"/>
          <w:szCs w:val="24"/>
        </w:rPr>
        <w:t xml:space="preserve">(Pozn. </w:t>
      </w:r>
      <w:r w:rsidR="000C283D" w:rsidRPr="00042E63">
        <w:rPr>
          <w:rFonts w:ascii="Times New Roman" w:hAnsi="Times New Roman" w:cs="Times New Roman"/>
          <w:i/>
          <w:sz w:val="24"/>
          <w:szCs w:val="24"/>
        </w:rPr>
        <w:t>–</w:t>
      </w:r>
      <w:r w:rsidRPr="00042E63">
        <w:rPr>
          <w:rFonts w:ascii="Times New Roman" w:hAnsi="Times New Roman" w:cs="Times New Roman"/>
          <w:i/>
          <w:sz w:val="24"/>
          <w:szCs w:val="24"/>
        </w:rPr>
        <w:t xml:space="preserve"> zoradené od 1 po 4 podľa dôležitosti, kde 1 je najdôležitejšie a 4 najmenej dôležité)</w:t>
      </w:r>
      <w:bookmarkEnd w:id="11"/>
      <w:bookmarkEnd w:id="12"/>
      <w:bookmarkEnd w:id="13"/>
    </w:p>
    <w:p w:rsidR="00B73B35" w:rsidRPr="00042E63" w:rsidRDefault="00B73B35" w:rsidP="005B6611">
      <w:pPr>
        <w:autoSpaceDE w:val="0"/>
        <w:autoSpaceDN w:val="0"/>
        <w:adjustRightInd w:val="0"/>
        <w:jc w:val="both"/>
        <w:rPr>
          <w:rFonts w:ascii="Times New Roman" w:hAnsi="Times New Roman" w:cs="Times New Roman"/>
          <w:color w:val="000000"/>
          <w:sz w:val="24"/>
          <w:szCs w:val="24"/>
        </w:rPr>
      </w:pPr>
    </w:p>
    <w:p w:rsidR="00F26B28" w:rsidRPr="00042E63" w:rsidRDefault="00F26B28" w:rsidP="005B6611">
      <w:pPr>
        <w:ind w:firstLine="709"/>
        <w:jc w:val="both"/>
        <w:rPr>
          <w:rFonts w:ascii="Times New Roman" w:hAnsi="Times New Roman" w:cs="Times New Roman"/>
          <w:i/>
          <w:sz w:val="24"/>
          <w:szCs w:val="24"/>
        </w:rPr>
      </w:pPr>
      <w:r w:rsidRPr="00042E63">
        <w:rPr>
          <w:rFonts w:ascii="Times New Roman" w:hAnsi="Times New Roman" w:cs="Times New Roman"/>
          <w:sz w:val="24"/>
          <w:szCs w:val="24"/>
        </w:rPr>
        <w:t xml:space="preserve">Zo 108 respondentov dotazníkového prieskumu na otázku </w:t>
      </w:r>
      <w:r w:rsidRPr="00042E63">
        <w:rPr>
          <w:rFonts w:ascii="Times New Roman" w:hAnsi="Times New Roman" w:cs="Times New Roman"/>
          <w:b/>
          <w:sz w:val="24"/>
          <w:szCs w:val="24"/>
        </w:rPr>
        <w:t>do akej miery sa reálne zohľadňuje Program hospodárskeho a sociálneho rozvoja pri rozvoji mesta</w:t>
      </w:r>
      <w:r w:rsidRPr="00042E63">
        <w:rPr>
          <w:rFonts w:ascii="Times New Roman" w:hAnsi="Times New Roman" w:cs="Times New Roman"/>
          <w:sz w:val="24"/>
          <w:szCs w:val="24"/>
        </w:rPr>
        <w:t xml:space="preserve"> odpovedalo 104. Napriek tomu, že išlo o otvorené odpovede, je možné ich zoskupiť do niekoľkých okruhov. Respondenti najčastejšie uvádzali, že PHSR je premietnutý do rozvojových dokumentov mesta (40 % odpovedí), dokument sa zohľadňuje systematicky každoročne, príp. v inej periodicite (33 </w:t>
      </w:r>
      <w:r w:rsidR="00AD30E3" w:rsidRPr="00042E63">
        <w:rPr>
          <w:rFonts w:ascii="Times New Roman" w:hAnsi="Times New Roman" w:cs="Times New Roman"/>
          <w:sz w:val="24"/>
          <w:szCs w:val="24"/>
        </w:rPr>
        <w:t>%), ale často</w:t>
      </w:r>
      <w:r w:rsidRPr="00042E63">
        <w:rPr>
          <w:rFonts w:ascii="Times New Roman" w:hAnsi="Times New Roman" w:cs="Times New Roman"/>
          <w:sz w:val="24"/>
          <w:szCs w:val="24"/>
        </w:rPr>
        <w:t>krát sa k nemu pristupuje primerane k aktuálnym možnostiam mesta (16</w:t>
      </w:r>
      <w:r w:rsidR="00475653" w:rsidRPr="00042E63">
        <w:rPr>
          <w:rFonts w:ascii="Times New Roman" w:hAnsi="Times New Roman" w:cs="Times New Roman"/>
          <w:sz w:val="24"/>
          <w:szCs w:val="24"/>
        </w:rPr>
        <w:t> </w:t>
      </w:r>
      <w:r w:rsidRPr="00042E63">
        <w:rPr>
          <w:rFonts w:ascii="Times New Roman" w:hAnsi="Times New Roman" w:cs="Times New Roman"/>
          <w:sz w:val="24"/>
          <w:szCs w:val="24"/>
        </w:rPr>
        <w:t>% odpovedí). V niektorých prípadoch respondenti uviedli, že sa PHSR zohľadňuje, nešpecifikovali však, ako. V piatich prípadoch mestá odpovedali, že sa dokument zohľadňuje v malej miere až vôbec. Extrémnym príkladom je odpoveď „</w:t>
      </w:r>
      <w:r w:rsidRPr="00042E63">
        <w:rPr>
          <w:rFonts w:ascii="Times New Roman" w:hAnsi="Times New Roman" w:cs="Times New Roman"/>
          <w:i/>
          <w:sz w:val="24"/>
          <w:szCs w:val="24"/>
        </w:rPr>
        <w:t>podľa politickej "nálady" volených predstaviteľov mesta“.</w:t>
      </w:r>
    </w:p>
    <w:p w:rsidR="00F26B28" w:rsidRPr="00042E63" w:rsidRDefault="00F26B28" w:rsidP="005B6611">
      <w:pPr>
        <w:ind w:firstLine="709"/>
        <w:jc w:val="both"/>
        <w:rPr>
          <w:rFonts w:ascii="Times New Roman" w:hAnsi="Times New Roman" w:cs="Times New Roman"/>
          <w:i/>
          <w:sz w:val="24"/>
          <w:szCs w:val="24"/>
        </w:rPr>
      </w:pPr>
    </w:p>
    <w:p w:rsidR="00F26B28" w:rsidRPr="00042E63" w:rsidRDefault="00F26B28" w:rsidP="005B6611">
      <w:pPr>
        <w:ind w:firstLine="709"/>
        <w:jc w:val="both"/>
        <w:rPr>
          <w:rFonts w:ascii="Times New Roman" w:hAnsi="Times New Roman" w:cs="Times New Roman"/>
          <w:sz w:val="24"/>
          <w:szCs w:val="24"/>
        </w:rPr>
      </w:pPr>
      <w:r w:rsidRPr="00042E63">
        <w:rPr>
          <w:rFonts w:ascii="Times New Roman" w:hAnsi="Times New Roman" w:cs="Times New Roman"/>
          <w:sz w:val="24"/>
          <w:szCs w:val="24"/>
        </w:rPr>
        <w:t>Je potrebné poznamenať, že vzhľadom na charakter otázky išlo často o subjektívne zhodnotenie stavu. Preto je možné, že dve podobné situácie sú zhodnotené rôznym spôsobom (Príklad: „</w:t>
      </w:r>
      <w:r w:rsidRPr="00042E63">
        <w:rPr>
          <w:rFonts w:ascii="Times New Roman" w:hAnsi="Times New Roman" w:cs="Times New Roman"/>
          <w:i/>
          <w:sz w:val="24"/>
          <w:szCs w:val="24"/>
        </w:rPr>
        <w:t xml:space="preserve">PHSR je strategický dokument, pripravený dostatočne obšírne, aby zohľadňoval potreby rozvoja mesta“ </w:t>
      </w:r>
      <w:r w:rsidRPr="00042E63">
        <w:rPr>
          <w:rFonts w:ascii="Times New Roman" w:hAnsi="Times New Roman" w:cs="Times New Roman"/>
          <w:sz w:val="24"/>
          <w:szCs w:val="24"/>
        </w:rPr>
        <w:t>a</w:t>
      </w:r>
      <w:r w:rsidRPr="00042E63">
        <w:rPr>
          <w:rFonts w:ascii="Times New Roman" w:hAnsi="Times New Roman" w:cs="Times New Roman"/>
          <w:i/>
          <w:sz w:val="24"/>
          <w:szCs w:val="24"/>
        </w:rPr>
        <w:t xml:space="preserve"> „PHSR je naplňovaný len formálne, nakoľko jeho formulácie nezohľadňujú reálny stav a potreby mesta, ale sú všeobecné, ...“).</w:t>
      </w:r>
      <w:r w:rsidRPr="00042E63">
        <w:rPr>
          <w:rFonts w:ascii="Times New Roman" w:hAnsi="Times New Roman" w:cs="Times New Roman"/>
          <w:sz w:val="24"/>
          <w:szCs w:val="24"/>
        </w:rPr>
        <w:t xml:space="preserve">   </w:t>
      </w:r>
    </w:p>
    <w:p w:rsidR="005B6611" w:rsidRPr="00042E63" w:rsidRDefault="00475653" w:rsidP="005B6611">
      <w:pPr>
        <w:ind w:firstLine="708"/>
        <w:jc w:val="both"/>
        <w:rPr>
          <w:rFonts w:ascii="Times New Roman" w:hAnsi="Times New Roman" w:cs="Times New Roman"/>
          <w:sz w:val="24"/>
          <w:szCs w:val="24"/>
        </w:rPr>
      </w:pPr>
      <w:r w:rsidRPr="00042E63">
        <w:rPr>
          <w:rFonts w:ascii="Times New Roman" w:hAnsi="Times New Roman" w:cs="Times New Roman"/>
          <w:sz w:val="24"/>
          <w:szCs w:val="24"/>
        </w:rPr>
        <w:t xml:space="preserve">Financovanie rozvojových projektov miest na Slovensku je podľa odpovedí 108 respondentov závislé najmä na finančných zdrojoch z fondov EÚ, menej na vlastných finančných prostriedkoch mesta a štátnych dotáciách. Pri porovnávaní skupín miest podľa veľkostných kategórií vidíme mierne odchýlky v odpovediach. </w:t>
      </w:r>
    </w:p>
    <w:p w:rsidR="005B6611" w:rsidRPr="00042E63" w:rsidRDefault="005B6611" w:rsidP="005B6611">
      <w:pPr>
        <w:ind w:firstLine="708"/>
        <w:jc w:val="both"/>
        <w:rPr>
          <w:rFonts w:ascii="Times New Roman" w:hAnsi="Times New Roman" w:cs="Times New Roman"/>
          <w:sz w:val="24"/>
          <w:szCs w:val="24"/>
        </w:rPr>
      </w:pPr>
    </w:p>
    <w:p w:rsidR="00475653" w:rsidRPr="00042E63" w:rsidRDefault="00475653" w:rsidP="005B6611">
      <w:pPr>
        <w:ind w:firstLine="708"/>
        <w:jc w:val="both"/>
        <w:rPr>
          <w:rFonts w:ascii="Times New Roman" w:hAnsi="Times New Roman" w:cs="Times New Roman"/>
          <w:sz w:val="24"/>
          <w:szCs w:val="24"/>
        </w:rPr>
      </w:pPr>
      <w:r w:rsidRPr="00042E63">
        <w:rPr>
          <w:rFonts w:ascii="Times New Roman" w:hAnsi="Times New Roman" w:cs="Times New Roman"/>
          <w:sz w:val="24"/>
          <w:szCs w:val="24"/>
        </w:rPr>
        <w:t xml:space="preserve">V kategórii miest do 5 tisíc obyvateľov zohrávajú najdôležitejšiu rolu vlastné finančné prostriedky mesta až potom zdroje EÚ. Naopak, v skupine 5 tis. – 9 999 obyvateľov sú najčastejšie využívané práve finančné zdroje z fondov EÚ a v skupine 10 tis. – 24 999 obyvateľov sa do popredia dostávajú i štátne dotácie. </w:t>
      </w:r>
    </w:p>
    <w:p w:rsidR="002E2FAB" w:rsidRPr="00042E63" w:rsidRDefault="002E2FAB" w:rsidP="005B6611">
      <w:pPr>
        <w:ind w:firstLine="708"/>
        <w:jc w:val="both"/>
        <w:rPr>
          <w:rFonts w:ascii="Times New Roman" w:hAnsi="Times New Roman" w:cs="Times New Roman"/>
          <w:sz w:val="24"/>
          <w:szCs w:val="24"/>
        </w:rPr>
      </w:pPr>
    </w:p>
    <w:p w:rsidR="002E2FAB" w:rsidRPr="00042E63" w:rsidRDefault="002E2FAB" w:rsidP="005B6611">
      <w:pPr>
        <w:autoSpaceDE w:val="0"/>
        <w:autoSpaceDN w:val="0"/>
        <w:adjustRightInd w:val="0"/>
        <w:jc w:val="both"/>
        <w:rPr>
          <w:rFonts w:ascii="Times New Roman" w:hAnsi="Times New Roman" w:cs="Times New Roman"/>
          <w:color w:val="000000"/>
          <w:sz w:val="24"/>
          <w:szCs w:val="24"/>
        </w:rPr>
      </w:pPr>
      <w:r w:rsidRPr="00042E63">
        <w:rPr>
          <w:rFonts w:ascii="Times New Roman" w:hAnsi="Times New Roman" w:cs="Times New Roman"/>
          <w:noProof/>
          <w:sz w:val="24"/>
          <w:szCs w:val="24"/>
          <w:lang w:eastAsia="sk-SK"/>
        </w:rPr>
        <w:drawing>
          <wp:inline distT="0" distB="0" distL="0" distR="0" wp14:anchorId="2137AE54" wp14:editId="702788E8">
            <wp:extent cx="5505450" cy="2609850"/>
            <wp:effectExtent l="0" t="0" r="19050" b="1905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E2FAB" w:rsidRPr="00042E63" w:rsidRDefault="002E2FAB" w:rsidP="005B6611">
      <w:pPr>
        <w:jc w:val="both"/>
        <w:rPr>
          <w:rFonts w:ascii="Times New Roman" w:hAnsi="Times New Roman" w:cs="Times New Roman"/>
          <w:i/>
          <w:sz w:val="24"/>
          <w:szCs w:val="24"/>
        </w:rPr>
      </w:pPr>
      <w:bookmarkStart w:id="14" w:name="_Toc403462002"/>
      <w:r w:rsidRPr="00042E63">
        <w:rPr>
          <w:rFonts w:ascii="Times New Roman" w:hAnsi="Times New Roman" w:cs="Times New Roman"/>
          <w:i/>
          <w:sz w:val="24"/>
          <w:szCs w:val="24"/>
        </w:rPr>
        <w:t>Graf č. 3: Finančné zdroje na realizáciu rozvojových aktivít miest</w:t>
      </w:r>
      <w:bookmarkStart w:id="15" w:name="_Toc403047027"/>
      <w:bookmarkStart w:id="16" w:name="_Toc403047272"/>
      <w:bookmarkStart w:id="17" w:name="_Toc403047431"/>
      <w:bookmarkStart w:id="18" w:name="_Toc403048249"/>
      <w:bookmarkStart w:id="19" w:name="_Toc403462003"/>
      <w:bookmarkEnd w:id="14"/>
    </w:p>
    <w:p w:rsidR="002E2FAB" w:rsidRPr="00042E63" w:rsidRDefault="002E2FAB" w:rsidP="005B6611">
      <w:pPr>
        <w:jc w:val="both"/>
        <w:rPr>
          <w:rFonts w:ascii="Times New Roman" w:hAnsi="Times New Roman" w:cs="Times New Roman"/>
          <w:i/>
          <w:sz w:val="24"/>
          <w:szCs w:val="24"/>
        </w:rPr>
      </w:pPr>
      <w:r w:rsidRPr="00042E63">
        <w:rPr>
          <w:rFonts w:ascii="Times New Roman" w:hAnsi="Times New Roman" w:cs="Times New Roman"/>
          <w:i/>
          <w:sz w:val="24"/>
          <w:szCs w:val="24"/>
        </w:rPr>
        <w:t xml:space="preserve">(Pozn. </w:t>
      </w:r>
      <w:r w:rsidR="00AB7097" w:rsidRPr="00042E63">
        <w:rPr>
          <w:rFonts w:ascii="Times New Roman" w:hAnsi="Times New Roman" w:cs="Times New Roman"/>
          <w:i/>
          <w:sz w:val="24"/>
          <w:szCs w:val="24"/>
        </w:rPr>
        <w:t>–</w:t>
      </w:r>
      <w:r w:rsidRPr="00042E63">
        <w:rPr>
          <w:rFonts w:ascii="Times New Roman" w:hAnsi="Times New Roman" w:cs="Times New Roman"/>
          <w:i/>
          <w:sz w:val="24"/>
          <w:szCs w:val="24"/>
        </w:rPr>
        <w:t xml:space="preserve"> zoradené od 1 po 5 podľa frekvencie využitia, kde 1 je najčastejšie využitie a 5 zriedkavé</w:t>
      </w:r>
      <w:r w:rsidR="00263EC5" w:rsidRPr="00042E63">
        <w:rPr>
          <w:rFonts w:ascii="Times New Roman" w:hAnsi="Times New Roman" w:cs="Times New Roman"/>
          <w:i/>
          <w:sz w:val="24"/>
          <w:szCs w:val="24"/>
        </w:rPr>
        <w:t>, 6 – neuviedli</w:t>
      </w:r>
      <w:r w:rsidRPr="00042E63">
        <w:rPr>
          <w:rFonts w:ascii="Times New Roman" w:hAnsi="Times New Roman" w:cs="Times New Roman"/>
          <w:i/>
          <w:sz w:val="24"/>
          <w:szCs w:val="24"/>
        </w:rPr>
        <w:t>)</w:t>
      </w:r>
      <w:bookmarkEnd w:id="15"/>
      <w:bookmarkEnd w:id="16"/>
      <w:bookmarkEnd w:id="17"/>
      <w:bookmarkEnd w:id="18"/>
      <w:bookmarkEnd w:id="19"/>
    </w:p>
    <w:p w:rsidR="002E2FAB" w:rsidRPr="00042E63" w:rsidRDefault="002E2FAB" w:rsidP="005B6611">
      <w:pPr>
        <w:jc w:val="both"/>
        <w:rPr>
          <w:rFonts w:ascii="Times New Roman" w:hAnsi="Times New Roman" w:cs="Times New Roman"/>
          <w:sz w:val="24"/>
          <w:szCs w:val="24"/>
        </w:rPr>
      </w:pPr>
    </w:p>
    <w:p w:rsidR="002E2FAB" w:rsidRPr="00042E63" w:rsidRDefault="002E2FAB" w:rsidP="005B6611">
      <w:pPr>
        <w:ind w:firstLine="708"/>
        <w:jc w:val="both"/>
        <w:rPr>
          <w:rFonts w:ascii="Times New Roman" w:hAnsi="Times New Roman" w:cs="Times New Roman"/>
          <w:sz w:val="24"/>
          <w:szCs w:val="24"/>
        </w:rPr>
      </w:pPr>
      <w:r w:rsidRPr="00042E63">
        <w:rPr>
          <w:rFonts w:ascii="Times New Roman" w:hAnsi="Times New Roman" w:cs="Times New Roman"/>
          <w:sz w:val="24"/>
          <w:szCs w:val="24"/>
        </w:rPr>
        <w:t>98 respondentov uviedlo, ktoré z uskutočnených projektov považujú za najprínosnejšie pre mesto. Z odpovedí je zrejmé, že ako najvýznamnejšie sú vnímané realizácie v oblasti rekonštrukcie vzdelávacích zariadení a modernizácie vzdelávacieho procesu (65</w:t>
      </w:r>
      <w:r w:rsidR="007F2DFF" w:rsidRPr="00042E63">
        <w:rPr>
          <w:rFonts w:ascii="Times New Roman" w:hAnsi="Times New Roman" w:cs="Times New Roman"/>
          <w:sz w:val="24"/>
          <w:szCs w:val="24"/>
        </w:rPr>
        <w:t> </w:t>
      </w:r>
      <w:r w:rsidRPr="00042E63">
        <w:rPr>
          <w:rFonts w:ascii="Times New Roman" w:hAnsi="Times New Roman" w:cs="Times New Roman"/>
          <w:sz w:val="24"/>
          <w:szCs w:val="24"/>
        </w:rPr>
        <w:t>% odpovedí), revitalizácie verejných priestorov ako napr. centrálnych mestských zón a parkov (50</w:t>
      </w:r>
      <w:r w:rsidR="007F2DFF" w:rsidRPr="00042E63">
        <w:rPr>
          <w:rFonts w:ascii="Times New Roman" w:hAnsi="Times New Roman" w:cs="Times New Roman"/>
          <w:sz w:val="24"/>
          <w:szCs w:val="24"/>
        </w:rPr>
        <w:t> </w:t>
      </w:r>
      <w:r w:rsidRPr="00042E63">
        <w:rPr>
          <w:rFonts w:ascii="Times New Roman" w:hAnsi="Times New Roman" w:cs="Times New Roman"/>
          <w:sz w:val="24"/>
          <w:szCs w:val="24"/>
        </w:rPr>
        <w:t>%),  projekty v oblasti odpadového hospodárstva (30</w:t>
      </w:r>
      <w:r w:rsidR="007F2DFF" w:rsidRPr="00042E63">
        <w:rPr>
          <w:rFonts w:ascii="Times New Roman" w:hAnsi="Times New Roman" w:cs="Times New Roman"/>
          <w:sz w:val="24"/>
          <w:szCs w:val="24"/>
        </w:rPr>
        <w:t> </w:t>
      </w:r>
      <w:r w:rsidRPr="00042E63">
        <w:rPr>
          <w:rFonts w:ascii="Times New Roman" w:hAnsi="Times New Roman" w:cs="Times New Roman"/>
          <w:sz w:val="24"/>
          <w:szCs w:val="24"/>
        </w:rPr>
        <w:t>%) a dopravnej infraštruktúry (30</w:t>
      </w:r>
      <w:r w:rsidR="007F2DFF" w:rsidRPr="00042E63">
        <w:rPr>
          <w:rFonts w:ascii="Times New Roman" w:hAnsi="Times New Roman" w:cs="Times New Roman"/>
          <w:sz w:val="24"/>
          <w:szCs w:val="24"/>
        </w:rPr>
        <w:t> </w:t>
      </w:r>
      <w:r w:rsidRPr="00042E63">
        <w:rPr>
          <w:rFonts w:ascii="Times New Roman" w:hAnsi="Times New Roman" w:cs="Times New Roman"/>
          <w:sz w:val="24"/>
          <w:szCs w:val="24"/>
        </w:rPr>
        <w:t>%) a v sociálnej oblasti zriaďovanie a rekonštrukcia domovov dôc</w:t>
      </w:r>
      <w:r w:rsidR="00AB7097" w:rsidRPr="00042E63">
        <w:rPr>
          <w:rFonts w:ascii="Times New Roman" w:hAnsi="Times New Roman" w:cs="Times New Roman"/>
          <w:sz w:val="24"/>
          <w:szCs w:val="24"/>
        </w:rPr>
        <w:t>hodcov, komunitných centier a iné</w:t>
      </w:r>
      <w:r w:rsidRPr="00042E63">
        <w:rPr>
          <w:rFonts w:ascii="Times New Roman" w:hAnsi="Times New Roman" w:cs="Times New Roman"/>
          <w:sz w:val="24"/>
          <w:szCs w:val="24"/>
        </w:rPr>
        <w:t xml:space="preserve"> (18</w:t>
      </w:r>
      <w:r w:rsidR="007F2DFF" w:rsidRPr="00042E63">
        <w:rPr>
          <w:rFonts w:ascii="Times New Roman" w:hAnsi="Times New Roman" w:cs="Times New Roman"/>
          <w:sz w:val="24"/>
          <w:szCs w:val="24"/>
        </w:rPr>
        <w:t> </w:t>
      </w:r>
      <w:r w:rsidRPr="00042E63">
        <w:rPr>
          <w:rFonts w:ascii="Times New Roman" w:hAnsi="Times New Roman" w:cs="Times New Roman"/>
          <w:sz w:val="24"/>
          <w:szCs w:val="24"/>
        </w:rPr>
        <w:t>%).</w:t>
      </w:r>
    </w:p>
    <w:p w:rsidR="002E2FAB" w:rsidRPr="00042E63" w:rsidRDefault="002E2FAB" w:rsidP="005B6611">
      <w:pPr>
        <w:jc w:val="both"/>
        <w:rPr>
          <w:rFonts w:ascii="Times New Roman" w:hAnsi="Times New Roman" w:cs="Times New Roman"/>
          <w:sz w:val="24"/>
          <w:szCs w:val="24"/>
        </w:rPr>
      </w:pPr>
    </w:p>
    <w:p w:rsidR="002E2FAB" w:rsidRPr="00042E63" w:rsidRDefault="002E2FAB" w:rsidP="005B6611">
      <w:pPr>
        <w:ind w:firstLine="708"/>
        <w:jc w:val="both"/>
        <w:rPr>
          <w:rFonts w:ascii="Times New Roman" w:hAnsi="Times New Roman" w:cs="Times New Roman"/>
          <w:sz w:val="24"/>
          <w:szCs w:val="24"/>
        </w:rPr>
      </w:pPr>
      <w:r w:rsidRPr="00042E63">
        <w:rPr>
          <w:rFonts w:ascii="Times New Roman" w:hAnsi="Times New Roman" w:cs="Times New Roman"/>
          <w:sz w:val="24"/>
          <w:szCs w:val="24"/>
        </w:rPr>
        <w:t>Pri rozdelení pr</w:t>
      </w:r>
      <w:r w:rsidR="007F2DFF" w:rsidRPr="00042E63">
        <w:rPr>
          <w:rFonts w:ascii="Times New Roman" w:hAnsi="Times New Roman" w:cs="Times New Roman"/>
          <w:sz w:val="24"/>
          <w:szCs w:val="24"/>
        </w:rPr>
        <w:t>iorít na päť základných oblastí</w:t>
      </w:r>
      <w:r w:rsidRPr="00042E63">
        <w:rPr>
          <w:rFonts w:ascii="Times New Roman" w:hAnsi="Times New Roman" w:cs="Times New Roman"/>
          <w:sz w:val="24"/>
          <w:szCs w:val="24"/>
        </w:rPr>
        <w:t xml:space="preserve"> – správa, služby, infraštruktúra, životné prostredie a ochrana zdrojov a</w:t>
      </w:r>
      <w:r w:rsidR="00AD30E3" w:rsidRPr="00042E63">
        <w:rPr>
          <w:rFonts w:ascii="Times New Roman" w:hAnsi="Times New Roman" w:cs="Times New Roman"/>
          <w:sz w:val="24"/>
          <w:szCs w:val="24"/>
        </w:rPr>
        <w:t> </w:t>
      </w:r>
      <w:r w:rsidRPr="00042E63">
        <w:rPr>
          <w:rFonts w:ascii="Times New Roman" w:hAnsi="Times New Roman" w:cs="Times New Roman"/>
          <w:sz w:val="24"/>
          <w:szCs w:val="24"/>
        </w:rPr>
        <w:t>ekonomika</w:t>
      </w:r>
      <w:r w:rsidR="00AD30E3" w:rsidRPr="00042E63">
        <w:rPr>
          <w:rFonts w:ascii="Times New Roman" w:hAnsi="Times New Roman" w:cs="Times New Roman"/>
          <w:sz w:val="24"/>
          <w:szCs w:val="24"/>
        </w:rPr>
        <w:t xml:space="preserve"> -</w:t>
      </w:r>
      <w:r w:rsidRPr="00042E63">
        <w:rPr>
          <w:rFonts w:ascii="Times New Roman" w:hAnsi="Times New Roman" w:cs="Times New Roman"/>
          <w:sz w:val="24"/>
          <w:szCs w:val="24"/>
        </w:rPr>
        <w:t xml:space="preserve"> vyplynulo, že mestá chcú zvýšiť svoju aktivitu v programovom období 2014</w:t>
      </w:r>
      <w:r w:rsidR="007F2DFF" w:rsidRPr="00042E63">
        <w:rPr>
          <w:rFonts w:ascii="Times New Roman" w:hAnsi="Times New Roman" w:cs="Times New Roman"/>
          <w:sz w:val="24"/>
          <w:szCs w:val="24"/>
        </w:rPr>
        <w:t xml:space="preserve"> – </w:t>
      </w:r>
      <w:r w:rsidRPr="00042E63">
        <w:rPr>
          <w:rFonts w:ascii="Times New Roman" w:hAnsi="Times New Roman" w:cs="Times New Roman"/>
          <w:sz w:val="24"/>
          <w:szCs w:val="24"/>
        </w:rPr>
        <w:t>2020 vo všetkých oblastiach, najviac v správe a ekonomike a</w:t>
      </w:r>
      <w:r w:rsidR="00263EC5" w:rsidRPr="00042E63">
        <w:rPr>
          <w:rFonts w:ascii="Times New Roman" w:hAnsi="Times New Roman" w:cs="Times New Roman"/>
          <w:sz w:val="24"/>
          <w:szCs w:val="24"/>
        </w:rPr>
        <w:t> v </w:t>
      </w:r>
      <w:r w:rsidRPr="00042E63">
        <w:rPr>
          <w:rFonts w:ascii="Times New Roman" w:hAnsi="Times New Roman" w:cs="Times New Roman"/>
          <w:sz w:val="24"/>
          <w:szCs w:val="24"/>
        </w:rPr>
        <w:t xml:space="preserve">infraštruktúre. V žiadnej z oblastí nedošlo k poklesu záujmu o aktivity. </w:t>
      </w:r>
    </w:p>
    <w:p w:rsidR="007F2DFF" w:rsidRPr="00042E63" w:rsidRDefault="007F2DFF" w:rsidP="005B6611">
      <w:pPr>
        <w:ind w:firstLine="708"/>
        <w:jc w:val="both"/>
        <w:rPr>
          <w:rFonts w:ascii="Times New Roman" w:hAnsi="Times New Roman" w:cs="Times New Roman"/>
          <w:sz w:val="24"/>
          <w:szCs w:val="24"/>
        </w:rPr>
      </w:pPr>
    </w:p>
    <w:p w:rsidR="002E2FAB" w:rsidRPr="00042E63" w:rsidRDefault="00AB7097" w:rsidP="005B6611">
      <w:pPr>
        <w:ind w:firstLine="708"/>
        <w:jc w:val="both"/>
        <w:rPr>
          <w:rFonts w:ascii="Times New Roman" w:hAnsi="Times New Roman" w:cs="Times New Roman"/>
          <w:sz w:val="24"/>
          <w:szCs w:val="24"/>
        </w:rPr>
      </w:pPr>
      <w:r w:rsidRPr="00042E63">
        <w:rPr>
          <w:rFonts w:ascii="Times New Roman" w:hAnsi="Times New Roman" w:cs="Times New Roman"/>
          <w:sz w:val="24"/>
          <w:szCs w:val="24"/>
        </w:rPr>
        <w:t>Pri porovnaní programových období 2007 – 2013 a 2014 – 2020 m</w:t>
      </w:r>
      <w:r w:rsidR="002E2FAB" w:rsidRPr="00042E63">
        <w:rPr>
          <w:rFonts w:ascii="Times New Roman" w:hAnsi="Times New Roman" w:cs="Times New Roman"/>
          <w:sz w:val="24"/>
          <w:szCs w:val="24"/>
        </w:rPr>
        <w:t xml:space="preserve">ôžeme pozorovať zmenu v prioritách miest veľkostnej kategórie 50 000 obyvateľov a viac. Mestá plánujú zvýšiť svoje aktivity v oblasti investícií do kultúrnych zariadení, poskytovaní nájomného bývania, </w:t>
      </w:r>
      <w:r w:rsidR="002E2FAB" w:rsidRPr="00042E63">
        <w:rPr>
          <w:rFonts w:ascii="Times New Roman" w:hAnsi="Times New Roman" w:cs="Times New Roman"/>
          <w:sz w:val="24"/>
          <w:szCs w:val="24"/>
        </w:rPr>
        <w:lastRenderedPageBreak/>
        <w:t>zvyšovania bezpečnosti občanov a</w:t>
      </w:r>
      <w:r w:rsidRPr="00042E63">
        <w:rPr>
          <w:rFonts w:ascii="Times New Roman" w:hAnsi="Times New Roman" w:cs="Times New Roman"/>
          <w:sz w:val="24"/>
          <w:szCs w:val="24"/>
        </w:rPr>
        <w:t> v </w:t>
      </w:r>
      <w:r w:rsidR="002E2FAB" w:rsidRPr="00042E63">
        <w:rPr>
          <w:rFonts w:ascii="Times New Roman" w:hAnsi="Times New Roman" w:cs="Times New Roman"/>
          <w:sz w:val="24"/>
          <w:szCs w:val="24"/>
        </w:rPr>
        <w:t>sociálnych oblastiach ako sú aktívne začleňovanie ohrozených skupín a kapitálové investície do sociálnej infraštruktúry. Znižuje sa aktivita v oblasti investícií do vzdelávacej infraštruktúry, skvalitňovania procesu predškolského a základného vzdelávania a investícií do voľnočasových zariadení. Zníženie záujmu o tieto aktivity môže byť spôsobené aj možnosťou investícií do jednotlivých oblastí v rámci programového obdobia 2007</w:t>
      </w:r>
      <w:r w:rsidRPr="00042E63">
        <w:rPr>
          <w:rFonts w:ascii="Times New Roman" w:hAnsi="Times New Roman" w:cs="Times New Roman"/>
          <w:sz w:val="24"/>
          <w:szCs w:val="24"/>
        </w:rPr>
        <w:t xml:space="preserve"> – </w:t>
      </w:r>
      <w:r w:rsidR="002E2FAB" w:rsidRPr="00042E63">
        <w:rPr>
          <w:rFonts w:ascii="Times New Roman" w:hAnsi="Times New Roman" w:cs="Times New Roman"/>
          <w:sz w:val="24"/>
          <w:szCs w:val="24"/>
        </w:rPr>
        <w:t xml:space="preserve">2013. </w:t>
      </w:r>
    </w:p>
    <w:p w:rsidR="002E2FAB" w:rsidRPr="00042E63" w:rsidRDefault="002E2FAB" w:rsidP="005B6611">
      <w:pPr>
        <w:jc w:val="both"/>
        <w:rPr>
          <w:rFonts w:ascii="Times New Roman" w:hAnsi="Times New Roman" w:cs="Times New Roman"/>
          <w:sz w:val="24"/>
          <w:szCs w:val="24"/>
        </w:rPr>
      </w:pPr>
    </w:p>
    <w:p w:rsidR="002E2FAB" w:rsidRPr="00042E63" w:rsidRDefault="002E2FAB" w:rsidP="005B6611">
      <w:pPr>
        <w:autoSpaceDE w:val="0"/>
        <w:autoSpaceDN w:val="0"/>
        <w:adjustRightInd w:val="0"/>
        <w:jc w:val="both"/>
        <w:rPr>
          <w:rFonts w:ascii="Times New Roman" w:hAnsi="Times New Roman" w:cs="Times New Roman"/>
          <w:b/>
          <w:color w:val="000000"/>
          <w:sz w:val="24"/>
          <w:szCs w:val="24"/>
        </w:rPr>
      </w:pPr>
      <w:r w:rsidRPr="00042E63">
        <w:rPr>
          <w:rFonts w:ascii="Times New Roman" w:hAnsi="Times New Roman" w:cs="Times New Roman"/>
          <w:b/>
          <w:color w:val="000000"/>
          <w:sz w:val="24"/>
          <w:szCs w:val="24"/>
        </w:rPr>
        <w:t>Kompetencie miest</w:t>
      </w:r>
    </w:p>
    <w:p w:rsidR="002E2FAB" w:rsidRPr="00042E63" w:rsidRDefault="002E2FAB" w:rsidP="005B6611">
      <w:pPr>
        <w:autoSpaceDE w:val="0"/>
        <w:autoSpaceDN w:val="0"/>
        <w:adjustRightInd w:val="0"/>
        <w:jc w:val="both"/>
        <w:rPr>
          <w:rFonts w:ascii="Times New Roman" w:hAnsi="Times New Roman" w:cs="Times New Roman"/>
          <w:color w:val="000000"/>
          <w:sz w:val="24"/>
          <w:szCs w:val="24"/>
        </w:rPr>
      </w:pPr>
    </w:p>
    <w:p w:rsidR="002E2FAB" w:rsidRPr="00042E63" w:rsidRDefault="002E2FAB" w:rsidP="005B6611">
      <w:pPr>
        <w:ind w:firstLine="709"/>
        <w:jc w:val="both"/>
        <w:rPr>
          <w:rFonts w:ascii="Times New Roman" w:hAnsi="Times New Roman" w:cs="Times New Roman"/>
          <w:sz w:val="24"/>
          <w:szCs w:val="24"/>
        </w:rPr>
      </w:pPr>
      <w:r w:rsidRPr="00042E63">
        <w:rPr>
          <w:rFonts w:ascii="Times New Roman" w:hAnsi="Times New Roman" w:cs="Times New Roman"/>
          <w:sz w:val="24"/>
          <w:szCs w:val="24"/>
        </w:rPr>
        <w:t>Rozšírenie kompetencií mestskej samosprávy vníma 89 miest pozitívne – prispieva k rozvoju mesta. Decentralizácia kompetencií prispieva k efektívnejšiemu riešeniu problémov miest či skvalitneniu služieb pre občanov. Rozšírenie kompetencií obmedzuje v rozvoji 18 miest. Najčastejším problém</w:t>
      </w:r>
      <w:r w:rsidR="00263EC5" w:rsidRPr="00042E63">
        <w:rPr>
          <w:rFonts w:ascii="Times New Roman" w:hAnsi="Times New Roman" w:cs="Times New Roman"/>
          <w:sz w:val="24"/>
          <w:szCs w:val="24"/>
        </w:rPr>
        <w:t>om</w:t>
      </w:r>
      <w:r w:rsidRPr="00042E63">
        <w:rPr>
          <w:rFonts w:ascii="Times New Roman" w:hAnsi="Times New Roman" w:cs="Times New Roman"/>
          <w:sz w:val="24"/>
          <w:szCs w:val="24"/>
        </w:rPr>
        <w:t xml:space="preserve"> je nedostatok finančných prostriedkov potrebných na plnenie kompetencií samosprávy. Jedno mesto odpoveď neuviedlo. Mestá by do svojich kompetencií presunuli oblasť sociálnych služieb spolu s dostatočnými finančnými prostriedkami, oblasť cestných komunikácií, stredného školstva či živnostenského registra. Najväčšiu záťaž pre mestá predstavujú kompetencie v oblasti školstva, stavebného úradu, životného prostredia a v sociálnej oblasti.</w:t>
      </w:r>
    </w:p>
    <w:p w:rsidR="002E2FAB" w:rsidRPr="00042E63" w:rsidRDefault="00970E96" w:rsidP="005B6611">
      <w:pPr>
        <w:jc w:val="both"/>
        <w:rPr>
          <w:rFonts w:ascii="Times New Roman" w:hAnsi="Times New Roman" w:cs="Times New Roman"/>
          <w:sz w:val="24"/>
          <w:szCs w:val="24"/>
        </w:rPr>
      </w:pPr>
      <w:r w:rsidRPr="00042E63">
        <w:rPr>
          <w:rFonts w:ascii="Times New Roman" w:hAnsi="Times New Roman" w:cs="Times New Roman"/>
          <w:noProof/>
          <w:sz w:val="24"/>
          <w:szCs w:val="24"/>
          <w:lang w:eastAsia="sk-SK"/>
        </w:rPr>
        <w:drawing>
          <wp:inline distT="0" distB="0" distL="0" distR="0" wp14:anchorId="52F1F2C7" wp14:editId="26FB8E0B">
            <wp:extent cx="5572125" cy="2324100"/>
            <wp:effectExtent l="0" t="0" r="9525" b="19050"/>
            <wp:docPr id="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965BD" w:rsidRPr="00042E63" w:rsidRDefault="00C965BD" w:rsidP="005B6611">
      <w:pPr>
        <w:autoSpaceDE w:val="0"/>
        <w:autoSpaceDN w:val="0"/>
        <w:adjustRightInd w:val="0"/>
        <w:jc w:val="both"/>
        <w:rPr>
          <w:rFonts w:ascii="Times New Roman" w:hAnsi="Times New Roman" w:cs="Times New Roman"/>
          <w:i/>
          <w:color w:val="000000"/>
          <w:sz w:val="24"/>
          <w:szCs w:val="24"/>
        </w:rPr>
      </w:pPr>
      <w:bookmarkStart w:id="20" w:name="_Toc403047278"/>
      <w:bookmarkStart w:id="21" w:name="_Toc403462011"/>
      <w:r w:rsidRPr="00042E63">
        <w:rPr>
          <w:rFonts w:ascii="Times New Roman" w:hAnsi="Times New Roman" w:cs="Times New Roman"/>
          <w:i/>
          <w:sz w:val="24"/>
          <w:szCs w:val="24"/>
        </w:rPr>
        <w:t xml:space="preserve">Graf č. </w:t>
      </w:r>
      <w:bookmarkEnd w:id="20"/>
      <w:r w:rsidR="00475653" w:rsidRPr="00042E63">
        <w:rPr>
          <w:rFonts w:ascii="Times New Roman" w:hAnsi="Times New Roman" w:cs="Times New Roman"/>
          <w:i/>
          <w:sz w:val="24"/>
          <w:szCs w:val="24"/>
        </w:rPr>
        <w:t>4</w:t>
      </w:r>
      <w:r w:rsidRPr="00042E63">
        <w:rPr>
          <w:rFonts w:ascii="Times New Roman" w:hAnsi="Times New Roman" w:cs="Times New Roman"/>
          <w:i/>
          <w:sz w:val="24"/>
          <w:szCs w:val="24"/>
        </w:rPr>
        <w:t>: Rozšírenie kompetencií mestskej samosprávy</w:t>
      </w:r>
      <w:bookmarkEnd w:id="21"/>
    </w:p>
    <w:p w:rsidR="002E2FAB" w:rsidRDefault="002E2FAB" w:rsidP="005B6611">
      <w:pPr>
        <w:autoSpaceDE w:val="0"/>
        <w:autoSpaceDN w:val="0"/>
        <w:adjustRightInd w:val="0"/>
        <w:jc w:val="both"/>
        <w:rPr>
          <w:rFonts w:ascii="Times New Roman" w:hAnsi="Times New Roman" w:cs="Times New Roman"/>
          <w:color w:val="000000"/>
          <w:sz w:val="24"/>
          <w:szCs w:val="24"/>
        </w:rPr>
      </w:pPr>
    </w:p>
    <w:p w:rsidR="00570AE0" w:rsidRPr="00042E63" w:rsidRDefault="00570AE0" w:rsidP="005B6611">
      <w:pPr>
        <w:autoSpaceDE w:val="0"/>
        <w:autoSpaceDN w:val="0"/>
        <w:adjustRightInd w:val="0"/>
        <w:jc w:val="both"/>
        <w:rPr>
          <w:rFonts w:ascii="Times New Roman" w:hAnsi="Times New Roman" w:cs="Times New Roman"/>
          <w:color w:val="000000"/>
          <w:sz w:val="24"/>
          <w:szCs w:val="24"/>
        </w:rPr>
      </w:pPr>
      <w:r w:rsidRPr="00042E63">
        <w:rPr>
          <w:rFonts w:ascii="Times New Roman" w:hAnsi="Times New Roman" w:cs="Times New Roman"/>
          <w:noProof/>
          <w:sz w:val="24"/>
          <w:szCs w:val="24"/>
          <w:lang w:eastAsia="sk-SK"/>
        </w:rPr>
        <w:lastRenderedPageBreak/>
        <w:drawing>
          <wp:inline distT="0" distB="0" distL="0" distR="0">
            <wp:extent cx="5572125" cy="3533775"/>
            <wp:effectExtent l="0" t="0" r="9525" b="952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70E96" w:rsidRPr="00970E96" w:rsidRDefault="00970E96" w:rsidP="00970E96">
      <w:pPr>
        <w:autoSpaceDE w:val="0"/>
        <w:autoSpaceDN w:val="0"/>
        <w:adjustRightInd w:val="0"/>
        <w:jc w:val="both"/>
        <w:rPr>
          <w:rFonts w:ascii="Times New Roman" w:hAnsi="Times New Roman" w:cs="Times New Roman"/>
          <w:i/>
          <w:sz w:val="24"/>
          <w:szCs w:val="24"/>
        </w:rPr>
      </w:pPr>
      <w:r w:rsidRPr="00970E96">
        <w:rPr>
          <w:rFonts w:ascii="Times New Roman" w:hAnsi="Times New Roman" w:cs="Times New Roman"/>
          <w:i/>
          <w:sz w:val="24"/>
          <w:szCs w:val="24"/>
        </w:rPr>
        <w:t>Graf č. 5: Porovnanie piatich hlavných okruhov priorít miest v období 2007 - 2013 a 2014 - 2020</w:t>
      </w:r>
    </w:p>
    <w:p w:rsidR="00830652" w:rsidRDefault="00830652" w:rsidP="009B0972">
      <w:pPr>
        <w:jc w:val="both"/>
        <w:rPr>
          <w:rFonts w:ascii="Times New Roman" w:hAnsi="Times New Roman" w:cs="Times New Roman"/>
          <w:sz w:val="24"/>
          <w:szCs w:val="24"/>
        </w:rPr>
      </w:pPr>
      <w:r w:rsidRPr="00570AE0">
        <w:rPr>
          <w:rFonts w:ascii="Times New Roman" w:hAnsi="Times New Roman" w:cs="Times New Roman"/>
          <w:sz w:val="24"/>
          <w:szCs w:val="24"/>
        </w:rPr>
        <w:t>Hlavné zistenia</w:t>
      </w:r>
      <w:r w:rsidR="00C965BD" w:rsidRPr="00570AE0">
        <w:rPr>
          <w:rFonts w:ascii="Times New Roman" w:hAnsi="Times New Roman" w:cs="Times New Roman"/>
          <w:sz w:val="24"/>
          <w:szCs w:val="24"/>
        </w:rPr>
        <w:t xml:space="preserve"> prieskumu</w:t>
      </w:r>
      <w:r w:rsidRPr="00570AE0">
        <w:rPr>
          <w:rFonts w:ascii="Times New Roman" w:hAnsi="Times New Roman" w:cs="Times New Roman"/>
          <w:sz w:val="24"/>
          <w:szCs w:val="24"/>
        </w:rPr>
        <w:t xml:space="preserve">: </w:t>
      </w:r>
    </w:p>
    <w:p w:rsidR="00570AE0" w:rsidRPr="00570AE0" w:rsidRDefault="00570AE0" w:rsidP="009B0972">
      <w:pPr>
        <w:jc w:val="both"/>
        <w:rPr>
          <w:rFonts w:ascii="Times New Roman" w:hAnsi="Times New Roman" w:cs="Times New Roman"/>
          <w:sz w:val="24"/>
          <w:szCs w:val="24"/>
        </w:rPr>
      </w:pPr>
    </w:p>
    <w:p w:rsidR="00830652" w:rsidRPr="00042E63" w:rsidRDefault="00830652" w:rsidP="005A008B">
      <w:pPr>
        <w:pStyle w:val="Odsekzoznamu"/>
        <w:numPr>
          <w:ilvl w:val="0"/>
          <w:numId w:val="1"/>
        </w:numPr>
        <w:autoSpaceDE w:val="0"/>
        <w:autoSpaceDN w:val="0"/>
        <w:adjustRightInd w:val="0"/>
        <w:spacing w:after="56"/>
        <w:jc w:val="both"/>
        <w:rPr>
          <w:rFonts w:ascii="Times New Roman" w:hAnsi="Times New Roman" w:cs="Times New Roman"/>
          <w:color w:val="000000"/>
          <w:sz w:val="24"/>
          <w:szCs w:val="24"/>
        </w:rPr>
      </w:pPr>
      <w:r w:rsidRPr="00042E63">
        <w:rPr>
          <w:rFonts w:ascii="Times New Roman" w:hAnsi="Times New Roman" w:cs="Times New Roman"/>
          <w:color w:val="000000"/>
          <w:sz w:val="24"/>
          <w:szCs w:val="24"/>
        </w:rPr>
        <w:t>mestá</w:t>
      </w:r>
      <w:r w:rsidR="00A607E9" w:rsidRPr="00042E63">
        <w:rPr>
          <w:rFonts w:ascii="Times New Roman" w:hAnsi="Times New Roman" w:cs="Times New Roman"/>
          <w:color w:val="000000"/>
          <w:sz w:val="24"/>
          <w:szCs w:val="24"/>
        </w:rPr>
        <w:t xml:space="preserve"> preferujú investičné priority</w:t>
      </w:r>
      <w:r w:rsidR="005F09F5" w:rsidRPr="00042E63">
        <w:rPr>
          <w:rFonts w:ascii="Times New Roman" w:hAnsi="Times New Roman" w:cs="Times New Roman"/>
          <w:color w:val="000000"/>
          <w:sz w:val="24"/>
          <w:szCs w:val="24"/>
        </w:rPr>
        <w:t xml:space="preserve"> na úkor mäkkých (neinvestičných) projektov</w:t>
      </w:r>
      <w:r w:rsidR="00B47D56" w:rsidRPr="00042E63">
        <w:rPr>
          <w:rFonts w:ascii="Times New Roman" w:hAnsi="Times New Roman" w:cs="Times New Roman"/>
          <w:color w:val="000000"/>
          <w:sz w:val="24"/>
          <w:szCs w:val="24"/>
        </w:rPr>
        <w:t>*</w:t>
      </w:r>
      <w:r w:rsidR="00A607E9" w:rsidRPr="00042E63">
        <w:rPr>
          <w:rFonts w:ascii="Times New Roman" w:hAnsi="Times New Roman" w:cs="Times New Roman"/>
          <w:color w:val="000000"/>
          <w:sz w:val="24"/>
          <w:szCs w:val="24"/>
        </w:rPr>
        <w:t>,</w:t>
      </w:r>
    </w:p>
    <w:p w:rsidR="00830652" w:rsidRPr="00042E63" w:rsidRDefault="00830652" w:rsidP="005A008B">
      <w:pPr>
        <w:pStyle w:val="Odsekzoznamu"/>
        <w:numPr>
          <w:ilvl w:val="0"/>
          <w:numId w:val="1"/>
        </w:numPr>
        <w:autoSpaceDE w:val="0"/>
        <w:autoSpaceDN w:val="0"/>
        <w:adjustRightInd w:val="0"/>
        <w:spacing w:after="56"/>
        <w:jc w:val="both"/>
        <w:rPr>
          <w:rFonts w:ascii="Times New Roman" w:hAnsi="Times New Roman" w:cs="Times New Roman"/>
          <w:color w:val="000000"/>
          <w:sz w:val="24"/>
          <w:szCs w:val="24"/>
        </w:rPr>
      </w:pPr>
      <w:r w:rsidRPr="00042E63">
        <w:rPr>
          <w:rFonts w:ascii="Times New Roman" w:hAnsi="Times New Roman" w:cs="Times New Roman"/>
          <w:color w:val="000000"/>
          <w:sz w:val="24"/>
          <w:szCs w:val="24"/>
        </w:rPr>
        <w:t xml:space="preserve">finančné zdroje EÚ sú primárnymi prostriedkami </w:t>
      </w:r>
      <w:r w:rsidR="00A607E9" w:rsidRPr="00042E63">
        <w:rPr>
          <w:rFonts w:ascii="Times New Roman" w:hAnsi="Times New Roman" w:cs="Times New Roman"/>
          <w:color w:val="000000"/>
          <w:sz w:val="24"/>
          <w:szCs w:val="24"/>
        </w:rPr>
        <w:t>pre financovanie rozvoja miest,</w:t>
      </w:r>
    </w:p>
    <w:p w:rsidR="00CC2804" w:rsidRPr="00042E63" w:rsidRDefault="00CC2804">
      <w:pPr>
        <w:pStyle w:val="Odsekzoznamu"/>
        <w:numPr>
          <w:ilvl w:val="0"/>
          <w:numId w:val="1"/>
        </w:numPr>
        <w:spacing w:before="240" w:after="0" w:line="276" w:lineRule="auto"/>
        <w:jc w:val="both"/>
        <w:rPr>
          <w:rFonts w:ascii="Times New Roman" w:hAnsi="Times New Roman" w:cs="Times New Roman"/>
          <w:sz w:val="24"/>
          <w:szCs w:val="24"/>
        </w:rPr>
      </w:pPr>
      <w:r w:rsidRPr="00042E63">
        <w:rPr>
          <w:rFonts w:ascii="Times New Roman" w:hAnsi="Times New Roman" w:cs="Times New Roman"/>
          <w:sz w:val="24"/>
          <w:szCs w:val="24"/>
        </w:rPr>
        <w:t xml:space="preserve">inovácie a podpora výskumu, ako i adaptácia na </w:t>
      </w:r>
      <w:r w:rsidR="00D4430B">
        <w:rPr>
          <w:rFonts w:ascii="Times New Roman" w:hAnsi="Times New Roman" w:cs="Times New Roman"/>
          <w:sz w:val="24"/>
          <w:szCs w:val="24"/>
        </w:rPr>
        <w:t>nepriaznivé dôsledky zmeny klímy</w:t>
      </w:r>
      <w:r w:rsidR="005A008B">
        <w:rPr>
          <w:rFonts w:ascii="Times New Roman" w:hAnsi="Times New Roman" w:cs="Times New Roman"/>
          <w:sz w:val="24"/>
          <w:szCs w:val="24"/>
        </w:rPr>
        <w:t xml:space="preserve"> </w:t>
      </w:r>
      <w:r w:rsidRPr="00042E63">
        <w:rPr>
          <w:rFonts w:ascii="Times New Roman" w:hAnsi="Times New Roman" w:cs="Times New Roman"/>
          <w:sz w:val="24"/>
          <w:szCs w:val="24"/>
        </w:rPr>
        <w:t>nepatria medzi prioritné témy rozvoja slovenských miest</w:t>
      </w:r>
      <w:r w:rsidR="005A008B" w:rsidRPr="00042E63">
        <w:rPr>
          <w:rFonts w:ascii="Times New Roman" w:hAnsi="Times New Roman" w:cs="Times New Roman"/>
          <w:color w:val="000000"/>
          <w:sz w:val="24"/>
          <w:szCs w:val="24"/>
        </w:rPr>
        <w:t>**</w:t>
      </w:r>
      <w:r w:rsidRPr="00042E63">
        <w:rPr>
          <w:rFonts w:ascii="Times New Roman" w:hAnsi="Times New Roman" w:cs="Times New Roman"/>
          <w:sz w:val="24"/>
          <w:szCs w:val="24"/>
        </w:rPr>
        <w:t>,</w:t>
      </w:r>
    </w:p>
    <w:p w:rsidR="00A607E9" w:rsidRPr="00570AE0" w:rsidRDefault="00A607E9">
      <w:pPr>
        <w:pStyle w:val="Odsekzoznamu"/>
        <w:numPr>
          <w:ilvl w:val="0"/>
          <w:numId w:val="1"/>
        </w:numPr>
        <w:jc w:val="both"/>
        <w:rPr>
          <w:rFonts w:ascii="Times New Roman" w:hAnsi="Times New Roman" w:cs="Times New Roman"/>
          <w:sz w:val="24"/>
          <w:szCs w:val="24"/>
        </w:rPr>
      </w:pPr>
      <w:r w:rsidRPr="00042E63">
        <w:rPr>
          <w:rFonts w:ascii="Times New Roman" w:hAnsi="Times New Roman" w:cs="Times New Roman"/>
          <w:color w:val="000000"/>
          <w:sz w:val="24"/>
          <w:szCs w:val="24"/>
        </w:rPr>
        <w:t>rozšírenie kompetencií vnímajú mestá pozitívne aj napriek nedostatku finančných prostriedkov na ich výkon.</w:t>
      </w:r>
    </w:p>
    <w:p w:rsidR="00570AE0" w:rsidRPr="00570AE0" w:rsidRDefault="00570AE0">
      <w:pPr>
        <w:jc w:val="both"/>
        <w:rPr>
          <w:rFonts w:ascii="Times New Roman" w:hAnsi="Times New Roman" w:cs="Times New Roman"/>
          <w:sz w:val="24"/>
          <w:szCs w:val="24"/>
        </w:rPr>
      </w:pPr>
    </w:p>
    <w:p w:rsidR="00AD30E3" w:rsidRDefault="00B47D56" w:rsidP="009B0972">
      <w:pPr>
        <w:autoSpaceDE w:val="0"/>
        <w:autoSpaceDN w:val="0"/>
        <w:adjustRightInd w:val="0"/>
        <w:spacing w:after="240"/>
        <w:ind w:left="360"/>
        <w:jc w:val="both"/>
        <w:rPr>
          <w:rFonts w:ascii="Times New Roman" w:hAnsi="Times New Roman" w:cs="Times New Roman"/>
          <w:sz w:val="24"/>
          <w:szCs w:val="24"/>
        </w:rPr>
      </w:pPr>
      <w:r w:rsidRPr="00042E63">
        <w:rPr>
          <w:rFonts w:ascii="Times New Roman" w:hAnsi="Times New Roman" w:cs="Times New Roman"/>
          <w:sz w:val="24"/>
          <w:szCs w:val="24"/>
        </w:rPr>
        <w:t>* vysvetlením tohto javu môže byť skutočnosť, že výsledky a návratnosť neinvestičných opatrení sú ťažšie merateľné a cesta k ich dosiahnutiu je dlhšia.</w:t>
      </w:r>
      <w:r w:rsidR="00570AE0">
        <w:rPr>
          <w:rFonts w:ascii="Times New Roman" w:hAnsi="Times New Roman" w:cs="Times New Roman"/>
          <w:sz w:val="24"/>
          <w:szCs w:val="24"/>
        </w:rPr>
        <w:t xml:space="preserve"> </w:t>
      </w:r>
      <w:r w:rsidR="00AD30E3" w:rsidRPr="00042E63">
        <w:rPr>
          <w:rFonts w:ascii="Times New Roman" w:hAnsi="Times New Roman" w:cs="Times New Roman"/>
          <w:sz w:val="24"/>
          <w:szCs w:val="24"/>
        </w:rPr>
        <w:t xml:space="preserve"> </w:t>
      </w:r>
    </w:p>
    <w:p w:rsidR="005A008B" w:rsidRPr="00042E63" w:rsidRDefault="005A008B" w:rsidP="009B0972">
      <w:pPr>
        <w:autoSpaceDE w:val="0"/>
        <w:autoSpaceDN w:val="0"/>
        <w:adjustRightInd w:val="0"/>
        <w:spacing w:after="240"/>
        <w:ind w:left="360"/>
        <w:jc w:val="both"/>
        <w:rPr>
          <w:rFonts w:ascii="Times New Roman" w:hAnsi="Times New Roman" w:cs="Times New Roman"/>
          <w:sz w:val="24"/>
          <w:szCs w:val="24"/>
        </w:rPr>
      </w:pPr>
      <w:r w:rsidRPr="00042E6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sz w:val="24"/>
          <w:szCs w:val="24"/>
        </w:rPr>
        <w:t>zistenie môže byť skreslené prípadnou nízkou informovanosťou miest o podstate adaptačných opatrení na nepriaznivé dôsledky zmeny klímy</w:t>
      </w:r>
      <w:r w:rsidR="002B4EF1">
        <w:rPr>
          <w:rFonts w:ascii="Times New Roman" w:hAnsi="Times New Roman" w:cs="Times New Roman"/>
          <w:sz w:val="24"/>
          <w:szCs w:val="24"/>
        </w:rPr>
        <w:t xml:space="preserve"> (opatrenia, ktoré patria do oblasti adaptácie, ako sú zásobovanie vodou, protipovodňová ochrana, obnova a údržba zelene dosahovali </w:t>
      </w:r>
      <w:r w:rsidR="006A627D">
        <w:rPr>
          <w:rFonts w:ascii="Times New Roman" w:hAnsi="Times New Roman" w:cs="Times New Roman"/>
          <w:sz w:val="24"/>
          <w:szCs w:val="24"/>
        </w:rPr>
        <w:t xml:space="preserve">v prieskume </w:t>
      </w:r>
      <w:r w:rsidR="002B4EF1">
        <w:rPr>
          <w:rFonts w:ascii="Times New Roman" w:hAnsi="Times New Roman" w:cs="Times New Roman"/>
          <w:sz w:val="24"/>
          <w:szCs w:val="24"/>
        </w:rPr>
        <w:t>vyššie stupne priority)</w:t>
      </w:r>
    </w:p>
    <w:sectPr w:rsidR="005A008B" w:rsidRPr="00042E63" w:rsidSect="00970E96">
      <w:headerReference w:type="even" r:id="rId14"/>
      <w:headerReference w:type="default" r:id="rId15"/>
      <w:footerReference w:type="even" r:id="rId16"/>
      <w:footerReference w:type="default" r:id="rId17"/>
      <w:headerReference w:type="first" r:id="rId18"/>
      <w:footerReference w:type="first" r:id="rId19"/>
      <w:pgSz w:w="11906" w:h="16838"/>
      <w:pgMar w:top="1276" w:right="1133" w:bottom="1276" w:left="1417" w:header="284" w:footer="40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362" w:rsidRDefault="00C87362" w:rsidP="00042E63">
      <w:r>
        <w:separator/>
      </w:r>
    </w:p>
  </w:endnote>
  <w:endnote w:type="continuationSeparator" w:id="0">
    <w:p w:rsidR="00C87362" w:rsidRDefault="00C87362" w:rsidP="00042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16" w:rsidRDefault="005A2816">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137572"/>
      <w:docPartObj>
        <w:docPartGallery w:val="Page Numbers (Bottom of Page)"/>
        <w:docPartUnique/>
      </w:docPartObj>
    </w:sdtPr>
    <w:sdtEndPr/>
    <w:sdtContent>
      <w:p w:rsidR="00042E63" w:rsidRDefault="00042E63" w:rsidP="00042E63">
        <w:pPr>
          <w:pStyle w:val="Pta"/>
          <w:jc w:val="right"/>
        </w:pPr>
        <w:r>
          <w:fldChar w:fldCharType="begin"/>
        </w:r>
        <w:r>
          <w:instrText>PAGE   \* MERGEFORMAT</w:instrText>
        </w:r>
        <w:r>
          <w:fldChar w:fldCharType="separate"/>
        </w:r>
        <w:r w:rsidR="009B0972">
          <w:rPr>
            <w:noProof/>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16" w:rsidRDefault="005A281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362" w:rsidRDefault="00C87362" w:rsidP="00042E63">
      <w:r>
        <w:separator/>
      </w:r>
    </w:p>
  </w:footnote>
  <w:footnote w:type="continuationSeparator" w:id="0">
    <w:p w:rsidR="00C87362" w:rsidRDefault="00C87362" w:rsidP="00042E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16" w:rsidRDefault="005A2816">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16" w:rsidRDefault="005A2816">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E63" w:rsidRPr="00042E63" w:rsidRDefault="00042E63" w:rsidP="00042E63">
    <w:pPr>
      <w:pStyle w:val="Hlavika"/>
      <w:rPr>
        <w:rFonts w:ascii="Times New Roman" w:hAnsi="Times New Roman" w:cs="Times New Roman"/>
        <w:sz w:val="24"/>
        <w:szCs w:val="24"/>
      </w:rPr>
    </w:pPr>
    <w:r>
      <w:rPr>
        <w:rFonts w:ascii="Times New Roman" w:hAnsi="Times New Roman" w:cs="Times New Roman"/>
        <w:sz w:val="24"/>
        <w:szCs w:val="24"/>
      </w:rPr>
      <w:t xml:space="preserve">Príloha č. </w:t>
    </w:r>
    <w:r w:rsidR="003D163F">
      <w:rPr>
        <w:rFonts w:ascii="Times New Roman" w:hAnsi="Times New Roman" w:cs="Times New Roman"/>
        <w:sz w:val="24"/>
        <w:szCs w:val="24"/>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2775B"/>
    <w:multiLevelType w:val="multilevel"/>
    <w:tmpl w:val="1208395A"/>
    <w:lvl w:ilvl="0">
      <w:start w:val="1"/>
      <w:numFmt w:val="decimal"/>
      <w:pStyle w:val="Nadpis1"/>
      <w:lvlText w:val="%1"/>
      <w:lvlJc w:val="left"/>
      <w:pPr>
        <w:ind w:left="1000" w:hanging="432"/>
      </w:pPr>
      <w:rPr>
        <w:rFonts w:hint="default"/>
      </w:rPr>
    </w:lvl>
    <w:lvl w:ilvl="1">
      <w:start w:val="1"/>
      <w:numFmt w:val="decimal"/>
      <w:pStyle w:val="Nadpis2"/>
      <w:lvlText w:val="%1.%2"/>
      <w:lvlJc w:val="left"/>
      <w:pPr>
        <w:ind w:left="1284"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695" w:hanging="864"/>
      </w:pPr>
      <w:rPr>
        <w:rFonts w:hint="default"/>
      </w:rPr>
    </w:lvl>
    <w:lvl w:ilvl="4">
      <w:start w:val="1"/>
      <w:numFmt w:val="decimal"/>
      <w:pStyle w:val="Nadpis5"/>
      <w:lvlText w:val="%1.%2.%3.%4.%5"/>
      <w:lvlJc w:val="left"/>
      <w:pPr>
        <w:ind w:left="-551" w:hanging="1008"/>
      </w:pPr>
      <w:rPr>
        <w:rFonts w:hint="default"/>
      </w:rPr>
    </w:lvl>
    <w:lvl w:ilvl="5">
      <w:start w:val="1"/>
      <w:numFmt w:val="decimal"/>
      <w:pStyle w:val="Nadpis6"/>
      <w:lvlText w:val="%1.%2.%3.%4.%5.%6"/>
      <w:lvlJc w:val="left"/>
      <w:pPr>
        <w:ind w:left="-407" w:hanging="1152"/>
      </w:pPr>
      <w:rPr>
        <w:rFonts w:hint="default"/>
      </w:rPr>
    </w:lvl>
    <w:lvl w:ilvl="6">
      <w:start w:val="1"/>
      <w:numFmt w:val="decimal"/>
      <w:pStyle w:val="Nadpis7"/>
      <w:lvlText w:val="%1.%2.%3.%4.%5.%6.%7"/>
      <w:lvlJc w:val="left"/>
      <w:pPr>
        <w:ind w:left="-263" w:hanging="1296"/>
      </w:pPr>
      <w:rPr>
        <w:rFonts w:hint="default"/>
      </w:rPr>
    </w:lvl>
    <w:lvl w:ilvl="7">
      <w:start w:val="1"/>
      <w:numFmt w:val="decimal"/>
      <w:pStyle w:val="Nadpis8"/>
      <w:lvlText w:val="%1.%2.%3.%4.%5.%6.%7.%8"/>
      <w:lvlJc w:val="left"/>
      <w:pPr>
        <w:ind w:left="-119" w:hanging="1440"/>
      </w:pPr>
      <w:rPr>
        <w:rFonts w:hint="default"/>
      </w:rPr>
    </w:lvl>
    <w:lvl w:ilvl="8">
      <w:start w:val="1"/>
      <w:numFmt w:val="decimal"/>
      <w:pStyle w:val="Nadpis9"/>
      <w:lvlText w:val="%1.%2.%3.%4.%5.%6.%7.%8.%9"/>
      <w:lvlJc w:val="left"/>
      <w:pPr>
        <w:ind w:left="25" w:hanging="1584"/>
      </w:pPr>
      <w:rPr>
        <w:rFonts w:hint="default"/>
      </w:rPr>
    </w:lvl>
  </w:abstractNum>
  <w:abstractNum w:abstractNumId="1" w15:restartNumberingAfterBreak="0">
    <w:nsid w:val="57F80722"/>
    <w:multiLevelType w:val="hybridMultilevel"/>
    <w:tmpl w:val="EC22877C"/>
    <w:lvl w:ilvl="0" w:tplc="7B58777A">
      <w:start w:val="5"/>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73624765"/>
    <w:multiLevelType w:val="hybridMultilevel"/>
    <w:tmpl w:val="D22A4A28"/>
    <w:lvl w:ilvl="0" w:tplc="D63667BA">
      <w:numFmt w:val="bullet"/>
      <w:lvlText w:val="-"/>
      <w:lvlJc w:val="left"/>
      <w:pPr>
        <w:ind w:left="720" w:hanging="360"/>
      </w:pPr>
      <w:rPr>
        <w:rFonts w:ascii="Calibri" w:eastAsiaTheme="minorHAnsi" w:hAnsi="Calibri" w:cs="Calibri" w:hint="default"/>
        <w:sz w:val="23"/>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trackRevision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652"/>
    <w:rsid w:val="00042E63"/>
    <w:rsid w:val="00057597"/>
    <w:rsid w:val="00064570"/>
    <w:rsid w:val="000C283D"/>
    <w:rsid w:val="00102398"/>
    <w:rsid w:val="00135DEF"/>
    <w:rsid w:val="0022564F"/>
    <w:rsid w:val="00263EC5"/>
    <w:rsid w:val="00273AA2"/>
    <w:rsid w:val="002769AC"/>
    <w:rsid w:val="002A29B9"/>
    <w:rsid w:val="002B4EF1"/>
    <w:rsid w:val="002C607D"/>
    <w:rsid w:val="002E2FAB"/>
    <w:rsid w:val="00301216"/>
    <w:rsid w:val="00330E8C"/>
    <w:rsid w:val="00341155"/>
    <w:rsid w:val="003438D3"/>
    <w:rsid w:val="00366D52"/>
    <w:rsid w:val="003871AA"/>
    <w:rsid w:val="003D0A48"/>
    <w:rsid w:val="003D163F"/>
    <w:rsid w:val="003D602F"/>
    <w:rsid w:val="00403247"/>
    <w:rsid w:val="00475653"/>
    <w:rsid w:val="00482074"/>
    <w:rsid w:val="004A1638"/>
    <w:rsid w:val="00527259"/>
    <w:rsid w:val="00570AE0"/>
    <w:rsid w:val="005A008B"/>
    <w:rsid w:val="005A2816"/>
    <w:rsid w:val="005B6611"/>
    <w:rsid w:val="005C7908"/>
    <w:rsid w:val="005F09F5"/>
    <w:rsid w:val="005F6E6A"/>
    <w:rsid w:val="00626E8E"/>
    <w:rsid w:val="006347B2"/>
    <w:rsid w:val="006363CA"/>
    <w:rsid w:val="00645BE8"/>
    <w:rsid w:val="006A54FD"/>
    <w:rsid w:val="006A627D"/>
    <w:rsid w:val="006F0AB4"/>
    <w:rsid w:val="0071680B"/>
    <w:rsid w:val="00765371"/>
    <w:rsid w:val="007F2DFF"/>
    <w:rsid w:val="00830652"/>
    <w:rsid w:val="00933ACD"/>
    <w:rsid w:val="00970E96"/>
    <w:rsid w:val="009A4FC8"/>
    <w:rsid w:val="009B0972"/>
    <w:rsid w:val="009D7AE0"/>
    <w:rsid w:val="00A023AB"/>
    <w:rsid w:val="00A25FA7"/>
    <w:rsid w:val="00A607E9"/>
    <w:rsid w:val="00AB7097"/>
    <w:rsid w:val="00AD30E3"/>
    <w:rsid w:val="00B27F96"/>
    <w:rsid w:val="00B43CE9"/>
    <w:rsid w:val="00B47D56"/>
    <w:rsid w:val="00B73B35"/>
    <w:rsid w:val="00BE10FE"/>
    <w:rsid w:val="00C06370"/>
    <w:rsid w:val="00C87362"/>
    <w:rsid w:val="00C965BD"/>
    <w:rsid w:val="00CC2804"/>
    <w:rsid w:val="00D11C97"/>
    <w:rsid w:val="00D13341"/>
    <w:rsid w:val="00D4430B"/>
    <w:rsid w:val="00D73252"/>
    <w:rsid w:val="00D73605"/>
    <w:rsid w:val="00E23E4B"/>
    <w:rsid w:val="00EC40E5"/>
    <w:rsid w:val="00ED3CB3"/>
    <w:rsid w:val="00EE3C9B"/>
    <w:rsid w:val="00EF56B1"/>
    <w:rsid w:val="00F26B28"/>
    <w:rsid w:val="00F32C2E"/>
    <w:rsid w:val="00F97E7A"/>
    <w:rsid w:val="00FB785C"/>
    <w:rsid w:val="00FC687F"/>
    <w:rsid w:val="00FF03F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C4A8196-510A-427B-AD26-2CD8D9157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
    <w:qFormat/>
    <w:rsid w:val="00AD30E3"/>
    <w:pPr>
      <w:keepNext/>
      <w:keepLines/>
      <w:numPr>
        <w:numId w:val="3"/>
      </w:numPr>
      <w:pBdr>
        <w:bottom w:val="single" w:sz="4" w:space="1" w:color="595959" w:themeColor="text1" w:themeTint="A6"/>
      </w:pBdr>
      <w:spacing w:before="360" w:after="160" w:line="259" w:lineRule="auto"/>
      <w:outlineLvl w:val="0"/>
    </w:pPr>
    <w:rPr>
      <w:rFonts w:asciiTheme="majorHAnsi" w:eastAsiaTheme="majorEastAsia" w:hAnsiTheme="majorHAnsi" w:cstheme="majorBidi"/>
      <w:b/>
      <w:bCs/>
      <w:smallCaps/>
      <w:color w:val="000000" w:themeColor="text1"/>
      <w:sz w:val="36"/>
      <w:szCs w:val="36"/>
    </w:rPr>
  </w:style>
  <w:style w:type="paragraph" w:styleId="Nadpis2">
    <w:name w:val="heading 2"/>
    <w:basedOn w:val="Nadpis1"/>
    <w:next w:val="Normlny"/>
    <w:link w:val="Nadpis2Char"/>
    <w:autoRedefine/>
    <w:uiPriority w:val="9"/>
    <w:unhideWhenUsed/>
    <w:qFormat/>
    <w:rsid w:val="00AD30E3"/>
    <w:pPr>
      <w:numPr>
        <w:ilvl w:val="1"/>
      </w:numPr>
      <w:pBdr>
        <w:bottom w:val="none" w:sz="0" w:space="0" w:color="auto"/>
      </w:pBdr>
      <w:spacing w:after="240"/>
      <w:jc w:val="both"/>
      <w:outlineLvl w:val="1"/>
    </w:pPr>
    <w:rPr>
      <w:bCs w:val="0"/>
      <w:smallCaps w:val="0"/>
      <w:sz w:val="28"/>
      <w:szCs w:val="28"/>
    </w:rPr>
  </w:style>
  <w:style w:type="paragraph" w:styleId="Nadpis3">
    <w:name w:val="heading 3"/>
    <w:basedOn w:val="Normlny"/>
    <w:next w:val="Normlny"/>
    <w:link w:val="Nadpis3Char"/>
    <w:uiPriority w:val="9"/>
    <w:unhideWhenUsed/>
    <w:qFormat/>
    <w:rsid w:val="00AD30E3"/>
    <w:pPr>
      <w:keepNext/>
      <w:keepLines/>
      <w:numPr>
        <w:ilvl w:val="2"/>
        <w:numId w:val="3"/>
      </w:numPr>
      <w:spacing w:before="200" w:line="259" w:lineRule="auto"/>
      <w:outlineLvl w:val="2"/>
    </w:pPr>
    <w:rPr>
      <w:rFonts w:asciiTheme="majorHAnsi" w:eastAsiaTheme="majorEastAsia" w:hAnsiTheme="majorHAnsi" w:cstheme="majorBidi"/>
      <w:b/>
      <w:bCs/>
      <w:color w:val="000000" w:themeColor="text1"/>
    </w:rPr>
  </w:style>
  <w:style w:type="paragraph" w:styleId="Nadpis4">
    <w:name w:val="heading 4"/>
    <w:basedOn w:val="Normlny"/>
    <w:next w:val="Normlny"/>
    <w:link w:val="Nadpis4Char"/>
    <w:uiPriority w:val="9"/>
    <w:unhideWhenUsed/>
    <w:qFormat/>
    <w:rsid w:val="00AD30E3"/>
    <w:pPr>
      <w:keepNext/>
      <w:keepLines/>
      <w:numPr>
        <w:ilvl w:val="3"/>
        <w:numId w:val="3"/>
      </w:numPr>
      <w:spacing w:before="200" w:line="259" w:lineRule="auto"/>
      <w:outlineLvl w:val="3"/>
    </w:pPr>
    <w:rPr>
      <w:rFonts w:asciiTheme="majorHAnsi" w:eastAsiaTheme="majorEastAsia" w:hAnsiTheme="majorHAnsi" w:cstheme="majorBidi"/>
      <w:b/>
      <w:bCs/>
      <w:i/>
      <w:iCs/>
      <w:color w:val="000000" w:themeColor="text1"/>
    </w:rPr>
  </w:style>
  <w:style w:type="paragraph" w:styleId="Nadpis5">
    <w:name w:val="heading 5"/>
    <w:basedOn w:val="Normlny"/>
    <w:next w:val="Normlny"/>
    <w:link w:val="Nadpis5Char"/>
    <w:uiPriority w:val="9"/>
    <w:unhideWhenUsed/>
    <w:qFormat/>
    <w:rsid w:val="00AD30E3"/>
    <w:pPr>
      <w:keepNext/>
      <w:keepLines/>
      <w:numPr>
        <w:ilvl w:val="4"/>
        <w:numId w:val="3"/>
      </w:numPr>
      <w:spacing w:before="200" w:line="259" w:lineRule="auto"/>
      <w:outlineLvl w:val="4"/>
    </w:pPr>
    <w:rPr>
      <w:rFonts w:asciiTheme="majorHAnsi" w:eastAsiaTheme="majorEastAsia" w:hAnsiTheme="majorHAnsi" w:cstheme="majorBidi"/>
      <w:color w:val="17365D" w:themeColor="text2" w:themeShade="BF"/>
    </w:rPr>
  </w:style>
  <w:style w:type="paragraph" w:styleId="Nadpis6">
    <w:name w:val="heading 6"/>
    <w:basedOn w:val="Normlny"/>
    <w:next w:val="Normlny"/>
    <w:link w:val="Nadpis6Char"/>
    <w:uiPriority w:val="9"/>
    <w:unhideWhenUsed/>
    <w:qFormat/>
    <w:rsid w:val="00AD30E3"/>
    <w:pPr>
      <w:keepNext/>
      <w:keepLines/>
      <w:numPr>
        <w:ilvl w:val="5"/>
        <w:numId w:val="3"/>
      </w:numPr>
      <w:spacing w:before="200" w:line="259" w:lineRule="auto"/>
      <w:outlineLvl w:val="5"/>
    </w:pPr>
    <w:rPr>
      <w:rFonts w:asciiTheme="majorHAnsi" w:eastAsiaTheme="majorEastAsia" w:hAnsiTheme="majorHAnsi" w:cstheme="majorBidi"/>
      <w:i/>
      <w:iCs/>
      <w:color w:val="17365D" w:themeColor="text2" w:themeShade="BF"/>
    </w:rPr>
  </w:style>
  <w:style w:type="paragraph" w:styleId="Nadpis7">
    <w:name w:val="heading 7"/>
    <w:basedOn w:val="Normlny"/>
    <w:next w:val="Normlny"/>
    <w:link w:val="Nadpis7Char"/>
    <w:uiPriority w:val="9"/>
    <w:unhideWhenUsed/>
    <w:qFormat/>
    <w:rsid w:val="00AD30E3"/>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AD30E3"/>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uiPriority w:val="9"/>
    <w:semiHidden/>
    <w:unhideWhenUsed/>
    <w:qFormat/>
    <w:rsid w:val="00AD30E3"/>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ody,Odsek zoznamu2"/>
    <w:basedOn w:val="Normlny"/>
    <w:link w:val="OdsekzoznamuChar"/>
    <w:uiPriority w:val="34"/>
    <w:qFormat/>
    <w:rsid w:val="00830652"/>
    <w:pPr>
      <w:spacing w:after="160" w:line="259" w:lineRule="auto"/>
      <w:ind w:left="720"/>
      <w:contextualSpacing/>
    </w:pPr>
    <w:rPr>
      <w:rFonts w:eastAsiaTheme="minorEastAsia"/>
    </w:rPr>
  </w:style>
  <w:style w:type="character" w:customStyle="1" w:styleId="OdsekzoznamuChar">
    <w:name w:val="Odsek zoznamu Char"/>
    <w:aliases w:val="body Char,Odsek zoznamu2 Char"/>
    <w:basedOn w:val="Predvolenpsmoodseku"/>
    <w:link w:val="Odsekzoznamu"/>
    <w:uiPriority w:val="34"/>
    <w:locked/>
    <w:rsid w:val="00830652"/>
    <w:rPr>
      <w:rFonts w:eastAsiaTheme="minorEastAsia"/>
    </w:rPr>
  </w:style>
  <w:style w:type="paragraph" w:styleId="Textbubliny">
    <w:name w:val="Balloon Text"/>
    <w:basedOn w:val="Normlny"/>
    <w:link w:val="TextbublinyChar"/>
    <w:uiPriority w:val="99"/>
    <w:semiHidden/>
    <w:unhideWhenUsed/>
    <w:rsid w:val="00C06370"/>
    <w:rPr>
      <w:rFonts w:ascii="Tahoma" w:hAnsi="Tahoma" w:cs="Tahoma"/>
      <w:sz w:val="16"/>
      <w:szCs w:val="16"/>
    </w:rPr>
  </w:style>
  <w:style w:type="character" w:customStyle="1" w:styleId="TextbublinyChar">
    <w:name w:val="Text bubliny Char"/>
    <w:basedOn w:val="Predvolenpsmoodseku"/>
    <w:link w:val="Textbubliny"/>
    <w:uiPriority w:val="99"/>
    <w:semiHidden/>
    <w:rsid w:val="00C06370"/>
    <w:rPr>
      <w:rFonts w:ascii="Tahoma" w:hAnsi="Tahoma" w:cs="Tahoma"/>
      <w:sz w:val="16"/>
      <w:szCs w:val="16"/>
    </w:rPr>
  </w:style>
  <w:style w:type="paragraph" w:customStyle="1" w:styleId="popisky">
    <w:name w:val="popisky"/>
    <w:basedOn w:val="Normlny"/>
    <w:link w:val="popiskyChar"/>
    <w:qFormat/>
    <w:rsid w:val="00C06370"/>
    <w:pPr>
      <w:spacing w:after="200" w:line="276" w:lineRule="auto"/>
      <w:jc w:val="both"/>
    </w:pPr>
    <w:rPr>
      <w:rFonts w:cs="Times New Roman"/>
      <w:i/>
    </w:rPr>
  </w:style>
  <w:style w:type="character" w:customStyle="1" w:styleId="popiskyChar">
    <w:name w:val="popisky Char"/>
    <w:basedOn w:val="Predvolenpsmoodseku"/>
    <w:link w:val="popisky"/>
    <w:rsid w:val="00C06370"/>
    <w:rPr>
      <w:rFonts w:cs="Times New Roman"/>
      <w:i/>
    </w:rPr>
  </w:style>
  <w:style w:type="table" w:styleId="Svetlpodfarbeniezvraznenie1">
    <w:name w:val="Light Shading Accent 1"/>
    <w:basedOn w:val="Normlnatabuka"/>
    <w:uiPriority w:val="60"/>
    <w:rsid w:val="00C06370"/>
    <w:rPr>
      <w:rFonts w:eastAsiaTheme="minorEastAsia"/>
      <w:color w:val="4F81BD" w:themeColor="accent1"/>
      <w:lang w:eastAsia="sk-SK"/>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adpis1Char">
    <w:name w:val="Nadpis 1 Char"/>
    <w:basedOn w:val="Predvolenpsmoodseku"/>
    <w:link w:val="Nadpis1"/>
    <w:uiPriority w:val="9"/>
    <w:rsid w:val="00AD30E3"/>
    <w:rPr>
      <w:rFonts w:asciiTheme="majorHAnsi" w:eastAsiaTheme="majorEastAsia" w:hAnsiTheme="majorHAnsi" w:cstheme="majorBidi"/>
      <w:b/>
      <w:bCs/>
      <w:smallCaps/>
      <w:color w:val="000000" w:themeColor="text1"/>
      <w:sz w:val="36"/>
      <w:szCs w:val="36"/>
    </w:rPr>
  </w:style>
  <w:style w:type="character" w:customStyle="1" w:styleId="Nadpis2Char">
    <w:name w:val="Nadpis 2 Char"/>
    <w:basedOn w:val="Predvolenpsmoodseku"/>
    <w:link w:val="Nadpis2"/>
    <w:uiPriority w:val="9"/>
    <w:rsid w:val="00AD30E3"/>
    <w:rPr>
      <w:rFonts w:asciiTheme="majorHAnsi" w:eastAsiaTheme="majorEastAsia" w:hAnsiTheme="majorHAnsi" w:cstheme="majorBidi"/>
      <w:b/>
      <w:color w:val="000000" w:themeColor="text1"/>
      <w:sz w:val="28"/>
      <w:szCs w:val="28"/>
    </w:rPr>
  </w:style>
  <w:style w:type="character" w:customStyle="1" w:styleId="Nadpis3Char">
    <w:name w:val="Nadpis 3 Char"/>
    <w:basedOn w:val="Predvolenpsmoodseku"/>
    <w:link w:val="Nadpis3"/>
    <w:uiPriority w:val="9"/>
    <w:rsid w:val="00AD30E3"/>
    <w:rPr>
      <w:rFonts w:asciiTheme="majorHAnsi" w:eastAsiaTheme="majorEastAsia" w:hAnsiTheme="majorHAnsi" w:cstheme="majorBidi"/>
      <w:b/>
      <w:bCs/>
      <w:color w:val="000000" w:themeColor="text1"/>
    </w:rPr>
  </w:style>
  <w:style w:type="character" w:customStyle="1" w:styleId="Nadpis4Char">
    <w:name w:val="Nadpis 4 Char"/>
    <w:basedOn w:val="Predvolenpsmoodseku"/>
    <w:link w:val="Nadpis4"/>
    <w:uiPriority w:val="9"/>
    <w:rsid w:val="00AD30E3"/>
    <w:rPr>
      <w:rFonts w:asciiTheme="majorHAnsi" w:eastAsiaTheme="majorEastAsia" w:hAnsiTheme="majorHAnsi" w:cstheme="majorBidi"/>
      <w:b/>
      <w:bCs/>
      <w:i/>
      <w:iCs/>
      <w:color w:val="000000" w:themeColor="text1"/>
    </w:rPr>
  </w:style>
  <w:style w:type="character" w:customStyle="1" w:styleId="Nadpis5Char">
    <w:name w:val="Nadpis 5 Char"/>
    <w:basedOn w:val="Predvolenpsmoodseku"/>
    <w:link w:val="Nadpis5"/>
    <w:uiPriority w:val="9"/>
    <w:rsid w:val="00AD30E3"/>
    <w:rPr>
      <w:rFonts w:asciiTheme="majorHAnsi" w:eastAsiaTheme="majorEastAsia" w:hAnsiTheme="majorHAnsi" w:cstheme="majorBidi"/>
      <w:color w:val="17365D" w:themeColor="text2" w:themeShade="BF"/>
    </w:rPr>
  </w:style>
  <w:style w:type="character" w:customStyle="1" w:styleId="Nadpis6Char">
    <w:name w:val="Nadpis 6 Char"/>
    <w:basedOn w:val="Predvolenpsmoodseku"/>
    <w:link w:val="Nadpis6"/>
    <w:uiPriority w:val="9"/>
    <w:rsid w:val="00AD30E3"/>
    <w:rPr>
      <w:rFonts w:asciiTheme="majorHAnsi" w:eastAsiaTheme="majorEastAsia" w:hAnsiTheme="majorHAnsi" w:cstheme="majorBidi"/>
      <w:i/>
      <w:iCs/>
      <w:color w:val="17365D" w:themeColor="text2" w:themeShade="BF"/>
    </w:rPr>
  </w:style>
  <w:style w:type="character" w:customStyle="1" w:styleId="Nadpis7Char">
    <w:name w:val="Nadpis 7 Char"/>
    <w:basedOn w:val="Predvolenpsmoodseku"/>
    <w:link w:val="Nadpis7"/>
    <w:uiPriority w:val="9"/>
    <w:rsid w:val="00AD30E3"/>
    <w:rPr>
      <w:rFonts w:asciiTheme="majorHAnsi" w:eastAsiaTheme="majorEastAsia" w:hAnsiTheme="majorHAnsi" w:cstheme="majorBidi"/>
      <w:i/>
      <w:iCs/>
      <w:color w:val="404040" w:themeColor="text1" w:themeTint="BF"/>
    </w:rPr>
  </w:style>
  <w:style w:type="character" w:customStyle="1" w:styleId="Nadpis8Char">
    <w:name w:val="Nadpis 8 Char"/>
    <w:basedOn w:val="Predvolenpsmoodseku"/>
    <w:link w:val="Nadpis8"/>
    <w:uiPriority w:val="9"/>
    <w:semiHidden/>
    <w:rsid w:val="00AD30E3"/>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Predvolenpsmoodseku"/>
    <w:link w:val="Nadpis9"/>
    <w:uiPriority w:val="9"/>
    <w:semiHidden/>
    <w:rsid w:val="00AD30E3"/>
    <w:rPr>
      <w:rFonts w:asciiTheme="majorHAnsi" w:eastAsiaTheme="majorEastAsia" w:hAnsiTheme="majorHAnsi" w:cstheme="majorBidi"/>
      <w:i/>
      <w:iCs/>
      <w:color w:val="404040" w:themeColor="text1" w:themeTint="BF"/>
      <w:sz w:val="20"/>
      <w:szCs w:val="20"/>
    </w:rPr>
  </w:style>
  <w:style w:type="paragraph" w:styleId="Hlavika">
    <w:name w:val="header"/>
    <w:basedOn w:val="Normlny"/>
    <w:link w:val="HlavikaChar"/>
    <w:uiPriority w:val="99"/>
    <w:unhideWhenUsed/>
    <w:rsid w:val="00042E63"/>
    <w:pPr>
      <w:tabs>
        <w:tab w:val="center" w:pos="4536"/>
        <w:tab w:val="right" w:pos="9072"/>
      </w:tabs>
    </w:pPr>
  </w:style>
  <w:style w:type="character" w:customStyle="1" w:styleId="HlavikaChar">
    <w:name w:val="Hlavička Char"/>
    <w:basedOn w:val="Predvolenpsmoodseku"/>
    <w:link w:val="Hlavika"/>
    <w:uiPriority w:val="99"/>
    <w:rsid w:val="00042E63"/>
  </w:style>
  <w:style w:type="paragraph" w:styleId="Pta">
    <w:name w:val="footer"/>
    <w:basedOn w:val="Normlny"/>
    <w:link w:val="PtaChar"/>
    <w:uiPriority w:val="99"/>
    <w:unhideWhenUsed/>
    <w:rsid w:val="00042E63"/>
    <w:pPr>
      <w:tabs>
        <w:tab w:val="center" w:pos="4536"/>
        <w:tab w:val="right" w:pos="9072"/>
      </w:tabs>
    </w:pPr>
  </w:style>
  <w:style w:type="character" w:customStyle="1" w:styleId="PtaChar">
    <w:name w:val="Päta Char"/>
    <w:basedOn w:val="Predvolenpsmoodseku"/>
    <w:link w:val="Pta"/>
    <w:uiPriority w:val="99"/>
    <w:rsid w:val="00042E63"/>
  </w:style>
  <w:style w:type="paragraph" w:styleId="Normlnywebov">
    <w:name w:val="Normal (Web)"/>
    <w:basedOn w:val="Normlny"/>
    <w:uiPriority w:val="99"/>
    <w:semiHidden/>
    <w:unhideWhenUsed/>
    <w:rsid w:val="00970E96"/>
    <w:pPr>
      <w:spacing w:before="100" w:beforeAutospacing="1" w:after="100" w:afterAutospacing="1"/>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87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5.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ejdosova\AppData\Local\Microsoft\Windows\Temporary%20Internet%20Files\Content.Outlook\GFSWRKC3\DOTAZNIK%20C%20(odpovede)%20abeced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ejdosova\AppData\Local\Microsoft\Windows\Temporary%20Internet%20Files\Content.Outlook\GFSWRKC3\DOTAZNIK%20C%20(odpovede)%20abeced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kumenty\podklady%20politiky%20mestsk&#233;ho%20rozvoja\DOTAZNIK\VYHODNOTENIE\lucia\K&#243;pia%20-%20DOTAZNIK%20C%20(odpovede)%20abeced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dotazn&#237;kov&#253;%20prieskum\spracovan&#233;\DOTAZNIK%20B%20(odpoved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ospisova\Desktop\dotazn&#237;kov&#253;%20prieskum\spracovan&#233;\priority%20-%20investi&#269;n&#233;,%20neivesti&#269;n&#23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sk-SK" sz="1100"/>
              <a:t>Pri príprave rozvojových projektov mestá zohľadňujú:</a:t>
            </a:r>
          </a:p>
        </c:rich>
      </c:tx>
      <c:layout/>
      <c:overlay val="0"/>
    </c:title>
    <c:autoTitleDeleted val="0"/>
    <c:plotArea>
      <c:layout/>
      <c:areaChart>
        <c:grouping val="stacked"/>
        <c:varyColors val="0"/>
        <c:ser>
          <c:idx val="0"/>
          <c:order val="0"/>
          <c:tx>
            <c:v>PHSR a iné strategické rozvojové dokumenty mesta</c:v>
          </c:tx>
          <c:cat>
            <c:strRef>
              <c:f>'Odpovede z formulára'!$DU$111:$DU$115</c:f>
              <c:strCache>
                <c:ptCount val="5"/>
                <c:pt idx="0">
                  <c:v>1</c:v>
                </c:pt>
                <c:pt idx="1">
                  <c:v>2</c:v>
                </c:pt>
                <c:pt idx="2">
                  <c:v>3</c:v>
                </c:pt>
                <c:pt idx="3">
                  <c:v>4</c:v>
                </c:pt>
                <c:pt idx="4">
                  <c:v>neuviedli</c:v>
                </c:pt>
              </c:strCache>
            </c:strRef>
          </c:cat>
          <c:val>
            <c:numRef>
              <c:f>'Odpovede z formulára'!$DV$111:$DV$115</c:f>
              <c:numCache>
                <c:formatCode>General</c:formatCode>
                <c:ptCount val="5"/>
                <c:pt idx="0">
                  <c:v>27</c:v>
                </c:pt>
                <c:pt idx="1">
                  <c:v>39</c:v>
                </c:pt>
                <c:pt idx="2">
                  <c:v>35</c:v>
                </c:pt>
                <c:pt idx="3">
                  <c:v>5</c:v>
                </c:pt>
                <c:pt idx="4">
                  <c:v>2</c:v>
                </c:pt>
              </c:numCache>
            </c:numRef>
          </c:val>
        </c:ser>
        <c:ser>
          <c:idx val="1"/>
          <c:order val="1"/>
          <c:tx>
            <c:v>aktuálne výzvy</c:v>
          </c:tx>
          <c:cat>
            <c:strRef>
              <c:f>'Odpovede z formulára'!$DU$111:$DU$115</c:f>
              <c:strCache>
                <c:ptCount val="5"/>
                <c:pt idx="0">
                  <c:v>1</c:v>
                </c:pt>
                <c:pt idx="1">
                  <c:v>2</c:v>
                </c:pt>
                <c:pt idx="2">
                  <c:v>3</c:v>
                </c:pt>
                <c:pt idx="3">
                  <c:v>4</c:v>
                </c:pt>
                <c:pt idx="4">
                  <c:v>neuviedli</c:v>
                </c:pt>
              </c:strCache>
            </c:strRef>
          </c:cat>
          <c:val>
            <c:numRef>
              <c:f>'Odpovede z formulára'!$DW$111:$DW$115</c:f>
              <c:numCache>
                <c:formatCode>General</c:formatCode>
                <c:ptCount val="5"/>
                <c:pt idx="0">
                  <c:v>64</c:v>
                </c:pt>
                <c:pt idx="1">
                  <c:v>28</c:v>
                </c:pt>
                <c:pt idx="2">
                  <c:v>13</c:v>
                </c:pt>
                <c:pt idx="3">
                  <c:v>1</c:v>
                </c:pt>
                <c:pt idx="4">
                  <c:v>2</c:v>
                </c:pt>
              </c:numCache>
            </c:numRef>
          </c:val>
        </c:ser>
        <c:ser>
          <c:idx val="2"/>
          <c:order val="2"/>
          <c:tx>
            <c:v>výšku disponibilných finančných zdrojov mesta</c:v>
          </c:tx>
          <c:cat>
            <c:strRef>
              <c:f>'Odpovede z formulára'!$DU$111:$DU$115</c:f>
              <c:strCache>
                <c:ptCount val="5"/>
                <c:pt idx="0">
                  <c:v>1</c:v>
                </c:pt>
                <c:pt idx="1">
                  <c:v>2</c:v>
                </c:pt>
                <c:pt idx="2">
                  <c:v>3</c:v>
                </c:pt>
                <c:pt idx="3">
                  <c:v>4</c:v>
                </c:pt>
                <c:pt idx="4">
                  <c:v>neuviedli</c:v>
                </c:pt>
              </c:strCache>
            </c:strRef>
          </c:cat>
          <c:val>
            <c:numRef>
              <c:f>'Odpovede z formulára'!$DX$111:$DX$115</c:f>
              <c:numCache>
                <c:formatCode>General</c:formatCode>
                <c:ptCount val="5"/>
                <c:pt idx="0">
                  <c:v>39</c:v>
                </c:pt>
                <c:pt idx="1">
                  <c:v>37</c:v>
                </c:pt>
                <c:pt idx="2">
                  <c:v>25</c:v>
                </c:pt>
                <c:pt idx="3">
                  <c:v>4</c:v>
                </c:pt>
                <c:pt idx="4">
                  <c:v>3</c:v>
                </c:pt>
              </c:numCache>
            </c:numRef>
          </c:val>
        </c:ser>
        <c:ser>
          <c:idx val="3"/>
          <c:order val="3"/>
          <c:tx>
            <c:v>iné</c:v>
          </c:tx>
          <c:cat>
            <c:strRef>
              <c:f>'Odpovede z formulára'!$DU$111:$DU$115</c:f>
              <c:strCache>
                <c:ptCount val="5"/>
                <c:pt idx="0">
                  <c:v>1</c:v>
                </c:pt>
                <c:pt idx="1">
                  <c:v>2</c:v>
                </c:pt>
                <c:pt idx="2">
                  <c:v>3</c:v>
                </c:pt>
                <c:pt idx="3">
                  <c:v>4</c:v>
                </c:pt>
                <c:pt idx="4">
                  <c:v>neuviedli</c:v>
                </c:pt>
              </c:strCache>
            </c:strRef>
          </c:cat>
          <c:val>
            <c:numRef>
              <c:f>'Odpovede z formulára'!$DY$111:$DY$115</c:f>
              <c:numCache>
                <c:formatCode>General</c:formatCode>
                <c:ptCount val="5"/>
                <c:pt idx="0">
                  <c:v>6</c:v>
                </c:pt>
                <c:pt idx="1">
                  <c:v>1</c:v>
                </c:pt>
                <c:pt idx="2">
                  <c:v>3</c:v>
                </c:pt>
                <c:pt idx="3">
                  <c:v>39</c:v>
                </c:pt>
                <c:pt idx="4">
                  <c:v>59</c:v>
                </c:pt>
              </c:numCache>
            </c:numRef>
          </c:val>
        </c:ser>
        <c:dLbls>
          <c:showLegendKey val="0"/>
          <c:showVal val="0"/>
          <c:showCatName val="0"/>
          <c:showSerName val="0"/>
          <c:showPercent val="0"/>
          <c:showBubbleSize val="0"/>
        </c:dLbls>
        <c:axId val="266052488"/>
        <c:axId val="266051704"/>
      </c:areaChart>
      <c:catAx>
        <c:axId val="266052488"/>
        <c:scaling>
          <c:orientation val="minMax"/>
        </c:scaling>
        <c:delete val="0"/>
        <c:axPos val="b"/>
        <c:numFmt formatCode="General" sourceLinked="0"/>
        <c:majorTickMark val="out"/>
        <c:minorTickMark val="none"/>
        <c:tickLblPos val="nextTo"/>
        <c:crossAx val="266051704"/>
        <c:crosses val="autoZero"/>
        <c:auto val="1"/>
        <c:lblAlgn val="ctr"/>
        <c:lblOffset val="100"/>
        <c:noMultiLvlLbl val="0"/>
      </c:catAx>
      <c:valAx>
        <c:axId val="266051704"/>
        <c:scaling>
          <c:orientation val="minMax"/>
          <c:max val="140"/>
        </c:scaling>
        <c:delete val="0"/>
        <c:axPos val="l"/>
        <c:majorGridlines/>
        <c:numFmt formatCode="General" sourceLinked="1"/>
        <c:majorTickMark val="out"/>
        <c:minorTickMark val="none"/>
        <c:tickLblPos val="nextTo"/>
        <c:crossAx val="266052488"/>
        <c:crosses val="autoZero"/>
        <c:crossBetween val="midCat"/>
      </c:valAx>
    </c:plotArea>
    <c:legend>
      <c:legendPos val="r"/>
      <c:layout>
        <c:manualLayout>
          <c:xMode val="edge"/>
          <c:yMode val="edge"/>
          <c:x val="0.63758258960491854"/>
          <c:y val="0.28365972431710307"/>
          <c:w val="0.34302796914178058"/>
          <c:h val="0.53158381034632407"/>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sk-SK" sz="1100"/>
              <a:t>Ako vznikajú rozhodnutia o rozvojových a investičných projektoch mesta?</a:t>
            </a:r>
          </a:p>
        </c:rich>
      </c:tx>
      <c:layout>
        <c:manualLayout>
          <c:xMode val="edge"/>
          <c:yMode val="edge"/>
          <c:x val="0.11958329951024163"/>
          <c:y val="0"/>
        </c:manualLayout>
      </c:layout>
      <c:overlay val="0"/>
    </c:title>
    <c:autoTitleDeleted val="0"/>
    <c:plotArea>
      <c:layout/>
      <c:areaChart>
        <c:grouping val="stacked"/>
        <c:varyColors val="0"/>
        <c:ser>
          <c:idx val="0"/>
          <c:order val="0"/>
          <c:tx>
            <c:v>vyplývajú z plnenia kompetencií mesta</c:v>
          </c:tx>
          <c:cat>
            <c:strRef>
              <c:f>'Odpovede z formulára'!$B$111:$B$115</c:f>
              <c:strCache>
                <c:ptCount val="5"/>
                <c:pt idx="0">
                  <c:v>1</c:v>
                </c:pt>
                <c:pt idx="1">
                  <c:v>2</c:v>
                </c:pt>
                <c:pt idx="2">
                  <c:v>3</c:v>
                </c:pt>
                <c:pt idx="3">
                  <c:v>4</c:v>
                </c:pt>
                <c:pt idx="4">
                  <c:v>neuviedli</c:v>
                </c:pt>
              </c:strCache>
            </c:strRef>
          </c:cat>
          <c:val>
            <c:numRef>
              <c:f>'Odpovede z formulára'!$C$111:$C$115</c:f>
              <c:numCache>
                <c:formatCode>General</c:formatCode>
                <c:ptCount val="5"/>
                <c:pt idx="0">
                  <c:v>51</c:v>
                </c:pt>
                <c:pt idx="1">
                  <c:v>39</c:v>
                </c:pt>
                <c:pt idx="2">
                  <c:v>11</c:v>
                </c:pt>
                <c:pt idx="3">
                  <c:v>1</c:v>
                </c:pt>
                <c:pt idx="4">
                  <c:v>6</c:v>
                </c:pt>
              </c:numCache>
            </c:numRef>
          </c:val>
        </c:ser>
        <c:ser>
          <c:idx val="1"/>
          <c:order val="1"/>
          <c:tx>
            <c:v>iniciované sú volenými predstaviteľmi mesta</c:v>
          </c:tx>
          <c:cat>
            <c:strRef>
              <c:f>'Odpovede z formulára'!$B$111:$B$115</c:f>
              <c:strCache>
                <c:ptCount val="5"/>
                <c:pt idx="0">
                  <c:v>1</c:v>
                </c:pt>
                <c:pt idx="1">
                  <c:v>2</c:v>
                </c:pt>
                <c:pt idx="2">
                  <c:v>3</c:v>
                </c:pt>
                <c:pt idx="3">
                  <c:v>4</c:v>
                </c:pt>
                <c:pt idx="4">
                  <c:v>neuviedli</c:v>
                </c:pt>
              </c:strCache>
            </c:strRef>
          </c:cat>
          <c:val>
            <c:numRef>
              <c:f>'Odpovede z formulára'!$D$111:$D$115</c:f>
              <c:numCache>
                <c:formatCode>General</c:formatCode>
                <c:ptCount val="5"/>
                <c:pt idx="0">
                  <c:v>53</c:v>
                </c:pt>
                <c:pt idx="1">
                  <c:v>42</c:v>
                </c:pt>
                <c:pt idx="2">
                  <c:v>6</c:v>
                </c:pt>
                <c:pt idx="3">
                  <c:v>1</c:v>
                </c:pt>
                <c:pt idx="4">
                  <c:v>6</c:v>
                </c:pt>
              </c:numCache>
            </c:numRef>
          </c:val>
        </c:ser>
        <c:ser>
          <c:idx val="2"/>
          <c:order val="2"/>
          <c:tx>
            <c:v>vyplývajú z expertných odporučení</c:v>
          </c:tx>
          <c:cat>
            <c:strRef>
              <c:f>'Odpovede z formulára'!$B$111:$B$115</c:f>
              <c:strCache>
                <c:ptCount val="5"/>
                <c:pt idx="0">
                  <c:v>1</c:v>
                </c:pt>
                <c:pt idx="1">
                  <c:v>2</c:v>
                </c:pt>
                <c:pt idx="2">
                  <c:v>3</c:v>
                </c:pt>
                <c:pt idx="3">
                  <c:v>4</c:v>
                </c:pt>
                <c:pt idx="4">
                  <c:v>neuviedli</c:v>
                </c:pt>
              </c:strCache>
            </c:strRef>
          </c:cat>
          <c:val>
            <c:numRef>
              <c:f>'Odpovede z formulára'!$E$111:$E$115</c:f>
              <c:numCache>
                <c:formatCode>General</c:formatCode>
                <c:ptCount val="5"/>
                <c:pt idx="0">
                  <c:v>3</c:v>
                </c:pt>
                <c:pt idx="1">
                  <c:v>16</c:v>
                </c:pt>
                <c:pt idx="2">
                  <c:v>53</c:v>
                </c:pt>
                <c:pt idx="3">
                  <c:v>28</c:v>
                </c:pt>
                <c:pt idx="4">
                  <c:v>8</c:v>
                </c:pt>
              </c:numCache>
            </c:numRef>
          </c:val>
        </c:ser>
        <c:ser>
          <c:idx val="3"/>
          <c:order val="3"/>
          <c:tx>
            <c:v>inak</c:v>
          </c:tx>
          <c:cat>
            <c:strRef>
              <c:f>'Odpovede z formulára'!$B$111:$B$115</c:f>
              <c:strCache>
                <c:ptCount val="5"/>
                <c:pt idx="0">
                  <c:v>1</c:v>
                </c:pt>
                <c:pt idx="1">
                  <c:v>2</c:v>
                </c:pt>
                <c:pt idx="2">
                  <c:v>3</c:v>
                </c:pt>
                <c:pt idx="3">
                  <c:v>4</c:v>
                </c:pt>
                <c:pt idx="4">
                  <c:v>neuviedli</c:v>
                </c:pt>
              </c:strCache>
            </c:strRef>
          </c:cat>
          <c:val>
            <c:numRef>
              <c:f>'Odpovede z formulára'!$F$111:$F$115</c:f>
              <c:numCache>
                <c:formatCode>General</c:formatCode>
                <c:ptCount val="5"/>
                <c:pt idx="0">
                  <c:v>4</c:v>
                </c:pt>
                <c:pt idx="1">
                  <c:v>4</c:v>
                </c:pt>
                <c:pt idx="2">
                  <c:v>12</c:v>
                </c:pt>
                <c:pt idx="3">
                  <c:v>46</c:v>
                </c:pt>
                <c:pt idx="4">
                  <c:v>42</c:v>
                </c:pt>
              </c:numCache>
            </c:numRef>
          </c:val>
        </c:ser>
        <c:dLbls>
          <c:showLegendKey val="0"/>
          <c:showVal val="0"/>
          <c:showCatName val="0"/>
          <c:showSerName val="0"/>
          <c:showPercent val="0"/>
          <c:showBubbleSize val="0"/>
        </c:dLbls>
        <c:axId val="266052880"/>
        <c:axId val="266053272"/>
      </c:areaChart>
      <c:catAx>
        <c:axId val="266052880"/>
        <c:scaling>
          <c:orientation val="minMax"/>
        </c:scaling>
        <c:delete val="0"/>
        <c:axPos val="b"/>
        <c:numFmt formatCode="General" sourceLinked="0"/>
        <c:majorTickMark val="out"/>
        <c:minorTickMark val="none"/>
        <c:tickLblPos val="nextTo"/>
        <c:crossAx val="266053272"/>
        <c:crosses val="autoZero"/>
        <c:auto val="1"/>
        <c:lblAlgn val="ctr"/>
        <c:lblOffset val="100"/>
        <c:noMultiLvlLbl val="0"/>
      </c:catAx>
      <c:valAx>
        <c:axId val="266053272"/>
        <c:scaling>
          <c:orientation val="minMax"/>
        </c:scaling>
        <c:delete val="0"/>
        <c:axPos val="l"/>
        <c:majorGridlines/>
        <c:numFmt formatCode="General" sourceLinked="1"/>
        <c:majorTickMark val="out"/>
        <c:minorTickMark val="none"/>
        <c:tickLblPos val="nextTo"/>
        <c:crossAx val="266052880"/>
        <c:crosses val="autoZero"/>
        <c:crossBetween val="midCat"/>
      </c:valAx>
    </c:plotArea>
    <c:legend>
      <c:legendPos val="r"/>
      <c:layout>
        <c:manualLayout>
          <c:xMode val="edge"/>
          <c:yMode val="edge"/>
          <c:x val="0.64799266412092149"/>
          <c:y val="0.28313349433519597"/>
          <c:w val="0.33261788421881927"/>
          <c:h val="0.50260832027141933"/>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sk-SK" sz="1100"/>
              <a:t>Z akých finančných prostriedkov sú realizované rozvojové aktivity mesta?</a:t>
            </a:r>
          </a:p>
        </c:rich>
      </c:tx>
      <c:layout>
        <c:manualLayout>
          <c:xMode val="edge"/>
          <c:yMode val="edge"/>
          <c:x val="0.13088730561936007"/>
          <c:y val="3.3482142857142856E-2"/>
        </c:manualLayout>
      </c:layout>
      <c:overlay val="0"/>
    </c:title>
    <c:autoTitleDeleted val="0"/>
    <c:plotArea>
      <c:layout/>
      <c:areaChart>
        <c:grouping val="stacked"/>
        <c:varyColors val="0"/>
        <c:ser>
          <c:idx val="0"/>
          <c:order val="0"/>
          <c:tx>
            <c:strRef>
              <c:f>'Odpovede z formulára'!$EF$122</c:f>
              <c:strCache>
                <c:ptCount val="1"/>
                <c:pt idx="0">
                  <c:v>vlastné finančné prostriedky mesta</c:v>
                </c:pt>
              </c:strCache>
            </c:strRef>
          </c:tx>
          <c:val>
            <c:numRef>
              <c:f>'Odpovede z formulára'!$EA$111:$EA$116</c:f>
              <c:numCache>
                <c:formatCode>General</c:formatCode>
                <c:ptCount val="6"/>
                <c:pt idx="0">
                  <c:v>36</c:v>
                </c:pt>
                <c:pt idx="1">
                  <c:v>26</c:v>
                </c:pt>
                <c:pt idx="2">
                  <c:v>28</c:v>
                </c:pt>
                <c:pt idx="3">
                  <c:v>14</c:v>
                </c:pt>
                <c:pt idx="4">
                  <c:v>3</c:v>
                </c:pt>
                <c:pt idx="5">
                  <c:v>1</c:v>
                </c:pt>
              </c:numCache>
            </c:numRef>
          </c:val>
        </c:ser>
        <c:ser>
          <c:idx val="1"/>
          <c:order val="1"/>
          <c:tx>
            <c:strRef>
              <c:f>'Odpovede z formulára'!$EF$123</c:f>
              <c:strCache>
                <c:ptCount val="1"/>
                <c:pt idx="0">
                  <c:v> úverové prostriedky</c:v>
                </c:pt>
              </c:strCache>
            </c:strRef>
          </c:tx>
          <c:val>
            <c:numRef>
              <c:f>'Odpovede z formulára'!$EB$111:$EB$116</c:f>
              <c:numCache>
                <c:formatCode>General</c:formatCode>
                <c:ptCount val="6"/>
                <c:pt idx="0">
                  <c:v>15</c:v>
                </c:pt>
                <c:pt idx="1">
                  <c:v>28</c:v>
                </c:pt>
                <c:pt idx="2">
                  <c:v>20</c:v>
                </c:pt>
                <c:pt idx="3">
                  <c:v>37</c:v>
                </c:pt>
                <c:pt idx="4">
                  <c:v>5</c:v>
                </c:pt>
                <c:pt idx="5">
                  <c:v>3</c:v>
                </c:pt>
              </c:numCache>
            </c:numRef>
          </c:val>
        </c:ser>
        <c:ser>
          <c:idx val="2"/>
          <c:order val="2"/>
          <c:tx>
            <c:strRef>
              <c:f>'Odpovede z formulára'!$EF$124</c:f>
              <c:strCache>
                <c:ptCount val="1"/>
                <c:pt idx="0">
                  <c:v>štátne dotácie</c:v>
                </c:pt>
              </c:strCache>
            </c:strRef>
          </c:tx>
          <c:val>
            <c:numRef>
              <c:f>'Odpovede z formulára'!$EC$111:$EC$116</c:f>
              <c:numCache>
                <c:formatCode>General</c:formatCode>
                <c:ptCount val="6"/>
                <c:pt idx="0">
                  <c:v>11</c:v>
                </c:pt>
                <c:pt idx="1">
                  <c:v>37</c:v>
                </c:pt>
                <c:pt idx="2">
                  <c:v>37</c:v>
                </c:pt>
                <c:pt idx="3">
                  <c:v>18</c:v>
                </c:pt>
                <c:pt idx="4">
                  <c:v>2</c:v>
                </c:pt>
                <c:pt idx="5">
                  <c:v>3</c:v>
                </c:pt>
              </c:numCache>
            </c:numRef>
          </c:val>
        </c:ser>
        <c:ser>
          <c:idx val="3"/>
          <c:order val="3"/>
          <c:tx>
            <c:strRef>
              <c:f>'Odpovede z formulára'!$EF$125</c:f>
              <c:strCache>
                <c:ptCount val="1"/>
                <c:pt idx="0">
                  <c:v>finančné zdroje z  fondov EÚ</c:v>
                </c:pt>
              </c:strCache>
            </c:strRef>
          </c:tx>
          <c:val>
            <c:numRef>
              <c:f>'Odpovede z formulára'!$ED$111:$ED$116</c:f>
              <c:numCache>
                <c:formatCode>General</c:formatCode>
                <c:ptCount val="6"/>
                <c:pt idx="0">
                  <c:v>59</c:v>
                </c:pt>
                <c:pt idx="1">
                  <c:v>32</c:v>
                </c:pt>
                <c:pt idx="2">
                  <c:v>10</c:v>
                </c:pt>
                <c:pt idx="3">
                  <c:v>5</c:v>
                </c:pt>
                <c:pt idx="4">
                  <c:v>1</c:v>
                </c:pt>
                <c:pt idx="5">
                  <c:v>1</c:v>
                </c:pt>
              </c:numCache>
            </c:numRef>
          </c:val>
        </c:ser>
        <c:ser>
          <c:idx val="4"/>
          <c:order val="4"/>
          <c:tx>
            <c:strRef>
              <c:f>'Odpovede z formulára'!$EF$126</c:f>
              <c:strCache>
                <c:ptCount val="1"/>
                <c:pt idx="0">
                  <c:v> Iné</c:v>
                </c:pt>
              </c:strCache>
            </c:strRef>
          </c:tx>
          <c:val>
            <c:numRef>
              <c:f>'Odpovede z formulára'!$EE$111:$EE$116</c:f>
              <c:numCache>
                <c:formatCode>General</c:formatCode>
                <c:ptCount val="6"/>
                <c:pt idx="0">
                  <c:v>1</c:v>
                </c:pt>
                <c:pt idx="1">
                  <c:v>0</c:v>
                </c:pt>
                <c:pt idx="2">
                  <c:v>1</c:v>
                </c:pt>
                <c:pt idx="3">
                  <c:v>4</c:v>
                </c:pt>
                <c:pt idx="4">
                  <c:v>38</c:v>
                </c:pt>
                <c:pt idx="5">
                  <c:v>64</c:v>
                </c:pt>
              </c:numCache>
            </c:numRef>
          </c:val>
        </c:ser>
        <c:dLbls>
          <c:showLegendKey val="0"/>
          <c:showVal val="0"/>
          <c:showCatName val="0"/>
          <c:showSerName val="0"/>
          <c:showPercent val="0"/>
          <c:showBubbleSize val="0"/>
        </c:dLbls>
        <c:axId val="266053664"/>
        <c:axId val="266054056"/>
      </c:areaChart>
      <c:catAx>
        <c:axId val="266053664"/>
        <c:scaling>
          <c:orientation val="minMax"/>
        </c:scaling>
        <c:delete val="0"/>
        <c:axPos val="b"/>
        <c:majorTickMark val="none"/>
        <c:minorTickMark val="none"/>
        <c:tickLblPos val="nextTo"/>
        <c:crossAx val="266054056"/>
        <c:crosses val="autoZero"/>
        <c:auto val="1"/>
        <c:lblAlgn val="ctr"/>
        <c:lblOffset val="100"/>
        <c:noMultiLvlLbl val="0"/>
      </c:catAx>
      <c:valAx>
        <c:axId val="266054056"/>
        <c:scaling>
          <c:orientation val="minMax"/>
        </c:scaling>
        <c:delete val="0"/>
        <c:axPos val="l"/>
        <c:majorGridlines/>
        <c:numFmt formatCode="General" sourceLinked="1"/>
        <c:majorTickMark val="none"/>
        <c:minorTickMark val="none"/>
        <c:tickLblPos val="nextTo"/>
        <c:crossAx val="266053664"/>
        <c:crosses val="autoZero"/>
        <c:crossBetween val="midCat"/>
      </c:valAx>
    </c:plotArea>
    <c:legend>
      <c:legendPos val="r"/>
      <c:layout>
        <c:manualLayout>
          <c:xMode val="edge"/>
          <c:yMode val="edge"/>
          <c:x val="0.67655378371085384"/>
          <c:y val="0.27827272283023524"/>
          <c:w val="0.30677968560055618"/>
          <c:h val="0.64428068890661572"/>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sk-SK" sz="1100"/>
              <a:t>Ako vnímate rozšírenie kompetencií mestskej samosprávy? </a:t>
            </a:r>
          </a:p>
        </c:rich>
      </c:tx>
      <c:layout/>
      <c:overlay val="0"/>
    </c:title>
    <c:autoTitleDeleted val="0"/>
    <c:plotArea>
      <c:layout/>
      <c:pieChart>
        <c:varyColors val="1"/>
        <c:ser>
          <c:idx val="0"/>
          <c:order val="0"/>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15:layout/>
              </c:ext>
            </c:extLst>
          </c:dLbls>
          <c:cat>
            <c:strRef>
              <c:f>'Odpovede z formulára'!$C$112:$C$114</c:f>
              <c:strCache>
                <c:ptCount val="3"/>
                <c:pt idx="0">
                  <c:v>obmedzuje mesto v rozvoji</c:v>
                </c:pt>
                <c:pt idx="1">
                  <c:v>prispieva k rozvoju mesta</c:v>
                </c:pt>
                <c:pt idx="2">
                  <c:v>neuvedené</c:v>
                </c:pt>
              </c:strCache>
            </c:strRef>
          </c:cat>
          <c:val>
            <c:numRef>
              <c:f>'Odpovede z formulára'!$D$112:$D$114</c:f>
              <c:numCache>
                <c:formatCode>General</c:formatCode>
                <c:ptCount val="3"/>
                <c:pt idx="0">
                  <c:v>18</c:v>
                </c:pt>
                <c:pt idx="1">
                  <c:v>89</c:v>
                </c:pt>
                <c:pt idx="2">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0364959893172854"/>
          <c:y val="0.30386740989353289"/>
          <c:w val="0.38329630367025336"/>
          <c:h val="0.38945671871681531"/>
        </c:manualLayout>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baseline="0">
                <a:latin typeface="Times New Roman" panose="02020603050405020304" pitchFamily="18" charset="0"/>
              </a:defRPr>
            </a:pPr>
            <a:r>
              <a:rPr lang="sk-SK" sz="1100" baseline="0">
                <a:latin typeface="+mn-lt"/>
              </a:rPr>
              <a:t>Porovnanie piatich hlavných okruhov priorít miest v období 2007 - 2013 a 2014 - 2020</a:t>
            </a:r>
          </a:p>
        </c:rich>
      </c:tx>
      <c:layout>
        <c:manualLayout>
          <c:xMode val="edge"/>
          <c:yMode val="edge"/>
          <c:x val="0.1158945644614936"/>
          <c:y val="2.6988418900467631E-2"/>
        </c:manualLayout>
      </c:layout>
      <c:overlay val="0"/>
    </c:title>
    <c:autoTitleDeleted val="0"/>
    <c:plotArea>
      <c:layout>
        <c:manualLayout>
          <c:layoutTarget val="inner"/>
          <c:xMode val="edge"/>
          <c:yMode val="edge"/>
          <c:x val="0.18197855500620563"/>
          <c:y val="0.16393091747509461"/>
          <c:w val="0.40637836937049537"/>
          <c:h val="0.79737427821522311"/>
        </c:manualLayout>
      </c:layout>
      <c:radarChart>
        <c:radarStyle val="marker"/>
        <c:varyColors val="0"/>
        <c:ser>
          <c:idx val="0"/>
          <c:order val="0"/>
          <c:tx>
            <c:strRef>
              <c:f>Hárok1!$B$66</c:f>
              <c:strCache>
                <c:ptCount val="1"/>
                <c:pt idx="0">
                  <c:v>2007-2013</c:v>
                </c:pt>
              </c:strCache>
            </c:strRef>
          </c:tx>
          <c:marker>
            <c:symbol val="none"/>
          </c:marker>
          <c:cat>
            <c:strRef>
              <c:f>Hárok1!$A$67:$A$71</c:f>
              <c:strCache>
                <c:ptCount val="5"/>
                <c:pt idx="0">
                  <c:v>Správa</c:v>
                </c:pt>
                <c:pt idx="1">
                  <c:v>Služby</c:v>
                </c:pt>
                <c:pt idx="2">
                  <c:v>Infraštruktúra</c:v>
                </c:pt>
                <c:pt idx="3">
                  <c:v>Životné prostredie a ochrana zdrojov</c:v>
                </c:pt>
                <c:pt idx="4">
                  <c:v>Ekonomika</c:v>
                </c:pt>
              </c:strCache>
            </c:strRef>
          </c:cat>
          <c:val>
            <c:numRef>
              <c:f>Hárok1!$B$67:$B$71</c:f>
              <c:numCache>
                <c:formatCode>0.00%</c:formatCode>
                <c:ptCount val="5"/>
                <c:pt idx="0">
                  <c:v>0.55789999999999995</c:v>
                </c:pt>
                <c:pt idx="1">
                  <c:v>0.51749999999999996</c:v>
                </c:pt>
                <c:pt idx="2">
                  <c:v>0.56279999999999997</c:v>
                </c:pt>
                <c:pt idx="3">
                  <c:v>0.58330000000000004</c:v>
                </c:pt>
                <c:pt idx="4">
                  <c:v>0.3876</c:v>
                </c:pt>
              </c:numCache>
            </c:numRef>
          </c:val>
        </c:ser>
        <c:ser>
          <c:idx val="1"/>
          <c:order val="1"/>
          <c:tx>
            <c:strRef>
              <c:f>Hárok1!$C$66</c:f>
              <c:strCache>
                <c:ptCount val="1"/>
                <c:pt idx="0">
                  <c:v>2014-2020</c:v>
                </c:pt>
              </c:strCache>
            </c:strRef>
          </c:tx>
          <c:marker>
            <c:symbol val="none"/>
          </c:marker>
          <c:cat>
            <c:strRef>
              <c:f>Hárok1!$A$67:$A$71</c:f>
              <c:strCache>
                <c:ptCount val="5"/>
                <c:pt idx="0">
                  <c:v>Správa</c:v>
                </c:pt>
                <c:pt idx="1">
                  <c:v>Služby</c:v>
                </c:pt>
                <c:pt idx="2">
                  <c:v>Infraštruktúra</c:v>
                </c:pt>
                <c:pt idx="3">
                  <c:v>Životné prostredie a ochrana zdrojov</c:v>
                </c:pt>
                <c:pt idx="4">
                  <c:v>Ekonomika</c:v>
                </c:pt>
              </c:strCache>
            </c:strRef>
          </c:cat>
          <c:val>
            <c:numRef>
              <c:f>Hárok1!$C$67:$C$71</c:f>
              <c:numCache>
                <c:formatCode>0.00%</c:formatCode>
                <c:ptCount val="5"/>
                <c:pt idx="0">
                  <c:v>0.73380000000000001</c:v>
                </c:pt>
                <c:pt idx="1">
                  <c:v>0.55640000000000001</c:v>
                </c:pt>
                <c:pt idx="2">
                  <c:v>0.68</c:v>
                </c:pt>
                <c:pt idx="3">
                  <c:v>0.63429999999999997</c:v>
                </c:pt>
                <c:pt idx="4">
                  <c:v>0.51590000000000003</c:v>
                </c:pt>
              </c:numCache>
            </c:numRef>
          </c:val>
        </c:ser>
        <c:dLbls>
          <c:showLegendKey val="0"/>
          <c:showVal val="0"/>
          <c:showCatName val="0"/>
          <c:showSerName val="0"/>
          <c:showPercent val="0"/>
          <c:showBubbleSize val="0"/>
        </c:dLbls>
        <c:axId val="267809944"/>
        <c:axId val="267807592"/>
      </c:radarChart>
      <c:catAx>
        <c:axId val="267809944"/>
        <c:scaling>
          <c:orientation val="minMax"/>
        </c:scaling>
        <c:delete val="0"/>
        <c:axPos val="b"/>
        <c:majorGridlines/>
        <c:numFmt formatCode="General" sourceLinked="0"/>
        <c:majorTickMark val="out"/>
        <c:minorTickMark val="none"/>
        <c:tickLblPos val="nextTo"/>
        <c:crossAx val="267807592"/>
        <c:crosses val="autoZero"/>
        <c:auto val="1"/>
        <c:lblAlgn val="ctr"/>
        <c:lblOffset val="100"/>
        <c:noMultiLvlLbl val="0"/>
      </c:catAx>
      <c:valAx>
        <c:axId val="267807592"/>
        <c:scaling>
          <c:orientation val="minMax"/>
        </c:scaling>
        <c:delete val="0"/>
        <c:axPos val="l"/>
        <c:majorGridlines/>
        <c:numFmt formatCode="0.00%" sourceLinked="1"/>
        <c:majorTickMark val="cross"/>
        <c:minorTickMark val="none"/>
        <c:tickLblPos val="nextTo"/>
        <c:crossAx val="267809944"/>
        <c:crosses val="autoZero"/>
        <c:crossBetween val="between"/>
        <c:majorUnit val="0.2"/>
      </c:valAx>
    </c:plotArea>
    <c:legend>
      <c:legendPos val="r"/>
      <c:layout>
        <c:manualLayout>
          <c:xMode val="edge"/>
          <c:yMode val="edge"/>
          <c:x val="0.81563072384546975"/>
          <c:y val="0.4196314960629921"/>
          <c:w val="0.16230158730158731"/>
          <c:h val="0.16073700787401574"/>
        </c:manualLayout>
      </c:layout>
      <c:overlay val="0"/>
    </c:legend>
    <c:plotVisOnly val="1"/>
    <c:dispBlanksAs val="gap"/>
    <c:showDLblsOverMax val="0"/>
  </c:chart>
  <c:spPr>
    <a:ln>
      <a:solidFill>
        <a:schemeClr val="accent1"/>
      </a:solidFill>
    </a:ln>
  </c:sp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8</Pages>
  <Words>2319</Words>
  <Characters>13221</Characters>
  <Application>Microsoft Office Word</Application>
  <DocSecurity>0</DocSecurity>
  <Lines>110</Lines>
  <Paragraphs>31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Andrášiová, Katarína</dc:creator>
  <cp:lastModifiedBy>Pospišová, Lucia</cp:lastModifiedBy>
  <cp:revision>41</cp:revision>
  <cp:lastPrinted>2017-11-24T10:24:00Z</cp:lastPrinted>
  <dcterms:created xsi:type="dcterms:W3CDTF">2017-06-21T08:04:00Z</dcterms:created>
  <dcterms:modified xsi:type="dcterms:W3CDTF">2017-11-24T10:24:00Z</dcterms:modified>
</cp:coreProperties>
</file>