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78" w:rsidRPr="005C6BD8" w:rsidRDefault="008D2678" w:rsidP="008D267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C6BD8">
        <w:rPr>
          <w:b/>
          <w:bCs/>
          <w:sz w:val="28"/>
          <w:szCs w:val="28"/>
        </w:rPr>
        <w:t>Doložka vybraných vplyvov</w:t>
      </w:r>
    </w:p>
    <w:p w:rsidR="008D2678" w:rsidRPr="005C6BD8" w:rsidRDefault="008D2678" w:rsidP="008D2678">
      <w:pPr>
        <w:pStyle w:val="Odsekzoznamu"/>
        <w:ind w:left="426"/>
        <w:rPr>
          <w:rFonts w:ascii="Times New Roman" w:hAnsi="Times New Roman" w:cs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8D2678" w:rsidRPr="005C6BD8" w:rsidTr="00DB761A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2678" w:rsidRDefault="008D2678" w:rsidP="00DB761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Základné údaje</w:t>
            </w:r>
          </w:p>
          <w:p w:rsidR="008D2678" w:rsidRPr="005C6BD8" w:rsidRDefault="008D2678" w:rsidP="00DB761A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D2678" w:rsidRPr="005C6BD8" w:rsidRDefault="008D2678" w:rsidP="00DB761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D2678" w:rsidRPr="005C6BD8" w:rsidRDefault="008D2678" w:rsidP="00DB761A">
            <w:pPr>
              <w:rPr>
                <w:sz w:val="24"/>
                <w:szCs w:val="24"/>
                <w:lang w:eastAsia="cs-CZ"/>
              </w:rPr>
            </w:pPr>
            <w:r w:rsidRPr="005C6BD8">
              <w:rPr>
                <w:sz w:val="24"/>
                <w:szCs w:val="24"/>
                <w:lang w:eastAsia="cs-CZ"/>
              </w:rPr>
              <w:t>Návrh zákona o</w:t>
            </w:r>
            <w:r>
              <w:rPr>
                <w:sz w:val="24"/>
                <w:szCs w:val="24"/>
                <w:lang w:eastAsia="cs-CZ"/>
              </w:rPr>
              <w:t xml:space="preserve"> regionálnej </w:t>
            </w:r>
            <w:r w:rsidRPr="005C6BD8">
              <w:rPr>
                <w:sz w:val="24"/>
                <w:szCs w:val="24"/>
                <w:lang w:eastAsia="cs-CZ"/>
              </w:rPr>
              <w:t xml:space="preserve">investičnej pomoci </w:t>
            </w:r>
            <w:r>
              <w:rPr>
                <w:sz w:val="24"/>
                <w:szCs w:val="24"/>
                <w:lang w:eastAsia="cs-CZ"/>
              </w:rPr>
              <w:t>a o zmene a doplnení niektorých zákonov</w:t>
            </w:r>
          </w:p>
          <w:p w:rsidR="008D2678" w:rsidRPr="005C6BD8" w:rsidRDefault="008D2678" w:rsidP="00DB761A"/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8D2678" w:rsidRPr="005C6BD8" w:rsidRDefault="008D2678" w:rsidP="00DB761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78" w:rsidRPr="005C6BD8" w:rsidRDefault="008D2678" w:rsidP="00DB761A">
            <w:pPr>
              <w:rPr>
                <w:sz w:val="24"/>
                <w:szCs w:val="24"/>
                <w:lang w:eastAsia="cs-CZ"/>
              </w:rPr>
            </w:pPr>
            <w:r w:rsidRPr="005C6BD8">
              <w:rPr>
                <w:sz w:val="24"/>
                <w:szCs w:val="24"/>
                <w:lang w:eastAsia="cs-CZ"/>
              </w:rPr>
              <w:t>Ministerstvo hospodárstva SR</w:t>
            </w:r>
          </w:p>
          <w:p w:rsidR="008D2678" w:rsidRPr="005C6BD8" w:rsidRDefault="008D2678" w:rsidP="00DB761A"/>
        </w:tc>
      </w:tr>
      <w:tr w:rsidR="008D2678" w:rsidRPr="005C6BD8" w:rsidTr="00DB761A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8D2678" w:rsidRPr="005C6BD8" w:rsidRDefault="008D2678" w:rsidP="00DB761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8D2678" w:rsidRPr="005C6BD8" w:rsidRDefault="008D2678" w:rsidP="00DB761A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78" w:rsidRPr="005C6BD8" w:rsidRDefault="008D2678" w:rsidP="00DB761A">
            <w:r w:rsidRPr="005C6BD8">
              <w:t>Materiál nelegislatívnej povahy</w:t>
            </w:r>
          </w:p>
        </w:tc>
      </w:tr>
      <w:tr w:rsidR="008D2678" w:rsidRPr="005C6BD8" w:rsidTr="00DB761A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8D2678" w:rsidRPr="005C6BD8" w:rsidRDefault="008D2678" w:rsidP="00DB761A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8D2678" w:rsidRPr="005C6BD8" w:rsidRDefault="008D2678" w:rsidP="00DB761A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D2678" w:rsidRPr="005C6BD8" w:rsidRDefault="008D2678" w:rsidP="00DB761A">
            <w:pPr>
              <w:ind w:left="175" w:hanging="175"/>
            </w:pPr>
            <w:r w:rsidRPr="005C6BD8">
              <w:t>Materiál legislatívnej povahy</w:t>
            </w:r>
          </w:p>
        </w:tc>
      </w:tr>
      <w:tr w:rsidR="008D2678" w:rsidRPr="005C6BD8" w:rsidTr="00DB761A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8D2678" w:rsidRPr="005C6BD8" w:rsidRDefault="008D2678" w:rsidP="00DB761A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8D2678" w:rsidRPr="005C6BD8" w:rsidRDefault="008D2678" w:rsidP="00DB761A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D2678" w:rsidRPr="005C6BD8" w:rsidRDefault="008D2678" w:rsidP="00DB761A">
            <w:r w:rsidRPr="005C6BD8">
              <w:t>Transpozícia práva EÚ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8D2678" w:rsidRPr="005C6BD8" w:rsidRDefault="008D2678" w:rsidP="00DB761A">
            <w:pPr>
              <w:rPr>
                <w:i/>
              </w:rPr>
            </w:pPr>
            <w:r w:rsidRPr="005C6BD8">
              <w:rPr>
                <w:i/>
              </w:rPr>
              <w:t>V prípade transpozície uveďte zoznam transponovaných predpisov:</w:t>
            </w:r>
          </w:p>
          <w:p w:rsidR="008D2678" w:rsidRPr="005C6BD8" w:rsidRDefault="008D2678" w:rsidP="00DB761A"/>
        </w:tc>
      </w:tr>
      <w:tr w:rsidR="008D2678" w:rsidRPr="005C6BD8" w:rsidTr="00DB761A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78" w:rsidRPr="005C6BD8" w:rsidRDefault="008D2678" w:rsidP="00DB761A">
            <w:pPr>
              <w:rPr>
                <w:sz w:val="24"/>
                <w:szCs w:val="24"/>
                <w:lang w:eastAsia="cs-CZ"/>
              </w:rPr>
            </w:pPr>
            <w:r w:rsidRPr="005C6BD8">
              <w:rPr>
                <w:sz w:val="24"/>
                <w:szCs w:val="24"/>
                <w:lang w:eastAsia="cs-CZ"/>
              </w:rPr>
              <w:t xml:space="preserve">začiatok: </w:t>
            </w:r>
            <w:r w:rsidR="00E8067C">
              <w:rPr>
                <w:sz w:val="24"/>
                <w:szCs w:val="24"/>
                <w:lang w:eastAsia="cs-CZ"/>
              </w:rPr>
              <w:t>12</w:t>
            </w:r>
            <w:r w:rsidRPr="005C6BD8">
              <w:rPr>
                <w:sz w:val="24"/>
                <w:szCs w:val="24"/>
                <w:lang w:eastAsia="cs-CZ"/>
              </w:rPr>
              <w:t>.</w:t>
            </w:r>
            <w:r w:rsidR="00A62E72">
              <w:rPr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sz w:val="24"/>
                <w:szCs w:val="24"/>
                <w:lang w:eastAsia="cs-CZ"/>
              </w:rPr>
              <w:t>06.</w:t>
            </w:r>
            <w:r w:rsidR="00A62E72">
              <w:rPr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sz w:val="24"/>
                <w:szCs w:val="24"/>
                <w:lang w:eastAsia="cs-CZ"/>
              </w:rPr>
              <w:t>2017</w:t>
            </w:r>
          </w:p>
          <w:p w:rsidR="008D2678" w:rsidRPr="005C6BD8" w:rsidRDefault="008D2678" w:rsidP="00E8067C">
            <w:pPr>
              <w:rPr>
                <w:i/>
              </w:rPr>
            </w:pPr>
            <w:r w:rsidRPr="005C6BD8">
              <w:rPr>
                <w:sz w:val="24"/>
                <w:szCs w:val="24"/>
                <w:lang w:eastAsia="cs-CZ"/>
              </w:rPr>
              <w:t xml:space="preserve">ukončenie: </w:t>
            </w:r>
            <w:r w:rsidR="00E8067C">
              <w:rPr>
                <w:sz w:val="24"/>
                <w:szCs w:val="24"/>
                <w:lang w:eastAsia="cs-CZ"/>
              </w:rPr>
              <w:t>16</w:t>
            </w:r>
            <w:r w:rsidRPr="005C6BD8">
              <w:rPr>
                <w:sz w:val="24"/>
                <w:szCs w:val="24"/>
                <w:lang w:eastAsia="cs-CZ"/>
              </w:rPr>
              <w:t>.</w:t>
            </w:r>
            <w:r w:rsidR="00A62E72">
              <w:rPr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sz w:val="24"/>
                <w:szCs w:val="24"/>
                <w:lang w:eastAsia="cs-CZ"/>
              </w:rPr>
              <w:t>06.</w:t>
            </w:r>
            <w:r w:rsidR="00A62E72">
              <w:rPr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sz w:val="24"/>
                <w:szCs w:val="24"/>
                <w:lang w:eastAsia="cs-CZ"/>
              </w:rPr>
              <w:t xml:space="preserve">2017 </w:t>
            </w:r>
          </w:p>
        </w:tc>
      </w:tr>
      <w:tr w:rsidR="008D2678" w:rsidRPr="005C6BD8" w:rsidTr="00DB761A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78" w:rsidRPr="005C6BD8" w:rsidRDefault="008D2678" w:rsidP="00E8067C">
            <w:pPr>
              <w:rPr>
                <w:i/>
              </w:rPr>
            </w:pPr>
            <w:r>
              <w:rPr>
                <w:sz w:val="24"/>
                <w:szCs w:val="24"/>
                <w:lang w:eastAsia="cs-CZ"/>
              </w:rPr>
              <w:t>16</w:t>
            </w:r>
            <w:r w:rsidRPr="005C6BD8">
              <w:rPr>
                <w:sz w:val="24"/>
                <w:szCs w:val="24"/>
                <w:lang w:eastAsia="cs-CZ"/>
              </w:rPr>
              <w:t>.</w:t>
            </w:r>
            <w:r w:rsidR="00A62E72">
              <w:rPr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sz w:val="24"/>
                <w:szCs w:val="24"/>
                <w:lang w:eastAsia="cs-CZ"/>
              </w:rPr>
              <w:t>0</w:t>
            </w:r>
            <w:r w:rsidR="00E8067C">
              <w:rPr>
                <w:sz w:val="24"/>
                <w:szCs w:val="24"/>
                <w:lang w:eastAsia="cs-CZ"/>
              </w:rPr>
              <w:t>6</w:t>
            </w:r>
            <w:r w:rsidRPr="005C6BD8">
              <w:rPr>
                <w:sz w:val="24"/>
                <w:szCs w:val="24"/>
                <w:lang w:eastAsia="cs-CZ"/>
              </w:rPr>
              <w:t>.</w:t>
            </w:r>
            <w:r w:rsidR="00A62E72">
              <w:rPr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sz w:val="24"/>
                <w:szCs w:val="24"/>
                <w:lang w:eastAsia="cs-CZ"/>
              </w:rPr>
              <w:t>2017</w:t>
            </w:r>
          </w:p>
        </w:tc>
      </w:tr>
      <w:tr w:rsidR="008D2678" w:rsidRPr="005C6BD8" w:rsidTr="00DB761A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78" w:rsidRPr="005C6BD8" w:rsidRDefault="00572C99" w:rsidP="00514524">
            <w:pPr>
              <w:rPr>
                <w:i/>
              </w:rPr>
            </w:pPr>
            <w:r>
              <w:rPr>
                <w:sz w:val="24"/>
                <w:szCs w:val="24"/>
                <w:lang w:eastAsia="cs-CZ"/>
              </w:rPr>
              <w:t>08</w:t>
            </w:r>
            <w:r w:rsidR="008D2678" w:rsidRPr="005C6BD8">
              <w:rPr>
                <w:sz w:val="24"/>
                <w:szCs w:val="24"/>
                <w:lang w:eastAsia="cs-CZ"/>
              </w:rPr>
              <w:t>.</w:t>
            </w:r>
            <w:r w:rsidR="00A62E72">
              <w:rPr>
                <w:sz w:val="24"/>
                <w:szCs w:val="24"/>
                <w:lang w:eastAsia="cs-CZ"/>
              </w:rPr>
              <w:t xml:space="preserve"> </w:t>
            </w:r>
            <w:r w:rsidR="00514524">
              <w:rPr>
                <w:sz w:val="24"/>
                <w:szCs w:val="24"/>
                <w:lang w:eastAsia="cs-CZ"/>
              </w:rPr>
              <w:t>11</w:t>
            </w:r>
            <w:r w:rsidR="008D2678" w:rsidRPr="005C6BD8">
              <w:rPr>
                <w:sz w:val="24"/>
                <w:szCs w:val="24"/>
                <w:lang w:eastAsia="cs-CZ"/>
              </w:rPr>
              <w:t>.</w:t>
            </w:r>
            <w:r w:rsidR="00A62E72">
              <w:rPr>
                <w:sz w:val="24"/>
                <w:szCs w:val="24"/>
                <w:lang w:eastAsia="cs-CZ"/>
              </w:rPr>
              <w:t xml:space="preserve"> </w:t>
            </w:r>
            <w:r w:rsidR="008D2678" w:rsidRPr="005C6BD8">
              <w:rPr>
                <w:sz w:val="24"/>
                <w:szCs w:val="24"/>
                <w:lang w:eastAsia="cs-CZ"/>
              </w:rPr>
              <w:t>2017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2678" w:rsidRPr="005C6BD8" w:rsidRDefault="008D2678" w:rsidP="00DB761A"/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 w:rsidR="008D2678" w:rsidRPr="005C6BD8" w:rsidTr="00DB761A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78" w:rsidRPr="000E628A" w:rsidRDefault="000E628A" w:rsidP="000E628A">
            <w:pPr>
              <w:jc w:val="both"/>
              <w:rPr>
                <w:sz w:val="24"/>
                <w:szCs w:val="24"/>
                <w:lang w:eastAsia="cs-CZ"/>
              </w:rPr>
            </w:pPr>
            <w:r w:rsidRPr="000E628A">
              <w:rPr>
                <w:sz w:val="24"/>
                <w:szCs w:val="24"/>
                <w:lang w:eastAsia="cs-CZ"/>
              </w:rPr>
              <w:t>Platný zákon č. 561/2007 Z. z. o investičnej pomoci a o zmene a doplnení niektorých zákonov v znení neskorších predpisov nadobudol účinnosť dňa 1. januára 2008 a doposiaľ bol jedenásťkrát novelizovaný. Za toto obdobie prešla slovenská a globálna ekonomika výrazným vývojom. Z tohto dôvodu súčasné znenie zákona neumožňuje dostatočne reagovať na nové potreby hospodárstva Slovenskej republiky</w:t>
            </w:r>
            <w:r w:rsidR="00B72780">
              <w:rPr>
                <w:sz w:val="24"/>
                <w:szCs w:val="24"/>
                <w:lang w:eastAsia="cs-CZ"/>
              </w:rPr>
              <w:t>,</w:t>
            </w:r>
            <w:r w:rsidRPr="000E628A">
              <w:rPr>
                <w:sz w:val="24"/>
                <w:szCs w:val="24"/>
                <w:lang w:eastAsia="cs-CZ"/>
              </w:rPr>
              <w:t xml:space="preserve"> a</w:t>
            </w:r>
            <w:r w:rsidR="00B72780">
              <w:rPr>
                <w:sz w:val="24"/>
                <w:szCs w:val="24"/>
                <w:lang w:eastAsia="cs-CZ"/>
              </w:rPr>
              <w:t>ko</w:t>
            </w:r>
            <w:r w:rsidRPr="000E628A">
              <w:rPr>
                <w:sz w:val="24"/>
                <w:szCs w:val="24"/>
                <w:lang w:eastAsia="cs-CZ"/>
              </w:rPr>
              <w:t xml:space="preserve"> ani </w:t>
            </w:r>
            <w:r w:rsidR="00B72780">
              <w:rPr>
                <w:sz w:val="24"/>
                <w:szCs w:val="24"/>
                <w:lang w:eastAsia="cs-CZ"/>
              </w:rPr>
              <w:t>na nové potreby potenciálnych i </w:t>
            </w:r>
            <w:r w:rsidRPr="000E628A">
              <w:rPr>
                <w:sz w:val="24"/>
                <w:szCs w:val="24"/>
                <w:lang w:eastAsia="cs-CZ"/>
              </w:rPr>
              <w:t>etablovaných investorov.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8D2678" w:rsidRPr="005C6BD8" w:rsidTr="00DB761A">
        <w:trPr>
          <w:trHeight w:val="209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28A" w:rsidRPr="006E0612" w:rsidRDefault="008D2678" w:rsidP="00DB761A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4"/>
                <w:szCs w:val="24"/>
              </w:rPr>
            </w:pPr>
            <w:r w:rsidRPr="001A0F34">
              <w:rPr>
                <w:sz w:val="24"/>
                <w:szCs w:val="24"/>
              </w:rPr>
              <w:t>Cieľom navrhovanej právnej úpravy je vytvorenie uceleného a transparentného právneho rámca pre poskytovanie re</w:t>
            </w:r>
            <w:r w:rsidR="008562F3">
              <w:rPr>
                <w:sz w:val="24"/>
                <w:szCs w:val="24"/>
              </w:rPr>
              <w:t>gionálnej investičnej pomoci</w:t>
            </w:r>
            <w:r w:rsidR="00B72780">
              <w:rPr>
                <w:sz w:val="24"/>
                <w:szCs w:val="24"/>
              </w:rPr>
              <w:t xml:space="preserve"> v </w:t>
            </w:r>
            <w:r w:rsidRPr="001A0F34">
              <w:rPr>
                <w:sz w:val="24"/>
                <w:szCs w:val="24"/>
              </w:rPr>
              <w:t xml:space="preserve">súlade </w:t>
            </w:r>
            <w:r w:rsidR="00B72780">
              <w:rPr>
                <w:sz w:val="24"/>
                <w:szCs w:val="24"/>
              </w:rPr>
              <w:t xml:space="preserve">s </w:t>
            </w:r>
            <w:r w:rsidRPr="001A0F34">
              <w:rPr>
                <w:sz w:val="24"/>
                <w:szCs w:val="24"/>
              </w:rPr>
              <w:t>európskou legislatívou v oblasti poskytovania štátnej pomoci. Navrhovaná právna úprava vytvorí priestor pre zniž</w:t>
            </w:r>
            <w:r w:rsidR="00B72780">
              <w:rPr>
                <w:sz w:val="24"/>
                <w:szCs w:val="24"/>
              </w:rPr>
              <w:t xml:space="preserve">ovanie regionálnych rozdielov v </w:t>
            </w:r>
            <w:r w:rsidRPr="001A0F34">
              <w:rPr>
                <w:sz w:val="24"/>
                <w:szCs w:val="24"/>
              </w:rPr>
              <w:t>rámci Slovenskej republiky a zabezpečenie udrža</w:t>
            </w:r>
            <w:r w:rsidR="00B72780">
              <w:rPr>
                <w:sz w:val="24"/>
                <w:szCs w:val="24"/>
              </w:rPr>
              <w:t xml:space="preserve">teľného hospodárskeho rozvoja a </w:t>
            </w:r>
            <w:r w:rsidRPr="001A0F34">
              <w:rPr>
                <w:sz w:val="24"/>
                <w:szCs w:val="24"/>
              </w:rPr>
              <w:t>konkurencieschopnosti Slovenskej republiky v globálnom priestore.</w:t>
            </w:r>
            <w:r>
              <w:rPr>
                <w:sz w:val="24"/>
                <w:szCs w:val="24"/>
              </w:rPr>
              <w:t xml:space="preserve"> Nová legislatívna úprava bude adresnejšie</w:t>
            </w:r>
            <w:r w:rsidR="0097788A">
              <w:rPr>
                <w:sz w:val="24"/>
                <w:szCs w:val="24"/>
              </w:rPr>
              <w:t xml:space="preserve"> zameraná na podporu investícií</w:t>
            </w:r>
            <w:r>
              <w:rPr>
                <w:sz w:val="24"/>
                <w:szCs w:val="24"/>
              </w:rPr>
              <w:t xml:space="preserve"> týkajúcich sa </w:t>
            </w:r>
            <w:r w:rsidRPr="001A0F34">
              <w:rPr>
                <w:sz w:val="24"/>
                <w:szCs w:val="24"/>
              </w:rPr>
              <w:t>progresívn</w:t>
            </w:r>
            <w:r>
              <w:rPr>
                <w:sz w:val="24"/>
                <w:szCs w:val="24"/>
              </w:rPr>
              <w:t>ych</w:t>
            </w:r>
            <w:r w:rsidRPr="001A0F34">
              <w:rPr>
                <w:sz w:val="24"/>
                <w:szCs w:val="24"/>
              </w:rPr>
              <w:t xml:space="preserve"> technológi</w:t>
            </w:r>
            <w:r>
              <w:rPr>
                <w:sz w:val="24"/>
                <w:szCs w:val="24"/>
              </w:rPr>
              <w:t>í a činností</w:t>
            </w:r>
            <w:r w:rsidRPr="001A0F34">
              <w:rPr>
                <w:sz w:val="24"/>
                <w:szCs w:val="24"/>
              </w:rPr>
              <w:t xml:space="preserve"> s vysokou pridanou hodnotou</w:t>
            </w:r>
            <w:r w:rsidR="000E628A">
              <w:rPr>
                <w:sz w:val="24"/>
                <w:szCs w:val="24"/>
              </w:rPr>
              <w:t>.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78" w:rsidRPr="000E628A" w:rsidRDefault="008D2678" w:rsidP="0079561F">
            <w:pPr>
              <w:jc w:val="both"/>
              <w:rPr>
                <w:sz w:val="24"/>
                <w:szCs w:val="24"/>
                <w:lang w:eastAsia="cs-CZ"/>
              </w:rPr>
            </w:pPr>
            <w:r w:rsidRPr="005C6BD8">
              <w:rPr>
                <w:sz w:val="24"/>
                <w:szCs w:val="24"/>
                <w:lang w:eastAsia="cs-CZ"/>
              </w:rPr>
              <w:t xml:space="preserve">Podnikateľské subjekty, ktoré budú </w:t>
            </w:r>
            <w:r w:rsidR="00B72780">
              <w:rPr>
                <w:sz w:val="24"/>
                <w:szCs w:val="24"/>
                <w:lang w:eastAsia="cs-CZ"/>
              </w:rPr>
              <w:t>žiadať o</w:t>
            </w:r>
            <w:r w:rsidRPr="005C6BD8">
              <w:rPr>
                <w:sz w:val="24"/>
                <w:szCs w:val="24"/>
                <w:lang w:eastAsia="cs-CZ"/>
              </w:rPr>
              <w:t xml:space="preserve"> poskytnutie investičnej </w:t>
            </w:r>
            <w:r w:rsidR="000F1430">
              <w:rPr>
                <w:sz w:val="24"/>
                <w:szCs w:val="24"/>
                <w:lang w:eastAsia="cs-CZ"/>
              </w:rPr>
              <w:t>pomoci</w:t>
            </w:r>
            <w:r w:rsidRPr="005C6BD8">
              <w:rPr>
                <w:sz w:val="24"/>
                <w:szCs w:val="24"/>
                <w:lang w:eastAsia="cs-CZ"/>
              </w:rPr>
              <w:t>, Protimonopolný úrad SR</w:t>
            </w:r>
            <w:r>
              <w:rPr>
                <w:sz w:val="24"/>
                <w:szCs w:val="24"/>
                <w:lang w:eastAsia="cs-CZ"/>
              </w:rPr>
              <w:t xml:space="preserve"> ako národný koordinátor štátnej pomoci a</w:t>
            </w:r>
            <w:r w:rsidRPr="005C6BD8">
              <w:rPr>
                <w:sz w:val="24"/>
                <w:szCs w:val="24"/>
                <w:lang w:eastAsia="cs-CZ"/>
              </w:rPr>
              <w:t xml:space="preserve"> Ministerstvo hospodárstva SR, Ministerstvo financií SR, Ministerstvo práce, sociálnych vecí a rodiny SR</w:t>
            </w:r>
            <w:r w:rsidR="007818A3">
              <w:rPr>
                <w:sz w:val="24"/>
                <w:szCs w:val="24"/>
                <w:lang w:eastAsia="cs-CZ"/>
              </w:rPr>
              <w:t xml:space="preserve"> </w:t>
            </w:r>
            <w:r w:rsidRPr="005C6BD8">
              <w:rPr>
                <w:sz w:val="24"/>
                <w:szCs w:val="24"/>
                <w:lang w:eastAsia="cs-CZ"/>
              </w:rPr>
              <w:t xml:space="preserve"> ako poskytovatelia investičnej pomoci</w:t>
            </w:r>
            <w:r w:rsidR="007818A3">
              <w:rPr>
                <w:sz w:val="24"/>
                <w:szCs w:val="24"/>
                <w:lang w:eastAsia="cs-CZ"/>
              </w:rPr>
              <w:t xml:space="preserve">, vrátane poskytovateľov investičnej pomoci vo forme </w:t>
            </w:r>
            <w:r w:rsidR="007818A3" w:rsidRPr="000A36EA">
              <w:rPr>
                <w:sz w:val="24"/>
                <w:szCs w:val="24"/>
              </w:rPr>
              <w:t>prevodu nehnuteľného majetku alebo nájmu nehnuteľného majetku za hodnotu nižšiu ako je hodnota</w:t>
            </w:r>
            <w:r w:rsidR="0079561F">
              <w:rPr>
                <w:sz w:val="24"/>
                <w:szCs w:val="24"/>
              </w:rPr>
              <w:t xml:space="preserve"> nehnuteľného majetku</w:t>
            </w:r>
            <w:r w:rsidR="007818A3" w:rsidRPr="000A36EA">
              <w:rPr>
                <w:sz w:val="24"/>
                <w:szCs w:val="24"/>
              </w:rPr>
              <w:t xml:space="preserve"> alebo hodnota nájmu</w:t>
            </w:r>
            <w:r w:rsidR="0079561F">
              <w:rPr>
                <w:sz w:val="24"/>
                <w:szCs w:val="24"/>
              </w:rPr>
              <w:t xml:space="preserve"> nehnuteľného majetku stanovená znaleckým posudkom</w:t>
            </w:r>
            <w:r>
              <w:rPr>
                <w:sz w:val="24"/>
                <w:szCs w:val="24"/>
                <w:lang w:eastAsia="cs-CZ"/>
              </w:rPr>
              <w:t>.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8D2678" w:rsidRPr="005C6BD8" w:rsidTr="00DB761A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78" w:rsidRPr="000E628A" w:rsidRDefault="000E628A" w:rsidP="00DB761A">
            <w:pPr>
              <w:rPr>
                <w:sz w:val="24"/>
                <w:szCs w:val="24"/>
                <w:u w:val="single"/>
                <w:lang w:eastAsia="cs-CZ"/>
              </w:rPr>
            </w:pPr>
            <w:r w:rsidRPr="000E628A">
              <w:rPr>
                <w:sz w:val="24"/>
                <w:szCs w:val="24"/>
                <w:u w:val="single"/>
                <w:lang w:eastAsia="cs-CZ"/>
              </w:rPr>
              <w:t>P</w:t>
            </w:r>
            <w:r w:rsidR="008D2678" w:rsidRPr="000E628A">
              <w:rPr>
                <w:sz w:val="24"/>
                <w:szCs w:val="24"/>
                <w:u w:val="single"/>
                <w:lang w:eastAsia="cs-CZ"/>
              </w:rPr>
              <w:t>onechanie súčasného stavu</w:t>
            </w:r>
          </w:p>
          <w:p w:rsidR="008D2678" w:rsidRDefault="008D2678" w:rsidP="00DB761A">
            <w:pPr>
              <w:jc w:val="both"/>
              <w:rPr>
                <w:sz w:val="24"/>
                <w:szCs w:val="24"/>
                <w:lang w:eastAsia="cs-CZ"/>
              </w:rPr>
            </w:pPr>
            <w:r w:rsidRPr="005C6BD8">
              <w:rPr>
                <w:sz w:val="24"/>
                <w:szCs w:val="24"/>
                <w:lang w:eastAsia="cs-CZ"/>
              </w:rPr>
              <w:t xml:space="preserve">Súčasný zákon o investičnej pomoci neodráža aktuálne potreby slovenského hospodárstva, nereaguje na meniacu sa situáciu na trhu pracovnej sily a nezabezpečuje dlhodobú </w:t>
            </w:r>
            <w:r w:rsidRPr="005C6BD8">
              <w:rPr>
                <w:sz w:val="24"/>
                <w:szCs w:val="24"/>
                <w:lang w:eastAsia="cs-CZ"/>
              </w:rPr>
              <w:lastRenderedPageBreak/>
              <w:t xml:space="preserve">konkurenčnú schopnosť slovenského </w:t>
            </w:r>
            <w:r>
              <w:rPr>
                <w:sz w:val="24"/>
                <w:szCs w:val="24"/>
                <w:lang w:eastAsia="cs-CZ"/>
              </w:rPr>
              <w:t>hospodárstva</w:t>
            </w:r>
            <w:r w:rsidRPr="005C6BD8">
              <w:rPr>
                <w:sz w:val="24"/>
                <w:szCs w:val="24"/>
                <w:lang w:eastAsia="cs-CZ"/>
              </w:rPr>
              <w:t xml:space="preserve">. </w:t>
            </w:r>
          </w:p>
          <w:p w:rsidR="008D2678" w:rsidRDefault="008D2678" w:rsidP="00DB761A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8D2678" w:rsidRPr="000E628A" w:rsidRDefault="000E628A" w:rsidP="00DB761A">
            <w:pPr>
              <w:rPr>
                <w:sz w:val="24"/>
                <w:szCs w:val="24"/>
                <w:u w:val="single"/>
                <w:lang w:eastAsia="cs-CZ"/>
              </w:rPr>
            </w:pPr>
            <w:r w:rsidRPr="000E628A">
              <w:rPr>
                <w:sz w:val="24"/>
                <w:szCs w:val="24"/>
                <w:u w:val="single"/>
                <w:lang w:eastAsia="cs-CZ"/>
              </w:rPr>
              <w:t>Prijatie návrhu zákona</w:t>
            </w:r>
          </w:p>
          <w:p w:rsidR="008D2678" w:rsidRPr="000E628A" w:rsidRDefault="008D2678" w:rsidP="00DB761A">
            <w:pPr>
              <w:jc w:val="both"/>
              <w:rPr>
                <w:sz w:val="24"/>
                <w:szCs w:val="24"/>
                <w:lang w:eastAsia="cs-CZ"/>
              </w:rPr>
            </w:pPr>
            <w:r w:rsidRPr="005C6BD8">
              <w:rPr>
                <w:sz w:val="24"/>
                <w:szCs w:val="24"/>
                <w:lang w:eastAsia="cs-CZ"/>
              </w:rPr>
              <w:t>Prijatím návrhu zákona budú odstránené súčasné prekážky uplatňovania modernej, dlhodobo udržateľnej hospodárskej politiky štátu. Bude umožnené výrazným spôsobom zatraktívniť SR pre investorov z oblasti priemyselnej výroby s vysokou pridanou hodnotou, z oblasti výskumu a vývoja a z oblasti poskytovania vysoko sofistikovaných služieb. Prínosom bude aj zníženie administratívnej náročnosti</w:t>
            </w:r>
            <w:r>
              <w:rPr>
                <w:sz w:val="24"/>
                <w:szCs w:val="24"/>
                <w:lang w:eastAsia="cs-CZ"/>
              </w:rPr>
              <w:t xml:space="preserve"> procesu posudzovania žiadosti o investičnú pomoc a schvaľovania investičnej pomoci</w:t>
            </w:r>
            <w:r w:rsidR="0097788A">
              <w:rPr>
                <w:sz w:val="24"/>
                <w:szCs w:val="24"/>
                <w:lang w:eastAsia="cs-CZ"/>
              </w:rPr>
              <w:t>,</w:t>
            </w:r>
            <w:r>
              <w:rPr>
                <w:sz w:val="24"/>
                <w:szCs w:val="24"/>
                <w:lang w:eastAsia="cs-CZ"/>
              </w:rPr>
              <w:t xml:space="preserve"> ako aj kontroly plnenia podmienok, za ktorých bola investičná pomoc poskytnutá.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8D2678" w:rsidRPr="005C6BD8" w:rsidTr="00DB761A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D2678" w:rsidRPr="005C6BD8" w:rsidRDefault="008D2678" w:rsidP="00DB761A">
            <w:pPr>
              <w:rPr>
                <w:i/>
              </w:rPr>
            </w:pPr>
            <w:r w:rsidRPr="005C6BD8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678" w:rsidRPr="005C6BD8" w:rsidRDefault="00C27789" w:rsidP="00DB761A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78" w:rsidRPr="005C6BD8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8D2678" w:rsidRPr="005C6BD8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2678" w:rsidRDefault="00C27789" w:rsidP="00DB761A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78"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D2678" w:rsidRPr="005C6BD8">
              <w:t xml:space="preserve">  Nie</w:t>
            </w:r>
          </w:p>
          <w:p w:rsidR="008D2678" w:rsidRPr="005C6BD8" w:rsidRDefault="008D2678" w:rsidP="00DB761A">
            <w:pPr>
              <w:jc w:val="center"/>
            </w:pP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78" w:rsidRDefault="008D2678" w:rsidP="00331499">
            <w:pPr>
              <w:jc w:val="both"/>
              <w:rPr>
                <w:sz w:val="24"/>
                <w:szCs w:val="24"/>
                <w:lang w:eastAsia="cs-CZ"/>
              </w:rPr>
            </w:pPr>
            <w:r w:rsidRPr="00F7758D">
              <w:rPr>
                <w:sz w:val="24"/>
                <w:szCs w:val="24"/>
                <w:lang w:eastAsia="cs-CZ"/>
              </w:rPr>
              <w:t>Súčasťou novej právnej úpravy v oblasti poskytovania investičnej pomoci bude:</w:t>
            </w:r>
          </w:p>
          <w:p w:rsidR="008D2678" w:rsidRPr="00AB33C5" w:rsidRDefault="008D2678" w:rsidP="00331499">
            <w:pPr>
              <w:pStyle w:val="Odsekzoznamu"/>
              <w:numPr>
                <w:ilvl w:val="0"/>
                <w:numId w:val="3"/>
              </w:numPr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3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nové nariadeni</w:t>
            </w:r>
            <w:r w:rsidR="001D0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vlády SR, ktorým sa ustanovujú podmienky na poskytnutie investičnej pomoci,</w:t>
            </w:r>
            <w:r w:rsidRPr="00AB3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maximál</w:t>
            </w:r>
            <w:r w:rsidR="001D0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intenzita investičnej pomoci a</w:t>
            </w:r>
            <w:r w:rsidRPr="00AB3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výška r</w:t>
            </w:r>
            <w:r w:rsidR="001D0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egionálnej investičnej pomoci </w:t>
            </w:r>
            <w:r w:rsidRPr="00AB3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regiónoch Slovenskej republiky</w:t>
            </w:r>
            <w:r w:rsidR="00977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AB3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8D2678" w:rsidRPr="006E0612" w:rsidRDefault="008D2678" w:rsidP="00331499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3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nová vyhláška MH SR, ktorou sa ustanovujú náležitosti žiadosti o poskytnutie investičnej pomoci, náležitosti akceptácie ponuky investičnej pomoci, náležitosti ročnej správy o priebehu realizácie investičného zámeru, </w:t>
            </w:r>
            <w:r w:rsidR="001D0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správy o ukončení investície, </w:t>
            </w:r>
            <w:r w:rsidRPr="00AB3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ročnej správy o využívaní investície a záverečnej hodnotiacej správy a </w:t>
            </w:r>
            <w:r w:rsidR="00977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náležitosti</w:t>
            </w:r>
            <w:r w:rsidRPr="00AB3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informačnej tabul</w:t>
            </w:r>
            <w:r w:rsidR="00977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e.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8D267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8D2678" w:rsidRPr="005C6BD8" w:rsidTr="00DB761A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2678" w:rsidRPr="005C6BD8" w:rsidRDefault="008D2678" w:rsidP="00DB761A">
            <w:pPr>
              <w:rPr>
                <w:i/>
              </w:rPr>
            </w:pPr>
            <w:r w:rsidRPr="005C6BD8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8D2678" w:rsidRPr="005C6BD8" w:rsidTr="00DB761A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2678" w:rsidRPr="005C6BD8" w:rsidRDefault="008D2678" w:rsidP="00DB761A">
            <w:pPr>
              <w:jc w:val="center"/>
            </w:pP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8D267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78" w:rsidRPr="005C6BD8" w:rsidRDefault="008D2678" w:rsidP="00DB761A">
            <w:pPr>
              <w:rPr>
                <w:i/>
              </w:rPr>
            </w:pPr>
            <w:r w:rsidRPr="005C6BD8">
              <w:rPr>
                <w:i/>
              </w:rPr>
              <w:t>Uveďte termín, kedy by malo dôjsť k preskúmaniu účinnosti a účelnosti navrhovaného predpisu.</w:t>
            </w:r>
          </w:p>
          <w:p w:rsidR="008D2678" w:rsidRPr="005C6BD8" w:rsidRDefault="008D2678" w:rsidP="00DB761A">
            <w:pPr>
              <w:rPr>
                <w:i/>
              </w:rPr>
            </w:pPr>
            <w:r w:rsidRPr="005C6BD8">
              <w:rPr>
                <w:i/>
              </w:rPr>
              <w:t>Uveďte kritériá, na základe ktorých bude preskúmanie vykonané.</w:t>
            </w:r>
          </w:p>
          <w:p w:rsidR="008D2678" w:rsidRPr="005C6BD8" w:rsidRDefault="008D2678" w:rsidP="00DB761A">
            <w:pPr>
              <w:rPr>
                <w:i/>
              </w:rPr>
            </w:pPr>
          </w:p>
        </w:tc>
      </w:tr>
      <w:tr w:rsidR="008D2678" w:rsidRPr="005C6BD8" w:rsidTr="00DB761A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678" w:rsidRPr="005C6BD8" w:rsidRDefault="008D2678" w:rsidP="00DB761A">
            <w:pPr>
              <w:ind w:left="142" w:hanging="142"/>
            </w:pPr>
          </w:p>
          <w:p w:rsidR="008D2678" w:rsidRPr="005C6BD8" w:rsidRDefault="008D2678" w:rsidP="00DB761A">
            <w:pPr>
              <w:ind w:left="142" w:hanging="142"/>
            </w:pPr>
            <w:r w:rsidRPr="005C6BD8"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8D2678" w:rsidRPr="005C6BD8" w:rsidRDefault="008D2678" w:rsidP="00DB761A">
            <w:r w:rsidRPr="005C6BD8">
              <w:t>** nepovinné</w:t>
            </w:r>
          </w:p>
        </w:tc>
      </w:tr>
      <w:tr w:rsidR="008D2678" w:rsidRPr="005C6BD8" w:rsidTr="00DB761A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2678" w:rsidRPr="005C6BD8" w:rsidRDefault="008D2678" w:rsidP="00DB761A">
            <w:pPr>
              <w:rPr>
                <w:b/>
              </w:rPr>
            </w:pPr>
          </w:p>
        </w:tc>
      </w:tr>
      <w:tr w:rsidR="008D2678" w:rsidRPr="005C6BD8" w:rsidTr="00DB761A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8D2678" w:rsidRPr="005C6BD8" w:rsidRDefault="008D2678" w:rsidP="008D267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8D2678" w:rsidRPr="005C6BD8" w:rsidTr="00DB761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D2678" w:rsidRPr="005C6BD8" w:rsidRDefault="005E234C" w:rsidP="00DB761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5E234C" w:rsidP="00DB761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5E234C" w:rsidP="00DB761A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78" w:rsidRPr="005C6BD8" w:rsidRDefault="008D2678" w:rsidP="00DB761A">
            <w:pPr>
              <w:ind w:left="3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8D2678" w:rsidRPr="005C6BD8" w:rsidTr="00DB761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r w:rsidRPr="005C6BD8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r w:rsidRPr="005C6BD8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r w:rsidRPr="005C6BD8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ind w:left="-107" w:right="-108"/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78" w:rsidRPr="005C6BD8" w:rsidRDefault="008D2678" w:rsidP="00DB761A">
            <w:pPr>
              <w:ind w:left="34"/>
            </w:pPr>
            <w:r w:rsidRPr="005C6BD8">
              <w:t>Čiastočne</w:t>
            </w:r>
          </w:p>
        </w:tc>
      </w:tr>
      <w:tr w:rsidR="008D2678" w:rsidRPr="005C6BD8" w:rsidTr="00DB761A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DF38EE" w:rsidP="00DB761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78" w:rsidRPr="005C6BD8" w:rsidRDefault="008D2678" w:rsidP="00DB761A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8D2678" w:rsidRPr="005C6BD8" w:rsidTr="00DB761A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8D2678" w:rsidRPr="005C6BD8" w:rsidRDefault="008D2678" w:rsidP="00DB761A">
            <w:r w:rsidRPr="005C6BD8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pPr>
              <w:ind w:right="-108"/>
            </w:pPr>
            <w:r w:rsidRPr="005C6BD8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r w:rsidRPr="005C6BD8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DF38EE" w:rsidP="00DB761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78" w:rsidRPr="005C6BD8" w:rsidRDefault="008D2678" w:rsidP="00DB761A">
            <w:pPr>
              <w:ind w:left="54"/>
            </w:pPr>
            <w:r w:rsidRPr="005C6BD8">
              <w:t>Negatívne</w:t>
            </w:r>
          </w:p>
        </w:tc>
      </w:tr>
      <w:tr w:rsidR="008D2678" w:rsidRPr="005C6BD8" w:rsidTr="00DB761A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1D085F" w:rsidP="00DB761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78" w:rsidRPr="005C6BD8" w:rsidRDefault="008D2678" w:rsidP="00DB761A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8D2678" w:rsidRPr="005C6BD8" w:rsidTr="00DB761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5E234C" w:rsidP="00DB761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5E234C" w:rsidP="00DB761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78" w:rsidRPr="005C6BD8" w:rsidRDefault="008D2678" w:rsidP="00DB761A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8D2678" w:rsidRPr="005C6BD8" w:rsidTr="00DB761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78" w:rsidRPr="005C6BD8" w:rsidRDefault="008D2678" w:rsidP="00DB761A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8D2678" w:rsidRPr="005C6BD8" w:rsidTr="00DB761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678" w:rsidRPr="005C6BD8" w:rsidRDefault="008D2678" w:rsidP="00DB761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2678" w:rsidRPr="005C6BD8" w:rsidRDefault="008D2678" w:rsidP="00DB761A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2678" w:rsidRPr="005C6BD8" w:rsidRDefault="008D2678" w:rsidP="00DB761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2678" w:rsidRPr="005C6BD8" w:rsidRDefault="008D2678" w:rsidP="00DB761A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2678" w:rsidRPr="005C6BD8" w:rsidRDefault="008D2678" w:rsidP="00DB761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678" w:rsidRPr="005C6BD8" w:rsidRDefault="008D2678" w:rsidP="00DB761A">
            <w:pPr>
              <w:ind w:left="54"/>
              <w:rPr>
                <w:b/>
              </w:rPr>
            </w:pPr>
          </w:p>
        </w:tc>
      </w:tr>
      <w:tr w:rsidR="008D2678" w:rsidRPr="005C6BD8" w:rsidTr="00DB761A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5C6BD8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678" w:rsidRPr="005C6BD8" w:rsidRDefault="008D2678" w:rsidP="00DB761A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678" w:rsidRPr="005C6BD8" w:rsidRDefault="008D2678" w:rsidP="00DB761A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8D2678" w:rsidRPr="005C6BD8" w:rsidTr="00DB761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DB761A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5C6BD8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2678" w:rsidRPr="005C6BD8" w:rsidRDefault="008D2678" w:rsidP="00DB761A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2678" w:rsidRPr="005C6BD8" w:rsidRDefault="008D2678" w:rsidP="00DB761A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D2678" w:rsidRPr="005C6BD8" w:rsidRDefault="008D2678" w:rsidP="00DB761A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78" w:rsidRPr="005C6BD8" w:rsidRDefault="008D2678" w:rsidP="00DB761A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8D2678" w:rsidRPr="005C6BD8" w:rsidTr="00DB761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8D267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8D2678" w:rsidRPr="005C6BD8" w:rsidTr="00DB761A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234C" w:rsidRDefault="005E234C" w:rsidP="005E234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Pr="00E23EB9">
              <w:rPr>
                <w:color w:val="000000" w:themeColor="text1"/>
                <w:sz w:val="22"/>
                <w:szCs w:val="22"/>
              </w:rPr>
              <w:t>de o materiál legislatívnej povahy bez priameho vplyvu na rozpočet</w:t>
            </w:r>
            <w:r w:rsidR="00331499">
              <w:rPr>
                <w:color w:val="000000" w:themeColor="text1"/>
                <w:sz w:val="22"/>
                <w:szCs w:val="22"/>
              </w:rPr>
              <w:t xml:space="preserve"> verejnej správy</w:t>
            </w:r>
            <w:r w:rsidRPr="00E23EB9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V</w:t>
            </w:r>
            <w:r w:rsidRPr="00E23EB9">
              <w:rPr>
                <w:color w:val="000000" w:themeColor="text1"/>
                <w:sz w:val="22"/>
                <w:szCs w:val="22"/>
              </w:rPr>
              <w:t xml:space="preserve">plyv na rozpočet budú mať až jednotlivé </w:t>
            </w:r>
            <w:r>
              <w:rPr>
                <w:color w:val="000000" w:themeColor="text1"/>
                <w:sz w:val="22"/>
                <w:szCs w:val="22"/>
              </w:rPr>
              <w:t xml:space="preserve">opatrenia a </w:t>
            </w:r>
            <w:r w:rsidRPr="00E23EB9">
              <w:rPr>
                <w:color w:val="000000" w:themeColor="text1"/>
                <w:sz w:val="22"/>
                <w:szCs w:val="22"/>
              </w:rPr>
              <w:t xml:space="preserve">schválené formy investičnej pomoci podľa tohto zákona. </w:t>
            </w:r>
            <w:r w:rsidR="003C1577">
              <w:rPr>
                <w:color w:val="000000" w:themeColor="text1"/>
                <w:sz w:val="22"/>
                <w:szCs w:val="22"/>
              </w:rPr>
              <w:t>V</w:t>
            </w:r>
            <w:r w:rsidR="003C1577" w:rsidRPr="003C1577">
              <w:rPr>
                <w:color w:val="000000" w:themeColor="text1"/>
                <w:sz w:val="22"/>
                <w:szCs w:val="22"/>
              </w:rPr>
              <w:t xml:space="preserve"> prípade poskytnutia </w:t>
            </w:r>
            <w:r w:rsidR="003C1577">
              <w:rPr>
                <w:color w:val="000000" w:themeColor="text1"/>
                <w:sz w:val="22"/>
                <w:szCs w:val="22"/>
              </w:rPr>
              <w:t xml:space="preserve">priamej </w:t>
            </w:r>
            <w:r w:rsidR="003C1577" w:rsidRPr="003C1577">
              <w:rPr>
                <w:color w:val="000000" w:themeColor="text1"/>
                <w:sz w:val="22"/>
                <w:szCs w:val="22"/>
              </w:rPr>
              <w:t>investičnej pomoci budú tieto výdavky zabezpeč</w:t>
            </w:r>
            <w:r w:rsidR="003C1577">
              <w:rPr>
                <w:color w:val="000000" w:themeColor="text1"/>
                <w:sz w:val="22"/>
                <w:szCs w:val="22"/>
              </w:rPr>
              <w:t>ované</w:t>
            </w:r>
            <w:r w:rsidR="003C1577" w:rsidRPr="003C1577">
              <w:rPr>
                <w:color w:val="000000" w:themeColor="text1"/>
                <w:sz w:val="22"/>
                <w:szCs w:val="22"/>
              </w:rPr>
              <w:t xml:space="preserve"> v rámci </w:t>
            </w:r>
            <w:r w:rsidR="003C1577" w:rsidRPr="003C1577">
              <w:rPr>
                <w:color w:val="000000" w:themeColor="text1"/>
                <w:sz w:val="22"/>
                <w:szCs w:val="22"/>
              </w:rPr>
              <w:lastRenderedPageBreak/>
              <w:t>záväzných limitov výdavkov jednotlivých rozpočtových kapitol na príslušný rok</w:t>
            </w:r>
            <w:r w:rsidR="00331499">
              <w:rPr>
                <w:color w:val="000000" w:themeColor="text1"/>
                <w:sz w:val="22"/>
                <w:szCs w:val="22"/>
              </w:rPr>
              <w:t>.</w:t>
            </w:r>
          </w:p>
          <w:p w:rsidR="008D2678" w:rsidRPr="00A957C4" w:rsidRDefault="008D2678" w:rsidP="005E23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2678" w:rsidRPr="005C6BD8" w:rsidTr="00DB761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8D267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8D2678" w:rsidRPr="005C6BD8" w:rsidTr="00DB761A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78" w:rsidRPr="005C6BD8" w:rsidRDefault="00572C99" w:rsidP="00DB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Boris Škoda, riaditeľ odboru investícií, boris.skoda@mhsr.sk</w:t>
            </w:r>
          </w:p>
        </w:tc>
      </w:tr>
      <w:tr w:rsidR="008D2678" w:rsidRPr="005C6BD8" w:rsidTr="00DB761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8D267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8D2678" w:rsidRPr="005C6BD8" w:rsidTr="00DB761A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78" w:rsidRPr="005C6BD8" w:rsidRDefault="008D2678" w:rsidP="00DB761A">
            <w:pPr>
              <w:rPr>
                <w:i/>
              </w:rPr>
            </w:pPr>
          </w:p>
          <w:p w:rsidR="008D2678" w:rsidRPr="005C6BD8" w:rsidRDefault="008D2678" w:rsidP="00DB761A">
            <w:pPr>
              <w:rPr>
                <w:b/>
              </w:rPr>
            </w:pPr>
          </w:p>
        </w:tc>
      </w:tr>
      <w:tr w:rsidR="008D2678" w:rsidRPr="005C6BD8" w:rsidTr="00DB761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D2678" w:rsidRPr="005C6BD8" w:rsidRDefault="008D2678" w:rsidP="008D267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8D2678" w:rsidRPr="005C6BD8" w:rsidTr="00DB761A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78" w:rsidRPr="005C6BD8" w:rsidRDefault="008D2678" w:rsidP="00DB761A">
            <w:pPr>
              <w:rPr>
                <w:i/>
              </w:rPr>
            </w:pPr>
            <w:r w:rsidRPr="005C6BD8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8D2678" w:rsidRPr="005C6BD8" w:rsidRDefault="008D2678" w:rsidP="00DB761A">
            <w:pPr>
              <w:rPr>
                <w:b/>
              </w:rPr>
            </w:pPr>
          </w:p>
          <w:p w:rsidR="008D2678" w:rsidRPr="005C6BD8" w:rsidRDefault="008D2678" w:rsidP="00DB761A">
            <w:pPr>
              <w:rPr>
                <w:b/>
              </w:rPr>
            </w:pPr>
          </w:p>
          <w:p w:rsidR="008D2678" w:rsidRPr="005C6BD8" w:rsidRDefault="008D2678" w:rsidP="00DB761A">
            <w:pPr>
              <w:rPr>
                <w:b/>
              </w:rPr>
            </w:pPr>
          </w:p>
          <w:p w:rsidR="008D2678" w:rsidRPr="005C6BD8" w:rsidRDefault="008D2678" w:rsidP="00DB761A">
            <w:pPr>
              <w:rPr>
                <w:b/>
              </w:rPr>
            </w:pPr>
          </w:p>
          <w:p w:rsidR="008D2678" w:rsidRPr="005C6BD8" w:rsidRDefault="008D2678" w:rsidP="00DB761A">
            <w:pPr>
              <w:rPr>
                <w:b/>
              </w:rPr>
            </w:pPr>
          </w:p>
        </w:tc>
      </w:tr>
    </w:tbl>
    <w:p w:rsidR="008D2678" w:rsidRPr="005C6BD8" w:rsidRDefault="008D2678" w:rsidP="008D2678"/>
    <w:p w:rsidR="00826D7B" w:rsidRDefault="00826D7B"/>
    <w:sectPr w:rsidR="00826D7B" w:rsidSect="004C6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52" w:rsidRDefault="00553352">
      <w:r>
        <w:separator/>
      </w:r>
    </w:p>
  </w:endnote>
  <w:endnote w:type="continuationSeparator" w:id="0">
    <w:p w:rsidR="00553352" w:rsidRDefault="005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52" w:rsidRDefault="00553352">
      <w:r>
        <w:separator/>
      </w:r>
    </w:p>
  </w:footnote>
  <w:footnote w:type="continuationSeparator" w:id="0">
    <w:p w:rsidR="00553352" w:rsidRDefault="0055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8D2678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C277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509"/>
    <w:multiLevelType w:val="hybridMultilevel"/>
    <w:tmpl w:val="676E7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5DFF"/>
    <w:multiLevelType w:val="hybridMultilevel"/>
    <w:tmpl w:val="B38A6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78"/>
    <w:rsid w:val="000E628A"/>
    <w:rsid w:val="000F1430"/>
    <w:rsid w:val="001D085F"/>
    <w:rsid w:val="00331499"/>
    <w:rsid w:val="003C1577"/>
    <w:rsid w:val="003D1866"/>
    <w:rsid w:val="004262B4"/>
    <w:rsid w:val="00514524"/>
    <w:rsid w:val="0053208E"/>
    <w:rsid w:val="00553352"/>
    <w:rsid w:val="00572C99"/>
    <w:rsid w:val="00573CD7"/>
    <w:rsid w:val="005E234C"/>
    <w:rsid w:val="006A41DF"/>
    <w:rsid w:val="007818A3"/>
    <w:rsid w:val="0079561F"/>
    <w:rsid w:val="00826D7B"/>
    <w:rsid w:val="008562F3"/>
    <w:rsid w:val="008D2678"/>
    <w:rsid w:val="0097788A"/>
    <w:rsid w:val="00A3365C"/>
    <w:rsid w:val="00A62E72"/>
    <w:rsid w:val="00B46F83"/>
    <w:rsid w:val="00B53F88"/>
    <w:rsid w:val="00B72780"/>
    <w:rsid w:val="00C27789"/>
    <w:rsid w:val="00DF38EE"/>
    <w:rsid w:val="00DF6924"/>
    <w:rsid w:val="00E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D26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D26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267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678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27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278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278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27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278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D26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D26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267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678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27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278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278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27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278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 Dusan</dc:creator>
  <cp:lastModifiedBy>Jokmanova Diana</cp:lastModifiedBy>
  <cp:revision>2</cp:revision>
  <dcterms:created xsi:type="dcterms:W3CDTF">2017-10-26T09:38:00Z</dcterms:created>
  <dcterms:modified xsi:type="dcterms:W3CDTF">2017-10-26T09:38:00Z</dcterms:modified>
</cp:coreProperties>
</file>