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CB" w:rsidRPr="00DD4CE2" w:rsidRDefault="00945CCB" w:rsidP="00945CCB">
      <w:pPr>
        <w:pStyle w:val="Standard"/>
        <w:pageBreakBefore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>právneho predpisu s právom Európskej únie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Predkladateľ právneho predpisu:</w:t>
      </w:r>
      <w:r w:rsidRPr="00DD4CE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 xml:space="preserve">      Úrad na ochranu osobných údajov Slovenskej republiky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D5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Názov návrhu právneho predpisu:</w:t>
      </w:r>
      <w:r w:rsidRPr="00DD4CE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45CCB" w:rsidRPr="00DD4CE2" w:rsidRDefault="00752D5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945CCB" w:rsidRPr="00DD4CE2">
        <w:rPr>
          <w:rFonts w:ascii="Times New Roman" w:hAnsi="Times New Roman" w:cs="Times New Roman"/>
          <w:sz w:val="24"/>
          <w:szCs w:val="24"/>
          <w:lang w:eastAsia="en-US"/>
        </w:rPr>
        <w:t>Návrh zákona o ochrane osobných údajov a o zmene a doplnení niektorých zákonov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Problematika návrhu právneho predpisu: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ab/>
        <w:t>je upravená v práve Európskej únie</w:t>
      </w:r>
      <w:bookmarkStart w:id="0" w:name="_GoBack"/>
      <w:bookmarkEnd w:id="0"/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tabs>
          <w:tab w:val="left" w:pos="1947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- </w:t>
      </w:r>
      <w:r w:rsidRPr="00DD4CE2">
        <w:rPr>
          <w:rFonts w:ascii="Times New Roman" w:hAnsi="Times New Roman" w:cs="Times New Roman"/>
          <w:i/>
          <w:sz w:val="24"/>
          <w:szCs w:val="24"/>
          <w:lang w:eastAsia="sk-SK"/>
        </w:rPr>
        <w:t>primárnom</w:t>
      </w:r>
    </w:p>
    <w:p w:rsidR="00945CCB" w:rsidRPr="00DD4CE2" w:rsidRDefault="00945CCB" w:rsidP="00945CCB">
      <w:pPr>
        <w:pStyle w:val="Standard"/>
        <w:widowControl w:val="0"/>
        <w:tabs>
          <w:tab w:val="left" w:pos="1947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čl. 6 a čl. 39 Zmluvy o Európskej únii</w:t>
      </w:r>
    </w:p>
    <w:p w:rsidR="00945CCB" w:rsidRPr="00DD4CE2" w:rsidRDefault="00945CCB" w:rsidP="00945CCB">
      <w:pPr>
        <w:pStyle w:val="Standard"/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čl. 16 Zmluvy o fungovaní Európskej únie</w:t>
      </w:r>
    </w:p>
    <w:p w:rsidR="00945CCB" w:rsidRPr="00DD4CE2" w:rsidRDefault="00945CCB" w:rsidP="00945CCB">
      <w:pPr>
        <w:pStyle w:val="Standard"/>
        <w:widowControl w:val="0"/>
        <w:numPr>
          <w:ilvl w:val="0"/>
          <w:numId w:val="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čl. 8 Charty základných práv Európskej únie</w:t>
      </w:r>
    </w:p>
    <w:p w:rsidR="00945CCB" w:rsidRPr="00DD4CE2" w:rsidRDefault="00945CCB" w:rsidP="00945CCB">
      <w:pPr>
        <w:pStyle w:val="Standard"/>
        <w:widowControl w:val="0"/>
        <w:tabs>
          <w:tab w:val="left" w:pos="1947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tabs>
          <w:tab w:val="left" w:pos="1947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- </w:t>
      </w:r>
      <w:r w:rsidRPr="00DD4CE2">
        <w:rPr>
          <w:rFonts w:ascii="Times New Roman" w:hAnsi="Times New Roman" w:cs="Times New Roman"/>
          <w:i/>
          <w:sz w:val="24"/>
          <w:szCs w:val="24"/>
          <w:lang w:eastAsia="sk-SK"/>
        </w:rPr>
        <w:t>sekundárnom (prijatom po nadobudnutím platnosti Lisabonskej zmluvy, ktorou sa mení a dopĺňa Zmluva o Európskom spoločenstve a Zmluva o Európskej únii – po 30. novembri 2009)</w:t>
      </w:r>
    </w:p>
    <w:p w:rsidR="00945CCB" w:rsidRPr="00DD4CE2" w:rsidRDefault="00945CCB" w:rsidP="00945CCB">
      <w:pPr>
        <w:pStyle w:val="Standard"/>
        <w:widowControl w:val="0"/>
        <w:tabs>
          <w:tab w:val="left" w:pos="1947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1.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ab/>
        <w:t>legislatívne akty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 xml:space="preserve">Nariadenie </w:t>
      </w:r>
      <w:r w:rsidRPr="00DD4CE2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Európskeho parlamentu a rady (EÚ) č. </w:t>
      </w:r>
      <w:r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>2016/679 z 27. apríla 2016 o ochrane fyzických osôb pri spracúvaní osobných údajov a o voľnom pohybe takýchto údajov, ktorým sa zrušuje smernica 95/46/ES (všeobecné nariadenie o ochrane údajov)</w:t>
      </w:r>
      <w:r w:rsidR="004D1503"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0E4DA3" w:rsidRPr="00DD4CE2">
        <w:rPr>
          <w:rFonts w:ascii="Times New Roman" w:hAnsi="Times New Roman" w:cs="Times New Roman"/>
          <w:sz w:val="24"/>
          <w:szCs w:val="24"/>
          <w:lang w:eastAsia="sk-SK"/>
        </w:rPr>
        <w:t>(Ú. v. EÚ L 119/1, 4.5.2016)</w:t>
      </w:r>
    </w:p>
    <w:p w:rsidR="00945CCB" w:rsidRPr="00DD4CE2" w:rsidRDefault="00945CCB" w:rsidP="00945CCB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>Smernica Európskeho parlamentu a Rady (EÚ) 2016/680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</w:t>
      </w:r>
      <w:r w:rsidR="004D1503"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(Ú. v. EÚ L 119</w:t>
      </w:r>
      <w:r w:rsidR="000E4DA3"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>/1</w:t>
      </w:r>
      <w:r w:rsidR="004D1503"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>, 4.5.2016)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2.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ab/>
        <w:t>nelegislatívne akty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Rozhodnutie Komisie z 5. februára 2010 o štandardných zmluvných doložkách pre prenos osobných údajov spracovateľom usadeným v tretích krajinách podľa smernice Európskeho parlamentu a Rady 95/46/ES (2010/87/EÚ) (Ú. v. EÚ L 39, 12. 2. 2010)</w:t>
      </w:r>
    </w:p>
    <w:p w:rsidR="00945CCB" w:rsidRPr="00DD4CE2" w:rsidRDefault="00945CCB" w:rsidP="00945CCB">
      <w:pPr>
        <w:pStyle w:val="Standard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t>Rozhodnutie Komisie z 5. marca 2010 podľa smernice Európskeho parlamentu a Rady 95/46/ES o primeranej ochrane osobných údajov poskytovanej faerským zákonom o spracovaní osobných údajov (2010/146/EÚ) (Ú. v. EÚ L 58, 9.3.2010)</w:t>
      </w:r>
    </w:p>
    <w:p w:rsidR="00945CCB" w:rsidRPr="00DD4CE2" w:rsidRDefault="00945CCB" w:rsidP="00945CCB">
      <w:pPr>
        <w:pStyle w:val="Standard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t>Rozhodnutie Komisie z 19. októbra 2010 podľa smernice Európskeho parlamentu a Rady 95/46/ES o primeranej ochrane osobných údajov v Andorre (2010/625/EÚ) (Ú. v. EÚ L 277, 21.10.2010)</w:t>
      </w:r>
    </w:p>
    <w:p w:rsidR="00945CCB" w:rsidRPr="00DD4CE2" w:rsidRDefault="00945CCB" w:rsidP="00945CCB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Cs/>
          <w:sz w:val="24"/>
          <w:szCs w:val="24"/>
          <w:lang w:eastAsia="sk-SK"/>
        </w:rPr>
        <w:t>Rozhodnutie Komisie z 31. januára 2011 podľa smernice Európskeho parlamentu a Rady 95/46/ES o primeranej ochrane osobných údajov Izraelským štátom, pokiaľ ide o automatizované spracovanie osobných údajov (2011/61/EÚ) (Ú. v. EÚ L 27, 1.2.2011)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- </w:t>
      </w:r>
      <w:r w:rsidRPr="00DD4CE2">
        <w:rPr>
          <w:rFonts w:ascii="Times New Roman" w:hAnsi="Times New Roman" w:cs="Times New Roman"/>
          <w:i/>
          <w:sz w:val="24"/>
          <w:szCs w:val="24"/>
          <w:lang w:eastAsia="sk-SK"/>
        </w:rPr>
        <w:t>sekundárnom (prijatom pred nadobudnutím platnosti Lisabonskej zmluvy, ktorou sa mení a dopĺňa Zmluva o Európskom spoločenstve a Zmluva o Európskej únii – do 30. novembra 2009)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Smernica Európskeho parlamentu a Rady 95/46/EHS z 24. októbra 1995 o ochrane fyzických osôb pri spracovaní osobných údajov a voľnom pohybe týchto údajov (Mimoriadne vydanie Ú. v. EÚ, kap.13/ zv.15) v platnom znení</w:t>
      </w:r>
    </w:p>
    <w:p w:rsidR="00945CCB" w:rsidRPr="00DD4CE2" w:rsidRDefault="00945CCB" w:rsidP="003458E2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t>Rozhodnutie Komisie z 26. júla 2000 podľa smernice Európskeho parlamentu a Rady 95/46/ES o primeranej ochrane osobných údajov poskytovaných vo Švajčiarsku (2000/518/ES) (Mimoriadne vydanie Ú. v. EÚ, kap.16/ zv. 1)</w:t>
      </w:r>
      <w:r w:rsidR="003458E2" w:rsidRPr="00DD4CE2">
        <w:rPr>
          <w:rFonts w:ascii="Times New Roman" w:hAnsi="Times New Roman" w:cs="Times New Roman"/>
          <w:sz w:val="24"/>
          <w:szCs w:val="24"/>
        </w:rPr>
        <w:t xml:space="preserve"> </w:t>
      </w:r>
      <w:r w:rsidR="003458E2" w:rsidRPr="00DD4CE2">
        <w:rPr>
          <w:rFonts w:ascii="Times New Roman" w:hAnsi="Times New Roman" w:cs="Times New Roman"/>
          <w:sz w:val="24"/>
          <w:szCs w:val="24"/>
          <w:lang w:eastAsia="sk-SK"/>
        </w:rPr>
        <w:t>v platnom znení</w:t>
      </w:r>
    </w:p>
    <w:p w:rsidR="00945CCB" w:rsidRPr="00DD4CE2" w:rsidRDefault="00945CCB" w:rsidP="003458E2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t>Rozhodnutie Komisie z 26. júla 2000 v súlade so smernicou Európskeho parlamentu a Rady 95/46/ES o primeranosti ochrany poskytovanej zásadami bezpečného prístavu a súvisiacimi často kladenými otázkami vydanými Ministerstvom obchodu USA (2000/520/ES) (Mimoriadne vydanie Ú. v. EÚ, kap. 16/ zv. 1)</w:t>
      </w:r>
      <w:r w:rsidR="003458E2" w:rsidRPr="00DD4CE2">
        <w:rPr>
          <w:rFonts w:ascii="Times New Roman" w:hAnsi="Times New Roman" w:cs="Times New Roman"/>
          <w:sz w:val="24"/>
          <w:szCs w:val="24"/>
          <w:lang w:eastAsia="sk-SK"/>
        </w:rPr>
        <w:t>v platnom znení</w:t>
      </w:r>
    </w:p>
    <w:p w:rsidR="00945CCB" w:rsidRPr="00DD4CE2" w:rsidRDefault="00945CCB" w:rsidP="00945CCB">
      <w:pPr>
        <w:pStyle w:val="Standard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t>Rozhodnutie Komisie z 15. júna 2001 o štandardných zmluvných doložkách na prenos osobných údajov do tretích krajín podľa smernice 95/46/ES (2001/497/ES) (Mimoriadne vydanie Ú. v. EÚ, kap.13/ zv. 26) v platnom znení</w:t>
      </w:r>
    </w:p>
    <w:p w:rsidR="00945CCB" w:rsidRPr="00DD4CE2" w:rsidRDefault="00945CCB" w:rsidP="003458E2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t>Rozhodnutie Komisie z 20. decembra 2001 podľa smernice 95/46/ES Európskeho parlamentu a Rady o primeranej ochrane osobných údajov poskytovaných kanadským Zákonom o ochrane osobných informácií a elektronických dokumentoch (2002/2/ES) (Mimoriadne vydanie Ú. v. EÚ, kap.13/ zv. 27)</w:t>
      </w:r>
      <w:r w:rsidR="003458E2" w:rsidRPr="00DD4CE2">
        <w:rPr>
          <w:rFonts w:ascii="Times New Roman" w:hAnsi="Times New Roman" w:cs="Times New Roman"/>
          <w:sz w:val="24"/>
          <w:szCs w:val="24"/>
        </w:rPr>
        <w:t xml:space="preserve"> </w:t>
      </w:r>
      <w:r w:rsidR="003458E2" w:rsidRPr="00DD4CE2">
        <w:rPr>
          <w:rFonts w:ascii="Times New Roman" w:hAnsi="Times New Roman" w:cs="Times New Roman"/>
          <w:sz w:val="24"/>
          <w:szCs w:val="24"/>
          <w:lang w:eastAsia="sk-SK"/>
        </w:rPr>
        <w:t>v platnom znení</w:t>
      </w:r>
    </w:p>
    <w:p w:rsidR="00945CCB" w:rsidRPr="00DD4CE2" w:rsidRDefault="00945CCB" w:rsidP="003458E2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t>Rozhodnutie Komisie z 30. júna 2003 podľa smernice 95/46/ES Európskeho parlamentu a Rady o primeranej ochrane osobných údajov v Argentíne (200</w:t>
      </w:r>
      <w:r w:rsidR="003458E2" w:rsidRPr="00DD4CE2">
        <w:rPr>
          <w:rFonts w:ascii="Times New Roman" w:hAnsi="Times New Roman" w:cs="Times New Roman"/>
          <w:sz w:val="24"/>
          <w:szCs w:val="24"/>
        </w:rPr>
        <w:t>3/490/E</w:t>
      </w:r>
      <w:r w:rsidRPr="00DD4CE2">
        <w:rPr>
          <w:rFonts w:ascii="Times New Roman" w:hAnsi="Times New Roman" w:cs="Times New Roman"/>
          <w:sz w:val="24"/>
          <w:szCs w:val="24"/>
        </w:rPr>
        <w:t>S) (Mimoriadne vydanie Ú. v. EÚ, kap.13/ zv. 31)</w:t>
      </w:r>
      <w:r w:rsidR="003458E2" w:rsidRPr="00DD4CE2">
        <w:rPr>
          <w:rFonts w:ascii="Times New Roman" w:hAnsi="Times New Roman" w:cs="Times New Roman"/>
          <w:sz w:val="24"/>
          <w:szCs w:val="24"/>
        </w:rPr>
        <w:t xml:space="preserve"> </w:t>
      </w:r>
      <w:r w:rsidR="003458E2" w:rsidRPr="00DD4CE2">
        <w:rPr>
          <w:rFonts w:ascii="Times New Roman" w:hAnsi="Times New Roman" w:cs="Times New Roman"/>
          <w:sz w:val="24"/>
          <w:szCs w:val="24"/>
          <w:lang w:eastAsia="sk-SK"/>
        </w:rPr>
        <w:t>v platnom znení</w:t>
      </w:r>
    </w:p>
    <w:p w:rsidR="00945CCB" w:rsidRPr="00DD4CE2" w:rsidRDefault="00945CCB" w:rsidP="003458E2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t>Rozhodnutie Komisie z 21. novembra 2003 o primeranej ochrane osobných údajov na Guernsey (2003/821/ES) (Mimoriadne vydanie Ú. v. EÚ, kap.16/ zv. 1)</w:t>
      </w:r>
      <w:r w:rsidR="003458E2" w:rsidRPr="00DD4CE2">
        <w:rPr>
          <w:rFonts w:ascii="Times New Roman" w:hAnsi="Times New Roman" w:cs="Times New Roman"/>
          <w:sz w:val="24"/>
          <w:szCs w:val="24"/>
        </w:rPr>
        <w:t xml:space="preserve"> </w:t>
      </w:r>
      <w:r w:rsidR="003458E2" w:rsidRPr="00DD4CE2">
        <w:rPr>
          <w:rFonts w:ascii="Times New Roman" w:hAnsi="Times New Roman" w:cs="Times New Roman"/>
          <w:sz w:val="24"/>
          <w:szCs w:val="24"/>
          <w:lang w:eastAsia="sk-SK"/>
        </w:rPr>
        <w:t>v platnom znení</w:t>
      </w:r>
    </w:p>
    <w:p w:rsidR="00945CCB" w:rsidRPr="00DD4CE2" w:rsidRDefault="00945CCB" w:rsidP="003458E2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t>Rozhodnutie Komisie z 28. apríla 2004 o primeranej ochrane osobných údajov na ostrove Man (2004/411/ES) (Mimoriadne vydanie Ú. v. EÚ, kap.13/ zv. 34)</w:t>
      </w:r>
      <w:r w:rsidR="003458E2" w:rsidRPr="00DD4CE2">
        <w:rPr>
          <w:rFonts w:ascii="Times New Roman" w:hAnsi="Times New Roman" w:cs="Times New Roman"/>
          <w:sz w:val="24"/>
          <w:szCs w:val="24"/>
        </w:rPr>
        <w:t xml:space="preserve"> </w:t>
      </w:r>
      <w:r w:rsidR="003458E2" w:rsidRPr="00DD4CE2">
        <w:rPr>
          <w:rFonts w:ascii="Times New Roman" w:hAnsi="Times New Roman" w:cs="Times New Roman"/>
          <w:sz w:val="24"/>
          <w:szCs w:val="24"/>
          <w:lang w:eastAsia="sk-SK"/>
        </w:rPr>
        <w:t>v platnom znení</w:t>
      </w:r>
    </w:p>
    <w:p w:rsidR="00945CCB" w:rsidRPr="00DD4CE2" w:rsidRDefault="00945CCB" w:rsidP="003458E2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Rozhodnutie Komisie z 8. mája 2008 podľa smernice Európskeho parlamentu a Rady 95/46/ES o primeranej ochrane osobných údajov v Jersey (2008/393/ES) (Ú. v. EÚ L 138, 28.5.2008)</w:t>
      </w:r>
      <w:r w:rsidR="003458E2"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 v platnom znení</w:t>
      </w:r>
    </w:p>
    <w:p w:rsidR="00945CCB" w:rsidRPr="00DD4CE2" w:rsidRDefault="00945CCB" w:rsidP="003458E2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Rámcové rozhodnutie Rady 2008/977/SVV z 27. novembra 2008 o ochrane osobných údajov spracúvaných v rámci policajnej a justičnej spolupráce v trestných veciach</w:t>
      </w:r>
      <w:r w:rsidR="003458E2" w:rsidRPr="00DD4CE2">
        <w:rPr>
          <w:rFonts w:ascii="Times New Roman" w:hAnsi="Times New Roman" w:cs="Times New Roman"/>
          <w:sz w:val="24"/>
          <w:szCs w:val="24"/>
          <w:lang w:eastAsia="sk-SK"/>
        </w:rPr>
        <w:t>; v platnom znení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ab/>
        <w:t>je obsiahnutá v judikatúre Súdneho dvora Európskej únie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DD4CE2" w:rsidRDefault="00945CCB" w:rsidP="00945CCB">
      <w:pPr>
        <w:pStyle w:val="Standard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t>Rozhodnutie Súdneho dvora vo veci C-101/01 proti Bodil Lindqvist (2003)</w:t>
      </w:r>
    </w:p>
    <w:p w:rsidR="00945CCB" w:rsidRPr="00DD4CE2" w:rsidRDefault="00945CCB" w:rsidP="00945CCB">
      <w:pPr>
        <w:pStyle w:val="Standard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t>Rozhodnutie Súdneho dvora vo veci C-524/06 Heinz Huber proti Spolkovej republike Nemecko (2008)</w:t>
      </w:r>
    </w:p>
    <w:p w:rsidR="00945CCB" w:rsidRPr="00DD4CE2" w:rsidRDefault="00945CCB" w:rsidP="00945CCB">
      <w:pPr>
        <w:pStyle w:val="Standard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t>Rozhodnutie Súdneho dvora vo veci C 553/07 College van burgemeester en wethouders van Rotterdam proti E. E. Rijkeboer (2009)</w:t>
      </w:r>
    </w:p>
    <w:p w:rsidR="00945CCB" w:rsidRPr="00DD4CE2" w:rsidRDefault="00945CCB" w:rsidP="00945CCB">
      <w:pPr>
        <w:pStyle w:val="Standard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t>Rozhodnutie súdneho dvora v spojenej veci C-92/09 a C-93/09 Volker und Markus Schecke GbR (C 92/09) a Hartmut Eifert (C 93/09) proti Spolkovej krajine Hesensko (2010)</w:t>
      </w:r>
    </w:p>
    <w:p w:rsidR="00945CCB" w:rsidRPr="00DD4CE2" w:rsidRDefault="00945CCB" w:rsidP="00945CCB">
      <w:pPr>
        <w:pStyle w:val="Standard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t>Rozhodnutie Súdneho dvora vo veci C-518/07 Komisia Európskych spoločenstiev proti Spolkovej republike Nemecko (2010)</w:t>
      </w:r>
    </w:p>
    <w:p w:rsidR="00945CCB" w:rsidRPr="00DD4CE2" w:rsidRDefault="00945CCB" w:rsidP="00945CCB">
      <w:pPr>
        <w:pStyle w:val="Standard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t>Rozhodnutie Súdneho dvora vo veci C-131/12 Google Spain SL a Google Inc. proti Agencia Española de Protección de Datos (AEPD) a Mariovi Costejovi Gonzálezovi (2014)</w:t>
      </w:r>
    </w:p>
    <w:p w:rsidR="00945CCB" w:rsidRPr="00DD4CE2" w:rsidRDefault="00945CCB" w:rsidP="00945CCB">
      <w:pPr>
        <w:pStyle w:val="Standard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t>Rozhodnutie Súdneho dvora vo veci C-212/13 František Ryneš proti Úřad pro ochranu osobních údajů (2014)</w:t>
      </w:r>
    </w:p>
    <w:p w:rsidR="00945CCB" w:rsidRPr="00DD4CE2" w:rsidRDefault="00945CCB" w:rsidP="00945CCB">
      <w:pPr>
        <w:pStyle w:val="Standard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</w:rPr>
        <w:lastRenderedPageBreak/>
        <w:t>Rozhodnutie Súdneho dvora vo veci C-230/14 Weltimmo s.r.o. proti Nemzeti Adatvédelmi és Információszabadság Hatóság (2015)</w:t>
      </w:r>
    </w:p>
    <w:p w:rsidR="00945CCB" w:rsidRPr="00DD4CE2" w:rsidRDefault="00945CCB" w:rsidP="00945CCB">
      <w:pPr>
        <w:pStyle w:val="Standard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Rozhodnutie Súdneho dvora vo veci C-362/14 Maximillian Schrems proti Data Protection Commissioner (2015)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>4.</w:t>
      </w: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ab/>
        <w:t>Záväzky Slovenskej republiky vo vzťahu k Európskej únii: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ab/>
        <w:t>lehota na prebratie smernice alebo lehota na implementáciu nariadenia alebo rozhodnutia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numPr>
          <w:ilvl w:val="0"/>
          <w:numId w:val="6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lehota na implementáciu Nariadenia Európskeho parlamentu a Rady (EÚ) č. 2016/679 z 27. apríla 2016 o ochrane fyzických osôb pri spracúvaní osobných údajov a o voľnom pohybe takýchto údajov, ktorým sa zrušuje smernica 95/46/ES (všeobecné nariadenie o ochrane údajov) (Ú. v. EÚ L 119/1, 4.5.2016) - 25. máj 2018</w:t>
      </w:r>
    </w:p>
    <w:p w:rsidR="00945CCB" w:rsidRPr="00DD4CE2" w:rsidRDefault="00945CCB" w:rsidP="00945CCB">
      <w:pPr>
        <w:pStyle w:val="Standard"/>
        <w:widowControl w:val="0"/>
        <w:numPr>
          <w:ilvl w:val="0"/>
          <w:numId w:val="6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lehota na prebratie </w:t>
      </w:r>
      <w:r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Smernice Európskeho parlamentu a Rady (EÚ) 2016/680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 </w:t>
      </w:r>
      <w:r w:rsidRPr="00DD4CE2">
        <w:rPr>
          <w:rFonts w:ascii="Times New Roman" w:hAnsi="Times New Roman" w:cs="Times New Roman"/>
          <w:iCs/>
          <w:sz w:val="24"/>
          <w:szCs w:val="24"/>
          <w:lang w:eastAsia="sk-SK"/>
        </w:rPr>
        <w:t>(Ú. v. EÚ L 119/89, 4.5.2016) – 6. máj 2018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numPr>
          <w:ilvl w:val="0"/>
          <w:numId w:val="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Nie je určená.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c)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ab/>
        <w:t>informácia o konaní začatom proti Slovenskej republike o porušení podľa čl. 258 až 260 Zmluvy o fungovaní Európskej únie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numPr>
          <w:ilvl w:val="0"/>
          <w:numId w:val="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Bezpredmetné. 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d)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ab/>
        <w:t>informácia o právnych predpisoch, v ktorých sú preberané smernice už prebraté spolu s uvedením rozsahu tohto prebratia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numPr>
          <w:ilvl w:val="0"/>
          <w:numId w:val="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Bezpredmetné. 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>5.</w:t>
      </w: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ab/>
        <w:t>Stupeň zlučiteľnosti návrhu právneho predpisu s právom Európskej únie: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numPr>
          <w:ilvl w:val="0"/>
          <w:numId w:val="7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Úplný. 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>6.</w:t>
      </w: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ab/>
        <w:t>Gestor a spolupracujúce rezorty:</w:t>
      </w:r>
    </w:p>
    <w:p w:rsidR="00945CCB" w:rsidRPr="00DD4CE2" w:rsidRDefault="00945CCB" w:rsidP="00945CCB">
      <w:pPr>
        <w:pStyle w:val="Standard"/>
        <w:widowControl w:val="0"/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   Ministerstvo spravodlivosti Slovenskej republiky</w:t>
      </w:r>
    </w:p>
    <w:p w:rsidR="00945CCB" w:rsidRPr="00DD4CE2" w:rsidRDefault="00945CCB" w:rsidP="00945CCB">
      <w:pPr>
        <w:pStyle w:val="Standard"/>
        <w:widowControl w:val="0"/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   Ministerstvo vnútra Slovenskej republiky</w:t>
      </w:r>
    </w:p>
    <w:p w:rsidR="00945CCB" w:rsidRDefault="00945CCB" w:rsidP="00945CCB">
      <w:pPr>
        <w:pStyle w:val="Standard"/>
        <w:widowControl w:val="0"/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   Úrad na ochranu osobných údajov Slovenskej republiky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144" w:rsidRDefault="00720144"/>
    <w:sectPr w:rsidR="007201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E2" w:rsidRDefault="00DD4CE2" w:rsidP="00DD4CE2">
      <w:pPr>
        <w:spacing w:after="0" w:line="240" w:lineRule="auto"/>
      </w:pPr>
      <w:r>
        <w:separator/>
      </w:r>
    </w:p>
  </w:endnote>
  <w:endnote w:type="continuationSeparator" w:id="0">
    <w:p w:rsidR="00DD4CE2" w:rsidRDefault="00DD4CE2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644746"/>
      <w:docPartObj>
        <w:docPartGallery w:val="Page Numbers (Bottom of Page)"/>
        <w:docPartUnique/>
      </w:docPartObj>
    </w:sdtPr>
    <w:sdtContent>
      <w:p w:rsidR="00DD4CE2" w:rsidRDefault="00DD4CE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D4CE2" w:rsidRDefault="00DD4C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E2" w:rsidRDefault="00DD4CE2" w:rsidP="00DD4CE2">
      <w:pPr>
        <w:spacing w:after="0" w:line="240" w:lineRule="auto"/>
      </w:pPr>
      <w:r>
        <w:separator/>
      </w:r>
    </w:p>
  </w:footnote>
  <w:footnote w:type="continuationSeparator" w:id="0">
    <w:p w:rsidR="00DD4CE2" w:rsidRDefault="00DD4CE2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1581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2301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02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4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61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18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0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21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341" w:hanging="360"/>
      </w:pPr>
      <w:rPr>
        <w:rFonts w:ascii="Wingdings" w:hAnsi="Wingdings"/>
      </w:rPr>
    </w:lvl>
  </w:abstractNum>
  <w:abstractNum w:abstractNumId="2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E2BF4"/>
    <w:rsid w:val="000E4DA3"/>
    <w:rsid w:val="003458E2"/>
    <w:rsid w:val="004277EE"/>
    <w:rsid w:val="004D1503"/>
    <w:rsid w:val="00595D61"/>
    <w:rsid w:val="00717326"/>
    <w:rsid w:val="00720144"/>
    <w:rsid w:val="00752D5B"/>
    <w:rsid w:val="00945CCB"/>
    <w:rsid w:val="00AB1525"/>
    <w:rsid w:val="00D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BA1EF-7669-4E78-93EC-ECFFA3F4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numbering" w:customStyle="1" w:styleId="WWNum9">
    <w:name w:val="WWNum9"/>
    <w:rsid w:val="00945CCB"/>
    <w:pPr>
      <w:numPr>
        <w:numId w:val="1"/>
      </w:numPr>
    </w:pPr>
  </w:style>
  <w:style w:type="numbering" w:customStyle="1" w:styleId="WWNum7">
    <w:name w:val="WWNum7"/>
    <w:rsid w:val="00945CCB"/>
    <w:pPr>
      <w:numPr>
        <w:numId w:val="3"/>
      </w:numPr>
    </w:pPr>
  </w:style>
  <w:style w:type="numbering" w:customStyle="1" w:styleId="WWNum8">
    <w:name w:val="WWNum8"/>
    <w:rsid w:val="00945CCB"/>
    <w:pPr>
      <w:numPr>
        <w:numId w:val="5"/>
      </w:numPr>
    </w:p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CE2"/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Lucia Bezáková</cp:lastModifiedBy>
  <cp:revision>10</cp:revision>
  <cp:lastPrinted>2017-09-06T21:18:00Z</cp:lastPrinted>
  <dcterms:created xsi:type="dcterms:W3CDTF">2017-06-15T04:21:00Z</dcterms:created>
  <dcterms:modified xsi:type="dcterms:W3CDTF">2017-09-06T21:23:00Z</dcterms:modified>
</cp:coreProperties>
</file>