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4088"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49034F">
        <w:rPr>
          <w:rStyle w:val="PsacstrojHTML"/>
          <w:rFonts w:ascii="Arial Narrow" w:hAnsi="Arial Narrow"/>
          <w:sz w:val="22"/>
          <w:szCs w:val="22"/>
        </w:rPr>
        <w:t>22</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3619D" w:rsidRPr="001D4939" w:rsidRDefault="0053619D" w:rsidP="001D4939">
      <w:pPr>
        <w:autoSpaceDE w:val="0"/>
        <w:autoSpaceDN w:val="0"/>
        <w:adjustRightInd w:val="0"/>
        <w:contextualSpacing/>
        <w:jc w:val="center"/>
        <w:rPr>
          <w:rFonts w:ascii="Arial Narrow" w:hAnsi="Arial Narrow"/>
          <w:b/>
          <w:bCs/>
          <w:sz w:val="28"/>
          <w:szCs w:val="28"/>
        </w:rPr>
      </w:pPr>
    </w:p>
    <w:p w:rsidR="00E011EB" w:rsidRPr="007F7125" w:rsidRDefault="00194204" w:rsidP="00E011EB">
      <w:pPr>
        <w:pStyle w:val="Odsekzoznamu"/>
        <w:numPr>
          <w:ilvl w:val="0"/>
          <w:numId w:val="28"/>
        </w:numPr>
        <w:jc w:val="center"/>
      </w:pPr>
      <w:r w:rsidRPr="00E011EB">
        <w:rPr>
          <w:rFonts w:ascii="Arial Narrow" w:eastAsia="Arial Unicode MS" w:hAnsi="Arial Narrow" w:cs="Arial Unicode MS"/>
          <w:sz w:val="22"/>
          <w:szCs w:val="22"/>
        </w:rPr>
        <w:t>k</w:t>
      </w:r>
      <w:r w:rsidR="001B2E9C" w:rsidRPr="00E011EB">
        <w:rPr>
          <w:rFonts w:ascii="Arial Narrow" w:eastAsia="Arial Unicode MS" w:hAnsi="Arial Narrow" w:cs="Arial Unicode MS"/>
          <w:sz w:val="22"/>
          <w:szCs w:val="22"/>
          <w:lang w:val="sk-SK" w:eastAsia="en-US"/>
        </w:rPr>
        <w:t> </w:t>
      </w:r>
      <w:r w:rsidR="00F248A8" w:rsidRPr="00E011EB">
        <w:rPr>
          <w:rFonts w:ascii="Arial Narrow" w:eastAsia="Arial Unicode MS" w:hAnsi="Arial Narrow" w:cs="Arial Unicode MS"/>
          <w:sz w:val="22"/>
          <w:szCs w:val="22"/>
        </w:rPr>
        <w:t>návrhu zákona,</w:t>
      </w:r>
      <w:r w:rsidR="00E011EB" w:rsidRPr="00E011EB">
        <w:rPr>
          <w:rFonts w:ascii="Arial Narrow" w:eastAsia="Arial Unicode MS" w:hAnsi="Arial Narrow" w:cs="Arial Unicode MS"/>
          <w:sz w:val="22"/>
          <w:szCs w:val="22"/>
        </w:rPr>
        <w:t xml:space="preserve"> ktorým sa mení a dopĺňa zákon č. 483/2001 Z. z. o bankách a o zmene a doplnení niektorých zákonov v znení neskorších predpisov a ktorým sa menia a dopĺňajú niektoré zákony</w:t>
      </w:r>
    </w:p>
    <w:p w:rsidR="0053619D" w:rsidRPr="0053619D" w:rsidRDefault="0053619D" w:rsidP="00E011EB">
      <w:pPr>
        <w:pStyle w:val="Odsekzoznamu"/>
        <w:ind w:left="1068"/>
      </w:pPr>
    </w:p>
    <w:p w:rsidR="004E5CDF" w:rsidRPr="0053619D" w:rsidRDefault="0057124B" w:rsidP="0053619D">
      <w:pPr>
        <w:pStyle w:val="Odsekzoznamu"/>
        <w:numPr>
          <w:ilvl w:val="0"/>
          <w:numId w:val="28"/>
        </w:numPr>
        <w:jc w:val="center"/>
      </w:pPr>
      <w:r w:rsidRPr="0053619D">
        <w:rPr>
          <w:rFonts w:ascii="Arial Narrow" w:eastAsia="Arial Unicode MS" w:hAnsi="Arial Narrow" w:cs="Arial Unicode MS"/>
          <w:sz w:val="22"/>
          <w:szCs w:val="22"/>
        </w:rPr>
        <w:t>materiál na rokovaní HSR SR</w:t>
      </w:r>
      <w:r w:rsidR="009963BB" w:rsidRPr="0053619D">
        <w:rPr>
          <w:rFonts w:ascii="Arial Narrow" w:eastAsia="Arial Unicode MS" w:hAnsi="Arial Narrow" w:cs="Arial Unicode MS"/>
          <w:sz w:val="22"/>
          <w:szCs w:val="22"/>
        </w:rPr>
        <w:t xml:space="preserve"> dňa </w:t>
      </w:r>
      <w:r w:rsidR="004412FC" w:rsidRPr="0053619D">
        <w:rPr>
          <w:rFonts w:ascii="Arial Narrow" w:eastAsia="Arial Unicode MS" w:hAnsi="Arial Narrow" w:cs="Arial Unicode MS"/>
          <w:sz w:val="22"/>
          <w:szCs w:val="22"/>
        </w:rPr>
        <w:t>1</w:t>
      </w:r>
      <w:r w:rsidR="00343B53" w:rsidRPr="0053619D">
        <w:rPr>
          <w:rFonts w:ascii="Arial Narrow" w:eastAsia="Arial Unicode MS" w:hAnsi="Arial Narrow" w:cs="Arial Unicode MS"/>
          <w:sz w:val="22"/>
          <w:szCs w:val="22"/>
        </w:rPr>
        <w:t>4</w:t>
      </w:r>
      <w:r w:rsidR="000B237A" w:rsidRPr="0053619D">
        <w:rPr>
          <w:rFonts w:ascii="Arial Narrow" w:eastAsia="Arial Unicode MS" w:hAnsi="Arial Narrow" w:cs="Arial Unicode MS"/>
          <w:sz w:val="22"/>
          <w:szCs w:val="22"/>
        </w:rPr>
        <w:t>.</w:t>
      </w:r>
      <w:r w:rsidR="00343B53" w:rsidRPr="0053619D">
        <w:rPr>
          <w:rFonts w:ascii="Arial Narrow" w:eastAsia="Arial Unicode MS" w:hAnsi="Arial Narrow" w:cs="Arial Unicode MS"/>
          <w:sz w:val="22"/>
          <w:szCs w:val="22"/>
        </w:rPr>
        <w:t>08</w:t>
      </w:r>
      <w:r w:rsidR="006C6F5F" w:rsidRPr="0053619D">
        <w:rPr>
          <w:rFonts w:ascii="Arial Narrow" w:eastAsia="Arial Unicode MS" w:hAnsi="Arial Narrow" w:cs="Arial Unicode MS"/>
          <w:sz w:val="22"/>
          <w:szCs w:val="22"/>
        </w:rPr>
        <w:t>.201</w:t>
      </w:r>
      <w:r w:rsidR="004412FC" w:rsidRPr="0053619D">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E011EB" w:rsidRDefault="00E011EB" w:rsidP="00AA60A8">
      <w:pPr>
        <w:contextualSpacing/>
        <w:jc w:val="both"/>
        <w:rPr>
          <w:rFonts w:ascii="Arial Narrow" w:hAnsi="Arial Narrow" w:cs="Arial Narrow"/>
          <w:b/>
          <w:bCs/>
          <w:sz w:val="22"/>
          <w:szCs w:val="22"/>
        </w:rPr>
      </w:pPr>
    </w:p>
    <w:p w:rsidR="00E011EB" w:rsidRPr="00E011EB" w:rsidRDefault="00E011EB" w:rsidP="00E011EB">
      <w:pPr>
        <w:contextualSpacing/>
        <w:jc w:val="both"/>
        <w:rPr>
          <w:rFonts w:ascii="Arial Narrow" w:hAnsi="Arial Narrow" w:cs="Arial Narrow"/>
          <w:sz w:val="22"/>
          <w:szCs w:val="22"/>
        </w:rPr>
      </w:pPr>
      <w:r w:rsidRPr="00E011EB">
        <w:rPr>
          <w:rFonts w:ascii="Arial Narrow" w:hAnsi="Arial Narrow" w:cs="Arial Narrow"/>
          <w:sz w:val="22"/>
          <w:szCs w:val="22"/>
        </w:rPr>
        <w:t xml:space="preserve">Cieľom návrhu zákona je vyriešiť výhrady a riziká, ktoré v posledných rokoch identifikovala Národná banka Slovenska, hypotekárne banky ako emitenti HZL, ratingové agentúry v procese prideľovania úverového hodnotia existujúcim programom HZL a tiež potenciálni investori z radov súkromných aj medzinárodných finančných inštitúcií a taktiež reagovať na prebiehajúce aktivity na európskej úrovni smerujúce k definovaniu harmonizovaných štandardov kvality pre kryté dlhopisy, potrebu podporiť dlhodobé financovanie v slovenskom bankovom sektore a prípravu na nové kvalitatívne požiadavky likvidity. Uvedený cieľ je možné dosiahnuť komplexnou revíziou v oblasti doterajšieho financovania hypotekárneho bankovníctva prostredníctvom vydávania HZL, smerujúcou k ich nahradeniu krytými dlhopismi, ktorých celková hodnota bude krytá podkladovými aktívami, ktorými sú všetky hypotekárne úvery. Okrem vyššie uvedeného návrh novely zákona č. 747/2004 Z. z. reaguje taktiež na potrebu úpravy, resp. precizovania príslušných ustanovení zákona o dohľade, týkajúcich sa najmä konania pred Národnou bankou Slovenska a jej výkonu dohľadu nad finančným trhom, a to na základe poznatkov z praxe pri dohľade a aj v kontexte s aktualizovanou súvisiacou legislatívou. Návrh zákona upravujúci zákon o spotrebiteľských úveroch zohľadňuje závery Rozsudku Súdneho dvora Európskej únie z 9. novembra 2016 vo veci C-42/15 </w:t>
      </w:r>
      <w:proofErr w:type="spellStart"/>
      <w:r w:rsidRPr="00E011EB">
        <w:rPr>
          <w:rFonts w:ascii="Arial Narrow" w:hAnsi="Arial Narrow" w:cs="Arial Narrow"/>
          <w:sz w:val="22"/>
          <w:szCs w:val="22"/>
        </w:rPr>
        <w:t>Home</w:t>
      </w:r>
      <w:proofErr w:type="spellEnd"/>
      <w:r w:rsidRPr="00E011EB">
        <w:rPr>
          <w:rFonts w:ascii="Arial Narrow" w:hAnsi="Arial Narrow" w:cs="Arial Narrow"/>
          <w:sz w:val="22"/>
          <w:szCs w:val="22"/>
        </w:rPr>
        <w:t xml:space="preserve"> </w:t>
      </w:r>
      <w:proofErr w:type="spellStart"/>
      <w:r w:rsidRPr="00E011EB">
        <w:rPr>
          <w:rFonts w:ascii="Arial Narrow" w:hAnsi="Arial Narrow" w:cs="Arial Narrow"/>
          <w:sz w:val="22"/>
          <w:szCs w:val="22"/>
        </w:rPr>
        <w:t>Credit</w:t>
      </w:r>
      <w:proofErr w:type="spellEnd"/>
      <w:r w:rsidRPr="00E011EB">
        <w:rPr>
          <w:rFonts w:ascii="Arial Narrow" w:hAnsi="Arial Narrow" w:cs="Arial Narrow"/>
          <w:sz w:val="22"/>
          <w:szCs w:val="22"/>
        </w:rPr>
        <w:t xml:space="preserve"> Slovakia, a.s./Klára </w:t>
      </w:r>
      <w:proofErr w:type="spellStart"/>
      <w:r w:rsidRPr="00E011EB">
        <w:rPr>
          <w:rFonts w:ascii="Arial Narrow" w:hAnsi="Arial Narrow" w:cs="Arial Narrow"/>
          <w:sz w:val="22"/>
          <w:szCs w:val="22"/>
        </w:rPr>
        <w:t>Bíróová</w:t>
      </w:r>
      <w:proofErr w:type="spellEnd"/>
      <w:r w:rsidRPr="00E011EB">
        <w:rPr>
          <w:rFonts w:ascii="Arial Narrow" w:hAnsi="Arial Narrow" w:cs="Arial Narrow"/>
          <w:sz w:val="22"/>
          <w:szCs w:val="22"/>
        </w:rPr>
        <w:t xml:space="preserve"> a v nadväznosti naň upravuje náležitosti zmluvy o spotrebiteľskom úvere a upravuje okolnosti, za ktorých sa úver považuje za bezúročný a bez poplatkov.</w:t>
      </w:r>
    </w:p>
    <w:p w:rsidR="00E011EB" w:rsidRPr="00E011EB" w:rsidRDefault="00E011EB" w:rsidP="00E011EB">
      <w:pPr>
        <w:contextualSpacing/>
        <w:jc w:val="both"/>
        <w:rPr>
          <w:rFonts w:ascii="Arial Narrow" w:hAnsi="Arial Narrow" w:cs="Arial Narrow"/>
          <w:b/>
          <w:sz w:val="22"/>
          <w:szCs w:val="22"/>
        </w:rPr>
      </w:pPr>
    </w:p>
    <w:p w:rsidR="00E011EB" w:rsidRPr="00E011EB" w:rsidRDefault="00E011EB" w:rsidP="00E011EB">
      <w:pPr>
        <w:contextualSpacing/>
        <w:jc w:val="both"/>
        <w:rPr>
          <w:rFonts w:ascii="Arial Narrow" w:hAnsi="Arial Narrow" w:cs="Arial Narrow"/>
          <w:b/>
          <w:sz w:val="22"/>
          <w:szCs w:val="22"/>
        </w:rPr>
      </w:pPr>
      <w:r w:rsidRPr="00E011EB">
        <w:rPr>
          <w:rFonts w:ascii="Arial Narrow" w:hAnsi="Arial Narrow" w:cs="Arial Narrow"/>
          <w:b/>
          <w:sz w:val="22"/>
          <w:szCs w:val="22"/>
        </w:rPr>
        <w:t>Návrh zákona má nadobudnúť účinnosť dňa 15.12.2017, okrem vymedzených ustanovení, ktoré nadobudnú účinnosť neskôr</w:t>
      </w:r>
      <w:r>
        <w:rPr>
          <w:rFonts w:ascii="Arial Narrow" w:hAnsi="Arial Narrow" w:cs="Arial Narrow"/>
          <w:b/>
          <w:sz w:val="22"/>
          <w:szCs w:val="22"/>
        </w:rPr>
        <w:t>.</w:t>
      </w:r>
    </w:p>
    <w:p w:rsidR="00E011EB" w:rsidRPr="0053619D" w:rsidRDefault="00E011EB" w:rsidP="00E011EB">
      <w:pPr>
        <w:contextualSpacing/>
        <w:jc w:val="both"/>
        <w:rPr>
          <w:rFonts w:ascii="Arial Narrow" w:hAnsi="Arial Narrow" w:cs="Arial Narrow"/>
          <w:sz w:val="22"/>
          <w:szCs w:val="22"/>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9F00CE" w:rsidRPr="009F00CE" w:rsidRDefault="009F00CE" w:rsidP="009F00CE">
      <w:pPr>
        <w:contextualSpacing/>
        <w:jc w:val="both"/>
        <w:rPr>
          <w:rFonts w:ascii="Arial Narrow" w:hAnsi="Arial Narrow"/>
        </w:rPr>
      </w:pPr>
    </w:p>
    <w:p w:rsidR="009F00CE" w:rsidRPr="009F00CE" w:rsidRDefault="009F00CE" w:rsidP="009F00CE">
      <w:pPr>
        <w:contextualSpacing/>
        <w:jc w:val="both"/>
        <w:rPr>
          <w:rFonts w:ascii="Arial Narrow" w:hAnsi="Arial Narrow"/>
        </w:rPr>
      </w:pPr>
      <w:bookmarkStart w:id="0" w:name="_GoBack"/>
      <w:r w:rsidRPr="009F00CE">
        <w:rPr>
          <w:rFonts w:ascii="Arial Narrow" w:hAnsi="Arial Narrow"/>
        </w:rPr>
        <w:t xml:space="preserve">RÚZ predložila k návrhu zákona viaceré pripomienky pričom v rámci </w:t>
      </w:r>
      <w:proofErr w:type="spellStart"/>
      <w:r w:rsidRPr="009F00CE">
        <w:rPr>
          <w:rFonts w:ascii="Arial Narrow" w:hAnsi="Arial Narrow"/>
        </w:rPr>
        <w:t>rozporového</w:t>
      </w:r>
      <w:proofErr w:type="spellEnd"/>
      <w:r w:rsidRPr="009F00CE">
        <w:rPr>
          <w:rFonts w:ascii="Arial Narrow" w:hAnsi="Arial Narrow"/>
        </w:rPr>
        <w:t xml:space="preserve"> konania boli viaceré pripomienky odstránené. Pripomienky, pri ktorých</w:t>
      </w:r>
      <w:r w:rsidR="00377E44">
        <w:rPr>
          <w:rFonts w:ascii="Arial Narrow" w:hAnsi="Arial Narrow"/>
        </w:rPr>
        <w:t xml:space="preserve"> aj naďalej</w:t>
      </w:r>
      <w:r w:rsidRPr="009F00CE">
        <w:rPr>
          <w:rFonts w:ascii="Arial Narrow" w:hAnsi="Arial Narrow"/>
        </w:rPr>
        <w:t xml:space="preserve"> rozpor trvá, uvádzame nižšie. </w:t>
      </w:r>
    </w:p>
    <w:bookmarkEnd w:id="0"/>
    <w:p w:rsidR="0053619D" w:rsidRDefault="0053619D" w:rsidP="00AA60A8">
      <w:pPr>
        <w:contextualSpacing/>
        <w:jc w:val="both"/>
        <w:rPr>
          <w:rFonts w:ascii="Arial Narrow" w:hAnsi="Arial Narrow" w:cs="Arial Narrow"/>
          <w:bCs/>
          <w:sz w:val="22"/>
          <w:szCs w:val="22"/>
        </w:rPr>
      </w:pPr>
    </w:p>
    <w:p w:rsidR="009F00CE" w:rsidRPr="001D4939" w:rsidRDefault="009F00CE"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571015" w:rsidP="00397103">
      <w:pPr>
        <w:jc w:val="both"/>
        <w:rPr>
          <w:rFonts w:ascii="Arial Narrow" w:hAnsi="Arial Narrow"/>
          <w:bCs/>
          <w:sz w:val="22"/>
          <w:szCs w:val="22"/>
        </w:rPr>
      </w:pPr>
    </w:p>
    <w:p w:rsidR="00E011EB" w:rsidRPr="000F1537" w:rsidRDefault="00E011EB" w:rsidP="00E011EB">
      <w:pPr>
        <w:numPr>
          <w:ilvl w:val="0"/>
          <w:numId w:val="30"/>
        </w:numPr>
        <w:contextualSpacing/>
        <w:jc w:val="both"/>
        <w:rPr>
          <w:rFonts w:ascii="Arial Narrow" w:hAnsi="Arial Narrow" w:cs="Arial Narrow"/>
          <w:b/>
          <w:bCs/>
          <w:sz w:val="22"/>
          <w:szCs w:val="22"/>
        </w:rPr>
      </w:pPr>
      <w:r w:rsidRPr="000F1537">
        <w:rPr>
          <w:rFonts w:ascii="Arial Narrow" w:hAnsi="Arial Narrow" w:cs="Arial Narrow"/>
          <w:b/>
          <w:bCs/>
          <w:sz w:val="22"/>
          <w:szCs w:val="22"/>
        </w:rPr>
        <w:t>Zásadná pripomienka k Čl. XIII novelizačný bod 11</w:t>
      </w:r>
    </w:p>
    <w:p w:rsidR="00E011EB" w:rsidRPr="000F1537" w:rsidRDefault="00E011EB" w:rsidP="005360C2">
      <w:pPr>
        <w:ind w:left="720"/>
        <w:contextualSpacing/>
        <w:jc w:val="both"/>
        <w:rPr>
          <w:rFonts w:ascii="Arial Narrow" w:hAnsi="Arial Narrow" w:cs="Arial Narrow"/>
          <w:b/>
          <w:bCs/>
          <w:sz w:val="22"/>
          <w:szCs w:val="22"/>
        </w:rPr>
      </w:pP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 xml:space="preserve">Pripomienka: </w:t>
      </w:r>
      <w:r w:rsidRPr="000F1537">
        <w:rPr>
          <w:rFonts w:ascii="Arial Narrow" w:hAnsi="Arial Narrow" w:cs="Arial Narrow"/>
          <w:bCs/>
          <w:iCs/>
          <w:sz w:val="22"/>
          <w:szCs w:val="22"/>
        </w:rPr>
        <w:t xml:space="preserve">Navrhujeme ponechať súčasné znenie alebo stanoviť kvórum na </w:t>
      </w:r>
      <w:r w:rsidRPr="000F1537">
        <w:rPr>
          <w:rFonts w:ascii="Arial Narrow" w:hAnsi="Arial Narrow" w:cs="Arial Narrow"/>
          <w:bCs/>
          <w:sz w:val="22"/>
          <w:szCs w:val="22"/>
        </w:rPr>
        <w:t>nadpolovičnú väčšinu „domácich veriteľov“ alebo nadpolovičný objem úverov“.</w:t>
      </w:r>
    </w:p>
    <w:p w:rsidR="00E011EB" w:rsidRPr="000F1537" w:rsidRDefault="00E011EB" w:rsidP="00E011EB">
      <w:pPr>
        <w:contextualSpacing/>
        <w:jc w:val="both"/>
        <w:rPr>
          <w:rFonts w:ascii="Arial Narrow" w:hAnsi="Arial Narrow" w:cs="Arial Narrow"/>
          <w:bCs/>
          <w:sz w:val="22"/>
          <w:szCs w:val="22"/>
        </w:rPr>
      </w:pP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lastRenderedPageBreak/>
        <w:t>Navrhované znenie: „jedného, alebo viacerých registrov, v ktorých sa nachádzajú údaje o poskytnutých spotrebiteľských úveroch v objeme aspoň 50 % (alt. iná hranica podľa odporučenia regulátora) z celkového objemu poskytnutých spotrebiteľských úverov /alt. počte aspoň 50 % (alt. iná hranica podľa odporučenia regulátora) z celkového objemu poskytnutých spotrebiteľských úverov.“</w:t>
      </w:r>
    </w:p>
    <w:p w:rsidR="00E011EB" w:rsidRPr="000F1537" w:rsidRDefault="00E011EB" w:rsidP="00E011EB">
      <w:pPr>
        <w:contextualSpacing/>
        <w:jc w:val="both"/>
        <w:rPr>
          <w:rFonts w:ascii="Arial Narrow" w:hAnsi="Arial Narrow" w:cs="Arial Narrow"/>
          <w:bCs/>
          <w:sz w:val="22"/>
          <w:szCs w:val="22"/>
        </w:rPr>
      </w:pP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
          <w:bCs/>
          <w:sz w:val="22"/>
          <w:szCs w:val="22"/>
        </w:rPr>
        <w:t>Odôvodnenie</w:t>
      </w:r>
      <w:r w:rsidRPr="000F1537">
        <w:rPr>
          <w:rFonts w:ascii="Arial Narrow" w:hAnsi="Arial Narrow" w:cs="Arial Narrow"/>
          <w:bCs/>
          <w:sz w:val="22"/>
          <w:szCs w:val="22"/>
        </w:rPr>
        <w:t xml:space="preserve">: </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 xml:space="preserve">Podľa nášho názoru navrhovaná zmena je v rozpore s požiadavkou účelného a efektívneho overenia schopnosti spotrebiteľa splácať v registri, keďže môže na trhu vzniknúť situácia, že bude existovať viacero „malých“ registrov a veritelia budú pri plnení povinnosti overiť schopnosť spotrebiteľa splácať spotrebiteľský úver neúmerne administratívne, časovo a finančne zaťažení. </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Veritelia sa takisto dostanú do právnej neistoty, keďže jednotlivé registre môžu vo väčšom rozsahu vznikať a zanikať (vznikne neprehľadná situácia na trhu) a každý veriteľ bude musieť túto situáciu sledovať a vyhodnocovať, zapájať sa do týchto novovzniknutých registrov, z čoho tiež vyplývajú  zvýšené náklady na vybudovanie technického pripojenia a zvýšená časová náročnosť na vybudovanie pripojenia.</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Otázna bude tiež kvalita dát a služieb takýchto registrov, hrozí aj strata údajov (histórie platobnej disciplíny dlžníkov) pri zániku jednotlivých registrov, čo znižuje efektívne overenie schopnosti spotrebiteľa splácať a znižuje právnu istotu veriteľov z dôvodu zavedenia povinnosti overovania informácií o príjme v Sociálnej poisťovni prostredníctvom prevádzkovateľa registra,  každý register bude povinný zabezpečiť so Sociálnou poisťovňou technické riešenie, čo v prípade viacerých registrov v konečnom dôsledku zaťaží aj Sociálnu poisťovňu.</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Z pohľadu efektívneho používania registra, infraštruktúry pre banky navrhujeme kvórum stanoviť na nadpolovičnú väčšinu  „domácich veriteľov“ alebo nadpolovičný objem úverov.</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 xml:space="preserve">Navrhované znenie ustanovenia nekorešponduje s dôvodovou správou. Veriteľ by sa pri navrhovanom znení nemusel dopytovať do všetkých registrov s aspoň s piatimi veriteľmi, ale stačilo by do jedného. Ak by sme zvažovali znenie, ktoré je v súlade s dôvodovou správou tak nesúhlasíme s číslom 5 veriteľov. Ak by bol počet veriteľských subjektov len 5, pri súčasnom znení by veriteľ, ktorý dodržiava pravidlá, mohol opomenúť registre spracúvajúce údaje od 16 veriteľov. </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Nové znenie výrazne sprísňuje povinnosť získavať údaje, zvyšuje administratívnu náročnosť  bez zjavného vplyvu na ochranu spotrebiteľa. Stále sa prikláňame k nášmu pôvodnému návrhu, aby sa kvalita registra posudzovala od celkového objemu poskytnutých a reportovaných  úverov alebo od ich reportovaného počtu, čo by korešpondovalo s deklarovaným cieľom aplikácie obozretných zásad pre poskytovanie spotrebiteľských úverov v oblasti stanovenia a dodržiavania limitov pre ukazovateľ schopnosti spotrebiteľa splácať spotrebiteľské úvery, obozretného stanovenia,  dodržiavania limitov a pravidiel pre maximálnu splatnosť a spôsob splácania spotrebiteľského úveru a umožnilo predchádzať negatívnym trendom pri poskytovaní spotrebiteľských úverov, ktoré by mohli v budúcnosti viesť k zvýšeniu rizík  tak pre veriteľov, ako aj spotrebiteľov.</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 xml:space="preserve">Zníženie počtu veriteľov pre posúdenie schopnosti spotrebiteľa splácať úver z 2/3 všetkých veriteľov na aspoň 5 veriteľov a rovnako zavedenie povinnosti nahliadnuť do každého takéhoto registra, ktorý túto podmienku spĺňa, je na strane veriteľa poskytujúceho spotrebiteľské úvery technicky náročné, pričom v mnohých prípadoch  informácie, ktoré by boli poskytované zo strany takéhoto registra by zásadným spôsobom nemali ovplyvniť odborné posúdenie schopnosti spotrebiteľa splácať úver, a to hlavne v prípade, ak by do takéhoto registra poskytovali údaje veriteľa so zanedbateľným podielom objemu úverov na trhu. </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 xml:space="preserve">Rovnako v návrhu novely absentuje návrh postupu, kto a akým spôsobom bude kontrolovať, ktorý register už spĺňa navrhovanú zákonnú požiadavku, kde a akým spôsobom sa veriteľ poskytujúci spotrebiteľské úvery o tejto skutočnosti dozvie a rovnako aj časové obdobie, od ktorého je veriteľ poskytujúci spotrebiteľské úvery povinný si túto povinnosť začať plniť. Na tento nedostatok upozorňujeme z dôvodu, že zabezpečenie plnenia si tejto povinnosti je spojené s technickými nastaveniami systémov ako na strane veriteľa, tak aj na strane príslušného registra, a teda môže nastať situácia, že veriteľ v určitom časovom období nebude spôsobilý si túto povinnosť plniť. </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Máme za to, že z pohľadu odborného posúdenia schopnosti spotrebiteľa splácať úver sú smerodajné informácie, ktoré dostane veriteľ poskytujúci spotrebiteľské úvery z takého registra, ktorý zastrešuje veriteľov s markantným podielom objemu úverov na trhu. Zároveň navrhujeme určiť, ktorá štátna inštitúcia a akým spôsobom zverejní informáciu, že príslušný register spĺňa zákonné kritéria. Veritelia by mali dostatočný čas na uzatvorenie zmlúv a prepojenie svojich IT systémov s daným registrom.</w:t>
      </w:r>
    </w:p>
    <w:p w:rsidR="00E011EB" w:rsidRPr="000F1537" w:rsidRDefault="00E011EB" w:rsidP="00E011EB">
      <w:pPr>
        <w:contextualSpacing/>
        <w:jc w:val="both"/>
        <w:rPr>
          <w:rFonts w:ascii="Arial Narrow" w:hAnsi="Arial Narrow" w:cs="Arial Narrow"/>
          <w:bCs/>
          <w:sz w:val="22"/>
          <w:szCs w:val="22"/>
        </w:rPr>
      </w:pPr>
      <w:r w:rsidRPr="000F1537">
        <w:rPr>
          <w:rFonts w:ascii="Arial Narrow" w:hAnsi="Arial Narrow" w:cs="Arial Narrow"/>
          <w:bCs/>
          <w:sz w:val="22"/>
          <w:szCs w:val="22"/>
        </w:rPr>
        <w:t xml:space="preserve">Posudzovanie kvality registra podľa celkového objemu poskytnutých a reportovaných úverov alebo od ich reportovaného počtu by korešpondovalo s deklarovaným cieľom aplikácie obozretných zásad pre poskytovanie spotrebiteľských úverov v oblasti stanovenia a dodržiavania limitov pre ukazovateľ schopnosti spotrebiteľa splácať </w:t>
      </w:r>
      <w:r w:rsidRPr="000F1537">
        <w:rPr>
          <w:rFonts w:ascii="Arial Narrow" w:hAnsi="Arial Narrow" w:cs="Arial Narrow"/>
          <w:bCs/>
          <w:sz w:val="22"/>
          <w:szCs w:val="22"/>
        </w:rPr>
        <w:lastRenderedPageBreak/>
        <w:t>spotrebiteľské úvery, obozretného stanovenia, dodržiavania limitov a pravidiel pre maximálnu splatnosť a spôsob splácania spotrebiteľského úveru a umožnilo predchádzať negatívnym trendom pri poskytovaní spotrebiteľských úverov, ktoré by mohli v budúcnosti viesť k zvýšeniu rizík tak pre veriteľov, ako aj spotrebiteľov. Zároveň aj z hľadiska úprav týkajúcich sa povinnosti posudzovať schopnosť spotrebiteľa splácať úver na bývanie, resp. spotrebiteľský úver je zrejmé, že cieľom regulácie je zabezpečiť pre veriteľa prístup k relevantným údajom za účelom objektívneho posúdenia rizík spojených s poskytnutím úveru spotrebiteľovi, čo nie je možné zabezpečiť navrhovaným kritériom počtu reportujúcich veriteľov do registrov, v ktorých sa overujú údaje o spotrebiteľských úveroch, ale jednoznačne len váženým počtom zohľadňujúcim objem, resp. počet spotrebiteľských úverov a úverov na bývanie v dopytovaných registroch údajov o spotrebiteľských úveroch.</w:t>
      </w:r>
    </w:p>
    <w:p w:rsidR="00E011EB" w:rsidRPr="000F1537" w:rsidRDefault="00E011EB" w:rsidP="00AA60A8">
      <w:pPr>
        <w:contextualSpacing/>
        <w:jc w:val="both"/>
        <w:rPr>
          <w:rFonts w:ascii="Arial Narrow" w:hAnsi="Arial Narrow"/>
          <w:b/>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EB" w:rsidRDefault="00563FEB">
      <w:r>
        <w:separator/>
      </w:r>
    </w:p>
  </w:endnote>
  <w:endnote w:type="continuationSeparator" w:id="0">
    <w:p w:rsidR="00563FEB" w:rsidRDefault="005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EB" w:rsidRDefault="00563FEB">
      <w:r>
        <w:separator/>
      </w:r>
    </w:p>
  </w:footnote>
  <w:footnote w:type="continuationSeparator" w:id="0">
    <w:p w:rsidR="00563FEB" w:rsidRDefault="0056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D2DDF"/>
    <w:multiLevelType w:val="hybridMultilevel"/>
    <w:tmpl w:val="E0C0B82A"/>
    <w:lvl w:ilvl="0" w:tplc="0A0015E8">
      <w:numFmt w:val="bullet"/>
      <w:lvlText w:val="-"/>
      <w:lvlJc w:val="left"/>
      <w:pPr>
        <w:ind w:left="1068" w:hanging="360"/>
      </w:pPr>
      <w:rPr>
        <w:rFonts w:ascii="Arial Narrow" w:eastAsia="Arial Unicode MS" w:hAnsi="Arial Narrow" w:cs="Arial Unicode MS"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1532B9"/>
    <w:multiLevelType w:val="hybridMultilevel"/>
    <w:tmpl w:val="BE30E2C6"/>
    <w:lvl w:ilvl="0" w:tplc="424A89D8">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6">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20">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3">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671F4B27"/>
    <w:multiLevelType w:val="hybridMultilevel"/>
    <w:tmpl w:val="E988A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8"/>
  </w:num>
  <w:num w:numId="4">
    <w:abstractNumId w:val="15"/>
  </w:num>
  <w:num w:numId="5">
    <w:abstractNumId w:val="25"/>
  </w:num>
  <w:num w:numId="6">
    <w:abstractNumId w:val="17"/>
  </w:num>
  <w:num w:numId="7">
    <w:abstractNumId w:val="11"/>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9"/>
  </w:num>
  <w:num w:numId="12">
    <w:abstractNumId w:val="28"/>
  </w:num>
  <w:num w:numId="13">
    <w:abstractNumId w:val="3"/>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21"/>
  </w:num>
  <w:num w:numId="19">
    <w:abstractNumId w:val="5"/>
  </w:num>
  <w:num w:numId="20">
    <w:abstractNumId w:val="13"/>
  </w:num>
  <w:num w:numId="21">
    <w:abstractNumId w:val="16"/>
  </w:num>
  <w:num w:numId="22">
    <w:abstractNumId w:val="2"/>
  </w:num>
  <w:num w:numId="23">
    <w:abstractNumId w:val="20"/>
  </w:num>
  <w:num w:numId="24">
    <w:abstractNumId w:val="6"/>
  </w:num>
  <w:num w:numId="25">
    <w:abstractNumId w:val="29"/>
  </w:num>
  <w:num w:numId="26">
    <w:abstractNumId w:val="23"/>
  </w:num>
  <w:num w:numId="27">
    <w:abstractNumId w:val="14"/>
  </w:num>
  <w:num w:numId="28">
    <w:abstractNumId w:val="4"/>
  </w:num>
  <w:num w:numId="29">
    <w:abstractNumId w:val="12"/>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537"/>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48B3"/>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77E4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034F"/>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0C2"/>
    <w:rsid w:val="0053619D"/>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3FEB"/>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0CE"/>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55AF"/>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37B04"/>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11EB"/>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D1E"/>
    <w:rsid w:val="00EF5EC7"/>
    <w:rsid w:val="00F02D92"/>
    <w:rsid w:val="00F03191"/>
    <w:rsid w:val="00F05477"/>
    <w:rsid w:val="00F056ED"/>
    <w:rsid w:val="00F07C6F"/>
    <w:rsid w:val="00F14534"/>
    <w:rsid w:val="00F248A8"/>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370A-E1A1-478D-859D-87C72C2F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1370</Words>
  <Characters>7814</Characters>
  <Application>Microsoft Office Word</Application>
  <DocSecurity>0</DocSecurity>
  <Lines>65</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9166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4</cp:revision>
  <dcterms:created xsi:type="dcterms:W3CDTF">2017-08-09T10:01:00Z</dcterms:created>
  <dcterms:modified xsi:type="dcterms:W3CDTF">2017-08-10T10:42:00Z</dcterms:modified>
</cp:coreProperties>
</file>