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BC1984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:rsidR="007D5748" w:rsidRPr="00BC1984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E963A3" w:rsidRPr="00BC198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BC198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BC198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BC198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1984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438"/>
        <w:gridCol w:w="1096"/>
        <w:gridCol w:w="1267"/>
      </w:tblGrid>
      <w:tr w:rsidR="007D5748" w:rsidRPr="00BC1984" w:rsidTr="008719E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BC1984" w:rsidRDefault="007D5748" w:rsidP="00EA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</w:t>
            </w:r>
            <w:r w:rsidR="0095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 na rozpočet verejnej správy (v </w:t>
            </w:r>
            <w:r w:rsidR="00EA29F1"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  <w:r w:rsidR="0095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ách</w:t>
            </w: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7D5748" w:rsidRPr="00BC1984" w:rsidTr="006720A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C1984" w:rsidRDefault="00EA29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7D5748" w:rsidRPr="00BC1984" w:rsidRDefault="00EA29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096" w:type="dxa"/>
            <w:shd w:val="clear" w:color="auto" w:fill="BFBFBF" w:themeFill="background1" w:themeFillShade="BF"/>
            <w:vAlign w:val="center"/>
          </w:tcPr>
          <w:p w:rsidR="007D5748" w:rsidRPr="00BC1984" w:rsidRDefault="00EA29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BC1984" w:rsidRDefault="00EA29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C1984" w:rsidRDefault="00954DE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C0C0C0"/>
            <w:vAlign w:val="center"/>
          </w:tcPr>
          <w:p w:rsidR="007D5748" w:rsidRPr="00BC1984" w:rsidRDefault="006720AD" w:rsidP="0067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-24 315 0</w:t>
            </w:r>
            <w:r w:rsidR="0095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096" w:type="dxa"/>
            <w:shd w:val="clear" w:color="auto" w:fill="C0C0C0"/>
            <w:vAlign w:val="center"/>
          </w:tcPr>
          <w:p w:rsidR="007D5748" w:rsidRPr="00BC1984" w:rsidRDefault="00954DE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-15 000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BC1984" w:rsidRDefault="00954DE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-15 000</w:t>
            </w:r>
          </w:p>
        </w:tc>
      </w:tr>
      <w:tr w:rsidR="007D5748" w:rsidRPr="00BC1984" w:rsidTr="006720A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665525" w:rsidTr="006720A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954DE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665525" w:rsidRDefault="00A1040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-24 315 000</w:t>
            </w:r>
          </w:p>
        </w:tc>
        <w:tc>
          <w:tcPr>
            <w:tcW w:w="1096" w:type="dxa"/>
            <w:noWrap/>
            <w:vAlign w:val="center"/>
          </w:tcPr>
          <w:p w:rsidR="007D5748" w:rsidRPr="00665525" w:rsidRDefault="00A1040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-15 000</w:t>
            </w:r>
          </w:p>
        </w:tc>
        <w:tc>
          <w:tcPr>
            <w:tcW w:w="1267" w:type="dxa"/>
            <w:noWrap/>
            <w:vAlign w:val="center"/>
          </w:tcPr>
          <w:p w:rsidR="007D5748" w:rsidRPr="00665525" w:rsidRDefault="00A1040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-15 000</w:t>
            </w:r>
          </w:p>
        </w:tc>
      </w:tr>
      <w:tr w:rsidR="00C51FD4" w:rsidRPr="00665525" w:rsidTr="006720A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BC1984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BC1984" w:rsidRDefault="00954DE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C51FD4" w:rsidRPr="00665525" w:rsidRDefault="00A1040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-24 315 000</w:t>
            </w:r>
          </w:p>
        </w:tc>
        <w:tc>
          <w:tcPr>
            <w:tcW w:w="1096" w:type="dxa"/>
            <w:noWrap/>
            <w:vAlign w:val="center"/>
          </w:tcPr>
          <w:p w:rsidR="00C51FD4" w:rsidRPr="00665525" w:rsidRDefault="00A1040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-15 000</w:t>
            </w:r>
          </w:p>
        </w:tc>
        <w:tc>
          <w:tcPr>
            <w:tcW w:w="1267" w:type="dxa"/>
            <w:noWrap/>
            <w:vAlign w:val="center"/>
          </w:tcPr>
          <w:p w:rsidR="00C51FD4" w:rsidRPr="00665525" w:rsidRDefault="00A1040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-15 000</w:t>
            </w:r>
          </w:p>
        </w:tc>
      </w:tr>
      <w:tr w:rsidR="007D5748" w:rsidRPr="00BC1984" w:rsidTr="006720A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C1984" w:rsidRDefault="00954DE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92 000</w:t>
            </w:r>
          </w:p>
        </w:tc>
        <w:tc>
          <w:tcPr>
            <w:tcW w:w="1438" w:type="dxa"/>
            <w:shd w:val="clear" w:color="auto" w:fill="C0C0C0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shd w:val="clear" w:color="auto" w:fill="C0C0C0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FA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A3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</w:t>
            </w: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FA3E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FA3EB8" w:rsidP="00FA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92 000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954DE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92 000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BC1984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BC1984" w:rsidRDefault="00954DE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92 000</w:t>
            </w:r>
          </w:p>
        </w:tc>
        <w:tc>
          <w:tcPr>
            <w:tcW w:w="1438" w:type="dxa"/>
            <w:noWrap/>
            <w:vAlign w:val="center"/>
          </w:tcPr>
          <w:p w:rsidR="00C51FD4" w:rsidRPr="00BC1984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C51FD4" w:rsidRPr="00BC1984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BC1984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C1984" w:rsidRDefault="00BE28A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92 000</w:t>
            </w:r>
          </w:p>
        </w:tc>
        <w:tc>
          <w:tcPr>
            <w:tcW w:w="1438" w:type="dxa"/>
            <w:shd w:val="clear" w:color="auto" w:fill="C0C0C0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shd w:val="clear" w:color="auto" w:fill="C0C0C0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BC1984" w:rsidTr="006720AD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BC1984" w:rsidRDefault="00954DE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8" w:type="dxa"/>
            <w:shd w:val="clear" w:color="auto" w:fill="A6A6A6" w:themeFill="background1" w:themeFillShade="A6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6" w:type="dxa"/>
            <w:shd w:val="clear" w:color="auto" w:fill="A6A6A6" w:themeFill="background1" w:themeFillShade="A6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BC1984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BC1984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D15844" w:rsidRDefault="00D15844" w:rsidP="00D15844">
      <w:pPr>
        <w:jc w:val="both"/>
      </w:pPr>
      <w:r>
        <w:t xml:space="preserve"> </w:t>
      </w:r>
    </w:p>
    <w:p w:rsidR="000E06E6" w:rsidRDefault="00D15844" w:rsidP="00BE28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</w:t>
      </w:r>
      <w:r w:rsidR="007335B7" w:rsidRPr="00BC19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základe prijatých opatrení na zamedzenie daňových únikov prichádza od roku 201</w:t>
      </w:r>
      <w:r w:rsidR="006474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ku každoročnému zlepšovaniu výberu DPH a znižovaniu daňovej medzery. Očakávame, že tento pozitívny trend bude pokračovať aj v nasledujúcich rokoch, čomu napomôžu už predstavené akčné plány boja proti daňovým podvodom. Zvýšený výber DPH vykryje v plnom rozsahu výpadky na príjmovej strane spôsobené zavedením nových opatrení.</w:t>
      </w:r>
    </w:p>
    <w:p w:rsidR="00BE28A4" w:rsidRPr="00BE28A4" w:rsidRDefault="00BE28A4" w:rsidP="00BE28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E28A4">
        <w:rPr>
          <w:rFonts w:ascii="Times New Roman" w:hAnsi="Times New Roman" w:cs="Times New Roman"/>
          <w:iCs/>
          <w:sz w:val="24"/>
          <w:szCs w:val="24"/>
        </w:rPr>
        <w:t>Negatívny vplyv</w:t>
      </w:r>
      <w:r>
        <w:rPr>
          <w:rFonts w:ascii="Times New Roman" w:hAnsi="Times New Roman" w:cs="Times New Roman"/>
          <w:iCs/>
          <w:sz w:val="24"/>
          <w:szCs w:val="24"/>
        </w:rPr>
        <w:t xml:space="preserve"> vo výške 92 tis. eur  </w:t>
      </w:r>
      <w:r w:rsidRPr="00BE28A4">
        <w:rPr>
          <w:rFonts w:ascii="Times New Roman" w:hAnsi="Times New Roman" w:cs="Times New Roman"/>
          <w:iCs/>
          <w:sz w:val="24"/>
          <w:szCs w:val="24"/>
        </w:rPr>
        <w:t xml:space="preserve"> bude rozpočtovo zabezpečený v rámci limitov výdavkov dotknutej kapitoly na príslušný rozpočtový rok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E06E6" w:rsidRDefault="000E06E6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1984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C1FF4" w:rsidRPr="00BC1984" w:rsidRDefault="007C1FF4" w:rsidP="00647441">
      <w:pPr>
        <w:spacing w:line="240" w:lineRule="auto"/>
        <w:jc w:val="both"/>
        <w:rPr>
          <w:rStyle w:val="Zstupntext"/>
          <w:color w:val="000000"/>
          <w:sz w:val="24"/>
          <w:szCs w:val="24"/>
        </w:rPr>
      </w:pPr>
      <w:r w:rsidRPr="00BC1984">
        <w:rPr>
          <w:rStyle w:val="Zstupntext"/>
          <w:color w:val="000000"/>
          <w:sz w:val="24"/>
          <w:szCs w:val="24"/>
        </w:rPr>
        <w:t>Novela zákona o dani z pridanej hodnoty je orientovaná na oblasti, ktoré je potrebné zosúladiť s judikatúrou Súdneho dvora Európskej únie, smernicou Rady 2006/112/ES o spoločnom systéme dane z pridanej hodnoty a taktiež na oblasti, v ktorých existujúce pravidlá dane z pridanej hodnoty spôsobujú pri ich uplatňovaní problémy v praxi.</w:t>
      </w:r>
    </w:p>
    <w:p w:rsidR="00B03002" w:rsidRPr="00BC1984" w:rsidRDefault="00B03002" w:rsidP="008D0332">
      <w:pPr>
        <w:spacing w:line="240" w:lineRule="auto"/>
        <w:jc w:val="both"/>
        <w:rPr>
          <w:rStyle w:val="Zstupntext"/>
          <w:color w:val="000000"/>
          <w:sz w:val="24"/>
          <w:szCs w:val="24"/>
        </w:rPr>
      </w:pPr>
      <w:r w:rsidRPr="00BC1984">
        <w:rPr>
          <w:rStyle w:val="Zstupntext"/>
          <w:color w:val="000000"/>
          <w:sz w:val="24"/>
          <w:szCs w:val="24"/>
        </w:rPr>
        <w:t>Navrhované úpravy:</w:t>
      </w:r>
    </w:p>
    <w:p w:rsidR="00B03002" w:rsidRPr="00BC1984" w:rsidRDefault="00B03002" w:rsidP="008D033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Zstupntext"/>
          <w:color w:val="000000"/>
          <w:sz w:val="24"/>
          <w:szCs w:val="24"/>
          <w:lang w:eastAsia="sk-SK"/>
        </w:rPr>
      </w:pPr>
      <w:r w:rsidRPr="00BC1984">
        <w:rPr>
          <w:rStyle w:val="Zstupntext"/>
          <w:color w:val="000000"/>
          <w:sz w:val="24"/>
          <w:szCs w:val="24"/>
          <w:lang w:eastAsia="sk-SK"/>
        </w:rPr>
        <w:t>doplnenie vzniku daňovej povinnosti a vzniku práva na odpočítanie dane pri postúpení pohľadávky v rámci uplatňovania osobitnej úpravy vzniku daňovej povinnosti na základe prijatej platby</w:t>
      </w:r>
    </w:p>
    <w:p w:rsidR="00B03002" w:rsidRPr="00BC1984" w:rsidRDefault="00B03002" w:rsidP="008D033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Zstupntext"/>
          <w:color w:val="000000"/>
          <w:sz w:val="24"/>
          <w:szCs w:val="24"/>
          <w:lang w:eastAsia="sk-SK"/>
        </w:rPr>
      </w:pPr>
      <w:r w:rsidRPr="00BC1984">
        <w:rPr>
          <w:rStyle w:val="Zstupntext"/>
          <w:color w:val="000000"/>
          <w:sz w:val="24"/>
          <w:szCs w:val="24"/>
          <w:lang w:eastAsia="sk-SK"/>
        </w:rPr>
        <w:t>zavedenie povinnosti pre zdaniteľné osoby, ktoré sú registrované podľa § 7 alebo § 7a zákona o DPH podávať súhrnné výkazy, ak sa zúčastňujú na trojstrannom obchode</w:t>
      </w:r>
    </w:p>
    <w:p w:rsidR="00B03002" w:rsidRPr="00BC1984" w:rsidRDefault="00B03002" w:rsidP="008D033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Zstupntext"/>
          <w:color w:val="000000"/>
          <w:sz w:val="24"/>
          <w:szCs w:val="24"/>
          <w:lang w:eastAsia="sk-SK"/>
        </w:rPr>
      </w:pPr>
      <w:r w:rsidRPr="00BC1984">
        <w:rPr>
          <w:rStyle w:val="Zstupntext"/>
          <w:color w:val="000000"/>
          <w:sz w:val="24"/>
          <w:szCs w:val="24"/>
          <w:lang w:eastAsia="sk-SK"/>
        </w:rPr>
        <w:t>uplatňovanie osobitnej úpravy zdanenia prirážky cestovnými kanceláriami pri poskytovaní služieb cestovného ruchu voči všetkým subjektom, a to aj v prípade, ak budú tieto služby poskytnuté platiteľovi dane na účely jeho pracovnej cesty</w:t>
      </w:r>
    </w:p>
    <w:p w:rsidR="00B03002" w:rsidRPr="00BC1984" w:rsidRDefault="00B03002" w:rsidP="008D033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Zstupntext"/>
          <w:color w:val="000000"/>
          <w:sz w:val="24"/>
          <w:szCs w:val="24"/>
          <w:lang w:eastAsia="sk-SK"/>
        </w:rPr>
      </w:pPr>
      <w:r w:rsidRPr="00BC1984">
        <w:rPr>
          <w:rStyle w:val="Zstupntext"/>
          <w:color w:val="000000"/>
          <w:sz w:val="24"/>
          <w:szCs w:val="24"/>
          <w:lang w:eastAsia="sk-SK"/>
        </w:rPr>
        <w:t>zavedenie bezodkladného vrátenia zábezpeky daňovým úradom v prípade zrušenia registrácie pre daň</w:t>
      </w:r>
    </w:p>
    <w:p w:rsidR="00B03002" w:rsidRPr="00BC1984" w:rsidRDefault="00B03002" w:rsidP="008D033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Zstupntext"/>
          <w:color w:val="000000"/>
          <w:sz w:val="24"/>
          <w:szCs w:val="24"/>
          <w:lang w:eastAsia="sk-SK"/>
        </w:rPr>
      </w:pPr>
      <w:r w:rsidRPr="00BC1984">
        <w:rPr>
          <w:rFonts w:ascii="Times New Roman" w:hAnsi="Times New Roman" w:cs="Times New Roman"/>
          <w:sz w:val="24"/>
          <w:szCs w:val="24"/>
        </w:rPr>
        <w:t>rýchle vrátenie časti nadmerného odpočtu, o ktorom nie sú pochybnosti o jeho oprávnenosti, ešte pred samotným začatím daňovej kontroly,</w:t>
      </w:r>
    </w:p>
    <w:p w:rsidR="00B03002" w:rsidRPr="00BC1984" w:rsidRDefault="00B03002" w:rsidP="008D033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Zstupntext"/>
          <w:color w:val="000000"/>
          <w:sz w:val="24"/>
          <w:szCs w:val="24"/>
          <w:lang w:eastAsia="sk-SK"/>
        </w:rPr>
      </w:pPr>
      <w:r w:rsidRPr="00BC1984">
        <w:rPr>
          <w:rStyle w:val="Zstupntext"/>
          <w:color w:val="000000"/>
          <w:sz w:val="24"/>
          <w:szCs w:val="24"/>
          <w:lang w:eastAsia="sk-SK"/>
        </w:rPr>
        <w:t>možnosť vyhotoviť súhrnnú faktúru za nájom a dodávky elektriny, plynu, vody a tepla za obdobie 12 kalendárneho mesiacov aj pre zdaniteľnú osobu, ktorá nie je usadená v tuzemsku</w:t>
      </w:r>
    </w:p>
    <w:p w:rsidR="00B03002" w:rsidRPr="00BC1984" w:rsidRDefault="00B03002" w:rsidP="008D033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Zstupntext"/>
          <w:sz w:val="24"/>
          <w:szCs w:val="24"/>
        </w:rPr>
      </w:pPr>
      <w:r w:rsidRPr="00BC1984">
        <w:rPr>
          <w:rStyle w:val="Zstupntext"/>
          <w:color w:val="000000"/>
          <w:sz w:val="24"/>
          <w:szCs w:val="24"/>
          <w:lang w:eastAsia="sk-SK"/>
        </w:rPr>
        <w:t>zrušenie limitu 5 000 eur pri prenose daňovej povinnosti, ktorý je platiteľ dane povinný uplatniť pri dodaní určitých komodít</w:t>
      </w:r>
    </w:p>
    <w:p w:rsidR="00B03002" w:rsidRPr="00BC1984" w:rsidRDefault="00B03002" w:rsidP="008D033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Zstupntext"/>
          <w:color w:val="000000"/>
          <w:sz w:val="24"/>
          <w:szCs w:val="24"/>
          <w:lang w:eastAsia="sk-SK"/>
        </w:rPr>
      </w:pPr>
      <w:r w:rsidRPr="00BC1984">
        <w:rPr>
          <w:rStyle w:val="Zstupntext"/>
          <w:color w:val="000000"/>
          <w:sz w:val="24"/>
          <w:szCs w:val="24"/>
          <w:lang w:eastAsia="sk-SK"/>
        </w:rPr>
        <w:t>zmena podmienky pri uplatňovaní trojstranného obchodu (prvý odberateľ nesmie byť usadený v členskom štáte druhého odberateľa)</w:t>
      </w:r>
    </w:p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BC19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BC1984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BC1984" w:rsidRDefault="00FD3710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36374" id="Rovná spojnica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85pt" to="1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" strokecolor="black [3040]"/>
            </w:pict>
          </mc:Fallback>
        </mc:AlternateContent>
      </w:r>
      <w:r w:rsidRPr="00BC198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1270</wp:posOffset>
                </wp:positionV>
                <wp:extent cx="180975" cy="16192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0AA11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1pt" to="14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" strokecolor="black [3040]"/>
            </w:pict>
          </mc:Fallback>
        </mc:AlternateContent>
      </w:r>
      <w:r w:rsidRPr="00BC198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BC198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BC1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C1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C1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C1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1984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BC1984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BC1984" w:rsidTr="008719E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BC1984" w:rsidTr="008719E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BC1984" w:rsidTr="008719E2">
        <w:trPr>
          <w:trHeight w:val="70"/>
        </w:trPr>
        <w:tc>
          <w:tcPr>
            <w:tcW w:w="4530" w:type="dxa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BC1984" w:rsidTr="008719E2">
        <w:trPr>
          <w:trHeight w:val="70"/>
        </w:trPr>
        <w:tc>
          <w:tcPr>
            <w:tcW w:w="4530" w:type="dxa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BC1984" w:rsidTr="008719E2">
        <w:trPr>
          <w:trHeight w:val="70"/>
        </w:trPr>
        <w:tc>
          <w:tcPr>
            <w:tcW w:w="4530" w:type="dxa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BC1984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BC1984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665A" w:rsidRDefault="00C0665A" w:rsidP="00C06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Odhadovaný negatívny hotovostný vplyv vrátenia časti nerizikového nadmerného odpočtu ešte pred začatím daňovej kontroly je vo výške 24,3 mil. eur v prvom roku zavedenia. Kv</w:t>
      </w:r>
      <w:r w:rsidR="00BE28A4">
        <w:rPr>
          <w:rFonts w:ascii="Times New Roman" w:eastAsia="Times New Roman" w:hAnsi="Times New Roman" w:cs="Times New Roman"/>
          <w:sz w:val="24"/>
          <w:szCs w:val="24"/>
          <w:lang w:eastAsia="sk-SK"/>
        </w:rPr>
        <w:t>antifikácia vychádza z údajov FR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 o objeme otvorených kontrol nadmerného odpočtu na základe zistení z kontrolného výkazu</w:t>
      </w:r>
      <w:r w:rsidR="00BE28A4">
        <w:rPr>
          <w:rFonts w:ascii="Times New Roman" w:eastAsia="Times New Roman" w:hAnsi="Times New Roman" w:cs="Times New Roman"/>
          <w:sz w:val="24"/>
          <w:szCs w:val="24"/>
          <w:lang w:eastAsia="sk-SK"/>
        </w:rPr>
        <w:t>. Vychádza tiež zo štatistiky FR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SR, že 13,15 % všetkých nadmerných odpočtov u subjektov v podozrivých schémach indikovaných podľa kontrolného výkazu v roku 2016 bolo rizikových.</w:t>
      </w:r>
    </w:p>
    <w:p w:rsidR="00C0665A" w:rsidRDefault="00BE28A4" w:rsidP="00C06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Kvantifikácia opatrenia</w:t>
      </w:r>
      <w:r w:rsidR="00C066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týkajúceho sa oslobodenia od DPH pri dodaní tovaru na humanitárne a dobročinné účely vychádza zo Správy o oficiálnej rozvojovej pomoci Slovenskej republiky za rok 2015. Na materiálnu humanitárnu pomoc v roku 2015 prispeli formou darov resp. darovacích listín v prospech </w:t>
      </w:r>
      <w:bookmarkStart w:id="1" w:name="_GoBack"/>
      <w:bookmarkEnd w:id="1"/>
      <w:r w:rsidR="00C0665A">
        <w:rPr>
          <w:rFonts w:ascii="Times New Roman" w:eastAsia="Times New Roman" w:hAnsi="Times New Roman" w:cs="Times New Roman"/>
          <w:sz w:val="24"/>
          <w:szCs w:val="24"/>
          <w:lang w:eastAsia="sk-SK"/>
        </w:rPr>
        <w:t>MV SR súkromné firmy v hodnote 93 781,70 eur. Vychádzajúc z tejto informácie je statický vplyv oslobodenia materiálnej humanitárnej pomoci od D</w:t>
      </w:r>
      <w:r w:rsidR="003D748E">
        <w:rPr>
          <w:rFonts w:ascii="Times New Roman" w:eastAsia="Times New Roman" w:hAnsi="Times New Roman" w:cs="Times New Roman"/>
          <w:sz w:val="24"/>
          <w:szCs w:val="24"/>
          <w:lang w:eastAsia="sk-SK"/>
        </w:rPr>
        <w:t>PH na štátny rozpočet -15 tis. e</w:t>
      </w:r>
      <w:r w:rsidR="00C066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ur. </w:t>
      </w:r>
    </w:p>
    <w:p w:rsidR="007D5748" w:rsidRPr="00BC1984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1984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7D5748" w:rsidRPr="00BC1984" w:rsidSect="008719E2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BC1984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BC1984" w:rsidTr="008719E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C1984" w:rsidRDefault="006720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Príjmy (v </w:t>
            </w:r>
            <w:r w:rsidR="00DD48A8"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ách</w:t>
            </w:r>
            <w:r w:rsidR="007D5748"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BC1984" w:rsidTr="008719E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DD48A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DD48A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DD48A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DD48A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BC1984" w:rsidTr="008719E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6720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6720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-24 315 000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6720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6720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-15 000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C1984" w:rsidTr="008719E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C1984" w:rsidTr="008719E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C1984" w:rsidTr="008719E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C1984" w:rsidTr="008719E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C1984" w:rsidTr="008719E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6720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6720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-24 315 000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6720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6720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-15 000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BC1984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 –  príjmy rozpísať až do položiek platnej ekonomickej klasifikácie</w:t>
      </w:r>
    </w:p>
    <w:p w:rsidR="007D5748" w:rsidRPr="00BC1984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:rsidR="007D5748" w:rsidRPr="00BC1984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C19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BC1984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BC1984" w:rsidTr="008719E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</w:t>
            </w:r>
            <w:r w:rsidR="00672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y (v </w:t>
            </w:r>
            <w:r w:rsidR="00DD48A8"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  <w:r w:rsidR="00672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ách</w:t>
            </w: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BC1984" w:rsidTr="008719E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BC198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BC198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BC198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BC198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BC1984" w:rsidTr="008719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C1984" w:rsidTr="008719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C1984" w:rsidTr="008719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C1984" w:rsidTr="008719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C1984" w:rsidTr="008719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C1984" w:rsidTr="008719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BC1984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="008D339D" w:rsidRPr="00BC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39D"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</w:t>
            </w: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(650)</w:t>
            </w: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BC1984" w:rsidTr="008719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6720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C1984" w:rsidTr="008719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6720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C1984" w:rsidTr="008719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C1984" w:rsidTr="008719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BC1984" w:rsidTr="008719E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6720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C1984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BC1984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C1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BC1984" w:rsidRDefault="00BC198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  <w:r w:rsidR="007D5748" w:rsidRPr="00BC19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 –  výdavky rozpísať až do položiek platnej ekonomickej klasifikácie</w:t>
      </w: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BC198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7D5748" w:rsidRPr="00BC1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:rsidR="007D5748" w:rsidRPr="00BC1984" w:rsidRDefault="00BC198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  <w:r w:rsidR="007D5748" w:rsidRPr="00BC19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0D3AF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BC1984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sectPr w:rsidR="007D5748" w:rsidRPr="00BC1984" w:rsidSect="00BC198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68" w:rsidRDefault="00365068">
      <w:pPr>
        <w:spacing w:after="0" w:line="240" w:lineRule="auto"/>
      </w:pPr>
      <w:r>
        <w:separator/>
      </w:r>
    </w:p>
  </w:endnote>
  <w:endnote w:type="continuationSeparator" w:id="0">
    <w:p w:rsidR="00365068" w:rsidRDefault="0036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E2" w:rsidRDefault="008719E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8719E2" w:rsidRDefault="008719E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E2" w:rsidRDefault="008719E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E2" w:rsidRDefault="008719E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8719E2" w:rsidRDefault="008719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68" w:rsidRDefault="00365068">
      <w:pPr>
        <w:spacing w:after="0" w:line="240" w:lineRule="auto"/>
      </w:pPr>
      <w:r>
        <w:separator/>
      </w:r>
    </w:p>
  </w:footnote>
  <w:footnote w:type="continuationSeparator" w:id="0">
    <w:p w:rsidR="00365068" w:rsidRDefault="0036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E2" w:rsidRDefault="008719E2" w:rsidP="008719E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8719E2" w:rsidRPr="00EB59C8" w:rsidRDefault="008719E2" w:rsidP="008719E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E2" w:rsidRPr="000A15AE" w:rsidRDefault="008719E2" w:rsidP="008719E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A4D"/>
    <w:multiLevelType w:val="hybridMultilevel"/>
    <w:tmpl w:val="2AA66CCC"/>
    <w:lvl w:ilvl="0" w:tplc="AEDA6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D297E"/>
    <w:rsid w:val="000D3AF5"/>
    <w:rsid w:val="000E06E6"/>
    <w:rsid w:val="001127A8"/>
    <w:rsid w:val="00170D2B"/>
    <w:rsid w:val="001C7326"/>
    <w:rsid w:val="00200898"/>
    <w:rsid w:val="00212894"/>
    <w:rsid w:val="0023251B"/>
    <w:rsid w:val="00285EBF"/>
    <w:rsid w:val="00290468"/>
    <w:rsid w:val="00317B90"/>
    <w:rsid w:val="00323FAA"/>
    <w:rsid w:val="00353919"/>
    <w:rsid w:val="00365068"/>
    <w:rsid w:val="003D748E"/>
    <w:rsid w:val="00487203"/>
    <w:rsid w:val="004B2155"/>
    <w:rsid w:val="004D7AED"/>
    <w:rsid w:val="005005EC"/>
    <w:rsid w:val="00513BA1"/>
    <w:rsid w:val="005A41BD"/>
    <w:rsid w:val="00620B3D"/>
    <w:rsid w:val="00647441"/>
    <w:rsid w:val="00665525"/>
    <w:rsid w:val="006720AD"/>
    <w:rsid w:val="007246BD"/>
    <w:rsid w:val="007335B7"/>
    <w:rsid w:val="007C1FF4"/>
    <w:rsid w:val="007D5748"/>
    <w:rsid w:val="008146AB"/>
    <w:rsid w:val="008719E2"/>
    <w:rsid w:val="008A339E"/>
    <w:rsid w:val="008D0332"/>
    <w:rsid w:val="008D339D"/>
    <w:rsid w:val="008E2736"/>
    <w:rsid w:val="00954DE5"/>
    <w:rsid w:val="009706B7"/>
    <w:rsid w:val="009A00D0"/>
    <w:rsid w:val="009B222F"/>
    <w:rsid w:val="00A10404"/>
    <w:rsid w:val="00AD071B"/>
    <w:rsid w:val="00B03002"/>
    <w:rsid w:val="00B16563"/>
    <w:rsid w:val="00B20B78"/>
    <w:rsid w:val="00B5535C"/>
    <w:rsid w:val="00BC1984"/>
    <w:rsid w:val="00BE28A4"/>
    <w:rsid w:val="00C034C8"/>
    <w:rsid w:val="00C0665A"/>
    <w:rsid w:val="00C15212"/>
    <w:rsid w:val="00C51FD4"/>
    <w:rsid w:val="00CB3623"/>
    <w:rsid w:val="00CE299A"/>
    <w:rsid w:val="00D15844"/>
    <w:rsid w:val="00DD48A8"/>
    <w:rsid w:val="00DD502B"/>
    <w:rsid w:val="00DE5BF1"/>
    <w:rsid w:val="00E07CE9"/>
    <w:rsid w:val="00E53018"/>
    <w:rsid w:val="00E963A3"/>
    <w:rsid w:val="00EA1E90"/>
    <w:rsid w:val="00EA2377"/>
    <w:rsid w:val="00EA29F1"/>
    <w:rsid w:val="00F40136"/>
    <w:rsid w:val="00FA3EB8"/>
    <w:rsid w:val="00F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F6D89-82C6-4951-AD85-7788763C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03002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B03002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D5EBE7-8220-4702-A452-D3FA4D62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Miklos Milos</cp:lastModifiedBy>
  <cp:revision>11</cp:revision>
  <dcterms:created xsi:type="dcterms:W3CDTF">2017-05-04T09:43:00Z</dcterms:created>
  <dcterms:modified xsi:type="dcterms:W3CDTF">2017-07-18T08:42:00Z</dcterms:modified>
</cp:coreProperties>
</file>