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C4" w:rsidRDefault="008261E8" w:rsidP="00267324">
      <w:pPr>
        <w:pStyle w:val="Obsah1"/>
        <w:spacing w:after="120" w:line="440" w:lineRule="exact"/>
      </w:pPr>
      <w:bookmarkStart w:id="0" w:name="_GoBack"/>
      <w:bookmarkEnd w:id="0"/>
      <w:r w:rsidRPr="005E0ED4">
        <w:t xml:space="preserve">OBSAH </w:t>
      </w:r>
    </w:p>
    <w:p w:rsidR="00C3267D" w:rsidRDefault="00DA796E">
      <w:pPr>
        <w:pStyle w:val="Obsah1"/>
        <w:rPr>
          <w:rFonts w:asciiTheme="minorHAnsi" w:eastAsiaTheme="minorEastAsia" w:hAnsiTheme="minorHAnsi" w:cstheme="minorBidi"/>
          <w:sz w:val="22"/>
          <w:szCs w:val="22"/>
          <w:lang w:eastAsia="sk-SK"/>
        </w:rPr>
      </w:pPr>
      <w:r>
        <w:fldChar w:fldCharType="begin"/>
      </w:r>
      <w:r w:rsidR="008261E8" w:rsidRPr="005E0ED4">
        <w:instrText xml:space="preserve"> TOC \o "1-3" \h \z \u </w:instrText>
      </w:r>
      <w:r>
        <w:fldChar w:fldCharType="separate"/>
      </w:r>
      <w:hyperlink w:anchor="_Toc483395306" w:history="1">
        <w:r w:rsidR="00C3267D" w:rsidRPr="00A91961">
          <w:rPr>
            <w:rStyle w:val="Hypertextovprepojenie"/>
          </w:rPr>
          <w:t>Výdavky rozpočtovej kapitoly MPRV SR</w:t>
        </w:r>
        <w:r w:rsidR="00C3267D">
          <w:rPr>
            <w:webHidden/>
          </w:rPr>
          <w:tab/>
        </w:r>
        <w:r>
          <w:rPr>
            <w:webHidden/>
          </w:rPr>
          <w:fldChar w:fldCharType="begin"/>
        </w:r>
        <w:r w:rsidR="00C3267D">
          <w:rPr>
            <w:webHidden/>
          </w:rPr>
          <w:instrText xml:space="preserve"> PAGEREF _Toc483395306 \h </w:instrText>
        </w:r>
        <w:r>
          <w:rPr>
            <w:webHidden/>
          </w:rPr>
        </w:r>
        <w:r>
          <w:rPr>
            <w:webHidden/>
          </w:rPr>
          <w:fldChar w:fldCharType="separate"/>
        </w:r>
        <w:r w:rsidR="006B7ED9">
          <w:rPr>
            <w:webHidden/>
          </w:rPr>
          <w:t>2</w:t>
        </w:r>
        <w:r>
          <w:rPr>
            <w:webHidden/>
          </w:rPr>
          <w:fldChar w:fldCharType="end"/>
        </w:r>
      </w:hyperlink>
    </w:p>
    <w:p w:rsidR="00C3267D" w:rsidRDefault="00F122F0">
      <w:pPr>
        <w:pStyle w:val="Obsah2"/>
        <w:rPr>
          <w:rFonts w:asciiTheme="minorHAnsi" w:eastAsiaTheme="minorEastAsia" w:hAnsiTheme="minorHAnsi" w:cstheme="minorBidi"/>
          <w:noProof/>
          <w:sz w:val="22"/>
          <w:szCs w:val="22"/>
          <w:lang w:eastAsia="sk-SK"/>
        </w:rPr>
      </w:pPr>
      <w:hyperlink w:anchor="_Toc483395307" w:history="1">
        <w:r w:rsidR="00C3267D" w:rsidRPr="00A91961">
          <w:rPr>
            <w:rStyle w:val="Hypertextovprepojenie"/>
            <w:noProof/>
          </w:rPr>
          <w:t>1.</w:t>
        </w:r>
        <w:r w:rsidR="00C3267D">
          <w:rPr>
            <w:rFonts w:asciiTheme="minorHAnsi" w:eastAsiaTheme="minorEastAsia" w:hAnsiTheme="minorHAnsi" w:cstheme="minorBidi"/>
            <w:noProof/>
            <w:sz w:val="22"/>
            <w:szCs w:val="22"/>
            <w:lang w:eastAsia="sk-SK"/>
          </w:rPr>
          <w:tab/>
        </w:r>
        <w:r w:rsidR="00C3267D" w:rsidRPr="00A91961">
          <w:rPr>
            <w:rStyle w:val="Hypertextovprepojenie"/>
            <w:noProof/>
          </w:rPr>
          <w:t>Organizácia trhu s agrárnymi komoditami – trhovoorientované výdavky</w:t>
        </w:r>
        <w:r w:rsidR="00C3267D">
          <w:rPr>
            <w:noProof/>
            <w:webHidden/>
          </w:rPr>
          <w:tab/>
        </w:r>
        <w:r w:rsidR="00DA796E">
          <w:rPr>
            <w:noProof/>
            <w:webHidden/>
          </w:rPr>
          <w:fldChar w:fldCharType="begin"/>
        </w:r>
        <w:r w:rsidR="00C3267D">
          <w:rPr>
            <w:noProof/>
            <w:webHidden/>
          </w:rPr>
          <w:instrText xml:space="preserve"> PAGEREF _Toc483395307 \h </w:instrText>
        </w:r>
        <w:r w:rsidR="00DA796E">
          <w:rPr>
            <w:noProof/>
            <w:webHidden/>
          </w:rPr>
        </w:r>
        <w:r w:rsidR="00DA796E">
          <w:rPr>
            <w:noProof/>
            <w:webHidden/>
          </w:rPr>
          <w:fldChar w:fldCharType="separate"/>
        </w:r>
        <w:r w:rsidR="006B7ED9">
          <w:rPr>
            <w:noProof/>
            <w:webHidden/>
          </w:rPr>
          <w:t>4</w:t>
        </w:r>
        <w:r w:rsidR="00DA796E">
          <w:rPr>
            <w:noProof/>
            <w:webHidden/>
          </w:rPr>
          <w:fldChar w:fldCharType="end"/>
        </w:r>
      </w:hyperlink>
    </w:p>
    <w:p w:rsidR="00C3267D" w:rsidRDefault="00F122F0">
      <w:pPr>
        <w:pStyle w:val="Obsah2"/>
        <w:rPr>
          <w:rFonts w:asciiTheme="minorHAnsi" w:eastAsiaTheme="minorEastAsia" w:hAnsiTheme="minorHAnsi" w:cstheme="minorBidi"/>
          <w:noProof/>
          <w:sz w:val="22"/>
          <w:szCs w:val="22"/>
          <w:lang w:eastAsia="sk-SK"/>
        </w:rPr>
      </w:pPr>
      <w:hyperlink w:anchor="_Toc483395308" w:history="1">
        <w:r w:rsidR="00C3267D" w:rsidRPr="00A91961">
          <w:rPr>
            <w:rStyle w:val="Hypertextovprepojenie"/>
            <w:noProof/>
          </w:rPr>
          <w:t>2.</w:t>
        </w:r>
        <w:r w:rsidR="00C3267D">
          <w:rPr>
            <w:rFonts w:asciiTheme="minorHAnsi" w:eastAsiaTheme="minorEastAsia" w:hAnsiTheme="minorHAnsi" w:cstheme="minorBidi"/>
            <w:noProof/>
            <w:sz w:val="22"/>
            <w:szCs w:val="22"/>
            <w:lang w:eastAsia="sk-SK"/>
          </w:rPr>
          <w:tab/>
        </w:r>
        <w:r w:rsidR="00C3267D" w:rsidRPr="00A91961">
          <w:rPr>
            <w:rStyle w:val="Hypertextovprepojenie"/>
            <w:noProof/>
          </w:rPr>
          <w:t>Priame platby</w:t>
        </w:r>
        <w:r w:rsidR="00C3267D">
          <w:rPr>
            <w:noProof/>
            <w:webHidden/>
          </w:rPr>
          <w:tab/>
        </w:r>
        <w:r w:rsidR="00DA796E">
          <w:rPr>
            <w:noProof/>
            <w:webHidden/>
          </w:rPr>
          <w:fldChar w:fldCharType="begin"/>
        </w:r>
        <w:r w:rsidR="00C3267D">
          <w:rPr>
            <w:noProof/>
            <w:webHidden/>
          </w:rPr>
          <w:instrText xml:space="preserve"> PAGEREF _Toc483395308 \h </w:instrText>
        </w:r>
        <w:r w:rsidR="00DA796E">
          <w:rPr>
            <w:noProof/>
            <w:webHidden/>
          </w:rPr>
        </w:r>
        <w:r w:rsidR="00DA796E">
          <w:rPr>
            <w:noProof/>
            <w:webHidden/>
          </w:rPr>
          <w:fldChar w:fldCharType="separate"/>
        </w:r>
        <w:r w:rsidR="006B7ED9">
          <w:rPr>
            <w:noProof/>
            <w:webHidden/>
          </w:rPr>
          <w:t>6</w:t>
        </w:r>
        <w:r w:rsidR="00DA796E">
          <w:rPr>
            <w:noProof/>
            <w:webHidden/>
          </w:rPr>
          <w:fldChar w:fldCharType="end"/>
        </w:r>
      </w:hyperlink>
    </w:p>
    <w:p w:rsidR="00C3267D" w:rsidRDefault="00F122F0">
      <w:pPr>
        <w:pStyle w:val="Obsah3"/>
        <w:rPr>
          <w:rFonts w:asciiTheme="minorHAnsi" w:eastAsiaTheme="minorEastAsia" w:hAnsiTheme="minorHAnsi" w:cstheme="minorBidi"/>
          <w:i w:val="0"/>
          <w:sz w:val="22"/>
          <w:szCs w:val="22"/>
          <w:lang w:eastAsia="sk-SK"/>
        </w:rPr>
      </w:pPr>
      <w:hyperlink w:anchor="_Toc483395309" w:history="1">
        <w:r w:rsidR="00C3267D" w:rsidRPr="00A91961">
          <w:rPr>
            <w:rStyle w:val="Hypertextovprepojenie"/>
          </w:rPr>
          <w:t>Prechodné vnútroštátne platby</w:t>
        </w:r>
        <w:r w:rsidR="00C3267D">
          <w:rPr>
            <w:webHidden/>
          </w:rPr>
          <w:tab/>
        </w:r>
        <w:r w:rsidR="00DA796E">
          <w:rPr>
            <w:webHidden/>
          </w:rPr>
          <w:fldChar w:fldCharType="begin"/>
        </w:r>
        <w:r w:rsidR="00C3267D">
          <w:rPr>
            <w:webHidden/>
          </w:rPr>
          <w:instrText xml:space="preserve"> PAGEREF _Toc483395309 \h </w:instrText>
        </w:r>
        <w:r w:rsidR="00DA796E">
          <w:rPr>
            <w:webHidden/>
          </w:rPr>
        </w:r>
        <w:r w:rsidR="00DA796E">
          <w:rPr>
            <w:webHidden/>
          </w:rPr>
          <w:fldChar w:fldCharType="separate"/>
        </w:r>
        <w:r w:rsidR="006B7ED9">
          <w:rPr>
            <w:webHidden/>
          </w:rPr>
          <w:t>8</w:t>
        </w:r>
        <w:r w:rsidR="00DA796E">
          <w:rPr>
            <w:webHidden/>
          </w:rPr>
          <w:fldChar w:fldCharType="end"/>
        </w:r>
      </w:hyperlink>
    </w:p>
    <w:p w:rsidR="00C3267D" w:rsidRDefault="00F122F0">
      <w:pPr>
        <w:pStyle w:val="Obsah2"/>
        <w:rPr>
          <w:rFonts w:asciiTheme="minorHAnsi" w:eastAsiaTheme="minorEastAsia" w:hAnsiTheme="minorHAnsi" w:cstheme="minorBidi"/>
          <w:noProof/>
          <w:sz w:val="22"/>
          <w:szCs w:val="22"/>
          <w:lang w:eastAsia="sk-SK"/>
        </w:rPr>
      </w:pPr>
      <w:hyperlink w:anchor="_Toc483395310" w:history="1">
        <w:r w:rsidR="00C3267D" w:rsidRPr="00A91961">
          <w:rPr>
            <w:rStyle w:val="Hypertextovprepojenie"/>
            <w:noProof/>
          </w:rPr>
          <w:t>3.</w:t>
        </w:r>
        <w:r w:rsidR="00C3267D">
          <w:rPr>
            <w:rFonts w:asciiTheme="minorHAnsi" w:eastAsiaTheme="minorEastAsia" w:hAnsiTheme="minorHAnsi" w:cstheme="minorBidi"/>
            <w:noProof/>
            <w:sz w:val="22"/>
            <w:szCs w:val="22"/>
            <w:lang w:eastAsia="sk-SK"/>
          </w:rPr>
          <w:tab/>
        </w:r>
        <w:r w:rsidR="00C3267D" w:rsidRPr="00A91961">
          <w:rPr>
            <w:rStyle w:val="Hypertextovprepojenie"/>
            <w:noProof/>
          </w:rPr>
          <w:t>Rozvoj vidieka</w:t>
        </w:r>
        <w:r w:rsidR="00C3267D">
          <w:rPr>
            <w:noProof/>
            <w:webHidden/>
          </w:rPr>
          <w:tab/>
        </w:r>
        <w:r w:rsidR="00DA796E">
          <w:rPr>
            <w:noProof/>
            <w:webHidden/>
          </w:rPr>
          <w:fldChar w:fldCharType="begin"/>
        </w:r>
        <w:r w:rsidR="00C3267D">
          <w:rPr>
            <w:noProof/>
            <w:webHidden/>
          </w:rPr>
          <w:instrText xml:space="preserve"> PAGEREF _Toc483395310 \h </w:instrText>
        </w:r>
        <w:r w:rsidR="00DA796E">
          <w:rPr>
            <w:noProof/>
            <w:webHidden/>
          </w:rPr>
        </w:r>
        <w:r w:rsidR="00DA796E">
          <w:rPr>
            <w:noProof/>
            <w:webHidden/>
          </w:rPr>
          <w:fldChar w:fldCharType="separate"/>
        </w:r>
        <w:r w:rsidR="006B7ED9">
          <w:rPr>
            <w:noProof/>
            <w:webHidden/>
          </w:rPr>
          <w:t>9</w:t>
        </w:r>
        <w:r w:rsidR="00DA796E">
          <w:rPr>
            <w:noProof/>
            <w:webHidden/>
          </w:rPr>
          <w:fldChar w:fldCharType="end"/>
        </w:r>
      </w:hyperlink>
    </w:p>
    <w:p w:rsidR="00C3267D" w:rsidRDefault="00F122F0">
      <w:pPr>
        <w:pStyle w:val="Obsah2"/>
        <w:rPr>
          <w:rFonts w:asciiTheme="minorHAnsi" w:eastAsiaTheme="minorEastAsia" w:hAnsiTheme="minorHAnsi" w:cstheme="minorBidi"/>
          <w:noProof/>
          <w:sz w:val="22"/>
          <w:szCs w:val="22"/>
          <w:lang w:eastAsia="sk-SK"/>
        </w:rPr>
      </w:pPr>
      <w:hyperlink w:anchor="_Toc483395311" w:history="1">
        <w:r w:rsidR="00C3267D" w:rsidRPr="00A91961">
          <w:rPr>
            <w:rStyle w:val="Hypertextovprepojenie"/>
            <w:noProof/>
          </w:rPr>
          <w:t>4.</w:t>
        </w:r>
        <w:r w:rsidR="00C3267D">
          <w:rPr>
            <w:rFonts w:asciiTheme="minorHAnsi" w:eastAsiaTheme="minorEastAsia" w:hAnsiTheme="minorHAnsi" w:cstheme="minorBidi"/>
            <w:noProof/>
            <w:sz w:val="22"/>
            <w:szCs w:val="22"/>
            <w:lang w:eastAsia="sk-SK"/>
          </w:rPr>
          <w:tab/>
        </w:r>
        <w:r w:rsidR="00C3267D" w:rsidRPr="00A91961">
          <w:rPr>
            <w:rStyle w:val="Hypertextovprepojenie"/>
            <w:noProof/>
          </w:rPr>
          <w:t>Operačný program Rybné hospodárstvo</w:t>
        </w:r>
        <w:r w:rsidR="00C3267D">
          <w:rPr>
            <w:noProof/>
            <w:webHidden/>
          </w:rPr>
          <w:tab/>
        </w:r>
        <w:r w:rsidR="00DA796E">
          <w:rPr>
            <w:noProof/>
            <w:webHidden/>
          </w:rPr>
          <w:fldChar w:fldCharType="begin"/>
        </w:r>
        <w:r w:rsidR="00C3267D">
          <w:rPr>
            <w:noProof/>
            <w:webHidden/>
          </w:rPr>
          <w:instrText xml:space="preserve"> PAGEREF _Toc483395311 \h </w:instrText>
        </w:r>
        <w:r w:rsidR="00DA796E">
          <w:rPr>
            <w:noProof/>
            <w:webHidden/>
          </w:rPr>
        </w:r>
        <w:r w:rsidR="00DA796E">
          <w:rPr>
            <w:noProof/>
            <w:webHidden/>
          </w:rPr>
          <w:fldChar w:fldCharType="separate"/>
        </w:r>
        <w:r w:rsidR="006B7ED9">
          <w:rPr>
            <w:noProof/>
            <w:webHidden/>
          </w:rPr>
          <w:t>12</w:t>
        </w:r>
        <w:r w:rsidR="00DA796E">
          <w:rPr>
            <w:noProof/>
            <w:webHidden/>
          </w:rPr>
          <w:fldChar w:fldCharType="end"/>
        </w:r>
      </w:hyperlink>
    </w:p>
    <w:p w:rsidR="00C3267D" w:rsidRDefault="00F122F0">
      <w:pPr>
        <w:pStyle w:val="Obsah2"/>
        <w:rPr>
          <w:rFonts w:asciiTheme="minorHAnsi" w:eastAsiaTheme="minorEastAsia" w:hAnsiTheme="minorHAnsi" w:cstheme="minorBidi"/>
          <w:noProof/>
          <w:sz w:val="22"/>
          <w:szCs w:val="22"/>
          <w:lang w:eastAsia="sk-SK"/>
        </w:rPr>
      </w:pPr>
      <w:hyperlink w:anchor="_Toc483395312" w:history="1">
        <w:r w:rsidR="00C3267D" w:rsidRPr="00A91961">
          <w:rPr>
            <w:rStyle w:val="Hypertextovprepojenie"/>
            <w:noProof/>
          </w:rPr>
          <w:t>5.</w:t>
        </w:r>
        <w:r w:rsidR="00C3267D">
          <w:rPr>
            <w:rFonts w:asciiTheme="minorHAnsi" w:eastAsiaTheme="minorEastAsia" w:hAnsiTheme="minorHAnsi" w:cstheme="minorBidi"/>
            <w:noProof/>
            <w:sz w:val="22"/>
            <w:szCs w:val="22"/>
            <w:lang w:eastAsia="sk-SK"/>
          </w:rPr>
          <w:tab/>
        </w:r>
        <w:r w:rsidR="00C3267D" w:rsidRPr="00A91961">
          <w:rPr>
            <w:rStyle w:val="Hypertextovprepojenie"/>
            <w:noProof/>
          </w:rPr>
          <w:t>Štátna pomoc a národné podpory</w:t>
        </w:r>
        <w:r w:rsidR="00C3267D">
          <w:rPr>
            <w:noProof/>
            <w:webHidden/>
          </w:rPr>
          <w:tab/>
        </w:r>
        <w:r w:rsidR="00DA796E">
          <w:rPr>
            <w:noProof/>
            <w:webHidden/>
          </w:rPr>
          <w:fldChar w:fldCharType="begin"/>
        </w:r>
        <w:r w:rsidR="00C3267D">
          <w:rPr>
            <w:noProof/>
            <w:webHidden/>
          </w:rPr>
          <w:instrText xml:space="preserve"> PAGEREF _Toc483395312 \h </w:instrText>
        </w:r>
        <w:r w:rsidR="00DA796E">
          <w:rPr>
            <w:noProof/>
            <w:webHidden/>
          </w:rPr>
        </w:r>
        <w:r w:rsidR="00DA796E">
          <w:rPr>
            <w:noProof/>
            <w:webHidden/>
          </w:rPr>
          <w:fldChar w:fldCharType="separate"/>
        </w:r>
        <w:r w:rsidR="006B7ED9">
          <w:rPr>
            <w:noProof/>
            <w:webHidden/>
          </w:rPr>
          <w:t>13</w:t>
        </w:r>
        <w:r w:rsidR="00DA796E">
          <w:rPr>
            <w:noProof/>
            <w:webHidden/>
          </w:rPr>
          <w:fldChar w:fldCharType="end"/>
        </w:r>
      </w:hyperlink>
    </w:p>
    <w:p w:rsidR="00C3267D" w:rsidRDefault="00F122F0">
      <w:pPr>
        <w:pStyle w:val="Obsah2"/>
        <w:rPr>
          <w:rFonts w:asciiTheme="minorHAnsi" w:eastAsiaTheme="minorEastAsia" w:hAnsiTheme="minorHAnsi" w:cstheme="minorBidi"/>
          <w:noProof/>
          <w:sz w:val="22"/>
          <w:szCs w:val="22"/>
          <w:lang w:eastAsia="sk-SK"/>
        </w:rPr>
      </w:pPr>
      <w:hyperlink w:anchor="_Toc483395313" w:history="1">
        <w:r w:rsidR="00C3267D" w:rsidRPr="00A91961">
          <w:rPr>
            <w:rStyle w:val="Hypertextovprepojenie"/>
            <w:noProof/>
          </w:rPr>
          <w:t>6.</w:t>
        </w:r>
        <w:r w:rsidR="00C3267D">
          <w:rPr>
            <w:rFonts w:asciiTheme="minorHAnsi" w:eastAsiaTheme="minorEastAsia" w:hAnsiTheme="minorHAnsi" w:cstheme="minorBidi"/>
            <w:noProof/>
            <w:sz w:val="22"/>
            <w:szCs w:val="22"/>
            <w:lang w:eastAsia="sk-SK"/>
          </w:rPr>
          <w:tab/>
        </w:r>
        <w:r w:rsidR="00C3267D" w:rsidRPr="00A91961">
          <w:rPr>
            <w:rStyle w:val="Hypertextovprepojenie"/>
            <w:noProof/>
          </w:rPr>
          <w:t>Celková podpora do poľnohospodárstva a potravinárstva</w:t>
        </w:r>
        <w:r w:rsidR="00C3267D">
          <w:rPr>
            <w:noProof/>
            <w:webHidden/>
          </w:rPr>
          <w:tab/>
        </w:r>
        <w:r w:rsidR="00DA796E">
          <w:rPr>
            <w:noProof/>
            <w:webHidden/>
          </w:rPr>
          <w:fldChar w:fldCharType="begin"/>
        </w:r>
        <w:r w:rsidR="00C3267D">
          <w:rPr>
            <w:noProof/>
            <w:webHidden/>
          </w:rPr>
          <w:instrText xml:space="preserve"> PAGEREF _Toc483395313 \h </w:instrText>
        </w:r>
        <w:r w:rsidR="00DA796E">
          <w:rPr>
            <w:noProof/>
            <w:webHidden/>
          </w:rPr>
        </w:r>
        <w:r w:rsidR="00DA796E">
          <w:rPr>
            <w:noProof/>
            <w:webHidden/>
          </w:rPr>
          <w:fldChar w:fldCharType="separate"/>
        </w:r>
        <w:r w:rsidR="006B7ED9">
          <w:rPr>
            <w:noProof/>
            <w:webHidden/>
          </w:rPr>
          <w:t>15</w:t>
        </w:r>
        <w:r w:rsidR="00DA796E">
          <w:rPr>
            <w:noProof/>
            <w:webHidden/>
          </w:rPr>
          <w:fldChar w:fldCharType="end"/>
        </w:r>
      </w:hyperlink>
    </w:p>
    <w:p w:rsidR="008261E8" w:rsidRDefault="00DA796E" w:rsidP="00267324">
      <w:pPr>
        <w:spacing w:after="120" w:line="440" w:lineRule="exact"/>
        <w:ind w:left="7079"/>
        <w:rPr>
          <w:b/>
        </w:rPr>
      </w:pPr>
      <w:r>
        <w:rPr>
          <w:b/>
        </w:rPr>
        <w:fldChar w:fldCharType="end"/>
      </w: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94220D" w:rsidRDefault="0094220D" w:rsidP="00D240A8">
      <w:pPr>
        <w:ind w:left="7079"/>
        <w:rPr>
          <w:b/>
        </w:rPr>
      </w:pPr>
    </w:p>
    <w:p w:rsidR="0094220D" w:rsidRDefault="0094220D" w:rsidP="00D240A8">
      <w:pPr>
        <w:ind w:left="7079"/>
        <w:rPr>
          <w:b/>
        </w:rPr>
      </w:pPr>
    </w:p>
    <w:p w:rsidR="0094220D" w:rsidRDefault="0094220D" w:rsidP="00D240A8">
      <w:pPr>
        <w:ind w:left="7079"/>
        <w:rPr>
          <w:b/>
        </w:rPr>
      </w:pPr>
    </w:p>
    <w:p w:rsidR="0094220D" w:rsidRDefault="0094220D" w:rsidP="00D240A8">
      <w:pPr>
        <w:ind w:left="7079"/>
        <w:rPr>
          <w:b/>
        </w:rPr>
      </w:pPr>
    </w:p>
    <w:p w:rsidR="0094220D" w:rsidRDefault="0094220D" w:rsidP="00D240A8">
      <w:pPr>
        <w:ind w:left="7079"/>
        <w:rPr>
          <w:b/>
        </w:rPr>
      </w:pPr>
    </w:p>
    <w:p w:rsidR="00A477DF" w:rsidRDefault="00A477DF" w:rsidP="00D240A8">
      <w:pPr>
        <w:ind w:left="7079"/>
        <w:rPr>
          <w:b/>
        </w:rPr>
      </w:pPr>
    </w:p>
    <w:p w:rsidR="00A477DF" w:rsidRDefault="00A477DF" w:rsidP="00D240A8">
      <w:pPr>
        <w:ind w:left="7079"/>
        <w:rPr>
          <w:b/>
        </w:rPr>
      </w:pPr>
    </w:p>
    <w:p w:rsidR="00E851E1" w:rsidRDefault="00E851E1" w:rsidP="00D16821">
      <w:pPr>
        <w:tabs>
          <w:tab w:val="left" w:pos="709"/>
        </w:tabs>
        <w:spacing w:after="0" w:line="314" w:lineRule="exact"/>
        <w:ind w:firstLine="0"/>
      </w:pPr>
    </w:p>
    <w:p w:rsidR="00E851E1" w:rsidRDefault="00E851E1" w:rsidP="00D16821">
      <w:pPr>
        <w:tabs>
          <w:tab w:val="left" w:pos="709"/>
        </w:tabs>
        <w:spacing w:after="0" w:line="314" w:lineRule="exact"/>
        <w:ind w:firstLine="0"/>
      </w:pPr>
    </w:p>
    <w:p w:rsidR="006316A9" w:rsidRDefault="00F008DE" w:rsidP="00D16821">
      <w:pPr>
        <w:tabs>
          <w:tab w:val="left" w:pos="709"/>
        </w:tabs>
        <w:spacing w:after="0" w:line="314" w:lineRule="exact"/>
        <w:ind w:firstLine="0"/>
      </w:pPr>
      <w:r w:rsidRPr="00F1363E">
        <w:tab/>
      </w:r>
    </w:p>
    <w:p w:rsidR="00267324" w:rsidRDefault="00267324" w:rsidP="00D16821">
      <w:pPr>
        <w:tabs>
          <w:tab w:val="left" w:pos="709"/>
        </w:tabs>
        <w:spacing w:after="0" w:line="314" w:lineRule="exact"/>
        <w:ind w:firstLine="0"/>
      </w:pPr>
    </w:p>
    <w:p w:rsidR="00267324" w:rsidRDefault="00267324" w:rsidP="00D16821">
      <w:pPr>
        <w:tabs>
          <w:tab w:val="left" w:pos="709"/>
        </w:tabs>
        <w:spacing w:after="0" w:line="314" w:lineRule="exact"/>
        <w:ind w:firstLine="0"/>
      </w:pPr>
    </w:p>
    <w:p w:rsidR="00267324" w:rsidRDefault="00267324" w:rsidP="00D16821">
      <w:pPr>
        <w:tabs>
          <w:tab w:val="left" w:pos="709"/>
        </w:tabs>
        <w:spacing w:after="0" w:line="314" w:lineRule="exact"/>
        <w:ind w:firstLine="0"/>
      </w:pPr>
    </w:p>
    <w:p w:rsidR="00267324" w:rsidRDefault="00267324" w:rsidP="00D16821">
      <w:pPr>
        <w:tabs>
          <w:tab w:val="left" w:pos="709"/>
        </w:tabs>
        <w:spacing w:after="0" w:line="314" w:lineRule="exact"/>
        <w:ind w:firstLine="0"/>
      </w:pPr>
    </w:p>
    <w:p w:rsidR="00267324" w:rsidRPr="00F1363E" w:rsidRDefault="00CE42B2" w:rsidP="00267324">
      <w:pPr>
        <w:ind w:left="7079"/>
        <w:rPr>
          <w:b/>
        </w:rPr>
      </w:pPr>
      <w:r>
        <w:rPr>
          <w:b/>
        </w:rPr>
        <w:t xml:space="preserve"> </w:t>
      </w:r>
      <w:r w:rsidR="00267324" w:rsidRPr="00F1363E">
        <w:rPr>
          <w:b/>
        </w:rPr>
        <w:t>Príloha 3</w:t>
      </w:r>
    </w:p>
    <w:bookmarkStart w:id="1" w:name="_Toc390932642"/>
    <w:p w:rsidR="00267324" w:rsidRPr="009678B7" w:rsidRDefault="006D336C" w:rsidP="00267324">
      <w:pPr>
        <w:pStyle w:val="Nadpis1"/>
        <w:spacing w:before="0"/>
      </w:pPr>
      <w:r>
        <w:rPr>
          <w:noProof/>
          <w:lang w:eastAsia="sk-SK"/>
        </w:rPr>
        <mc:AlternateContent>
          <mc:Choice Requires="wps">
            <w:drawing>
              <wp:anchor distT="0" distB="0" distL="114300" distR="114300" simplePos="0" relativeHeight="251657728" behindDoc="1" locked="0" layoutInCell="1" allowOverlap="1">
                <wp:simplePos x="0" y="0"/>
                <wp:positionH relativeFrom="column">
                  <wp:posOffset>-164465</wp:posOffset>
                </wp:positionH>
                <wp:positionV relativeFrom="paragraph">
                  <wp:posOffset>19050</wp:posOffset>
                </wp:positionV>
                <wp:extent cx="5960110" cy="258445"/>
                <wp:effectExtent l="76200" t="76200" r="254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110" cy="258445"/>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95pt;margin-top:1.5pt;width:469.3pt;height: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" fillcolor="#c2d69b" stroked="f" strokecolor="#c2d69b" strokeweight="10pt">
                <v:stroke linestyle="thinThin"/>
                <v:shadow on="t" opacity=".5" offset="-6pt,-6pt"/>
              </v:shape>
            </w:pict>
          </mc:Fallback>
        </mc:AlternateContent>
      </w:r>
      <w:bookmarkStart w:id="2" w:name="_Toc483395306"/>
      <w:r w:rsidR="00267324" w:rsidRPr="009678B7">
        <w:t>Výdavky rozpočtovej kapitoly MPRV SR</w:t>
      </w:r>
      <w:bookmarkEnd w:id="1"/>
      <w:bookmarkEnd w:id="2"/>
    </w:p>
    <w:p w:rsidR="00FD7741" w:rsidRPr="009678B7" w:rsidRDefault="008E31C3" w:rsidP="00FD7741">
      <w:pPr>
        <w:pStyle w:val="Nadpis1"/>
        <w:spacing w:before="0"/>
      </w:pPr>
      <w:r w:rsidRPr="008E31C3">
        <w:tab/>
      </w:r>
    </w:p>
    <w:p w:rsidR="006A34F5" w:rsidRDefault="006A34F5" w:rsidP="006A34F5">
      <w:r>
        <w:t>Základným poslaním Ministerstva pôdohospodárstva a rozvoja vidieka je:</w:t>
      </w:r>
    </w:p>
    <w:p w:rsidR="006A34F5" w:rsidRDefault="006A34F5" w:rsidP="006A34F5">
      <w:pPr>
        <w:pStyle w:val="Odsekzoznamu"/>
        <w:numPr>
          <w:ilvl w:val="0"/>
          <w:numId w:val="35"/>
        </w:numPr>
        <w:ind w:left="0"/>
      </w:pPr>
      <w:r>
        <w:t>medzinárodne konkurencieschopná poľnohospodárska prvovýroba,</w:t>
      </w:r>
    </w:p>
    <w:p w:rsidR="006A34F5" w:rsidRDefault="006A34F5" w:rsidP="006A34F5">
      <w:pPr>
        <w:pStyle w:val="Odsekzoznamu"/>
        <w:numPr>
          <w:ilvl w:val="0"/>
          <w:numId w:val="35"/>
        </w:numPr>
        <w:ind w:left="0"/>
      </w:pPr>
      <w:r>
        <w:t>medzinárodne konkurencieschopný, moderný potravinársky priemysel,</w:t>
      </w:r>
    </w:p>
    <w:p w:rsidR="006A34F5" w:rsidRDefault="006A34F5" w:rsidP="006A34F5">
      <w:pPr>
        <w:pStyle w:val="Odsekzoznamu"/>
        <w:numPr>
          <w:ilvl w:val="0"/>
          <w:numId w:val="35"/>
        </w:numPr>
        <w:ind w:left="0"/>
      </w:pPr>
      <w:r>
        <w:t>najvyšší možný štandard kvality a zdravotnej neškodnosti potravín pre spotrebiteľov</w:t>
      </w:r>
      <w:r w:rsidR="00A07EC8">
        <w:t>,</w:t>
      </w:r>
    </w:p>
    <w:p w:rsidR="006A34F5" w:rsidRDefault="006A34F5" w:rsidP="006A34F5">
      <w:pPr>
        <w:pStyle w:val="Odsekzoznamu"/>
        <w:numPr>
          <w:ilvl w:val="0"/>
          <w:numId w:val="35"/>
        </w:numPr>
        <w:ind w:left="0"/>
      </w:pPr>
      <w:r>
        <w:t>maximálne udržateľný rozvoj lesného fondu a biodiverzity,</w:t>
      </w:r>
    </w:p>
    <w:p w:rsidR="006A34F5" w:rsidRDefault="006A34F5" w:rsidP="006A34F5">
      <w:pPr>
        <w:pStyle w:val="Odsekzoznamu"/>
        <w:numPr>
          <w:ilvl w:val="0"/>
          <w:numId w:val="35"/>
        </w:numPr>
        <w:ind w:left="0"/>
      </w:pPr>
      <w:r>
        <w:t>životaschopný vidiecky priestor vrátane krajinotvorby v komplexe jeho ekonomických, sídelných, environmentálnych a rekreačných funkcií,</w:t>
      </w:r>
    </w:p>
    <w:p w:rsidR="006A34F5" w:rsidRDefault="006A34F5" w:rsidP="006A34F5">
      <w:pPr>
        <w:pStyle w:val="Odsekzoznamu"/>
        <w:numPr>
          <w:ilvl w:val="0"/>
          <w:numId w:val="35"/>
        </w:numPr>
        <w:ind w:left="0"/>
      </w:pPr>
      <w:r>
        <w:t>primeraná životná úroveň pre farmárov a lesníkov.</w:t>
      </w:r>
    </w:p>
    <w:p w:rsidR="006A34F5" w:rsidRDefault="006A34F5" w:rsidP="006A34F5">
      <w:pPr>
        <w:pStyle w:val="Odsekzoznamu"/>
        <w:ind w:left="0" w:firstLine="0"/>
      </w:pPr>
      <w:r>
        <w:tab/>
        <w:t>MPRV SR vytvára a implementuje regulačný a legislatívny rámec v pôsobnosti ministerstva, konzistentný s politikami a legislatívou EÚ, zastupuje SR v medzinárodných vládnych organizáciách a nadväzne zabezpečuje úlohy odborného vládneho gestora, podporuje ochranu, zveľaďovanie a rozvoj lesov v celej škále ich funkcií, prispieva k dosahovaniu najvyššieho štandardu v oblasti potravinovej bezpečnosti, ochrany spotrebiteľov, zdravia zvierat a rastlín, napomáha úsiliu vo zvyšovaní konkurencieschopnosti a environmentálnych štandardov agropotravinárskej výroby, podporuje trvalý a komplexný rozvoj vidieka a jeho funkcií.</w:t>
      </w:r>
    </w:p>
    <w:p w:rsidR="006A34F5" w:rsidRDefault="006A34F5" w:rsidP="006A34F5">
      <w:pPr>
        <w:pStyle w:val="Odsekzoznamu"/>
        <w:ind w:left="0" w:firstLine="0"/>
      </w:pPr>
      <w:r>
        <w:tab/>
        <w:t>Celkové hospodárenie kapitoly MPRV SR v roku 2016 sa uskutočňovalo v rámci rozpracovaných programov prostredníctvom poskytovanej finančnej pomoci, t. j. priamych platieb, podpôr rozvoja vidieka, rybného hospodárstva, trhovoorientovaných výdavkov, štátnej pomoci, zaistením bezpečnosti potravín, rozvoja lesného hospodárstva, podpôr pre regionálny rozvoj.</w:t>
      </w:r>
    </w:p>
    <w:p w:rsidR="006A34F5" w:rsidRDefault="006A34F5" w:rsidP="006A34F5">
      <w:pPr>
        <w:tabs>
          <w:tab w:val="left" w:pos="709"/>
        </w:tabs>
        <w:ind w:firstLine="0"/>
      </w:pPr>
      <w:r>
        <w:tab/>
      </w:r>
      <w:r w:rsidRPr="00B913A9">
        <w:t>V rámci rozpočtu v roku 2016 boli v</w:t>
      </w:r>
      <w:r>
        <w:t xml:space="preserve"> kapitole MPRV SR aj </w:t>
      </w:r>
      <w:r w:rsidRPr="00B913A9">
        <w:t>medzirezortné podprogramy: Oficiálna rozvojová pomoc, Budovanie kapacít a zlepšenie kvality verejnej správy, Podpora zamestnanosti, sociálnej inklúzie a budovanie kapacít v BSK, Hospodárska mobilizácia, Príspevky SR do Medzinárodných organizácií a Protidrogová politika.</w:t>
      </w:r>
    </w:p>
    <w:p w:rsidR="006A34F5" w:rsidRPr="00B913A9" w:rsidRDefault="006A34F5" w:rsidP="006A34F5">
      <w:pPr>
        <w:tabs>
          <w:tab w:val="left" w:pos="709"/>
        </w:tabs>
        <w:ind w:firstLine="0"/>
      </w:pPr>
      <w:r>
        <w:tab/>
        <w:t>Čerpanie výdavkov sa v roku 2016 realizovalo v zmysle zákona č. 291/2002 Z. z. o štátnej pokladnici a o zmene a doplnení niektorých zákonov. Výdavky boli použité v rozsahu a na účely zákona o štátnom rozpočte na rok 2016 s cieľom dodržať zásady účelnosti, hospodárnosti, účinnosti a efektívnosti pri využití systému finančnej kontroly.</w:t>
      </w:r>
    </w:p>
    <w:p w:rsidR="006A34F5" w:rsidRDefault="006A34F5" w:rsidP="006A34F5">
      <w:r w:rsidRPr="00B913A9">
        <w:t>Finančné prostriedky z rozpočtu EÚ a prostriedky na spolufinancovanie zo štátneho rozpočtu boli poskytované na základe nariadení upravujúcich financovanie opatrení a v súlade s ich určením pre konečných príjemcov. Štruktúra výdavkov rešpektovala princípy Spoločnej poľnohospodárskej politiky EÚ.</w:t>
      </w:r>
    </w:p>
    <w:p w:rsidR="006A34F5" w:rsidRDefault="006A34F5" w:rsidP="006A34F5"/>
    <w:p w:rsidR="006A34F5" w:rsidRDefault="006A34F5" w:rsidP="006A34F5"/>
    <w:p w:rsidR="00F364D1" w:rsidRPr="00E851E1" w:rsidRDefault="006A34F5" w:rsidP="00B34613">
      <w:pPr>
        <w:keepNext/>
        <w:tabs>
          <w:tab w:val="left" w:pos="709"/>
        </w:tabs>
        <w:spacing w:after="0" w:line="240" w:lineRule="auto"/>
        <w:ind w:firstLine="0"/>
        <w:rPr>
          <w:rFonts w:eastAsia="Times New Roman"/>
          <w:bCs/>
          <w:lang w:eastAsia="sk-SK"/>
        </w:rPr>
      </w:pPr>
      <w:r w:rsidRPr="007A5D81">
        <w:rPr>
          <w:rFonts w:eastAsia="Times New Roman"/>
          <w:b/>
          <w:bCs/>
          <w:lang w:eastAsia="sk-SK"/>
        </w:rPr>
        <w:lastRenderedPageBreak/>
        <w:t>Rozpočtové výdavky na p</w:t>
      </w:r>
      <w:r>
        <w:rPr>
          <w:rFonts w:eastAsia="Times New Roman"/>
          <w:b/>
          <w:bCs/>
          <w:lang w:eastAsia="sk-SK"/>
        </w:rPr>
        <w:t xml:space="preserve">odporu poľnohospodárstva v roku, v € 2016        </w:t>
      </w:r>
      <w:r w:rsidR="004513A5" w:rsidRPr="007A5D81">
        <w:rPr>
          <w:rFonts w:eastAsia="Times New Roman"/>
          <w:bCs/>
          <w:lang w:eastAsia="sk-SK"/>
        </w:rPr>
        <w:t>Tabuľka 1</w:t>
      </w:r>
    </w:p>
    <w:tbl>
      <w:tblPr>
        <w:tblW w:w="9467" w:type="dxa"/>
        <w:tblInd w:w="55" w:type="dxa"/>
        <w:tblLayout w:type="fixed"/>
        <w:tblCellMar>
          <w:left w:w="70" w:type="dxa"/>
          <w:right w:w="70" w:type="dxa"/>
        </w:tblCellMar>
        <w:tblLook w:val="04A0" w:firstRow="1" w:lastRow="0" w:firstColumn="1" w:lastColumn="0" w:noHBand="0" w:noVBand="1"/>
      </w:tblPr>
      <w:tblGrid>
        <w:gridCol w:w="3701"/>
        <w:gridCol w:w="1417"/>
        <w:gridCol w:w="1418"/>
        <w:gridCol w:w="1417"/>
        <w:gridCol w:w="1134"/>
        <w:gridCol w:w="380"/>
      </w:tblGrid>
      <w:tr w:rsidR="002C14D4" w:rsidRPr="00267324" w:rsidTr="00BB0EFF">
        <w:trPr>
          <w:gridAfter w:val="1"/>
          <w:wAfter w:w="380" w:type="dxa"/>
          <w:trHeight w:val="885"/>
        </w:trPr>
        <w:tc>
          <w:tcPr>
            <w:tcW w:w="3701" w:type="dxa"/>
            <w:tcBorders>
              <w:top w:val="single" w:sz="8" w:space="0" w:color="auto"/>
              <w:left w:val="single" w:sz="8" w:space="0" w:color="auto"/>
              <w:bottom w:val="single" w:sz="8" w:space="0" w:color="auto"/>
              <w:right w:val="single" w:sz="8" w:space="0" w:color="auto"/>
            </w:tcBorders>
            <w:shd w:val="clear" w:color="000000" w:fill="C2D69B" w:themeFill="accent3" w:themeFillTint="99"/>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Ukazovateľ</w:t>
            </w:r>
          </w:p>
        </w:tc>
        <w:tc>
          <w:tcPr>
            <w:tcW w:w="1417" w:type="dxa"/>
            <w:tcBorders>
              <w:top w:val="single" w:sz="8" w:space="0" w:color="auto"/>
              <w:left w:val="nil"/>
              <w:bottom w:val="single" w:sz="8" w:space="0" w:color="auto"/>
              <w:right w:val="single" w:sz="8" w:space="0" w:color="auto"/>
            </w:tcBorders>
            <w:shd w:val="clear" w:color="000000" w:fill="C2D69B" w:themeFill="accent3" w:themeFillTint="99"/>
            <w:vAlign w:val="center"/>
            <w:hideMark/>
          </w:tcPr>
          <w:p w:rsidR="002C14D4" w:rsidRPr="00267324" w:rsidRDefault="002C14D4" w:rsidP="006A34F5">
            <w:pPr>
              <w:keepNext/>
              <w:spacing w:after="0" w:line="240" w:lineRule="auto"/>
              <w:ind w:firstLine="0"/>
              <w:jc w:val="center"/>
              <w:rPr>
                <w:rFonts w:eastAsia="Times New Roman"/>
                <w:b/>
                <w:bCs/>
                <w:color w:val="000000"/>
                <w:sz w:val="22"/>
                <w:szCs w:val="22"/>
                <w:lang w:eastAsia="sk-SK"/>
              </w:rPr>
            </w:pPr>
            <w:r w:rsidRPr="00267324">
              <w:rPr>
                <w:rFonts w:eastAsia="Times New Roman"/>
                <w:b/>
                <w:bCs/>
                <w:color w:val="000000"/>
                <w:sz w:val="22"/>
                <w:szCs w:val="22"/>
                <w:lang w:eastAsia="sk-SK"/>
              </w:rPr>
              <w:t>Schválený rozpočet za rok 201</w:t>
            </w:r>
            <w:r w:rsidR="006A34F5">
              <w:rPr>
                <w:rFonts w:eastAsia="Times New Roman"/>
                <w:b/>
                <w:bCs/>
                <w:color w:val="000000"/>
                <w:sz w:val="22"/>
                <w:szCs w:val="22"/>
                <w:lang w:eastAsia="sk-SK"/>
              </w:rPr>
              <w:t>6</w:t>
            </w:r>
          </w:p>
        </w:tc>
        <w:tc>
          <w:tcPr>
            <w:tcW w:w="1418" w:type="dxa"/>
            <w:tcBorders>
              <w:top w:val="single" w:sz="8" w:space="0" w:color="auto"/>
              <w:left w:val="nil"/>
              <w:bottom w:val="single" w:sz="8" w:space="0" w:color="auto"/>
              <w:right w:val="single" w:sz="8" w:space="0" w:color="auto"/>
            </w:tcBorders>
            <w:shd w:val="clear" w:color="000000" w:fill="C2D69B" w:themeFill="accent3" w:themeFillTint="99"/>
            <w:vAlign w:val="center"/>
            <w:hideMark/>
          </w:tcPr>
          <w:p w:rsidR="002C14D4" w:rsidRPr="00267324" w:rsidRDefault="002C14D4" w:rsidP="006A34F5">
            <w:pPr>
              <w:keepNext/>
              <w:spacing w:after="0" w:line="240" w:lineRule="auto"/>
              <w:ind w:firstLine="0"/>
              <w:jc w:val="center"/>
              <w:rPr>
                <w:rFonts w:eastAsia="Times New Roman"/>
                <w:b/>
                <w:bCs/>
                <w:color w:val="000000"/>
                <w:sz w:val="22"/>
                <w:szCs w:val="22"/>
                <w:lang w:eastAsia="sk-SK"/>
              </w:rPr>
            </w:pPr>
            <w:r w:rsidRPr="00267324">
              <w:rPr>
                <w:rFonts w:eastAsia="Times New Roman"/>
                <w:b/>
                <w:bCs/>
                <w:color w:val="000000"/>
                <w:sz w:val="22"/>
                <w:szCs w:val="22"/>
                <w:lang w:eastAsia="sk-SK"/>
              </w:rPr>
              <w:t>Upravený rozpočet za rok 201</w:t>
            </w:r>
            <w:r w:rsidR="006A34F5">
              <w:rPr>
                <w:rFonts w:eastAsia="Times New Roman"/>
                <w:b/>
                <w:bCs/>
                <w:color w:val="000000"/>
                <w:sz w:val="22"/>
                <w:szCs w:val="22"/>
                <w:lang w:eastAsia="sk-SK"/>
              </w:rPr>
              <w:t>6</w:t>
            </w:r>
          </w:p>
        </w:tc>
        <w:tc>
          <w:tcPr>
            <w:tcW w:w="1417" w:type="dxa"/>
            <w:tcBorders>
              <w:top w:val="single" w:sz="8" w:space="0" w:color="auto"/>
              <w:left w:val="nil"/>
              <w:bottom w:val="single" w:sz="8" w:space="0" w:color="auto"/>
              <w:right w:val="single" w:sz="8" w:space="0" w:color="auto"/>
            </w:tcBorders>
            <w:shd w:val="clear" w:color="000000" w:fill="C2D69B" w:themeFill="accent3" w:themeFillTint="99"/>
            <w:vAlign w:val="center"/>
            <w:hideMark/>
          </w:tcPr>
          <w:p w:rsidR="002C14D4" w:rsidRPr="00267324" w:rsidRDefault="002C14D4" w:rsidP="006A34F5">
            <w:pPr>
              <w:keepNext/>
              <w:spacing w:after="0" w:line="240" w:lineRule="auto"/>
              <w:ind w:firstLine="0"/>
              <w:jc w:val="center"/>
              <w:rPr>
                <w:rFonts w:eastAsia="Times New Roman"/>
                <w:b/>
                <w:bCs/>
                <w:color w:val="000000"/>
                <w:sz w:val="22"/>
                <w:szCs w:val="22"/>
                <w:lang w:eastAsia="sk-SK"/>
              </w:rPr>
            </w:pPr>
            <w:r w:rsidRPr="00267324">
              <w:rPr>
                <w:rFonts w:eastAsia="Times New Roman"/>
                <w:b/>
                <w:bCs/>
                <w:color w:val="000000"/>
                <w:sz w:val="22"/>
                <w:szCs w:val="22"/>
                <w:lang w:eastAsia="sk-SK"/>
              </w:rPr>
              <w:t>Dosiahnutá skutočnosť za rok 201</w:t>
            </w:r>
            <w:r w:rsidR="006A34F5">
              <w:rPr>
                <w:rFonts w:eastAsia="Times New Roman"/>
                <w:b/>
                <w:bCs/>
                <w:color w:val="000000"/>
                <w:sz w:val="22"/>
                <w:szCs w:val="22"/>
                <w:lang w:eastAsia="sk-SK"/>
              </w:rPr>
              <w:t>6</w:t>
            </w:r>
          </w:p>
        </w:tc>
        <w:tc>
          <w:tcPr>
            <w:tcW w:w="1134" w:type="dxa"/>
            <w:tcBorders>
              <w:top w:val="single" w:sz="8" w:space="0" w:color="auto"/>
              <w:left w:val="nil"/>
              <w:bottom w:val="single" w:sz="8" w:space="0" w:color="auto"/>
              <w:right w:val="single" w:sz="8" w:space="0" w:color="auto"/>
            </w:tcBorders>
            <w:shd w:val="clear" w:color="000000" w:fill="C2D69B" w:themeFill="accent3" w:themeFillTint="99"/>
            <w:vAlign w:val="center"/>
            <w:hideMark/>
          </w:tcPr>
          <w:p w:rsidR="00B34613" w:rsidRDefault="002C14D4" w:rsidP="00B34613">
            <w:pPr>
              <w:keepNext/>
              <w:spacing w:after="0" w:line="240" w:lineRule="auto"/>
              <w:ind w:firstLine="0"/>
              <w:jc w:val="center"/>
              <w:rPr>
                <w:rFonts w:eastAsia="Times New Roman"/>
                <w:b/>
                <w:color w:val="000000"/>
                <w:sz w:val="22"/>
                <w:szCs w:val="22"/>
                <w:lang w:eastAsia="sk-SK"/>
              </w:rPr>
            </w:pPr>
            <w:r w:rsidRPr="00267324">
              <w:rPr>
                <w:rFonts w:eastAsia="Times New Roman"/>
                <w:b/>
                <w:color w:val="000000"/>
                <w:sz w:val="22"/>
                <w:szCs w:val="22"/>
                <w:lang w:eastAsia="sk-SK"/>
              </w:rPr>
              <w:t>%</w:t>
            </w:r>
            <w:r w:rsidR="00F364D1" w:rsidRPr="00267324">
              <w:rPr>
                <w:rFonts w:eastAsia="Times New Roman"/>
                <w:b/>
                <w:color w:val="000000"/>
                <w:sz w:val="22"/>
                <w:szCs w:val="22"/>
                <w:lang w:eastAsia="sk-SK"/>
              </w:rPr>
              <w:t xml:space="preserve"> </w:t>
            </w:r>
            <w:r w:rsidRPr="00267324">
              <w:rPr>
                <w:rFonts w:eastAsia="Times New Roman"/>
                <w:b/>
                <w:color w:val="000000"/>
                <w:sz w:val="22"/>
                <w:szCs w:val="22"/>
                <w:lang w:eastAsia="sk-SK"/>
              </w:rPr>
              <w:t>plnenia</w:t>
            </w:r>
          </w:p>
          <w:p w:rsidR="002C14D4" w:rsidRPr="00267324" w:rsidRDefault="002C14D4" w:rsidP="00B34613">
            <w:pPr>
              <w:keepNext/>
              <w:spacing w:after="0" w:line="240" w:lineRule="auto"/>
              <w:ind w:firstLine="0"/>
              <w:jc w:val="center"/>
              <w:rPr>
                <w:rFonts w:eastAsia="Times New Roman"/>
                <w:b/>
                <w:color w:val="000000"/>
                <w:sz w:val="22"/>
                <w:szCs w:val="22"/>
                <w:lang w:eastAsia="sk-SK"/>
              </w:rPr>
            </w:pPr>
            <w:r w:rsidRPr="00267324">
              <w:rPr>
                <w:rFonts w:eastAsia="Times New Roman"/>
                <w:b/>
                <w:color w:val="000000"/>
                <w:sz w:val="22"/>
                <w:szCs w:val="22"/>
                <w:lang w:eastAsia="sk-SK"/>
              </w:rPr>
              <w:t xml:space="preserve"> z upr.</w:t>
            </w:r>
            <w:r w:rsidR="00267324" w:rsidRPr="00267324">
              <w:rPr>
                <w:rFonts w:eastAsia="Times New Roman"/>
                <w:b/>
                <w:color w:val="000000"/>
                <w:sz w:val="22"/>
                <w:szCs w:val="22"/>
                <w:lang w:eastAsia="sk-SK"/>
              </w:rPr>
              <w:t xml:space="preserve"> </w:t>
            </w:r>
            <w:r w:rsidRPr="00267324">
              <w:rPr>
                <w:rFonts w:eastAsia="Times New Roman"/>
                <w:b/>
                <w:color w:val="000000"/>
                <w:sz w:val="22"/>
                <w:szCs w:val="22"/>
                <w:lang w:eastAsia="sk-SK"/>
              </w:rPr>
              <w:t>rozp</w:t>
            </w:r>
            <w:r w:rsidR="00267324" w:rsidRPr="00267324">
              <w:rPr>
                <w:rFonts w:eastAsia="Times New Roman"/>
                <w:b/>
                <w:color w:val="000000"/>
                <w:sz w:val="22"/>
                <w:szCs w:val="22"/>
                <w:lang w:eastAsia="sk-SK"/>
              </w:rPr>
              <w:t>.</w:t>
            </w:r>
          </w:p>
        </w:tc>
      </w:tr>
      <w:tr w:rsidR="00FD7741" w:rsidRPr="00267324" w:rsidTr="00FD7741">
        <w:trPr>
          <w:gridAfter w:val="1"/>
          <w:wAfter w:w="380" w:type="dxa"/>
          <w:trHeight w:val="363"/>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FD7741" w:rsidRPr="00267324" w:rsidRDefault="00FD7741"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Trhovo orientované výdavky spolu</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15 600 000</w:t>
            </w:r>
          </w:p>
        </w:tc>
        <w:tc>
          <w:tcPr>
            <w:tcW w:w="1418"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11 509 047</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11 509 047</w:t>
            </w:r>
          </w:p>
        </w:tc>
        <w:tc>
          <w:tcPr>
            <w:tcW w:w="1134" w:type="dxa"/>
            <w:tcBorders>
              <w:top w:val="nil"/>
              <w:left w:val="nil"/>
              <w:bottom w:val="single" w:sz="8"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100</w:t>
            </w:r>
          </w:p>
        </w:tc>
      </w:tr>
      <w:tr w:rsidR="00FD7741" w:rsidRPr="00267324" w:rsidTr="00FD7741">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FD7741" w:rsidRPr="00267324" w:rsidRDefault="00FD774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z toho: výdavky EÚ</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12 000 000</w:t>
            </w:r>
          </w:p>
        </w:tc>
        <w:tc>
          <w:tcPr>
            <w:tcW w:w="1418"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7 930 721</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7 930 721</w:t>
            </w:r>
          </w:p>
        </w:tc>
        <w:tc>
          <w:tcPr>
            <w:tcW w:w="1134" w:type="dxa"/>
            <w:tcBorders>
              <w:top w:val="nil"/>
              <w:left w:val="nil"/>
              <w:bottom w:val="single" w:sz="8"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FD7741" w:rsidRPr="00267324" w:rsidTr="00FD7741">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FD7741" w:rsidRPr="00267324" w:rsidRDefault="00FD774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3 600 000</w:t>
            </w:r>
          </w:p>
        </w:tc>
        <w:tc>
          <w:tcPr>
            <w:tcW w:w="1418"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3 578 327</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3 578 327</w:t>
            </w:r>
          </w:p>
        </w:tc>
        <w:tc>
          <w:tcPr>
            <w:tcW w:w="1134" w:type="dxa"/>
            <w:tcBorders>
              <w:top w:val="nil"/>
              <w:left w:val="nil"/>
              <w:bottom w:val="single" w:sz="8"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FD7741" w:rsidRPr="00267324" w:rsidTr="00FD7741">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FD7741" w:rsidRPr="00267324" w:rsidRDefault="00FD7741"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Priame platby spolu</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460 535 985</w:t>
            </w:r>
          </w:p>
        </w:tc>
        <w:tc>
          <w:tcPr>
            <w:tcW w:w="1418"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408 006 532</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408 006 532</w:t>
            </w:r>
          </w:p>
        </w:tc>
        <w:tc>
          <w:tcPr>
            <w:tcW w:w="1134" w:type="dxa"/>
            <w:tcBorders>
              <w:top w:val="nil"/>
              <w:left w:val="nil"/>
              <w:bottom w:val="single" w:sz="8"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100</w:t>
            </w:r>
          </w:p>
        </w:tc>
      </w:tr>
      <w:tr w:rsidR="00FD7741" w:rsidRPr="00267324" w:rsidTr="00FD7741">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FD7741" w:rsidRPr="00267324" w:rsidRDefault="00FD774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438 299 000</w:t>
            </w:r>
          </w:p>
        </w:tc>
        <w:tc>
          <w:tcPr>
            <w:tcW w:w="1418"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399 254 115</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399 254 115</w:t>
            </w:r>
          </w:p>
        </w:tc>
        <w:tc>
          <w:tcPr>
            <w:tcW w:w="1134" w:type="dxa"/>
            <w:tcBorders>
              <w:top w:val="nil"/>
              <w:left w:val="nil"/>
              <w:bottom w:val="single" w:sz="8"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FD7741" w:rsidRPr="00267324" w:rsidTr="00FD7741">
        <w:trPr>
          <w:gridAfter w:val="1"/>
          <w:wAfter w:w="380" w:type="dxa"/>
          <w:trHeight w:val="315"/>
        </w:trPr>
        <w:tc>
          <w:tcPr>
            <w:tcW w:w="3701" w:type="dxa"/>
            <w:tcBorders>
              <w:top w:val="nil"/>
              <w:left w:val="single" w:sz="8" w:space="0" w:color="auto"/>
              <w:bottom w:val="single" w:sz="4" w:space="0" w:color="auto"/>
              <w:right w:val="single" w:sz="8" w:space="0" w:color="auto"/>
            </w:tcBorders>
            <w:shd w:val="clear" w:color="000000" w:fill="FFFFFF"/>
            <w:vAlign w:val="center"/>
            <w:hideMark/>
          </w:tcPr>
          <w:p w:rsidR="00FD7741" w:rsidRPr="00267324" w:rsidRDefault="00FD774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4"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22 236 985</w:t>
            </w:r>
          </w:p>
        </w:tc>
        <w:tc>
          <w:tcPr>
            <w:tcW w:w="1418" w:type="dxa"/>
            <w:tcBorders>
              <w:top w:val="nil"/>
              <w:left w:val="nil"/>
              <w:bottom w:val="single" w:sz="4"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8 752 417</w:t>
            </w:r>
          </w:p>
        </w:tc>
        <w:tc>
          <w:tcPr>
            <w:tcW w:w="1417" w:type="dxa"/>
            <w:tcBorders>
              <w:top w:val="nil"/>
              <w:left w:val="nil"/>
              <w:bottom w:val="single" w:sz="4"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8 752 417</w:t>
            </w:r>
          </w:p>
        </w:tc>
        <w:tc>
          <w:tcPr>
            <w:tcW w:w="1134" w:type="dxa"/>
            <w:tcBorders>
              <w:top w:val="nil"/>
              <w:left w:val="nil"/>
              <w:bottom w:val="single" w:sz="4"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FD7741" w:rsidRPr="00267324" w:rsidTr="00FD7741">
        <w:trPr>
          <w:gridAfter w:val="1"/>
          <w:wAfter w:w="380" w:type="dxa"/>
          <w:trHeight w:val="304"/>
        </w:trPr>
        <w:tc>
          <w:tcPr>
            <w:tcW w:w="3701"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FD7741" w:rsidRPr="00267324" w:rsidRDefault="00FD7741" w:rsidP="00B34613">
            <w:pPr>
              <w:keepNext/>
              <w:spacing w:after="0" w:line="240" w:lineRule="auto"/>
              <w:ind w:firstLine="0"/>
              <w:jc w:val="left"/>
              <w:rPr>
                <w:rFonts w:eastAsia="Times New Roman"/>
                <w:b/>
                <w:bCs/>
                <w:color w:val="000000"/>
                <w:sz w:val="22"/>
                <w:szCs w:val="22"/>
                <w:lang w:eastAsia="sk-SK"/>
              </w:rPr>
            </w:pPr>
            <w:r>
              <w:rPr>
                <w:rFonts w:eastAsia="Times New Roman"/>
                <w:b/>
                <w:bCs/>
                <w:color w:val="000000"/>
                <w:sz w:val="22"/>
                <w:szCs w:val="22"/>
                <w:lang w:eastAsia="sk-SK"/>
              </w:rPr>
              <w:t xml:space="preserve">PRV </w:t>
            </w:r>
            <w:r w:rsidR="008E5761">
              <w:rPr>
                <w:rFonts w:eastAsia="Times New Roman"/>
                <w:b/>
                <w:bCs/>
                <w:color w:val="000000"/>
                <w:sz w:val="22"/>
                <w:szCs w:val="22"/>
                <w:lang w:eastAsia="sk-SK"/>
              </w:rPr>
              <w:t xml:space="preserve">SR </w:t>
            </w:r>
            <w:r w:rsidRPr="00267324">
              <w:rPr>
                <w:rFonts w:eastAsia="Times New Roman"/>
                <w:b/>
                <w:bCs/>
                <w:color w:val="000000"/>
                <w:sz w:val="22"/>
                <w:szCs w:val="22"/>
                <w:lang w:eastAsia="sk-SK"/>
              </w:rPr>
              <w:t>(2007 - 2013)</w:t>
            </w:r>
          </w:p>
        </w:tc>
        <w:tc>
          <w:tcPr>
            <w:tcW w:w="141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1 408 042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22 000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22 000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100</w:t>
            </w:r>
          </w:p>
        </w:tc>
      </w:tr>
      <w:tr w:rsidR="00FD7741" w:rsidRPr="00267324" w:rsidTr="00FD7741">
        <w:trPr>
          <w:gridAfter w:val="1"/>
          <w:wAfter w:w="380" w:type="dxa"/>
          <w:trHeight w:val="315"/>
        </w:trPr>
        <w:tc>
          <w:tcPr>
            <w:tcW w:w="3701"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FD7741" w:rsidRPr="00267324" w:rsidRDefault="00FD774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1 097 656</w:t>
            </w:r>
          </w:p>
        </w:tc>
        <w:tc>
          <w:tcPr>
            <w:tcW w:w="1418"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r>
      <w:tr w:rsidR="00FD7741" w:rsidRPr="00267324" w:rsidTr="00FD7741">
        <w:trPr>
          <w:gridAfter w:val="1"/>
          <w:wAfter w:w="380" w:type="dxa"/>
          <w:trHeight w:val="315"/>
        </w:trPr>
        <w:tc>
          <w:tcPr>
            <w:tcW w:w="3701"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FD7741" w:rsidRPr="00267324" w:rsidRDefault="00FD774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310 386</w:t>
            </w:r>
          </w:p>
        </w:tc>
        <w:tc>
          <w:tcPr>
            <w:tcW w:w="1418"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r>
      <w:tr w:rsidR="00FD7741" w:rsidRPr="00267324" w:rsidTr="00FD7741">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FD7741" w:rsidRPr="00267324" w:rsidRDefault="006823C9" w:rsidP="006823C9">
            <w:pPr>
              <w:keepNext/>
              <w:spacing w:after="0" w:line="240" w:lineRule="auto"/>
              <w:ind w:firstLine="0"/>
              <w:jc w:val="left"/>
              <w:rPr>
                <w:rFonts w:eastAsia="Times New Roman"/>
                <w:b/>
                <w:bCs/>
                <w:color w:val="000000"/>
                <w:sz w:val="22"/>
                <w:szCs w:val="22"/>
                <w:lang w:eastAsia="sk-SK"/>
              </w:rPr>
            </w:pPr>
            <w:r>
              <w:rPr>
                <w:rFonts w:eastAsia="Times New Roman"/>
                <w:b/>
                <w:bCs/>
                <w:color w:val="000000"/>
                <w:sz w:val="22"/>
                <w:szCs w:val="22"/>
                <w:lang w:eastAsia="sk-SK"/>
              </w:rPr>
              <w:t>PRV</w:t>
            </w:r>
            <w:r w:rsidR="008E5761">
              <w:rPr>
                <w:rFonts w:eastAsia="Times New Roman"/>
                <w:b/>
                <w:bCs/>
                <w:color w:val="000000"/>
                <w:sz w:val="22"/>
                <w:szCs w:val="22"/>
                <w:lang w:eastAsia="sk-SK"/>
              </w:rPr>
              <w:t xml:space="preserve"> SR</w:t>
            </w:r>
            <w:r>
              <w:rPr>
                <w:rFonts w:eastAsia="Times New Roman"/>
                <w:b/>
                <w:bCs/>
                <w:color w:val="000000"/>
                <w:sz w:val="22"/>
                <w:szCs w:val="22"/>
                <w:lang w:eastAsia="sk-SK"/>
              </w:rPr>
              <w:t xml:space="preserve"> </w:t>
            </w:r>
            <w:r w:rsidR="00FD7741" w:rsidRPr="00267324">
              <w:rPr>
                <w:rFonts w:eastAsia="Times New Roman"/>
                <w:b/>
                <w:bCs/>
                <w:color w:val="000000"/>
                <w:sz w:val="22"/>
                <w:szCs w:val="22"/>
                <w:lang w:eastAsia="sk-SK"/>
              </w:rPr>
              <w:t>(2014 - 2020)</w:t>
            </w:r>
            <w:r>
              <w:rPr>
                <w:rFonts w:eastAsia="Times New Roman"/>
                <w:b/>
                <w:bCs/>
                <w:color w:val="000000"/>
                <w:sz w:val="22"/>
                <w:szCs w:val="22"/>
                <w:lang w:eastAsia="sk-SK"/>
              </w:rPr>
              <w:t xml:space="preserve"> (</w:t>
            </w:r>
            <w:r w:rsidRPr="00267324">
              <w:rPr>
                <w:rFonts w:eastAsia="Times New Roman"/>
                <w:b/>
                <w:bCs/>
                <w:color w:val="000000"/>
                <w:sz w:val="22"/>
                <w:szCs w:val="22"/>
                <w:lang w:eastAsia="sk-SK"/>
              </w:rPr>
              <w:t>EPFRV</w:t>
            </w:r>
            <w:r>
              <w:rPr>
                <w:rFonts w:eastAsia="Times New Roman"/>
                <w:b/>
                <w:bCs/>
                <w:color w:val="000000"/>
                <w:sz w:val="22"/>
                <w:szCs w:val="22"/>
                <w:lang w:eastAsia="sk-SK"/>
              </w:rPr>
              <w:t>)</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346 202 196</w:t>
            </w:r>
          </w:p>
        </w:tc>
        <w:tc>
          <w:tcPr>
            <w:tcW w:w="1418"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162 397 206</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162 397 206</w:t>
            </w:r>
          </w:p>
        </w:tc>
        <w:tc>
          <w:tcPr>
            <w:tcW w:w="1134" w:type="dxa"/>
            <w:tcBorders>
              <w:top w:val="nil"/>
              <w:left w:val="nil"/>
              <w:bottom w:val="single" w:sz="8"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100</w:t>
            </w:r>
          </w:p>
        </w:tc>
      </w:tr>
      <w:tr w:rsidR="00FD7741" w:rsidRPr="00267324" w:rsidTr="00FD7741">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FD7741" w:rsidRPr="00267324" w:rsidRDefault="00FD7741" w:rsidP="006823C9">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z toho: výdavky EÚ</w:t>
            </w:r>
            <w:r w:rsidR="006823C9">
              <w:rPr>
                <w:rFonts w:eastAsia="Times New Roman"/>
                <w:color w:val="000000"/>
                <w:sz w:val="22"/>
                <w:szCs w:val="22"/>
                <w:lang w:eastAsia="sk-SK"/>
              </w:rPr>
              <w:t xml:space="preserve"> </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257 294 285</w:t>
            </w:r>
          </w:p>
        </w:tc>
        <w:tc>
          <w:tcPr>
            <w:tcW w:w="1418"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121 136 638</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121 136 638</w:t>
            </w:r>
          </w:p>
        </w:tc>
        <w:tc>
          <w:tcPr>
            <w:tcW w:w="1134" w:type="dxa"/>
            <w:tcBorders>
              <w:top w:val="nil"/>
              <w:left w:val="nil"/>
              <w:bottom w:val="single" w:sz="8"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FD7741" w:rsidRPr="00267324" w:rsidTr="00FD7741">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FD7741" w:rsidRPr="00267324" w:rsidRDefault="00FD774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zo ŠR</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88 907 911</w:t>
            </w:r>
          </w:p>
        </w:tc>
        <w:tc>
          <w:tcPr>
            <w:tcW w:w="1418"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41 260 568</w:t>
            </w:r>
          </w:p>
        </w:tc>
        <w:tc>
          <w:tcPr>
            <w:tcW w:w="1417" w:type="dxa"/>
            <w:tcBorders>
              <w:top w:val="nil"/>
              <w:left w:val="nil"/>
              <w:bottom w:val="single" w:sz="8" w:space="0" w:color="auto"/>
              <w:right w:val="single" w:sz="8" w:space="0" w:color="auto"/>
            </w:tcBorders>
            <w:shd w:val="clear" w:color="000000" w:fill="FFFFFF"/>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41 260 568</w:t>
            </w:r>
          </w:p>
        </w:tc>
        <w:tc>
          <w:tcPr>
            <w:tcW w:w="1134" w:type="dxa"/>
            <w:tcBorders>
              <w:top w:val="nil"/>
              <w:left w:val="nil"/>
              <w:bottom w:val="single" w:sz="8" w:space="0" w:color="auto"/>
              <w:right w:val="single" w:sz="8" w:space="0" w:color="auto"/>
            </w:tcBorders>
            <w:shd w:val="clear" w:color="000000" w:fill="FFFFFF"/>
            <w:noWrap/>
            <w:vAlign w:val="bottom"/>
            <w:hideMark/>
          </w:tcPr>
          <w:p w:rsidR="00FD7741" w:rsidRPr="00AB044B" w:rsidRDefault="00FD7741" w:rsidP="00FD7741">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267324" w:rsidTr="00B35388">
        <w:trPr>
          <w:gridAfter w:val="1"/>
          <w:wAfter w:w="380" w:type="dxa"/>
          <w:trHeight w:val="58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Európsky fond pre rybné  hospodárstvo (2007 - 2013)</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926 972</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413 467</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413 467</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100</w:t>
            </w:r>
          </w:p>
        </w:tc>
      </w:tr>
      <w:tr w:rsidR="00381BE1" w:rsidRPr="00267324"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702 196</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310 100</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310 000</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267324"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224 776</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103 367</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103 367</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267324" w:rsidTr="00B35388">
        <w:trPr>
          <w:gridAfter w:val="1"/>
          <w:wAfter w:w="380" w:type="dxa"/>
          <w:trHeight w:val="58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Európsky námorný a rybársky fond (2014-2020)</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2 556 587</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r>
      <w:tr w:rsidR="00381BE1" w:rsidRPr="00267324"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1 917 440</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r>
      <w:tr w:rsidR="00381BE1" w:rsidRPr="00267324"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639 147</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r>
      <w:tr w:rsidR="00381BE1" w:rsidRPr="00267324" w:rsidTr="00B35388">
        <w:trPr>
          <w:gridAfter w:val="1"/>
          <w:wAfter w:w="380" w:type="dxa"/>
          <w:trHeight w:val="302"/>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Štátna pomoc  a národné podpory</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3 540 302</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4 599 685</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4 599 685</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100</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C7386" w:rsidP="00B34613">
            <w:pPr>
              <w:keepNext/>
              <w:spacing w:after="0" w:line="240" w:lineRule="auto"/>
              <w:ind w:firstLine="0"/>
              <w:jc w:val="left"/>
              <w:rPr>
                <w:rFonts w:eastAsia="Times New Roman"/>
                <w:b/>
                <w:bCs/>
                <w:color w:val="000000"/>
                <w:sz w:val="22"/>
                <w:szCs w:val="22"/>
                <w:lang w:eastAsia="sk-SK"/>
              </w:rPr>
            </w:pPr>
            <w:r w:rsidRPr="00222257">
              <w:t>OP v rámci ERDF</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46 122 774</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53 870 702</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53 870 702</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100</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40 569 404</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48 403 654</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48 403 654</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5 553 370</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5 467 048</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5 467 048</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D5767E" w:rsidTr="00B35388">
        <w:trPr>
          <w:gridAfter w:val="1"/>
          <w:wAfter w:w="380" w:type="dxa"/>
          <w:trHeight w:val="600"/>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B0EFF">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Integrovaný regionálny operačný program</w:t>
            </w:r>
            <w:r>
              <w:rPr>
                <w:rFonts w:eastAsia="Times New Roman"/>
                <w:b/>
                <w:bCs/>
                <w:color w:val="000000"/>
                <w:sz w:val="22"/>
                <w:szCs w:val="22"/>
                <w:lang w:eastAsia="sk-SK"/>
              </w:rPr>
              <w:t xml:space="preserve"> </w:t>
            </w:r>
            <w:r w:rsidRPr="00267324">
              <w:rPr>
                <w:rFonts w:eastAsia="Times New Roman"/>
                <w:b/>
                <w:bCs/>
                <w:color w:val="000000"/>
                <w:sz w:val="22"/>
                <w:szCs w:val="22"/>
                <w:lang w:eastAsia="sk-SK"/>
              </w:rPr>
              <w:t>(2014-2020)</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100 962 939</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38 691 612</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38 691 612</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100</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83 855 555</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31 083 695</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31 083 695</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17 107 384</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7 607 917</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7 607 917</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INTERREG V A (2014-2020)</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8 209 892</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237 343</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237 343</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b/>
                <w:bCs/>
                <w:i/>
                <w:iCs/>
                <w:color w:val="000000"/>
                <w:sz w:val="22"/>
                <w:szCs w:val="22"/>
                <w:lang w:eastAsia="sk-SK"/>
              </w:rPr>
            </w:pPr>
            <w:r w:rsidRPr="00267324">
              <w:rPr>
                <w:rFonts w:eastAsia="Times New Roman"/>
                <w:b/>
                <w:bCs/>
                <w:i/>
                <w:iCs/>
                <w:color w:val="000000"/>
                <w:sz w:val="22"/>
                <w:szCs w:val="22"/>
                <w:lang w:eastAsia="sk-SK"/>
              </w:rPr>
              <w:t>Konečný prijímateľ MPRV SR</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 </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 </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 </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b/>
                <w:bCs/>
                <w:i/>
                <w:iCs/>
                <w:color w:val="000000"/>
                <w:sz w:val="22"/>
                <w:szCs w:val="22"/>
                <w:lang w:eastAsia="sk-SK"/>
              </w:rPr>
            </w:pPr>
            <w:r w:rsidRPr="00267324">
              <w:rPr>
                <w:rFonts w:eastAsia="Times New Roman"/>
                <w:b/>
                <w:bCs/>
                <w:i/>
                <w:iCs/>
                <w:color w:val="000000"/>
                <w:sz w:val="22"/>
                <w:szCs w:val="22"/>
                <w:lang w:eastAsia="sk-SK"/>
              </w:rPr>
              <w:t>Európsky sociálny fond</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90 421</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90 421</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76 858</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76 858</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0</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13 563</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13 563</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color w:val="000000"/>
                <w:sz w:val="22"/>
                <w:szCs w:val="22"/>
                <w:lang w:eastAsia="sk-SK"/>
              </w:rPr>
            </w:pPr>
            <w:r w:rsidRPr="00AB044B">
              <w:rPr>
                <w:rFonts w:eastAsia="Times New Roman"/>
                <w:color w:val="000000"/>
                <w:sz w:val="22"/>
                <w:szCs w:val="22"/>
                <w:lang w:eastAsia="sk-SK"/>
              </w:rPr>
              <w:t>100</w:t>
            </w:r>
          </w:p>
        </w:tc>
      </w:tr>
      <w:tr w:rsidR="00381BE1" w:rsidRPr="00D5767E" w:rsidTr="00B35388">
        <w:trPr>
          <w:gridAfter w:val="1"/>
          <w:wAfter w:w="380" w:type="dxa"/>
          <w:trHeight w:val="315"/>
        </w:trPr>
        <w:tc>
          <w:tcPr>
            <w:tcW w:w="3701" w:type="dxa"/>
            <w:tcBorders>
              <w:top w:val="nil"/>
              <w:left w:val="single" w:sz="8" w:space="0" w:color="auto"/>
              <w:bottom w:val="single" w:sz="8" w:space="0" w:color="auto"/>
              <w:right w:val="single" w:sz="8" w:space="0" w:color="auto"/>
            </w:tcBorders>
            <w:shd w:val="clear" w:color="000000" w:fill="FFFFFF"/>
            <w:vAlign w:val="center"/>
            <w:hideMark/>
          </w:tcPr>
          <w:p w:rsidR="00381BE1" w:rsidRPr="00267324" w:rsidRDefault="00381BE1"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 xml:space="preserve">SPOLU </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986 065 689</w:t>
            </w:r>
          </w:p>
        </w:tc>
        <w:tc>
          <w:tcPr>
            <w:tcW w:w="1418"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679 747 594</w:t>
            </w:r>
          </w:p>
        </w:tc>
        <w:tc>
          <w:tcPr>
            <w:tcW w:w="1417" w:type="dxa"/>
            <w:tcBorders>
              <w:top w:val="nil"/>
              <w:left w:val="nil"/>
              <w:bottom w:val="single" w:sz="8" w:space="0" w:color="auto"/>
              <w:right w:val="single" w:sz="8" w:space="0" w:color="auto"/>
            </w:tcBorders>
            <w:shd w:val="clear" w:color="000000" w:fill="FFFFFF"/>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679 747 594</w:t>
            </w:r>
          </w:p>
        </w:tc>
        <w:tc>
          <w:tcPr>
            <w:tcW w:w="1134" w:type="dxa"/>
            <w:tcBorders>
              <w:top w:val="nil"/>
              <w:left w:val="nil"/>
              <w:bottom w:val="single" w:sz="8" w:space="0" w:color="auto"/>
              <w:right w:val="single" w:sz="8" w:space="0" w:color="auto"/>
            </w:tcBorders>
            <w:shd w:val="clear" w:color="000000" w:fill="FFFFFF"/>
            <w:noWrap/>
            <w:vAlign w:val="bottom"/>
            <w:hideMark/>
          </w:tcPr>
          <w:p w:rsidR="00381BE1" w:rsidRPr="00AB044B" w:rsidRDefault="00381BE1" w:rsidP="00B35388">
            <w:pPr>
              <w:spacing w:after="0" w:line="240" w:lineRule="auto"/>
              <w:ind w:firstLine="0"/>
              <w:jc w:val="right"/>
              <w:rPr>
                <w:rFonts w:eastAsia="Times New Roman"/>
                <w:b/>
                <w:bCs/>
                <w:color w:val="000000"/>
                <w:sz w:val="22"/>
                <w:szCs w:val="22"/>
                <w:lang w:eastAsia="sk-SK"/>
              </w:rPr>
            </w:pPr>
            <w:r w:rsidRPr="00AB044B">
              <w:rPr>
                <w:rFonts w:eastAsia="Times New Roman"/>
                <w:b/>
                <w:bCs/>
                <w:color w:val="000000"/>
                <w:sz w:val="22"/>
                <w:szCs w:val="22"/>
                <w:lang w:eastAsia="sk-SK"/>
              </w:rPr>
              <w:t>100</w:t>
            </w:r>
          </w:p>
        </w:tc>
      </w:tr>
      <w:tr w:rsidR="000818E9" w:rsidRPr="00F1363E" w:rsidTr="00BB0EFF">
        <w:tblPrEx>
          <w:tblCellMar>
            <w:left w:w="0" w:type="dxa"/>
            <w:right w:w="0" w:type="dxa"/>
          </w:tblCellMar>
          <w:tblLook w:val="0000" w:firstRow="0" w:lastRow="0" w:firstColumn="0" w:lastColumn="0" w:noHBand="0" w:noVBand="0"/>
        </w:tblPrEx>
        <w:trPr>
          <w:trHeight w:val="60"/>
        </w:trPr>
        <w:tc>
          <w:tcPr>
            <w:tcW w:w="9467" w:type="dxa"/>
            <w:gridSpan w:val="6"/>
            <w:tcBorders>
              <w:top w:val="nil"/>
              <w:left w:val="nil"/>
              <w:bottom w:val="nil"/>
              <w:right w:val="nil"/>
            </w:tcBorders>
            <w:noWrap/>
            <w:tcMar>
              <w:top w:w="15" w:type="dxa"/>
              <w:left w:w="15" w:type="dxa"/>
              <w:bottom w:w="0" w:type="dxa"/>
              <w:right w:w="15" w:type="dxa"/>
            </w:tcMar>
            <w:vAlign w:val="bottom"/>
          </w:tcPr>
          <w:p w:rsidR="006A34F5" w:rsidRDefault="000818E9" w:rsidP="00B34613">
            <w:pPr>
              <w:keepNext/>
              <w:tabs>
                <w:tab w:val="left" w:pos="709"/>
              </w:tabs>
              <w:spacing w:after="0" w:line="240" w:lineRule="auto"/>
              <w:ind w:firstLine="0"/>
              <w:rPr>
                <w:sz w:val="20"/>
                <w:szCs w:val="20"/>
              </w:rPr>
            </w:pPr>
            <w:r w:rsidRPr="00F1363E">
              <w:rPr>
                <w:sz w:val="20"/>
                <w:szCs w:val="20"/>
              </w:rPr>
              <w:t>Prameň: MPRV SR,  Návrh záverečného účtu za rok 201</w:t>
            </w:r>
            <w:r w:rsidR="00381BE1">
              <w:rPr>
                <w:sz w:val="20"/>
                <w:szCs w:val="20"/>
              </w:rPr>
              <w:t>6</w:t>
            </w:r>
            <w:r w:rsidR="00BB0EFF">
              <w:rPr>
                <w:sz w:val="20"/>
                <w:szCs w:val="20"/>
              </w:rPr>
              <w:t xml:space="preserve">, </w:t>
            </w:r>
          </w:p>
          <w:p w:rsidR="000818E9" w:rsidRDefault="000818E9" w:rsidP="00B34613">
            <w:pPr>
              <w:keepNext/>
              <w:tabs>
                <w:tab w:val="left" w:pos="709"/>
              </w:tabs>
              <w:spacing w:after="0" w:line="240" w:lineRule="auto"/>
              <w:ind w:firstLine="0"/>
              <w:rPr>
                <w:sz w:val="20"/>
                <w:szCs w:val="20"/>
              </w:rPr>
            </w:pPr>
            <w:r w:rsidRPr="00F1363E">
              <w:rPr>
                <w:rFonts w:eastAsia="Arial Unicode MS"/>
                <w:sz w:val="20"/>
                <w:szCs w:val="20"/>
              </w:rPr>
              <w:t xml:space="preserve">Vypracoval: </w:t>
            </w:r>
            <w:r w:rsidR="00CC79E8" w:rsidRPr="00F1363E">
              <w:rPr>
                <w:sz w:val="20"/>
                <w:szCs w:val="20"/>
              </w:rPr>
              <w:t xml:space="preserve">NPPC </w:t>
            </w:r>
            <w:r w:rsidR="00D90690">
              <w:rPr>
                <w:sz w:val="20"/>
                <w:szCs w:val="20"/>
              </w:rPr>
              <w:t>–</w:t>
            </w:r>
            <w:r w:rsidR="00CC79E8" w:rsidRPr="00F1363E">
              <w:rPr>
                <w:sz w:val="20"/>
                <w:szCs w:val="20"/>
              </w:rPr>
              <w:t xml:space="preserve"> VÚEPP</w:t>
            </w:r>
          </w:p>
          <w:p w:rsidR="00D90690" w:rsidRDefault="00D90690" w:rsidP="00381BE1">
            <w:pPr>
              <w:ind w:firstLine="0"/>
              <w:rPr>
                <w:rFonts w:eastAsia="Arial Unicode MS"/>
                <w:sz w:val="20"/>
                <w:szCs w:val="20"/>
              </w:rPr>
            </w:pPr>
          </w:p>
          <w:p w:rsidR="00381BE1" w:rsidRDefault="00381BE1" w:rsidP="00381BE1">
            <w:pPr>
              <w:ind w:firstLine="0"/>
              <w:rPr>
                <w:rFonts w:eastAsia="Arial Unicode MS"/>
                <w:sz w:val="20"/>
                <w:szCs w:val="20"/>
              </w:rPr>
            </w:pPr>
          </w:p>
          <w:p w:rsidR="00912D0E" w:rsidRPr="00F1363E" w:rsidRDefault="00912D0E" w:rsidP="00381BE1">
            <w:pPr>
              <w:ind w:firstLine="0"/>
              <w:rPr>
                <w:rFonts w:eastAsia="Arial Unicode MS"/>
                <w:sz w:val="20"/>
                <w:szCs w:val="20"/>
              </w:rPr>
            </w:pPr>
          </w:p>
        </w:tc>
      </w:tr>
    </w:tbl>
    <w:p w:rsidR="00115A9A" w:rsidRDefault="00AC2876" w:rsidP="008C05EC">
      <w:pPr>
        <w:pStyle w:val="Nadpis2"/>
        <w:spacing w:before="0"/>
        <w:ind w:left="426" w:hanging="426"/>
      </w:pPr>
      <w:bookmarkStart w:id="3" w:name="_Toc483395307"/>
      <w:r w:rsidRPr="00F1363E">
        <w:lastRenderedPageBreak/>
        <w:t>Organizácia trhu s agrárnymi komoditami – trhovoorientované výdavky</w:t>
      </w:r>
      <w:bookmarkEnd w:id="3"/>
    </w:p>
    <w:p w:rsidR="00381BE1" w:rsidRPr="005C173B" w:rsidRDefault="00381BE1" w:rsidP="00381BE1">
      <w:pPr>
        <w:ind w:firstLine="708"/>
      </w:pPr>
      <w:r w:rsidRPr="005C173B">
        <w:t xml:space="preserve">Činnosti súvisiace s organizovaním trhu zabezpečuje PPA – Sekcia organizácie trhu. Spoločnú organizáciu trhu s poľnohospodárskymi výrobkami v rokoch 2015 a 2016 upravovalo nariadenie EP a Rady (EÚ) č. 1308/2013 a niektoré ustanovenia nariadenia Rady (ES) č. 1234/2007. Trhovo orientované výdavky (TOV) sú financované z Európskeho poľnohospodárskeho záručného fondu (EPZF), ktorý je súčasťou všeobecného rozpočtu EÚ. </w:t>
      </w:r>
    </w:p>
    <w:p w:rsidR="00381BE1" w:rsidRPr="005C173B" w:rsidRDefault="00381BE1" w:rsidP="00381BE1">
      <w:pPr>
        <w:ind w:firstLine="708"/>
      </w:pPr>
      <w:r w:rsidRPr="005C173B">
        <w:t>Niektoré z trhových opatrení sú spolufinancované zo štátneho rozpočtu (napr. Program „Školské mlieko“, „Národný program stabilizácie a rozvoja slovenského včelárstva“ a pomoc organizáciám výrobcov a skupinám výrobcov v rámci operačných programov).</w:t>
      </w:r>
    </w:p>
    <w:p w:rsidR="00381BE1" w:rsidRPr="005C173B" w:rsidRDefault="00381BE1" w:rsidP="00381BE1">
      <w:pPr>
        <w:ind w:firstLine="708"/>
      </w:pPr>
      <w:r w:rsidRPr="005C173B">
        <w:t xml:space="preserve">Vo </w:t>
      </w:r>
      <w:r w:rsidRPr="005C173B">
        <w:rPr>
          <w:i/>
        </w:rPr>
        <w:t>vinársko-vinohradníckom sektore</w:t>
      </w:r>
      <w:r w:rsidRPr="005C173B">
        <w:t xml:space="preserve"> bola v roku 2015 i v roku 2016 vyplatená najvyššia podpora na opatrenia na reštrukturalizáciu a premenu viníc.</w:t>
      </w:r>
    </w:p>
    <w:p w:rsidR="00381BE1" w:rsidRPr="005C173B" w:rsidRDefault="00381BE1" w:rsidP="00381BE1">
      <w:pPr>
        <w:ind w:firstLine="708"/>
      </w:pPr>
      <w:r w:rsidRPr="005C173B">
        <w:t>V </w:t>
      </w:r>
      <w:r w:rsidRPr="005C173B">
        <w:rPr>
          <w:i/>
        </w:rPr>
        <w:t>sektore ovocia a zeleniny</w:t>
      </w:r>
      <w:r w:rsidRPr="005C173B">
        <w:t xml:space="preserve"> boli v rokoch 2015 a 2016 vyplácané finančné prostriedky na operačné programy. Súčasťou podporných mechanizmov v rámci Spoločnej organizácie poľnohospodárskych trhov EÚ je program </w:t>
      </w:r>
      <w:r w:rsidRPr="005C173B">
        <w:rPr>
          <w:i/>
        </w:rPr>
        <w:t>„Školské ovocie a zelenina“,</w:t>
      </w:r>
      <w:r w:rsidRPr="005C173B">
        <w:t xml:space="preserve"> do ktorého sa zapojilo aj Slovensko. </w:t>
      </w:r>
      <w:r w:rsidRPr="005C173B">
        <w:rPr>
          <w:bCs/>
          <w:iCs/>
        </w:rPr>
        <w:t>Cieľom</w:t>
      </w:r>
      <w:r w:rsidRPr="005C173B">
        <w:rPr>
          <w:b/>
          <w:bCs/>
          <w:i/>
          <w:iCs/>
        </w:rPr>
        <w:t xml:space="preserve"> </w:t>
      </w:r>
      <w:r w:rsidRPr="005C173B">
        <w:rPr>
          <w:bCs/>
          <w:iCs/>
        </w:rPr>
        <w:t xml:space="preserve">tohto programu </w:t>
      </w:r>
      <w:r w:rsidRPr="005C173B">
        <w:t xml:space="preserve">je zvýšiť konzumáciu ovocia a zeleniny u detí, pôsobiť na zmenu ich stravovacích návykov a predchádzať chorobám zo zvýšenej hmotnosti a obezity. </w:t>
      </w:r>
    </w:p>
    <w:p w:rsidR="00381BE1" w:rsidRPr="005C173B" w:rsidRDefault="00381BE1" w:rsidP="00381BE1">
      <w:pPr>
        <w:ind w:firstLine="567"/>
      </w:pPr>
      <w:r w:rsidRPr="005C173B">
        <w:t>V súvislosti so zákazom dovozu určitých produktov z EÚ do Ruska, vrátane ovocia a zeleniny zavedeným ruskou vládou 7. augusta 2014, v dôsledku ktorého došlo k narušeniu trhu, bola vyplatená slovenským producentom finančná pomoc EÚ na stiahnutie z trhu na základe čl. 4 a 11a) delegovaného nariadenia Komisie (EÚ)</w:t>
      </w:r>
      <w:r w:rsidRPr="005C173B">
        <w:rPr>
          <w:bCs/>
        </w:rPr>
        <w:t xml:space="preserve"> č. 1031/2014 z 29. septembra 2014, ktorým sa stanovujú ďalšie dočasné mimoriadne podporné opatrenia pre výrobcov určitých druhov ovocia a zeleniny</w:t>
      </w:r>
      <w:r w:rsidRPr="005C173B">
        <w:rPr>
          <w:b/>
          <w:bCs/>
        </w:rPr>
        <w:t xml:space="preserve"> </w:t>
      </w:r>
      <w:r w:rsidRPr="005C173B">
        <w:rPr>
          <w:bCs/>
        </w:rPr>
        <w:t>v znení delegovaných nariadení Komisie (EÚ) č.</w:t>
      </w:r>
      <w:r w:rsidR="0058198A">
        <w:rPr>
          <w:bCs/>
        </w:rPr>
        <w:t> </w:t>
      </w:r>
      <w:r w:rsidRPr="005C173B">
        <w:rPr>
          <w:bCs/>
        </w:rPr>
        <w:t xml:space="preserve">1371/2014 z 19. decembra 2014 a 2016/1369 zo 7. augusta 2015. </w:t>
      </w:r>
    </w:p>
    <w:p w:rsidR="00381BE1" w:rsidRPr="005C173B" w:rsidRDefault="00381BE1" w:rsidP="00381BE1">
      <w:pPr>
        <w:ind w:firstLine="708"/>
      </w:pPr>
      <w:r w:rsidRPr="005C173B">
        <w:t>Do</w:t>
      </w:r>
      <w:r w:rsidRPr="005C173B">
        <w:rPr>
          <w:b/>
        </w:rPr>
        <w:t xml:space="preserve"> </w:t>
      </w:r>
      <w:r w:rsidRPr="005C173B">
        <w:rPr>
          <w:i/>
        </w:rPr>
        <w:t xml:space="preserve">sektora mlieka a mliečnych výrobkov </w:t>
      </w:r>
      <w:r w:rsidRPr="005C173B">
        <w:t>patrí</w:t>
      </w:r>
      <w:r w:rsidRPr="005C173B">
        <w:rPr>
          <w:b/>
          <w:i/>
        </w:rPr>
        <w:t xml:space="preserve"> </w:t>
      </w:r>
      <w:r w:rsidRPr="005C173B">
        <w:t>program</w:t>
      </w:r>
      <w:r w:rsidRPr="005C173B">
        <w:rPr>
          <w:b/>
        </w:rPr>
        <w:t xml:space="preserve"> </w:t>
      </w:r>
      <w:r w:rsidRPr="005C173B">
        <w:t>„</w:t>
      </w:r>
      <w:r w:rsidRPr="005C173B">
        <w:rPr>
          <w:i/>
        </w:rPr>
        <w:t>školské mlieko“,</w:t>
      </w:r>
      <w:r w:rsidRPr="005C173B">
        <w:rPr>
          <w:b/>
          <w:i/>
        </w:rPr>
        <w:t xml:space="preserve"> </w:t>
      </w:r>
      <w:r w:rsidRPr="005C173B">
        <w:t xml:space="preserve">ktorý sa začal v SR realizovať od roku 2004 a prebieha aj v ďalších štátoch EÚ. Cieľom programu je zvýšiť spotrebu mlieka a mliečnych výrobkov a podporiť zdravú výživu detí, vychovávať ich k zdravému životnému štýlu a umožniť  deťom kupovať  si tieto výrobky za cenovo výhodnejších podmienok. Finančné prostriedky na dodávanie mlieka a mliečnych výrobkov žiakom v školských zariadeniach poskytuje EÚ a  SR zo štátneho rozpočtu. </w:t>
      </w:r>
    </w:p>
    <w:p w:rsidR="00381BE1" w:rsidRPr="005C173B" w:rsidRDefault="00381BE1" w:rsidP="00381BE1">
      <w:pPr>
        <w:autoSpaceDE w:val="0"/>
        <w:autoSpaceDN w:val="0"/>
        <w:adjustRightInd w:val="0"/>
        <w:ind w:firstLine="708"/>
      </w:pPr>
      <w:r w:rsidRPr="005C173B">
        <w:t xml:space="preserve">Národný program stabilizácie a rozvoja </w:t>
      </w:r>
      <w:r w:rsidRPr="005C173B">
        <w:rPr>
          <w:i/>
        </w:rPr>
        <w:t xml:space="preserve"> včelárstva</w:t>
      </w:r>
      <w:r w:rsidRPr="005C173B">
        <w:t xml:space="preserve"> je spolufinancovaný zo strany EÚ vo výške 50 % a rovnako 50 % zo strany štátneho rozpočtu. Ide o včelársky program, ktorý vypracúvajú členské štáty ako štúdiu o výrobnej a obchodnej štruktúre v sektore včelárstva na svojom území. </w:t>
      </w:r>
    </w:p>
    <w:p w:rsidR="00381BE1" w:rsidRPr="005C173B" w:rsidRDefault="00381BE1" w:rsidP="00381BE1">
      <w:r w:rsidRPr="005C173B">
        <w:t xml:space="preserve">V  rámci TOV bola vyplatená aj </w:t>
      </w:r>
      <w:r w:rsidRPr="005C173B">
        <w:rPr>
          <w:i/>
        </w:rPr>
        <w:t>dočasná mimoriadna po</w:t>
      </w:r>
      <w:r w:rsidR="009B486F">
        <w:rPr>
          <w:i/>
        </w:rPr>
        <w:t>moc</w:t>
      </w:r>
      <w:r w:rsidRPr="005C173B">
        <w:t>, poskytnutá na základe delegovaného nariadenia Komisie (EÚ) 2015/1853 z 15. októbra 2015, ktorým sa stanovuje dočasná mimoriadna pomoc pre poľnohospodárov v sektoroch chovu hospodárskych zvierat a na základe výnosu MPRV SR</w:t>
      </w:r>
      <w:r w:rsidRPr="005C173B">
        <w:rPr>
          <w:rFonts w:ascii="Times New Roman,Bold" w:hAnsi="Times New Roman,Bold" w:cs="Times New Roman,Bold"/>
          <w:b/>
          <w:bCs/>
        </w:rPr>
        <w:t xml:space="preserve"> </w:t>
      </w:r>
      <w:r w:rsidRPr="005C173B">
        <w:rPr>
          <w:bCs/>
        </w:rPr>
        <w:t>z 29. októbra 2015 č. 504/2015-100 o poskytovaní mimoriadnej podpory v sektore mlieka a bravčového mäsa</w:t>
      </w:r>
      <w:r w:rsidRPr="005C173B">
        <w:t xml:space="preserve">. Pre SR bola z celkovej obálky EÚ určená suma 2 453 296 €. Členské štáty si samé mohli určiť ako využijú finančné prostriedky, v SR bolo </w:t>
      </w:r>
      <w:r w:rsidR="009B486F">
        <w:lastRenderedPageBreak/>
        <w:t>rozhodnuté poskytnúť pomoc</w:t>
      </w:r>
      <w:r w:rsidRPr="005C173B">
        <w:t xml:space="preserve"> pre mlieko a mliečne výrobky a podporu na bravčové mäso. Členské štáty mohli poskytovať dodatočnú po</w:t>
      </w:r>
      <w:r w:rsidR="009B486F">
        <w:t>moc</w:t>
      </w:r>
      <w:r w:rsidRPr="005C173B">
        <w:t xml:space="preserve"> až do výšky maximálne 100 % stanovených súm, čo SR aj využila, keďže boli k dispozícii zdroje aj zo ŠR. </w:t>
      </w:r>
    </w:p>
    <w:p w:rsidR="00381BE1" w:rsidRPr="005C173B" w:rsidRDefault="00381BE1" w:rsidP="00381BE1">
      <w:pPr>
        <w:rPr>
          <w:rStyle w:val="Siln"/>
          <w:b w:val="0"/>
          <w:bCs w:val="0"/>
        </w:rPr>
      </w:pPr>
      <w:r w:rsidRPr="005C173B">
        <w:t>V rámci trhovo</w:t>
      </w:r>
      <w:r w:rsidR="0058198A">
        <w:t xml:space="preserve"> </w:t>
      </w:r>
      <w:r w:rsidRPr="005C173B">
        <w:t>orientovaných výdavkov môžu byť podporované aj intervencie vo</w:t>
      </w:r>
      <w:r w:rsidR="00A07EC8">
        <w:t> </w:t>
      </w:r>
      <w:r w:rsidRPr="005C173B">
        <w:t>forme verejného skladovania, ktorú sú realizované mimorozpočtovým režimom.</w:t>
      </w:r>
      <w:r w:rsidR="009B486F">
        <w:t xml:space="preserve"> V priebehu júna až septembra 2016 nakúpila PPA v rámci intervencie vo forme verejného skladovania spolu 2017 t sušeného odstredeného mlieka v celkovej hodnote (bez DPH) 351 020 €.</w:t>
      </w:r>
      <w:r w:rsidRPr="005C173B">
        <w:t xml:space="preserve"> Z mimorozpočtového účtu sa v roku 2016 vyplatilo 428 248 € za skladovanie, nákup a rozbor sušeného mlieka. Refundácia DPH z nákupu bola v objeme 71 122 €. Zostatok na mimorozpočtovom účte k 31. 12. 2016 bol 62 214</w:t>
      </w:r>
      <w:r w:rsidR="009B486F">
        <w:t> </w:t>
      </w:r>
      <w:r w:rsidRPr="005C173B">
        <w:t>445</w:t>
      </w:r>
      <w:r w:rsidR="009B486F">
        <w:t>,19</w:t>
      </w:r>
      <w:r w:rsidRPr="005C173B">
        <w:t xml:space="preserve"> €.</w:t>
      </w:r>
    </w:p>
    <w:p w:rsidR="001E4F6A" w:rsidRDefault="001E4F6A" w:rsidP="00A8478A">
      <w:pPr>
        <w:spacing w:after="0" w:line="240" w:lineRule="auto"/>
        <w:ind w:hanging="142"/>
        <w:rPr>
          <w:rStyle w:val="Siln"/>
        </w:rPr>
      </w:pPr>
    </w:p>
    <w:p w:rsidR="0000771A" w:rsidRDefault="008C05EC" w:rsidP="004802EA">
      <w:pPr>
        <w:spacing w:after="0" w:line="240" w:lineRule="auto"/>
        <w:ind w:hanging="142"/>
        <w:jc w:val="left"/>
        <w:rPr>
          <w:rStyle w:val="Siln"/>
          <w:b w:val="0"/>
        </w:rPr>
      </w:pPr>
      <w:r>
        <w:rPr>
          <w:rStyle w:val="Siln"/>
        </w:rPr>
        <w:t xml:space="preserve">  </w:t>
      </w:r>
      <w:r w:rsidR="003B3CA0" w:rsidRPr="00F1363E">
        <w:rPr>
          <w:rStyle w:val="Siln"/>
        </w:rPr>
        <w:t>Prehľad čerpania trhovo orientovaných výdavkov (TOV)</w:t>
      </w:r>
      <w:r w:rsidR="004802EA">
        <w:rPr>
          <w:rStyle w:val="Siln"/>
        </w:rPr>
        <w:t xml:space="preserve">, </w:t>
      </w:r>
      <w:r w:rsidR="009B01EF" w:rsidRPr="00F1363E">
        <w:rPr>
          <w:rStyle w:val="Siln"/>
          <w:b w:val="0"/>
        </w:rPr>
        <w:t>v €</w:t>
      </w:r>
      <w:r w:rsidR="009D09FA" w:rsidRPr="00F1363E">
        <w:rPr>
          <w:rStyle w:val="Siln"/>
          <w:b w:val="0"/>
        </w:rPr>
        <w:t xml:space="preserve">        </w:t>
      </w:r>
      <w:r w:rsidR="002D797F" w:rsidRPr="00F1363E">
        <w:rPr>
          <w:rStyle w:val="Siln"/>
          <w:b w:val="0"/>
        </w:rPr>
        <w:t xml:space="preserve">       </w:t>
      </w:r>
      <w:r w:rsidR="009D09FA" w:rsidRPr="00F1363E">
        <w:rPr>
          <w:rStyle w:val="Siln"/>
          <w:b w:val="0"/>
        </w:rPr>
        <w:t xml:space="preserve"> </w:t>
      </w:r>
      <w:r w:rsidR="007B7CEE" w:rsidRPr="00F1363E">
        <w:rPr>
          <w:rStyle w:val="Siln"/>
          <w:b w:val="0"/>
        </w:rPr>
        <w:t xml:space="preserve">            </w:t>
      </w:r>
      <w:r w:rsidR="009D09FA" w:rsidRPr="00F1363E">
        <w:rPr>
          <w:rStyle w:val="Siln"/>
          <w:b w:val="0"/>
        </w:rPr>
        <w:t xml:space="preserve">  Tabuľka </w:t>
      </w:r>
      <w:r w:rsidR="002D797F" w:rsidRPr="00F1363E">
        <w:rPr>
          <w:rStyle w:val="Siln"/>
          <w:b w:val="0"/>
        </w:rPr>
        <w:t>2</w:t>
      </w:r>
    </w:p>
    <w:tbl>
      <w:tblPr>
        <w:tblW w:w="9087" w:type="dxa"/>
        <w:tblInd w:w="55" w:type="dxa"/>
        <w:tblCellMar>
          <w:left w:w="70" w:type="dxa"/>
          <w:right w:w="70" w:type="dxa"/>
        </w:tblCellMar>
        <w:tblLook w:val="04A0" w:firstRow="1" w:lastRow="0" w:firstColumn="1" w:lastColumn="0" w:noHBand="0" w:noVBand="1"/>
      </w:tblPr>
      <w:tblGrid>
        <w:gridCol w:w="5827"/>
        <w:gridCol w:w="1559"/>
        <w:gridCol w:w="1701"/>
      </w:tblGrid>
      <w:tr w:rsidR="0058198A" w:rsidRPr="0000771A" w:rsidTr="00B35388">
        <w:trPr>
          <w:trHeight w:val="315"/>
        </w:trPr>
        <w:tc>
          <w:tcPr>
            <w:tcW w:w="5827" w:type="dxa"/>
            <w:tcBorders>
              <w:top w:val="single" w:sz="8" w:space="0" w:color="auto"/>
              <w:left w:val="single" w:sz="8" w:space="0" w:color="auto"/>
              <w:bottom w:val="single" w:sz="8" w:space="0" w:color="auto"/>
              <w:right w:val="single" w:sz="8" w:space="0" w:color="auto"/>
            </w:tcBorders>
            <w:shd w:val="clear" w:color="000000" w:fill="C2D69B" w:themeFill="accent3" w:themeFillTint="99"/>
            <w:noWrap/>
            <w:vAlign w:val="center"/>
            <w:hideMark/>
          </w:tcPr>
          <w:p w:rsidR="0058198A" w:rsidRPr="0000771A" w:rsidRDefault="0058198A" w:rsidP="00DB5F2B">
            <w:pPr>
              <w:spacing w:after="0" w:line="240" w:lineRule="auto"/>
              <w:ind w:firstLine="0"/>
              <w:jc w:val="left"/>
              <w:rPr>
                <w:rFonts w:eastAsia="Times New Roman"/>
                <w:b/>
                <w:bCs/>
                <w:color w:val="000000"/>
                <w:sz w:val="22"/>
                <w:szCs w:val="22"/>
                <w:lang w:eastAsia="sk-SK"/>
              </w:rPr>
            </w:pPr>
            <w:r w:rsidRPr="0000771A">
              <w:rPr>
                <w:rFonts w:eastAsia="Times New Roman"/>
                <w:b/>
                <w:bCs/>
                <w:color w:val="000000"/>
                <w:sz w:val="22"/>
                <w:szCs w:val="22"/>
                <w:lang w:eastAsia="sk-SK"/>
              </w:rPr>
              <w:t>TOV</w:t>
            </w:r>
          </w:p>
        </w:tc>
        <w:tc>
          <w:tcPr>
            <w:tcW w:w="1559" w:type="dxa"/>
            <w:tcBorders>
              <w:top w:val="single" w:sz="8" w:space="0" w:color="auto"/>
              <w:left w:val="nil"/>
              <w:bottom w:val="single" w:sz="8" w:space="0" w:color="auto"/>
              <w:right w:val="single" w:sz="8" w:space="0" w:color="auto"/>
            </w:tcBorders>
            <w:shd w:val="clear" w:color="000000" w:fill="C2D69B" w:themeFill="accent3" w:themeFillTint="99"/>
            <w:vAlign w:val="bottom"/>
            <w:hideMark/>
          </w:tcPr>
          <w:p w:rsidR="0058198A" w:rsidRPr="00134FC3" w:rsidRDefault="0058198A" w:rsidP="00B35388">
            <w:pPr>
              <w:spacing w:after="0" w:line="240" w:lineRule="auto"/>
              <w:ind w:firstLine="0"/>
              <w:jc w:val="right"/>
              <w:rPr>
                <w:rFonts w:eastAsia="Times New Roman"/>
                <w:b/>
                <w:bCs/>
                <w:color w:val="000000"/>
                <w:lang w:eastAsia="sk-SK"/>
              </w:rPr>
            </w:pPr>
            <w:r w:rsidRPr="00134FC3">
              <w:rPr>
                <w:rFonts w:eastAsia="Times New Roman"/>
                <w:b/>
                <w:bCs/>
                <w:color w:val="000000"/>
                <w:lang w:eastAsia="sk-SK"/>
              </w:rPr>
              <w:t>2015</w:t>
            </w:r>
          </w:p>
        </w:tc>
        <w:tc>
          <w:tcPr>
            <w:tcW w:w="1701" w:type="dxa"/>
            <w:tcBorders>
              <w:top w:val="single" w:sz="8" w:space="0" w:color="auto"/>
              <w:left w:val="nil"/>
              <w:bottom w:val="single" w:sz="8" w:space="0" w:color="auto"/>
              <w:right w:val="single" w:sz="8" w:space="0" w:color="auto"/>
            </w:tcBorders>
            <w:shd w:val="clear" w:color="000000" w:fill="C2D69B" w:themeFill="accent3" w:themeFillTint="99"/>
            <w:vAlign w:val="bottom"/>
            <w:hideMark/>
          </w:tcPr>
          <w:p w:rsidR="0058198A" w:rsidRPr="00134FC3" w:rsidRDefault="0058198A" w:rsidP="00B35388">
            <w:pPr>
              <w:spacing w:after="0" w:line="240" w:lineRule="auto"/>
              <w:ind w:firstLine="0"/>
              <w:jc w:val="right"/>
              <w:rPr>
                <w:rFonts w:eastAsia="Times New Roman"/>
                <w:b/>
                <w:bCs/>
                <w:color w:val="000000"/>
                <w:lang w:eastAsia="sk-SK"/>
              </w:rPr>
            </w:pPr>
            <w:r w:rsidRPr="00134FC3">
              <w:rPr>
                <w:rFonts w:eastAsia="Times New Roman"/>
                <w:b/>
                <w:bCs/>
                <w:color w:val="000000"/>
                <w:lang w:eastAsia="sk-SK"/>
              </w:rPr>
              <w:t>2016</w:t>
            </w:r>
          </w:p>
        </w:tc>
      </w:tr>
      <w:tr w:rsidR="0058198A" w:rsidRPr="0000771A" w:rsidTr="00DB5F2B">
        <w:trPr>
          <w:trHeight w:val="315"/>
        </w:trPr>
        <w:tc>
          <w:tcPr>
            <w:tcW w:w="5827" w:type="dxa"/>
            <w:tcBorders>
              <w:top w:val="single" w:sz="8" w:space="0" w:color="auto"/>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Reštrukturalizácia vinohradov</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3 297 862</w:t>
            </w:r>
          </w:p>
        </w:tc>
        <w:tc>
          <w:tcPr>
            <w:tcW w:w="1701" w:type="dxa"/>
            <w:tcBorders>
              <w:top w:val="single" w:sz="8" w:space="0" w:color="auto"/>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1 670 517</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Poistenie úrody</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146 837</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214 282</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Investície do podnikov</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608 250</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698 169</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Propagácia na trhoch tretích krajín</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4 228</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29 800</w:t>
            </w:r>
          </w:p>
        </w:tc>
      </w:tr>
      <w:tr w:rsidR="0058198A" w:rsidRPr="0000771A" w:rsidTr="00DB5F2B">
        <w:trPr>
          <w:trHeight w:val="300"/>
        </w:trPr>
        <w:tc>
          <w:tcPr>
            <w:tcW w:w="5827" w:type="dxa"/>
            <w:tcBorders>
              <w:top w:val="nil"/>
              <w:left w:val="single" w:sz="8" w:space="0" w:color="auto"/>
              <w:bottom w:val="nil"/>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Mimoriadne podporné opatrenia - organizáciám</w:t>
            </w:r>
          </w:p>
        </w:tc>
        <w:tc>
          <w:tcPr>
            <w:tcW w:w="1559" w:type="dxa"/>
            <w:tcBorders>
              <w:top w:val="nil"/>
              <w:left w:val="single" w:sz="8" w:space="0" w:color="auto"/>
              <w:bottom w:val="nil"/>
              <w:right w:val="single" w:sz="8" w:space="0" w:color="auto"/>
            </w:tcBorders>
            <w:shd w:val="clear" w:color="000000" w:fill="FFFFFF"/>
            <w:vAlign w:val="bottom"/>
            <w:hideMark/>
          </w:tcPr>
          <w:p w:rsidR="0058198A" w:rsidRPr="00134FC3" w:rsidRDefault="0058198A" w:rsidP="00B35388">
            <w:pPr>
              <w:spacing w:after="0" w:line="240" w:lineRule="auto"/>
              <w:ind w:firstLine="0"/>
              <w:jc w:val="left"/>
              <w:rPr>
                <w:rFonts w:eastAsia="Times New Roman"/>
                <w:color w:val="000000"/>
                <w:lang w:eastAsia="sk-SK"/>
              </w:rPr>
            </w:pPr>
            <w:r w:rsidRPr="00134FC3">
              <w:rPr>
                <w:rFonts w:eastAsia="Times New Roman"/>
                <w:color w:val="000000"/>
                <w:lang w:eastAsia="sk-SK"/>
              </w:rPr>
              <w:t> </w:t>
            </w:r>
          </w:p>
        </w:tc>
        <w:tc>
          <w:tcPr>
            <w:tcW w:w="1701" w:type="dxa"/>
            <w:tcBorders>
              <w:top w:val="nil"/>
              <w:left w:val="nil"/>
              <w:bottom w:val="nil"/>
              <w:right w:val="single" w:sz="8" w:space="0" w:color="auto"/>
            </w:tcBorders>
            <w:shd w:val="clear" w:color="000000" w:fill="FFFFFF"/>
            <w:vAlign w:val="bottom"/>
            <w:hideMark/>
          </w:tcPr>
          <w:p w:rsidR="0058198A" w:rsidRPr="00134FC3" w:rsidRDefault="0058198A" w:rsidP="00B35388">
            <w:pPr>
              <w:spacing w:after="0" w:line="240" w:lineRule="auto"/>
              <w:ind w:firstLine="0"/>
              <w:jc w:val="left"/>
              <w:rPr>
                <w:rFonts w:ascii="Calibri" w:eastAsia="Times New Roman" w:hAnsi="Calibri"/>
                <w:color w:val="000000"/>
                <w:lang w:eastAsia="sk-SK"/>
              </w:rPr>
            </w:pPr>
            <w:r w:rsidRPr="00134FC3">
              <w:rPr>
                <w:rFonts w:ascii="Calibri" w:eastAsia="Times New Roman" w:hAnsi="Calibri"/>
                <w:color w:val="000000"/>
                <w:lang w:eastAsia="sk-SK"/>
              </w:rPr>
              <w:t> </w:t>
            </w:r>
          </w:p>
        </w:tc>
      </w:tr>
      <w:tr w:rsidR="0058198A" w:rsidRPr="0000771A" w:rsidTr="0058198A">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výrobcom OZ - stiahnutie z trhu</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129 855</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358 993</w:t>
            </w:r>
          </w:p>
        </w:tc>
      </w:tr>
      <w:tr w:rsidR="0058198A" w:rsidRPr="0000771A" w:rsidTr="0058198A">
        <w:trPr>
          <w:trHeight w:val="315"/>
        </w:trPr>
        <w:tc>
          <w:tcPr>
            <w:tcW w:w="5827" w:type="dxa"/>
            <w:tcBorders>
              <w:top w:val="single" w:sz="8" w:space="0" w:color="auto"/>
              <w:left w:val="single" w:sz="8" w:space="0" w:color="auto"/>
              <w:bottom w:val="single" w:sz="4" w:space="0" w:color="auto"/>
              <w:right w:val="nil"/>
            </w:tcBorders>
            <w:shd w:val="clear" w:color="000000" w:fill="FFFFFF"/>
            <w:noWrap/>
            <w:hideMark/>
          </w:tcPr>
          <w:p w:rsidR="0058198A" w:rsidRPr="00134FC3" w:rsidRDefault="0058198A" w:rsidP="00B35388">
            <w:pPr>
              <w:spacing w:after="0" w:line="240" w:lineRule="auto"/>
              <w:ind w:firstLine="0"/>
              <w:jc w:val="left"/>
              <w:rPr>
                <w:rFonts w:eastAsia="Times New Roman"/>
                <w:color w:val="000000"/>
                <w:lang w:eastAsia="sk-SK"/>
              </w:rPr>
            </w:pPr>
            <w:r w:rsidRPr="00134FC3">
              <w:rPr>
                <w:rFonts w:eastAsia="Times New Roman"/>
                <w:color w:val="000000"/>
                <w:lang w:eastAsia="sk-SK"/>
              </w:rPr>
              <w:t>Podpora operačných programov OZ (EÚ)</w:t>
            </w:r>
          </w:p>
        </w:tc>
        <w:tc>
          <w:tcPr>
            <w:tcW w:w="1559"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363 566 </w:t>
            </w:r>
          </w:p>
        </w:tc>
        <w:tc>
          <w:tcPr>
            <w:tcW w:w="1701" w:type="dxa"/>
            <w:tcBorders>
              <w:top w:val="single" w:sz="8" w:space="0" w:color="auto"/>
              <w:left w:val="nil"/>
              <w:bottom w:val="single" w:sz="4"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963 791</w:t>
            </w:r>
          </w:p>
        </w:tc>
      </w:tr>
      <w:tr w:rsidR="0058198A" w:rsidRPr="0000771A" w:rsidTr="0058198A">
        <w:trPr>
          <w:trHeight w:val="315"/>
        </w:trPr>
        <w:tc>
          <w:tcPr>
            <w:tcW w:w="5827" w:type="dxa"/>
            <w:tcBorders>
              <w:top w:val="single" w:sz="4" w:space="0" w:color="auto"/>
              <w:left w:val="single" w:sz="8" w:space="0" w:color="auto"/>
              <w:bottom w:val="nil"/>
              <w:right w:val="nil"/>
            </w:tcBorders>
            <w:shd w:val="clear" w:color="000000" w:fill="FFFFFF"/>
            <w:noWrap/>
            <w:hideMark/>
          </w:tcPr>
          <w:p w:rsidR="0058198A" w:rsidRPr="00134FC3" w:rsidRDefault="0058198A" w:rsidP="00B35388">
            <w:pPr>
              <w:spacing w:after="0" w:line="240" w:lineRule="auto"/>
              <w:ind w:firstLine="0"/>
              <w:jc w:val="left"/>
              <w:rPr>
                <w:rFonts w:eastAsia="Times New Roman"/>
                <w:color w:val="000000"/>
                <w:lang w:eastAsia="sk-SK"/>
              </w:rPr>
            </w:pPr>
            <w:r w:rsidRPr="00134FC3">
              <w:rPr>
                <w:rFonts w:eastAsia="Times New Roman"/>
                <w:color w:val="000000"/>
                <w:lang w:eastAsia="sk-SK"/>
              </w:rPr>
              <w:t>Podpora operačných programov OZ (ŠR)</w:t>
            </w:r>
          </w:p>
        </w:tc>
        <w:tc>
          <w:tcPr>
            <w:tcW w:w="1559" w:type="dxa"/>
            <w:tcBorders>
              <w:top w:val="single" w:sz="4" w:space="0" w:color="auto"/>
              <w:left w:val="single" w:sz="8" w:space="0" w:color="auto"/>
              <w:bottom w:val="nil"/>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411 590  </w:t>
            </w:r>
          </w:p>
        </w:tc>
        <w:tc>
          <w:tcPr>
            <w:tcW w:w="1701" w:type="dxa"/>
            <w:tcBorders>
              <w:top w:val="single" w:sz="4" w:space="0" w:color="auto"/>
              <w:left w:val="nil"/>
              <w:bottom w:val="nil"/>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987 778</w:t>
            </w:r>
          </w:p>
        </w:tc>
      </w:tr>
      <w:tr w:rsidR="0058198A" w:rsidRPr="0000771A" w:rsidTr="00DB5F2B">
        <w:trPr>
          <w:trHeight w:val="315"/>
        </w:trPr>
        <w:tc>
          <w:tcPr>
            <w:tcW w:w="5827" w:type="dxa"/>
            <w:tcBorders>
              <w:top w:val="single" w:sz="8" w:space="0" w:color="auto"/>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Školské ovocie (EÚ)</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2 907 972</w:t>
            </w:r>
          </w:p>
        </w:tc>
        <w:tc>
          <w:tcPr>
            <w:tcW w:w="1701" w:type="dxa"/>
            <w:tcBorders>
              <w:top w:val="single" w:sz="8" w:space="0" w:color="auto"/>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2 757 826</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Školské ovocie (ŠR)</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112 544</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567 922</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Školské mlieko (EÚ)</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689 637</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684 078</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Školské mlieko (ŠR)</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1 489 286</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1 473 997</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Podpora včelárom (EÚ)</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549 585</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548 630</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Podpora včelárom (ŠR)</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549 585</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548 630</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Dočasná mimoriadna podpora -mlieko a mliečne výrobky (EÚ)</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2 153 294</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4 634</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Dočasná mimoriadna podpora - bravčové mäso (EÚ)</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299 999</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0</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vAlign w:val="bottom"/>
            <w:hideMark/>
          </w:tcPr>
          <w:p w:rsidR="0058198A" w:rsidRPr="0000771A" w:rsidRDefault="0058198A" w:rsidP="0000771A">
            <w:pPr>
              <w:spacing w:after="0" w:line="240" w:lineRule="auto"/>
              <w:ind w:firstLine="0"/>
              <w:jc w:val="left"/>
              <w:rPr>
                <w:rFonts w:eastAsia="Times New Roman"/>
                <w:b/>
                <w:bCs/>
                <w:color w:val="000000"/>
                <w:sz w:val="22"/>
                <w:szCs w:val="22"/>
                <w:lang w:eastAsia="sk-SK"/>
              </w:rPr>
            </w:pPr>
            <w:r w:rsidRPr="0000771A">
              <w:rPr>
                <w:rFonts w:eastAsia="Times New Roman"/>
                <w:b/>
                <w:bCs/>
                <w:color w:val="000000"/>
                <w:sz w:val="22"/>
                <w:szCs w:val="22"/>
                <w:lang w:eastAsia="sk-SK"/>
              </w:rPr>
              <w:t>SPOLU TOV</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b/>
                <w:bCs/>
                <w:color w:val="000000"/>
                <w:lang w:eastAsia="sk-SK"/>
              </w:rPr>
            </w:pPr>
            <w:r w:rsidRPr="00134FC3">
              <w:rPr>
                <w:rFonts w:eastAsia="Times New Roman"/>
                <w:b/>
                <w:bCs/>
                <w:color w:val="000000"/>
                <w:lang w:eastAsia="sk-SK"/>
              </w:rPr>
              <w:t>13 714 090</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b/>
                <w:bCs/>
                <w:color w:val="000000"/>
                <w:lang w:eastAsia="sk-SK"/>
              </w:rPr>
            </w:pPr>
            <w:r w:rsidRPr="00134FC3">
              <w:rPr>
                <w:rFonts w:eastAsia="Times New Roman"/>
                <w:b/>
                <w:bCs/>
                <w:color w:val="000000"/>
                <w:lang w:eastAsia="sk-SK"/>
              </w:rPr>
              <w:t>11 509 047</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764BF8">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 xml:space="preserve">Dočasná mimoriadna </w:t>
            </w:r>
            <w:r w:rsidR="00764BF8">
              <w:rPr>
                <w:rFonts w:eastAsia="Times New Roman"/>
                <w:color w:val="000000"/>
                <w:sz w:val="22"/>
                <w:szCs w:val="22"/>
                <w:lang w:eastAsia="sk-SK"/>
              </w:rPr>
              <w:t>pomoc</w:t>
            </w:r>
            <w:r w:rsidRPr="0000771A">
              <w:rPr>
                <w:rFonts w:eastAsia="Times New Roman"/>
                <w:color w:val="000000"/>
                <w:sz w:val="22"/>
                <w:szCs w:val="22"/>
                <w:lang w:eastAsia="sk-SK"/>
              </w:rPr>
              <w:t xml:space="preserve"> -mlieko a mliečne výrobky (ŠR)</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2 153 296</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5 146</w:t>
            </w:r>
          </w:p>
        </w:tc>
      </w:tr>
      <w:tr w:rsidR="0058198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58198A" w:rsidRPr="0000771A" w:rsidRDefault="0058198A" w:rsidP="00764BF8">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Dočasná mimoriadna po</w:t>
            </w:r>
            <w:r w:rsidR="00764BF8">
              <w:rPr>
                <w:rFonts w:eastAsia="Times New Roman"/>
                <w:color w:val="000000"/>
                <w:sz w:val="22"/>
                <w:szCs w:val="22"/>
                <w:lang w:eastAsia="sk-SK"/>
              </w:rPr>
              <w:t>moc</w:t>
            </w:r>
            <w:r w:rsidRPr="0000771A">
              <w:rPr>
                <w:rFonts w:eastAsia="Times New Roman"/>
                <w:color w:val="000000"/>
                <w:sz w:val="22"/>
                <w:szCs w:val="22"/>
                <w:lang w:eastAsia="sk-SK"/>
              </w:rPr>
              <w:t xml:space="preserve"> - bravčové mäso (ŠR)</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300 000</w:t>
            </w:r>
          </w:p>
        </w:tc>
        <w:tc>
          <w:tcPr>
            <w:tcW w:w="1701" w:type="dxa"/>
            <w:tcBorders>
              <w:top w:val="nil"/>
              <w:left w:val="nil"/>
              <w:bottom w:val="single" w:sz="8" w:space="0" w:color="auto"/>
              <w:right w:val="single" w:sz="8" w:space="0" w:color="auto"/>
            </w:tcBorders>
            <w:shd w:val="clear" w:color="000000" w:fill="FFFFFF"/>
            <w:vAlign w:val="bottom"/>
            <w:hideMark/>
          </w:tcPr>
          <w:p w:rsidR="0058198A" w:rsidRPr="00134FC3" w:rsidRDefault="0058198A" w:rsidP="00B35388">
            <w:pPr>
              <w:spacing w:after="0" w:line="240" w:lineRule="auto"/>
              <w:ind w:firstLine="0"/>
              <w:jc w:val="right"/>
              <w:rPr>
                <w:rFonts w:eastAsia="Times New Roman"/>
                <w:color w:val="000000"/>
                <w:lang w:eastAsia="sk-SK"/>
              </w:rPr>
            </w:pPr>
            <w:r w:rsidRPr="00134FC3">
              <w:rPr>
                <w:rFonts w:eastAsia="Times New Roman"/>
                <w:color w:val="000000"/>
                <w:lang w:eastAsia="sk-SK"/>
              </w:rPr>
              <w:t>0</w:t>
            </w:r>
          </w:p>
        </w:tc>
      </w:tr>
    </w:tbl>
    <w:p w:rsidR="009B62D1" w:rsidRPr="00F1363E" w:rsidRDefault="009D09FA" w:rsidP="00A8478A">
      <w:pPr>
        <w:spacing w:after="0" w:line="240" w:lineRule="auto"/>
        <w:ind w:firstLine="0"/>
        <w:rPr>
          <w:rStyle w:val="Siln"/>
          <w:b w:val="0"/>
          <w:sz w:val="20"/>
          <w:szCs w:val="20"/>
        </w:rPr>
      </w:pPr>
      <w:r w:rsidRPr="00F1363E">
        <w:rPr>
          <w:rStyle w:val="Siln"/>
          <w:b w:val="0"/>
          <w:sz w:val="20"/>
          <w:szCs w:val="20"/>
        </w:rPr>
        <w:t>Prameň: MPRV SR, PPA</w:t>
      </w:r>
    </w:p>
    <w:p w:rsidR="00CC79E8" w:rsidRDefault="00170F76" w:rsidP="00C86A05">
      <w:pPr>
        <w:spacing w:after="120" w:line="240" w:lineRule="auto"/>
        <w:ind w:firstLine="0"/>
        <w:rPr>
          <w:b/>
        </w:rPr>
      </w:pPr>
      <w:r w:rsidRPr="00F1363E">
        <w:rPr>
          <w:rStyle w:val="Siln"/>
          <w:b w:val="0"/>
          <w:sz w:val="20"/>
          <w:szCs w:val="20"/>
        </w:rPr>
        <w:t xml:space="preserve">Vypracoval: </w:t>
      </w:r>
      <w:r w:rsidR="00CC79E8" w:rsidRPr="00F1363E">
        <w:rPr>
          <w:sz w:val="20"/>
          <w:szCs w:val="20"/>
        </w:rPr>
        <w:t>NPPC - VÚEPP</w:t>
      </w:r>
      <w:r w:rsidR="00CC79E8" w:rsidRPr="00F1363E">
        <w:rPr>
          <w:b/>
        </w:rPr>
        <w:t xml:space="preserve"> </w:t>
      </w:r>
    </w:p>
    <w:p w:rsidR="00912D0E" w:rsidRDefault="00912D0E" w:rsidP="00C86A05">
      <w:pPr>
        <w:spacing w:after="120" w:line="240" w:lineRule="auto"/>
        <w:ind w:firstLine="0"/>
        <w:rPr>
          <w:b/>
        </w:rPr>
      </w:pPr>
    </w:p>
    <w:p w:rsidR="0058198A" w:rsidRPr="008C76D2" w:rsidRDefault="0058198A" w:rsidP="0058198A">
      <w:pPr>
        <w:spacing w:after="0" w:line="240" w:lineRule="auto"/>
        <w:ind w:firstLine="0"/>
        <w:jc w:val="left"/>
        <w:rPr>
          <w:bCs/>
          <w:sz w:val="20"/>
          <w:szCs w:val="20"/>
        </w:rPr>
      </w:pPr>
      <w:r w:rsidRPr="008C76D2">
        <w:rPr>
          <w:b/>
        </w:rPr>
        <w:t>Trhovo</w:t>
      </w:r>
      <w:r>
        <w:rPr>
          <w:b/>
        </w:rPr>
        <w:t xml:space="preserve"> </w:t>
      </w:r>
      <w:r w:rsidRPr="008C76D2">
        <w:rPr>
          <w:b/>
        </w:rPr>
        <w:t>orientované výdavky v rokoch 2011 – 2016</w:t>
      </w:r>
      <w:r>
        <w:rPr>
          <w:b/>
        </w:rPr>
        <w:t xml:space="preserve">, </w:t>
      </w:r>
      <w:r w:rsidRPr="008C76D2">
        <w:rPr>
          <w:b/>
        </w:rPr>
        <w:t xml:space="preserve"> v mil. €</w:t>
      </w:r>
      <w:r>
        <w:rPr>
          <w:b/>
        </w:rPr>
        <w:t xml:space="preserve">                               </w:t>
      </w:r>
      <w:r w:rsidRPr="00F1363E">
        <w:rPr>
          <w:rStyle w:val="Siln"/>
          <w:b w:val="0"/>
        </w:rPr>
        <w:t xml:space="preserve">Tabuľka </w:t>
      </w:r>
      <w:r>
        <w:rPr>
          <w:rStyle w:val="Siln"/>
          <w:b w:val="0"/>
        </w:rPr>
        <w:t>3</w:t>
      </w:r>
    </w:p>
    <w:tbl>
      <w:tblPr>
        <w:tblStyle w:val="Mriekatabuky"/>
        <w:tblW w:w="0" w:type="auto"/>
        <w:tblInd w:w="108" w:type="dxa"/>
        <w:tblLook w:val="04A0" w:firstRow="1" w:lastRow="0" w:firstColumn="1" w:lastColumn="0" w:noHBand="0" w:noVBand="1"/>
      </w:tblPr>
      <w:tblGrid>
        <w:gridCol w:w="1619"/>
        <w:gridCol w:w="1711"/>
        <w:gridCol w:w="1260"/>
        <w:gridCol w:w="990"/>
        <w:gridCol w:w="1710"/>
        <w:gridCol w:w="1800"/>
      </w:tblGrid>
      <w:tr w:rsidR="0058198A" w:rsidTr="0058198A">
        <w:tc>
          <w:tcPr>
            <w:tcW w:w="1619" w:type="dxa"/>
            <w:shd w:val="clear" w:color="auto" w:fill="D6E3BC" w:themeFill="accent3" w:themeFillTint="66"/>
            <w:vAlign w:val="center"/>
          </w:tcPr>
          <w:p w:rsidR="0058198A" w:rsidRPr="0058198A" w:rsidRDefault="0058198A" w:rsidP="0058198A">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Uka</w:t>
            </w:r>
            <w:r>
              <w:rPr>
                <w:rFonts w:eastAsia="Times New Roman"/>
                <w:b/>
                <w:bCs/>
                <w:color w:val="000000"/>
                <w:sz w:val="22"/>
                <w:szCs w:val="22"/>
                <w:lang w:eastAsia="sk-SK"/>
              </w:rPr>
              <w:t>z</w:t>
            </w:r>
            <w:r w:rsidRPr="0058198A">
              <w:rPr>
                <w:rFonts w:eastAsia="Times New Roman"/>
                <w:b/>
                <w:bCs/>
                <w:color w:val="000000"/>
                <w:sz w:val="22"/>
                <w:szCs w:val="22"/>
                <w:lang w:eastAsia="sk-SK"/>
              </w:rPr>
              <w:t>ovateľ</w:t>
            </w:r>
          </w:p>
        </w:tc>
        <w:tc>
          <w:tcPr>
            <w:tcW w:w="1711" w:type="dxa"/>
            <w:shd w:val="clear" w:color="auto" w:fill="D6E3BC" w:themeFill="accent3" w:themeFillTint="66"/>
            <w:vAlign w:val="center"/>
          </w:tcPr>
          <w:p w:rsidR="0058198A" w:rsidRPr="0058198A" w:rsidRDefault="00B35388" w:rsidP="0058198A">
            <w:pPr>
              <w:spacing w:after="0" w:line="240" w:lineRule="auto"/>
              <w:ind w:firstLine="0"/>
              <w:jc w:val="center"/>
              <w:rPr>
                <w:rFonts w:eastAsia="Times New Roman"/>
                <w:b/>
                <w:bCs/>
                <w:color w:val="000000"/>
                <w:sz w:val="22"/>
                <w:szCs w:val="22"/>
                <w:lang w:eastAsia="sk-SK"/>
              </w:rPr>
            </w:pPr>
            <w:r w:rsidRPr="004B7DE3">
              <w:rPr>
                <w:rFonts w:eastAsia="Times New Roman"/>
                <w:color w:val="000000"/>
                <w:sz w:val="22"/>
                <w:szCs w:val="22"/>
                <w:lang w:eastAsia="sk-SK"/>
              </w:rPr>
              <w:t>Ø</w:t>
            </w:r>
            <w:r w:rsidRPr="0058198A">
              <w:rPr>
                <w:rFonts w:eastAsia="Times New Roman"/>
                <w:b/>
                <w:bCs/>
                <w:color w:val="000000"/>
                <w:sz w:val="22"/>
                <w:szCs w:val="22"/>
                <w:lang w:eastAsia="sk-SK"/>
              </w:rPr>
              <w:t xml:space="preserve"> </w:t>
            </w:r>
            <w:r w:rsidR="0058198A" w:rsidRPr="0058198A">
              <w:rPr>
                <w:rFonts w:eastAsia="Times New Roman"/>
                <w:b/>
                <w:bCs/>
                <w:color w:val="000000"/>
                <w:sz w:val="22"/>
                <w:szCs w:val="22"/>
                <w:lang w:eastAsia="sk-SK"/>
              </w:rPr>
              <w:t>2011-201</w:t>
            </w:r>
            <w:r w:rsidR="0058198A">
              <w:rPr>
                <w:rFonts w:eastAsia="Times New Roman"/>
                <w:b/>
                <w:bCs/>
                <w:color w:val="000000"/>
                <w:sz w:val="22"/>
                <w:szCs w:val="22"/>
                <w:lang w:eastAsia="sk-SK"/>
              </w:rPr>
              <w:t>5</w:t>
            </w:r>
          </w:p>
        </w:tc>
        <w:tc>
          <w:tcPr>
            <w:tcW w:w="1260" w:type="dxa"/>
            <w:shd w:val="clear" w:color="auto" w:fill="D6E3BC" w:themeFill="accent3" w:themeFillTint="66"/>
            <w:vAlign w:val="center"/>
          </w:tcPr>
          <w:p w:rsidR="0058198A" w:rsidRPr="0058198A" w:rsidRDefault="0058198A" w:rsidP="0058198A">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2015</w:t>
            </w:r>
          </w:p>
        </w:tc>
        <w:tc>
          <w:tcPr>
            <w:tcW w:w="990" w:type="dxa"/>
            <w:shd w:val="clear" w:color="auto" w:fill="D6E3BC" w:themeFill="accent3" w:themeFillTint="66"/>
            <w:vAlign w:val="center"/>
          </w:tcPr>
          <w:p w:rsidR="0058198A" w:rsidRPr="0058198A" w:rsidRDefault="0058198A" w:rsidP="0058198A">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w:t>
            </w:r>
            <w:r>
              <w:rPr>
                <w:rFonts w:eastAsia="Times New Roman"/>
                <w:b/>
                <w:bCs/>
                <w:color w:val="000000"/>
                <w:sz w:val="22"/>
                <w:szCs w:val="22"/>
                <w:lang w:eastAsia="sk-SK"/>
              </w:rPr>
              <w:t>6</w:t>
            </w:r>
          </w:p>
        </w:tc>
        <w:tc>
          <w:tcPr>
            <w:tcW w:w="1710" w:type="dxa"/>
            <w:shd w:val="clear" w:color="auto" w:fill="D6E3BC" w:themeFill="accent3" w:themeFillTint="66"/>
            <w:vAlign w:val="center"/>
          </w:tcPr>
          <w:p w:rsidR="0058198A" w:rsidRPr="0058198A" w:rsidRDefault="0058198A" w:rsidP="0058198A">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2016/15</w:t>
            </w:r>
          </w:p>
        </w:tc>
        <w:tc>
          <w:tcPr>
            <w:tcW w:w="1800" w:type="dxa"/>
            <w:shd w:val="clear" w:color="auto" w:fill="D6E3BC" w:themeFill="accent3" w:themeFillTint="66"/>
            <w:vAlign w:val="center"/>
          </w:tcPr>
          <w:p w:rsidR="0058198A" w:rsidRPr="0058198A" w:rsidRDefault="0058198A" w:rsidP="0058198A">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w:t>
            </w:r>
            <w:r w:rsidR="00B35388" w:rsidRPr="004B7DE3">
              <w:rPr>
                <w:rFonts w:eastAsia="Times New Roman"/>
                <w:color w:val="000000"/>
                <w:sz w:val="22"/>
                <w:szCs w:val="22"/>
                <w:lang w:eastAsia="sk-SK"/>
              </w:rPr>
              <w:t xml:space="preserve"> Ø</w:t>
            </w:r>
            <w:r w:rsidR="00B35388" w:rsidRPr="0058198A">
              <w:rPr>
                <w:rFonts w:eastAsia="Times New Roman"/>
                <w:b/>
                <w:bCs/>
                <w:color w:val="000000"/>
                <w:sz w:val="22"/>
                <w:szCs w:val="22"/>
                <w:lang w:eastAsia="sk-SK"/>
              </w:rPr>
              <w:t xml:space="preserve"> </w:t>
            </w:r>
            <w:r w:rsidRPr="0058198A">
              <w:rPr>
                <w:rFonts w:eastAsia="Times New Roman"/>
                <w:b/>
                <w:bCs/>
                <w:color w:val="000000"/>
                <w:sz w:val="22"/>
                <w:szCs w:val="22"/>
                <w:lang w:eastAsia="sk-SK"/>
              </w:rPr>
              <w:t>2011-2015</w:t>
            </w:r>
          </w:p>
        </w:tc>
      </w:tr>
      <w:tr w:rsidR="0058198A" w:rsidTr="00484D35">
        <w:tc>
          <w:tcPr>
            <w:tcW w:w="1619" w:type="dxa"/>
          </w:tcPr>
          <w:p w:rsidR="0058198A" w:rsidRDefault="0058198A" w:rsidP="008C05EC">
            <w:pPr>
              <w:spacing w:line="300" w:lineRule="exact"/>
              <w:ind w:firstLine="0"/>
            </w:pPr>
            <w:r>
              <w:t>TOV</w:t>
            </w:r>
          </w:p>
        </w:tc>
        <w:tc>
          <w:tcPr>
            <w:tcW w:w="1711" w:type="dxa"/>
            <w:vAlign w:val="center"/>
          </w:tcPr>
          <w:p w:rsidR="0058198A" w:rsidRPr="00F02F78" w:rsidRDefault="0058198A" w:rsidP="00484D35">
            <w:pPr>
              <w:spacing w:after="0" w:line="240" w:lineRule="auto"/>
              <w:ind w:firstLine="0"/>
              <w:jc w:val="right"/>
              <w:rPr>
                <w:rFonts w:eastAsia="Times New Roman"/>
                <w:color w:val="000000"/>
                <w:sz w:val="22"/>
                <w:szCs w:val="22"/>
                <w:lang w:eastAsia="sk-SK"/>
              </w:rPr>
            </w:pPr>
            <w:r w:rsidRPr="00F02F78">
              <w:rPr>
                <w:rFonts w:eastAsia="Times New Roman"/>
                <w:color w:val="000000"/>
                <w:sz w:val="22"/>
                <w:szCs w:val="22"/>
                <w:lang w:eastAsia="sk-SK"/>
              </w:rPr>
              <w:t>11,6</w:t>
            </w:r>
          </w:p>
        </w:tc>
        <w:tc>
          <w:tcPr>
            <w:tcW w:w="1260" w:type="dxa"/>
            <w:vAlign w:val="center"/>
          </w:tcPr>
          <w:p w:rsidR="0058198A" w:rsidRPr="00F02F78" w:rsidRDefault="0058198A" w:rsidP="00484D35">
            <w:pPr>
              <w:spacing w:after="0" w:line="240" w:lineRule="auto"/>
              <w:ind w:firstLine="0"/>
              <w:jc w:val="right"/>
              <w:rPr>
                <w:rFonts w:eastAsia="Times New Roman"/>
                <w:color w:val="000000"/>
                <w:sz w:val="22"/>
                <w:szCs w:val="22"/>
                <w:lang w:eastAsia="sk-SK"/>
              </w:rPr>
            </w:pPr>
            <w:r w:rsidRPr="00F02F78">
              <w:rPr>
                <w:rFonts w:eastAsia="Times New Roman"/>
                <w:color w:val="000000"/>
                <w:sz w:val="22"/>
                <w:szCs w:val="22"/>
                <w:lang w:eastAsia="sk-SK"/>
              </w:rPr>
              <w:t>13,7</w:t>
            </w:r>
          </w:p>
        </w:tc>
        <w:tc>
          <w:tcPr>
            <w:tcW w:w="990" w:type="dxa"/>
            <w:vAlign w:val="center"/>
          </w:tcPr>
          <w:p w:rsidR="0058198A" w:rsidRPr="00F02F78" w:rsidRDefault="0058198A" w:rsidP="00484D35">
            <w:pPr>
              <w:spacing w:after="0" w:line="240" w:lineRule="auto"/>
              <w:ind w:firstLine="0"/>
              <w:jc w:val="right"/>
              <w:rPr>
                <w:rFonts w:eastAsia="Times New Roman"/>
                <w:color w:val="000000"/>
                <w:sz w:val="22"/>
                <w:szCs w:val="22"/>
                <w:lang w:eastAsia="sk-SK"/>
              </w:rPr>
            </w:pPr>
            <w:r w:rsidRPr="00F02F78">
              <w:rPr>
                <w:rFonts w:eastAsia="Times New Roman"/>
                <w:color w:val="000000"/>
                <w:sz w:val="22"/>
                <w:szCs w:val="22"/>
                <w:lang w:eastAsia="sk-SK"/>
              </w:rPr>
              <w:t>11,5</w:t>
            </w:r>
          </w:p>
        </w:tc>
        <w:tc>
          <w:tcPr>
            <w:tcW w:w="1710" w:type="dxa"/>
            <w:vAlign w:val="center"/>
          </w:tcPr>
          <w:p w:rsidR="0058198A" w:rsidRPr="00F02F78" w:rsidRDefault="0058198A" w:rsidP="00484D35">
            <w:pPr>
              <w:spacing w:after="0" w:line="240" w:lineRule="auto"/>
              <w:ind w:firstLine="0"/>
              <w:jc w:val="right"/>
              <w:rPr>
                <w:rFonts w:eastAsia="Times New Roman"/>
                <w:color w:val="000000"/>
                <w:sz w:val="22"/>
                <w:szCs w:val="22"/>
                <w:lang w:eastAsia="sk-SK"/>
              </w:rPr>
            </w:pPr>
            <w:r w:rsidRPr="00F02F78">
              <w:rPr>
                <w:rFonts w:eastAsia="Times New Roman"/>
                <w:color w:val="000000"/>
                <w:sz w:val="22"/>
                <w:szCs w:val="22"/>
                <w:lang w:eastAsia="sk-SK"/>
              </w:rPr>
              <w:t>84,0</w:t>
            </w:r>
          </w:p>
        </w:tc>
        <w:tc>
          <w:tcPr>
            <w:tcW w:w="1800" w:type="dxa"/>
            <w:vAlign w:val="center"/>
          </w:tcPr>
          <w:p w:rsidR="0058198A" w:rsidRPr="00F02F78" w:rsidRDefault="0058198A" w:rsidP="00484D35">
            <w:pPr>
              <w:spacing w:after="0" w:line="240" w:lineRule="auto"/>
              <w:ind w:firstLine="0"/>
              <w:jc w:val="right"/>
              <w:rPr>
                <w:rFonts w:eastAsia="Times New Roman"/>
                <w:color w:val="000000"/>
                <w:sz w:val="22"/>
                <w:szCs w:val="22"/>
                <w:lang w:eastAsia="sk-SK"/>
              </w:rPr>
            </w:pPr>
            <w:r w:rsidRPr="00F02F78">
              <w:rPr>
                <w:rFonts w:eastAsia="Times New Roman"/>
                <w:color w:val="000000"/>
                <w:sz w:val="22"/>
                <w:szCs w:val="22"/>
                <w:lang w:eastAsia="sk-SK"/>
              </w:rPr>
              <w:t>99,1</w:t>
            </w:r>
          </w:p>
        </w:tc>
      </w:tr>
    </w:tbl>
    <w:p w:rsidR="0058198A" w:rsidRPr="00F1363E" w:rsidRDefault="0058198A" w:rsidP="0058198A">
      <w:pPr>
        <w:spacing w:after="0" w:line="240" w:lineRule="auto"/>
        <w:ind w:firstLine="0"/>
        <w:rPr>
          <w:rStyle w:val="Siln"/>
          <w:b w:val="0"/>
          <w:sz w:val="20"/>
          <w:szCs w:val="20"/>
        </w:rPr>
      </w:pPr>
      <w:r w:rsidRPr="00F1363E">
        <w:rPr>
          <w:rStyle w:val="Siln"/>
          <w:b w:val="0"/>
          <w:sz w:val="20"/>
          <w:szCs w:val="20"/>
        </w:rPr>
        <w:t>Prameň: MPRV SR, PPA</w:t>
      </w:r>
    </w:p>
    <w:p w:rsidR="0058198A" w:rsidRPr="00F1363E" w:rsidRDefault="0058198A" w:rsidP="0058198A">
      <w:pPr>
        <w:spacing w:after="120" w:line="240" w:lineRule="auto"/>
        <w:ind w:firstLine="0"/>
        <w:rPr>
          <w:b/>
        </w:rPr>
      </w:pPr>
      <w:r w:rsidRPr="00F1363E">
        <w:rPr>
          <w:rStyle w:val="Siln"/>
          <w:b w:val="0"/>
          <w:sz w:val="20"/>
          <w:szCs w:val="20"/>
        </w:rPr>
        <w:t xml:space="preserve">Vypracoval: </w:t>
      </w:r>
      <w:r w:rsidRPr="00F1363E">
        <w:rPr>
          <w:sz w:val="20"/>
          <w:szCs w:val="20"/>
        </w:rPr>
        <w:t>NPPC - VÚEPP</w:t>
      </w:r>
      <w:r w:rsidRPr="00F1363E">
        <w:rPr>
          <w:b/>
        </w:rPr>
        <w:t xml:space="preserve"> </w:t>
      </w:r>
    </w:p>
    <w:p w:rsidR="0058198A" w:rsidRDefault="0058198A" w:rsidP="00A07EC8">
      <w:r w:rsidRPr="00D220B4">
        <w:t xml:space="preserve">Čerpanie trhovo orientovaných výdavkov (TOV) reaguje na meniacu sa situáciu na trhu s agropotravinárskymi komoditami, závisí od počtu žiadostí podľa jednotlivých opatrení </w:t>
      </w:r>
      <w:r w:rsidRPr="00D220B4">
        <w:lastRenderedPageBreak/>
        <w:t>ako aj od realizácie týchto opatrení. Pri niektorých opatreniach (napr. program stabilizácie a rozvoja včelárstva, podpora na národný podporný program pre vinohrady, podpora propagácie poľnohospodárskych a potravinárskych výrobkov, školské ovocie) sú zo strany EK na jednotlivé roky stanovené limity.</w:t>
      </w:r>
    </w:p>
    <w:p w:rsidR="0058198A" w:rsidRDefault="0058198A" w:rsidP="00A07EC8">
      <w:r>
        <w:t xml:space="preserve">Skutočné čerpanie prostriedkov v roku 2016 na TOV bolo vo výške 11 509 047 €, z toho prostriedkov EU 7 930 721 € a spolufinancovanie zo </w:t>
      </w:r>
      <w:r w:rsidR="007D0399">
        <w:t>Š</w:t>
      </w:r>
      <w:r>
        <w:t>R vo výške 3 578 327 €.</w:t>
      </w:r>
    </w:p>
    <w:p w:rsidR="000E33E2" w:rsidRPr="00D220B4" w:rsidRDefault="000E33E2" w:rsidP="008C05EC">
      <w:pPr>
        <w:spacing w:line="300" w:lineRule="exact"/>
      </w:pPr>
    </w:p>
    <w:p w:rsidR="000A0B0E" w:rsidRDefault="000A0B0E" w:rsidP="008C05EC">
      <w:pPr>
        <w:pStyle w:val="Nadpis2"/>
        <w:spacing w:before="0" w:after="60" w:line="300" w:lineRule="exact"/>
        <w:ind w:left="284" w:hanging="284"/>
      </w:pPr>
      <w:bookmarkStart w:id="4" w:name="_Toc483395308"/>
      <w:r w:rsidRPr="00CB30FB">
        <w:t>Priame platby</w:t>
      </w:r>
      <w:bookmarkEnd w:id="4"/>
    </w:p>
    <w:p w:rsidR="006A34F5" w:rsidRPr="00A17B73" w:rsidRDefault="00CB0E59" w:rsidP="006A34F5">
      <w:pPr>
        <w:spacing w:line="300" w:lineRule="exact"/>
        <w:ind w:firstLine="142"/>
      </w:pPr>
      <w:r>
        <w:tab/>
      </w:r>
      <w:r w:rsidR="006A34F5" w:rsidRPr="00A17B73">
        <w:t>Priame platby tvoria dôležitú súčasť výdavkov EÚ do poľnohospodárstva a</w:t>
      </w:r>
      <w:r w:rsidR="00A07EC8">
        <w:t> </w:t>
      </w:r>
      <w:r w:rsidR="006A34F5" w:rsidRPr="00A17B73">
        <w:t xml:space="preserve">predstavujú priamu podporu príjmu poľnohospodárov podľa </w:t>
      </w:r>
      <w:r w:rsidR="006A34F5">
        <w:t>vopred</w:t>
      </w:r>
      <w:r w:rsidR="006A34F5" w:rsidRPr="00A17B73">
        <w:t xml:space="preserve"> stanovených podmienok</w:t>
      </w:r>
      <w:r w:rsidR="006A34F5">
        <w:t xml:space="preserve"> oprávnenosti</w:t>
      </w:r>
      <w:r w:rsidR="006A34F5" w:rsidRPr="00A17B73">
        <w:t>. </w:t>
      </w:r>
    </w:p>
    <w:p w:rsidR="006A34F5" w:rsidRPr="00A17B73" w:rsidRDefault="00523710" w:rsidP="006A34F5">
      <w:pPr>
        <w:spacing w:line="300" w:lineRule="exact"/>
        <w:ind w:firstLine="142"/>
      </w:pPr>
      <w:r>
        <w:tab/>
      </w:r>
      <w:r w:rsidR="006A34F5" w:rsidRPr="00A17B73">
        <w:t xml:space="preserve">Realizujú sa formou bežných transferov subjektom priamo hospodáriacim na pôde. </w:t>
      </w:r>
      <w:r w:rsidR="006A34F5">
        <w:t>Vnútroštátne stropy</w:t>
      </w:r>
      <w:r w:rsidR="006A34F5" w:rsidRPr="00A17B73">
        <w:t xml:space="preserve"> priamych platieb pre obdobie rokov 2015 až 2020 sú stanovené nariadením EP a Rady (EÚ) č. 1307/2013 v znení delegovaného nariadenia Komisie (EÚ) č.</w:t>
      </w:r>
      <w:r w:rsidR="00A07EC8">
        <w:t> </w:t>
      </w:r>
      <w:r w:rsidR="006A34F5" w:rsidRPr="00A17B73">
        <w:t>994/2014 z 13.mája 2014</w:t>
      </w:r>
      <w:r w:rsidR="006A34F5">
        <w:t xml:space="preserve"> a delegovaného nariadenia Komisie (EÚ) č. </w:t>
      </w:r>
      <w:r w:rsidR="006A34F5" w:rsidRPr="00B01F3A">
        <w:t>1378/2014 zo</w:t>
      </w:r>
      <w:r w:rsidR="00A07EC8">
        <w:t> </w:t>
      </w:r>
      <w:r w:rsidR="006A34F5" w:rsidRPr="00B01F3A">
        <w:t>17.</w:t>
      </w:r>
      <w:r w:rsidR="00A07EC8">
        <w:t> </w:t>
      </w:r>
      <w:r w:rsidR="00A07EC8" w:rsidRPr="00B01F3A">
        <w:t>O</w:t>
      </w:r>
      <w:r w:rsidR="006A34F5" w:rsidRPr="00B01F3A">
        <w:t>któbra</w:t>
      </w:r>
      <w:r w:rsidR="00A07EC8">
        <w:t xml:space="preserve"> </w:t>
      </w:r>
      <w:r w:rsidR="006A34F5" w:rsidRPr="00B01F3A">
        <w:t>2014</w:t>
      </w:r>
      <w:r w:rsidR="006A34F5" w:rsidRPr="00A17B73">
        <w:t>. Rozpočtové stropy pre rok 2016 boli stanovené vykonávacím nariadením Komisie (EÚ) 2016/699 z 10. mája 2016. Ročný finančný rámec pre rok 2016 bol schválený v </w:t>
      </w:r>
      <w:r w:rsidR="006A34F5" w:rsidRPr="00593C7E">
        <w:t xml:space="preserve">objeme </w:t>
      </w:r>
      <w:r w:rsidR="00593C7E" w:rsidRPr="00593C7E">
        <w:t>460</w:t>
      </w:r>
      <w:r w:rsidR="006A34F5" w:rsidRPr="00593C7E">
        <w:t> </w:t>
      </w:r>
      <w:r w:rsidR="00593C7E" w:rsidRPr="00593C7E">
        <w:t>535</w:t>
      </w:r>
      <w:r w:rsidR="006A34F5" w:rsidRPr="00593C7E">
        <w:t> </w:t>
      </w:r>
      <w:r w:rsidR="00593C7E" w:rsidRPr="00593C7E">
        <w:t>985</w:t>
      </w:r>
      <w:r w:rsidR="006A34F5" w:rsidRPr="00593C7E">
        <w:t xml:space="preserve"> €</w:t>
      </w:r>
      <w:r w:rsidR="00593C7E">
        <w:t>.</w:t>
      </w:r>
      <w:r w:rsidR="006A34F5">
        <w:t xml:space="preserve"> </w:t>
      </w:r>
    </w:p>
    <w:p w:rsidR="006A34F5" w:rsidRPr="00A17B73" w:rsidRDefault="006A34F5" w:rsidP="006A34F5">
      <w:pPr>
        <w:autoSpaceDE w:val="0"/>
        <w:autoSpaceDN w:val="0"/>
        <w:adjustRightInd w:val="0"/>
      </w:pPr>
      <w:r w:rsidRPr="00A17B73">
        <w:t xml:space="preserve">Systém priamych platieb plynie z princípu odviazania platieb od produkcie, pričom platby sú vyplácané na hektár výmery poľnohospodárskej plochy žiadateľa. Platby </w:t>
      </w:r>
      <w:r>
        <w:t xml:space="preserve">sú </w:t>
      </w:r>
      <w:r w:rsidRPr="00A17B73">
        <w:t>nárokovateľné, t. j. ak o ne poľnohospodár požiada a splní podmienky pre ich priznanie, platby musia byť poskytnuté. Zároveň sa umožňuje zaviesť viacero podporných režimov viazaných k aktuálnemu roku podania žiadosti a reálnej produkcii jednotiek žiadateľa.</w:t>
      </w:r>
    </w:p>
    <w:p w:rsidR="006A34F5" w:rsidRDefault="006A34F5" w:rsidP="006A34F5">
      <w:pPr>
        <w:autoSpaceDE w:val="0"/>
        <w:autoSpaceDN w:val="0"/>
        <w:adjustRightInd w:val="0"/>
        <w:spacing w:after="0"/>
        <w:ind w:firstLine="0"/>
      </w:pPr>
      <w:r>
        <w:t>N</w:t>
      </w:r>
      <w:r w:rsidRPr="00A17B73">
        <w:t>a základe podania žiadosti v roku 2015</w:t>
      </w:r>
      <w:r>
        <w:t xml:space="preserve"> a 2016</w:t>
      </w:r>
      <w:r w:rsidRPr="00A17B73">
        <w:t xml:space="preserve"> boli vyplácané </w:t>
      </w:r>
      <w:r>
        <w:t>nasledovné priame platby</w:t>
      </w:r>
      <w:r w:rsidRPr="00A17B73">
        <w:t>:</w:t>
      </w:r>
    </w:p>
    <w:p w:rsidR="006A34F5" w:rsidRPr="00A17B73" w:rsidRDefault="006A34F5" w:rsidP="006A34F5">
      <w:pPr>
        <w:autoSpaceDE w:val="0"/>
        <w:autoSpaceDN w:val="0"/>
        <w:adjustRightInd w:val="0"/>
        <w:ind w:firstLine="0"/>
      </w:pPr>
    </w:p>
    <w:p w:rsidR="006A34F5" w:rsidRPr="00A17B73" w:rsidRDefault="006A34F5" w:rsidP="006A34F5">
      <w:pPr>
        <w:spacing w:after="0"/>
        <w:contextualSpacing/>
      </w:pPr>
      <w:r w:rsidRPr="00A17B73">
        <w:rPr>
          <w:i/>
        </w:rPr>
        <w:t>•</w:t>
      </w:r>
      <w:r>
        <w:rPr>
          <w:i/>
        </w:rPr>
        <w:t xml:space="preserve"> </w:t>
      </w:r>
      <w:r w:rsidRPr="00A17B73">
        <w:t>Jednotná platba na plochu</w:t>
      </w:r>
      <w:r>
        <w:t xml:space="preserve"> (SAPS)</w:t>
      </w:r>
      <w:r w:rsidRPr="00A17B73">
        <w:t xml:space="preserve"> – </w:t>
      </w:r>
      <w:r>
        <w:t xml:space="preserve">prechodný </w:t>
      </w:r>
      <w:r w:rsidRPr="00A17B73">
        <w:t xml:space="preserve">zjednodušený režim základnej platby </w:t>
      </w:r>
    </w:p>
    <w:p w:rsidR="006A34F5" w:rsidRPr="00A17B73" w:rsidRDefault="006A34F5" w:rsidP="00976535">
      <w:pPr>
        <w:spacing w:after="0"/>
        <w:ind w:left="720" w:hanging="11"/>
        <w:contextualSpacing/>
      </w:pPr>
      <w:r w:rsidRPr="00A17B73">
        <w:rPr>
          <w:i/>
        </w:rPr>
        <w:t>•</w:t>
      </w:r>
      <w:r>
        <w:rPr>
          <w:i/>
        </w:rPr>
        <w:t xml:space="preserve"> </w:t>
      </w:r>
      <w:r w:rsidRPr="00A17B73">
        <w:t>Platba na poľnohospodárske postupy prospešné pre klímu a životné prostredie</w:t>
      </w:r>
      <w:r>
        <w:t xml:space="preserve"> (greening)</w:t>
      </w:r>
    </w:p>
    <w:p w:rsidR="006A34F5" w:rsidRPr="00A17B73" w:rsidRDefault="006A34F5" w:rsidP="006A34F5">
      <w:pPr>
        <w:spacing w:after="0"/>
        <w:contextualSpacing/>
      </w:pPr>
      <w:r w:rsidRPr="00A17B73">
        <w:rPr>
          <w:i/>
        </w:rPr>
        <w:t>•</w:t>
      </w:r>
      <w:r>
        <w:rPr>
          <w:i/>
        </w:rPr>
        <w:t xml:space="preserve"> </w:t>
      </w:r>
      <w:r w:rsidRPr="00A17B73">
        <w:t>Platba pre mladých poľnohospodárov</w:t>
      </w:r>
    </w:p>
    <w:p w:rsidR="006A34F5" w:rsidRPr="00A17B73" w:rsidRDefault="006A34F5" w:rsidP="006A34F5">
      <w:pPr>
        <w:spacing w:after="0"/>
        <w:contextualSpacing/>
      </w:pPr>
      <w:r w:rsidRPr="00A17B73">
        <w:rPr>
          <w:i/>
        </w:rPr>
        <w:t>•</w:t>
      </w:r>
      <w:r>
        <w:rPr>
          <w:i/>
        </w:rPr>
        <w:t xml:space="preserve"> </w:t>
      </w:r>
      <w:r w:rsidRPr="00A17B73">
        <w:t>Viazané priame platby</w:t>
      </w:r>
    </w:p>
    <w:p w:rsidR="006A34F5" w:rsidRDefault="006A34F5" w:rsidP="006A34F5">
      <w:pPr>
        <w:autoSpaceDE w:val="0"/>
        <w:autoSpaceDN w:val="0"/>
        <w:adjustRightInd w:val="0"/>
        <w:ind w:firstLine="0"/>
      </w:pPr>
    </w:p>
    <w:p w:rsidR="006A34F5" w:rsidRPr="00A17B73" w:rsidRDefault="00523710" w:rsidP="006A34F5">
      <w:pPr>
        <w:autoSpaceDE w:val="0"/>
        <w:autoSpaceDN w:val="0"/>
        <w:adjustRightInd w:val="0"/>
        <w:ind w:firstLine="0"/>
      </w:pPr>
      <w:r>
        <w:tab/>
      </w:r>
      <w:r w:rsidR="006A34F5" w:rsidRPr="00A17B73">
        <w:t>Poskytovanie uvedených platieb upravuje nariadenie vlády SR č. 342/2014 Z. z., ktorým sa ustanovujú pravidlá poskytovania podpory v poľnohospodárstve v súvislosti so schémami oddelených priamych platieb v znení neskorších predpisov</w:t>
      </w:r>
      <w:r w:rsidR="006A34F5">
        <w:t xml:space="preserve"> a </w:t>
      </w:r>
      <w:r w:rsidR="006A34F5" w:rsidRPr="00A17B73">
        <w:t>nariadenie vlády SR č. 36/2015 Z. z., ktorým sa ustanovujú pravidlá poskytovania podpory v</w:t>
      </w:r>
      <w:r>
        <w:t> </w:t>
      </w:r>
      <w:r w:rsidR="006A34F5" w:rsidRPr="00A17B73">
        <w:t>poľnohospodárstve v súvislosti so schémami viazaných priamych platieb v</w:t>
      </w:r>
      <w:r w:rsidR="006A34F5">
        <w:t> </w:t>
      </w:r>
      <w:r w:rsidR="006A34F5" w:rsidRPr="00A17B73">
        <w:t>znení</w:t>
      </w:r>
      <w:r w:rsidR="006A34F5">
        <w:t xml:space="preserve"> neskorších predpisov</w:t>
      </w:r>
      <w:r w:rsidR="006A34F5" w:rsidRPr="00A17B73">
        <w:t>.</w:t>
      </w:r>
    </w:p>
    <w:p w:rsidR="006A34F5" w:rsidRPr="00A17B73" w:rsidRDefault="006A34F5" w:rsidP="00523710">
      <w:pPr>
        <w:autoSpaceDE w:val="0"/>
        <w:autoSpaceDN w:val="0"/>
        <w:adjustRightInd w:val="0"/>
        <w:spacing w:line="300" w:lineRule="exact"/>
        <w:ind w:firstLine="0"/>
        <w:rPr>
          <w:b/>
        </w:rPr>
      </w:pPr>
      <w:r w:rsidRPr="00A17B73">
        <w:rPr>
          <w:b/>
        </w:rPr>
        <w:t>Viazané priame platby:</w:t>
      </w:r>
    </w:p>
    <w:p w:rsidR="006A34F5" w:rsidRPr="00A17B73" w:rsidRDefault="006A34F5" w:rsidP="00523710">
      <w:pPr>
        <w:autoSpaceDE w:val="0"/>
        <w:autoSpaceDN w:val="0"/>
        <w:adjustRightInd w:val="0"/>
        <w:spacing w:line="300" w:lineRule="exact"/>
        <w:ind w:firstLine="0"/>
        <w:rPr>
          <w:i/>
        </w:rPr>
      </w:pPr>
      <w:r w:rsidRPr="00A17B73">
        <w:t xml:space="preserve">• </w:t>
      </w:r>
      <w:r w:rsidRPr="00A17B73">
        <w:rPr>
          <w:i/>
        </w:rPr>
        <w:t>Platba na pestovanie cukrovej repy</w:t>
      </w:r>
    </w:p>
    <w:p w:rsidR="006A34F5" w:rsidRPr="00A17B73" w:rsidRDefault="006A34F5" w:rsidP="00523710">
      <w:pPr>
        <w:autoSpaceDE w:val="0"/>
        <w:autoSpaceDN w:val="0"/>
        <w:adjustRightInd w:val="0"/>
        <w:spacing w:line="300" w:lineRule="exact"/>
        <w:ind w:firstLine="0"/>
        <w:rPr>
          <w:i/>
        </w:rPr>
      </w:pPr>
      <w:r w:rsidRPr="00A17B73">
        <w:rPr>
          <w:i/>
        </w:rPr>
        <w:t>• Platba na pestovanie chmeľu</w:t>
      </w:r>
    </w:p>
    <w:p w:rsidR="006A34F5" w:rsidRPr="00A17B73" w:rsidRDefault="006A34F5" w:rsidP="00523710">
      <w:pPr>
        <w:autoSpaceDE w:val="0"/>
        <w:autoSpaceDN w:val="0"/>
        <w:adjustRightInd w:val="0"/>
        <w:spacing w:line="300" w:lineRule="exact"/>
        <w:ind w:firstLine="0"/>
        <w:rPr>
          <w:i/>
        </w:rPr>
      </w:pPr>
      <w:r w:rsidRPr="00A17B73">
        <w:rPr>
          <w:i/>
        </w:rPr>
        <w:t>• Platba na pestovanie vybraných druhov ovocia s vysokou prácnosťou</w:t>
      </w:r>
    </w:p>
    <w:p w:rsidR="006A34F5" w:rsidRPr="00A17B73" w:rsidRDefault="006A34F5" w:rsidP="00523710">
      <w:pPr>
        <w:autoSpaceDE w:val="0"/>
        <w:autoSpaceDN w:val="0"/>
        <w:adjustRightInd w:val="0"/>
        <w:spacing w:line="300" w:lineRule="exact"/>
        <w:ind w:firstLine="0"/>
        <w:rPr>
          <w:i/>
        </w:rPr>
      </w:pPr>
      <w:r w:rsidRPr="00A17B73">
        <w:rPr>
          <w:i/>
        </w:rPr>
        <w:t>• Platba na pestovanie vybraných druhov ovocia s veľmi vysokou prácnosťou</w:t>
      </w:r>
    </w:p>
    <w:p w:rsidR="006A34F5" w:rsidRPr="00A17B73" w:rsidRDefault="006A34F5" w:rsidP="00523710">
      <w:pPr>
        <w:autoSpaceDE w:val="0"/>
        <w:autoSpaceDN w:val="0"/>
        <w:adjustRightInd w:val="0"/>
        <w:spacing w:line="300" w:lineRule="exact"/>
        <w:ind w:firstLine="0"/>
        <w:rPr>
          <w:i/>
        </w:rPr>
      </w:pPr>
      <w:r w:rsidRPr="00A17B73">
        <w:rPr>
          <w:i/>
        </w:rPr>
        <w:lastRenderedPageBreak/>
        <w:t>• Platba na pestovanie vybraných druhov zeleniny s vysokou prácnosťou</w:t>
      </w:r>
    </w:p>
    <w:p w:rsidR="006A34F5" w:rsidRPr="00A17B73" w:rsidRDefault="006A34F5" w:rsidP="00523710">
      <w:pPr>
        <w:autoSpaceDE w:val="0"/>
        <w:autoSpaceDN w:val="0"/>
        <w:adjustRightInd w:val="0"/>
        <w:spacing w:line="300" w:lineRule="exact"/>
        <w:ind w:firstLine="0"/>
        <w:rPr>
          <w:i/>
        </w:rPr>
      </w:pPr>
      <w:r w:rsidRPr="00A17B73">
        <w:rPr>
          <w:i/>
        </w:rPr>
        <w:t>• Platba na pestovanie vybraných druhov zeleniny s veľmi vysokou prácnosťou</w:t>
      </w:r>
    </w:p>
    <w:p w:rsidR="006A34F5" w:rsidRPr="00A17B73" w:rsidRDefault="006A34F5" w:rsidP="00523710">
      <w:pPr>
        <w:autoSpaceDE w:val="0"/>
        <w:autoSpaceDN w:val="0"/>
        <w:adjustRightInd w:val="0"/>
        <w:spacing w:line="300" w:lineRule="exact"/>
        <w:ind w:firstLine="0"/>
        <w:rPr>
          <w:i/>
        </w:rPr>
      </w:pPr>
      <w:r w:rsidRPr="00A17B73">
        <w:rPr>
          <w:i/>
        </w:rPr>
        <w:t>• Platba na pestovanie rajčiakov</w:t>
      </w:r>
    </w:p>
    <w:p w:rsidR="006A34F5" w:rsidRPr="00A17B73" w:rsidRDefault="006A34F5" w:rsidP="00523710">
      <w:pPr>
        <w:autoSpaceDE w:val="0"/>
        <w:autoSpaceDN w:val="0"/>
        <w:adjustRightInd w:val="0"/>
        <w:spacing w:line="300" w:lineRule="exact"/>
        <w:ind w:firstLine="0"/>
        <w:rPr>
          <w:i/>
        </w:rPr>
      </w:pPr>
      <w:r w:rsidRPr="00A17B73">
        <w:rPr>
          <w:i/>
        </w:rPr>
        <w:t>• Platba na chov bahníc, jariek a kôz</w:t>
      </w:r>
    </w:p>
    <w:p w:rsidR="006A34F5" w:rsidRPr="00A17B73" w:rsidRDefault="006A34F5" w:rsidP="00523710">
      <w:pPr>
        <w:autoSpaceDE w:val="0"/>
        <w:autoSpaceDN w:val="0"/>
        <w:adjustRightInd w:val="0"/>
        <w:spacing w:line="300" w:lineRule="exact"/>
        <w:ind w:firstLine="0"/>
        <w:rPr>
          <w:i/>
        </w:rPr>
      </w:pPr>
      <w:r w:rsidRPr="00A17B73">
        <w:rPr>
          <w:i/>
        </w:rPr>
        <w:t>• Platba na výkrm vybraných kategórií hovädzieho dobytka</w:t>
      </w:r>
    </w:p>
    <w:p w:rsidR="006A34F5" w:rsidRPr="00A17B73" w:rsidRDefault="006A34F5" w:rsidP="00523710">
      <w:pPr>
        <w:autoSpaceDE w:val="0"/>
        <w:autoSpaceDN w:val="0"/>
        <w:adjustRightInd w:val="0"/>
        <w:spacing w:line="300" w:lineRule="exact"/>
        <w:ind w:firstLine="0"/>
        <w:rPr>
          <w:i/>
        </w:rPr>
      </w:pPr>
      <w:r w:rsidRPr="00A17B73">
        <w:rPr>
          <w:i/>
        </w:rPr>
        <w:t>• Platba na kravy chované v systéme s trhovou produkciou mlieka</w:t>
      </w:r>
    </w:p>
    <w:p w:rsidR="00D77614" w:rsidRDefault="00D77614" w:rsidP="00D77614">
      <w:pPr>
        <w:spacing w:after="0" w:line="240" w:lineRule="auto"/>
        <w:ind w:firstLine="0"/>
        <w:rPr>
          <w:b/>
        </w:rPr>
      </w:pPr>
    </w:p>
    <w:p w:rsidR="00D77614" w:rsidRDefault="00D77614" w:rsidP="00A07EC8">
      <w:pPr>
        <w:spacing w:after="0" w:line="240" w:lineRule="auto"/>
        <w:ind w:firstLine="0"/>
        <w:jc w:val="left"/>
      </w:pPr>
      <w:r>
        <w:rPr>
          <w:b/>
        </w:rPr>
        <w:t>S</w:t>
      </w:r>
      <w:r w:rsidRPr="00DE4251">
        <w:rPr>
          <w:b/>
        </w:rPr>
        <w:t>adz</w:t>
      </w:r>
      <w:r>
        <w:rPr>
          <w:b/>
        </w:rPr>
        <w:t>by</w:t>
      </w:r>
      <w:r w:rsidRPr="00DE4251">
        <w:rPr>
          <w:b/>
        </w:rPr>
        <w:t xml:space="preserve"> pre priame platby </w:t>
      </w:r>
      <w:r>
        <w:rPr>
          <w:b/>
        </w:rPr>
        <w:t>roku 2015 a</w:t>
      </w:r>
      <w:r w:rsidR="00A07EC8">
        <w:rPr>
          <w:b/>
        </w:rPr>
        <w:t> </w:t>
      </w:r>
      <w:r>
        <w:rPr>
          <w:b/>
        </w:rPr>
        <w:t>2016</w:t>
      </w:r>
      <w:r w:rsidR="00A07EC8">
        <w:rPr>
          <w:b/>
        </w:rPr>
        <w:t xml:space="preserve">, </w:t>
      </w:r>
      <w:r w:rsidRPr="00A07EC8">
        <w:rPr>
          <w:b/>
        </w:rPr>
        <w:t>v €</w:t>
      </w:r>
      <w:r w:rsidRPr="00DE4251">
        <w:t xml:space="preserve"> </w:t>
      </w:r>
      <w:r w:rsidR="00A07EC8">
        <w:t xml:space="preserve">          </w:t>
      </w:r>
      <w:r>
        <w:t xml:space="preserve">      </w:t>
      </w:r>
      <w:r w:rsidRPr="00DE4251">
        <w:t xml:space="preserve">                                Tabuľka </w:t>
      </w:r>
      <w:r>
        <w:t>4</w:t>
      </w:r>
    </w:p>
    <w:tbl>
      <w:tblPr>
        <w:tblW w:w="9015" w:type="dxa"/>
        <w:tblInd w:w="55" w:type="dxa"/>
        <w:tblCellMar>
          <w:left w:w="70" w:type="dxa"/>
          <w:right w:w="70" w:type="dxa"/>
        </w:tblCellMar>
        <w:tblLook w:val="04A0" w:firstRow="1" w:lastRow="0" w:firstColumn="1" w:lastColumn="0" w:noHBand="0" w:noVBand="1"/>
      </w:tblPr>
      <w:tblGrid>
        <w:gridCol w:w="4875"/>
        <w:gridCol w:w="1080"/>
        <w:gridCol w:w="1440"/>
        <w:gridCol w:w="1620"/>
      </w:tblGrid>
      <w:tr w:rsidR="00D77614" w:rsidRPr="00F40642" w:rsidTr="00A07EC8">
        <w:trPr>
          <w:trHeight w:val="315"/>
        </w:trPr>
        <w:tc>
          <w:tcPr>
            <w:tcW w:w="4875" w:type="dxa"/>
            <w:tcBorders>
              <w:top w:val="single" w:sz="8" w:space="0" w:color="auto"/>
              <w:left w:val="single" w:sz="8" w:space="0" w:color="auto"/>
              <w:bottom w:val="single" w:sz="8" w:space="0" w:color="auto"/>
              <w:right w:val="nil"/>
            </w:tcBorders>
            <w:shd w:val="clear" w:color="auto" w:fill="C2D69B" w:themeFill="accent3" w:themeFillTint="99"/>
            <w:noWrap/>
            <w:vAlign w:val="center"/>
            <w:hideMark/>
          </w:tcPr>
          <w:p w:rsidR="00D77614" w:rsidRPr="00D52C33" w:rsidRDefault="00D77614" w:rsidP="00A07EC8">
            <w:pPr>
              <w:spacing w:after="0" w:line="240" w:lineRule="auto"/>
              <w:ind w:firstLine="0"/>
              <w:jc w:val="left"/>
              <w:rPr>
                <w:rFonts w:eastAsia="Times New Roman"/>
                <w:b/>
                <w:bCs/>
                <w:color w:val="000000"/>
                <w:lang w:eastAsia="sk-SK"/>
              </w:rPr>
            </w:pPr>
            <w:r w:rsidRPr="00D52C33">
              <w:rPr>
                <w:rFonts w:eastAsia="Times New Roman"/>
                <w:b/>
                <w:bCs/>
                <w:color w:val="000000"/>
                <w:sz w:val="22"/>
                <w:szCs w:val="22"/>
                <w:lang w:eastAsia="sk-SK"/>
              </w:rPr>
              <w:t>Oddelené priame platby</w:t>
            </w:r>
          </w:p>
        </w:tc>
        <w:tc>
          <w:tcPr>
            <w:tcW w:w="1080"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vAlign w:val="bottom"/>
            <w:hideMark/>
          </w:tcPr>
          <w:p w:rsidR="00D77614" w:rsidRPr="004802EA" w:rsidRDefault="00D77614" w:rsidP="00912D0E">
            <w:pPr>
              <w:spacing w:after="0" w:line="240" w:lineRule="auto"/>
              <w:ind w:firstLine="0"/>
              <w:jc w:val="left"/>
              <w:rPr>
                <w:rFonts w:eastAsia="Times New Roman"/>
                <w:b/>
                <w:color w:val="000000"/>
                <w:lang w:eastAsia="sk-SK"/>
              </w:rPr>
            </w:pPr>
            <w:r w:rsidRPr="00D52C33">
              <w:rPr>
                <w:rFonts w:eastAsia="Times New Roman"/>
                <w:color w:val="000000"/>
                <w:sz w:val="22"/>
                <w:szCs w:val="22"/>
                <w:lang w:eastAsia="sk-SK"/>
              </w:rPr>
              <w:t> </w:t>
            </w:r>
            <w:r w:rsidRPr="004802EA">
              <w:rPr>
                <w:rFonts w:eastAsia="Times New Roman"/>
                <w:b/>
                <w:color w:val="000000"/>
                <w:sz w:val="22"/>
                <w:szCs w:val="22"/>
                <w:lang w:eastAsia="sk-SK"/>
              </w:rPr>
              <w:t>Merná jednotka</w:t>
            </w:r>
          </w:p>
        </w:tc>
        <w:tc>
          <w:tcPr>
            <w:tcW w:w="1440"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rsidR="00D77614" w:rsidRPr="000663FE" w:rsidRDefault="00D77614" w:rsidP="00A07EC8">
            <w:pPr>
              <w:spacing w:after="0" w:line="240" w:lineRule="auto"/>
              <w:ind w:firstLine="0"/>
              <w:jc w:val="center"/>
              <w:rPr>
                <w:rFonts w:eastAsia="Times New Roman"/>
                <w:b/>
                <w:bCs/>
                <w:lang w:eastAsia="sk-SK"/>
              </w:rPr>
            </w:pPr>
            <w:r w:rsidRPr="000663FE">
              <w:rPr>
                <w:rFonts w:eastAsia="Times New Roman"/>
                <w:b/>
                <w:bCs/>
                <w:lang w:eastAsia="sk-SK"/>
              </w:rPr>
              <w:t>2015</w:t>
            </w:r>
          </w:p>
        </w:tc>
        <w:tc>
          <w:tcPr>
            <w:tcW w:w="1620"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D77614" w:rsidRPr="000663FE" w:rsidRDefault="00D77614" w:rsidP="00A07EC8">
            <w:pPr>
              <w:spacing w:after="0" w:line="240" w:lineRule="auto"/>
              <w:ind w:firstLine="0"/>
              <w:jc w:val="center"/>
              <w:rPr>
                <w:rFonts w:eastAsia="Times New Roman"/>
                <w:b/>
                <w:bCs/>
                <w:lang w:eastAsia="sk-SK"/>
              </w:rPr>
            </w:pPr>
            <w:r w:rsidRPr="000663FE">
              <w:rPr>
                <w:rFonts w:eastAsia="Times New Roman"/>
                <w:b/>
                <w:bCs/>
                <w:lang w:eastAsia="sk-SK"/>
              </w:rPr>
              <w:t>2016</w:t>
            </w:r>
          </w:p>
        </w:tc>
      </w:tr>
      <w:tr w:rsidR="00D77614" w:rsidRPr="00F40642" w:rsidTr="00912D0E">
        <w:trPr>
          <w:trHeight w:val="315"/>
        </w:trPr>
        <w:tc>
          <w:tcPr>
            <w:tcW w:w="4875" w:type="dxa"/>
            <w:tcBorders>
              <w:top w:val="single" w:sz="8" w:space="0" w:color="auto"/>
              <w:left w:val="single" w:sz="8" w:space="0" w:color="auto"/>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Prechodný zjednodušený režim základnej platby</w:t>
            </w:r>
          </w:p>
        </w:tc>
        <w:tc>
          <w:tcPr>
            <w:tcW w:w="108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132,38</w:t>
            </w:r>
          </w:p>
        </w:tc>
        <w:tc>
          <w:tcPr>
            <w:tcW w:w="1620" w:type="dxa"/>
            <w:tcBorders>
              <w:top w:val="single" w:sz="8" w:space="0" w:color="auto"/>
              <w:left w:val="nil"/>
              <w:bottom w:val="single" w:sz="8" w:space="0" w:color="auto"/>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134,04</w:t>
            </w:r>
          </w:p>
        </w:tc>
      </w:tr>
      <w:tr w:rsidR="00D77614" w:rsidRPr="00F40642" w:rsidTr="00912D0E">
        <w:trPr>
          <w:trHeight w:val="300"/>
        </w:trPr>
        <w:tc>
          <w:tcPr>
            <w:tcW w:w="4875" w:type="dxa"/>
            <w:tcBorders>
              <w:top w:val="nil"/>
              <w:left w:val="single" w:sz="8" w:space="0" w:color="auto"/>
              <w:bottom w:val="nil"/>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poľnohospodárske postupy</w:t>
            </w:r>
          </w:p>
        </w:tc>
        <w:tc>
          <w:tcPr>
            <w:tcW w:w="1080" w:type="dxa"/>
            <w:tcBorders>
              <w:top w:val="nil"/>
              <w:left w:val="single" w:sz="8" w:space="0" w:color="auto"/>
              <w:bottom w:val="nil"/>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440" w:type="dxa"/>
            <w:tcBorders>
              <w:top w:val="nil"/>
              <w:left w:val="nil"/>
              <w:bottom w:val="nil"/>
              <w:right w:val="single" w:sz="8" w:space="0" w:color="auto"/>
            </w:tcBorders>
            <w:shd w:val="clear" w:color="auto" w:fill="auto"/>
            <w:noWrap/>
            <w:vAlign w:val="bottom"/>
            <w:hideMark/>
          </w:tcPr>
          <w:p w:rsidR="00D77614" w:rsidRPr="000663FE" w:rsidRDefault="00D77614" w:rsidP="00912D0E">
            <w:pPr>
              <w:spacing w:after="0" w:line="240" w:lineRule="auto"/>
              <w:ind w:firstLine="0"/>
              <w:rPr>
                <w:rFonts w:eastAsia="Times New Roman"/>
                <w:lang w:eastAsia="sk-SK"/>
              </w:rPr>
            </w:pPr>
            <w:r w:rsidRPr="000663FE">
              <w:rPr>
                <w:rFonts w:eastAsia="Times New Roman"/>
                <w:lang w:eastAsia="sk-SK"/>
              </w:rPr>
              <w:t> </w:t>
            </w:r>
          </w:p>
        </w:tc>
        <w:tc>
          <w:tcPr>
            <w:tcW w:w="1620" w:type="dxa"/>
            <w:tcBorders>
              <w:top w:val="nil"/>
              <w:left w:val="nil"/>
              <w:bottom w:val="nil"/>
              <w:right w:val="single" w:sz="8" w:space="0" w:color="auto"/>
            </w:tcBorders>
            <w:vAlign w:val="bottom"/>
          </w:tcPr>
          <w:p w:rsidR="00D77614" w:rsidRPr="000663FE" w:rsidRDefault="00D77614" w:rsidP="00912D0E">
            <w:pPr>
              <w:spacing w:after="0" w:line="240" w:lineRule="auto"/>
              <w:ind w:firstLine="0"/>
              <w:rPr>
                <w:rFonts w:eastAsia="Times New Roman"/>
                <w:lang w:eastAsia="sk-SK"/>
              </w:rPr>
            </w:pPr>
            <w:r w:rsidRPr="000663FE">
              <w:rPr>
                <w:rFonts w:eastAsia="Times New Roman"/>
                <w:lang w:eastAsia="sk-SK"/>
              </w:rPr>
              <w:t> </w:t>
            </w:r>
          </w:p>
        </w:tc>
      </w:tr>
      <w:tr w:rsidR="00D77614" w:rsidRPr="00F40642" w:rsidTr="00912D0E">
        <w:trPr>
          <w:trHeight w:val="315"/>
        </w:trPr>
        <w:tc>
          <w:tcPr>
            <w:tcW w:w="4875" w:type="dxa"/>
            <w:tcBorders>
              <w:top w:val="nil"/>
              <w:left w:val="single" w:sz="8" w:space="0" w:color="auto"/>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prospešné pre klímu a životné prostredie</w:t>
            </w:r>
          </w:p>
        </w:tc>
        <w:tc>
          <w:tcPr>
            <w:tcW w:w="1080" w:type="dxa"/>
            <w:tcBorders>
              <w:top w:val="nil"/>
              <w:left w:val="single" w:sz="8" w:space="0" w:color="auto"/>
              <w:bottom w:val="single" w:sz="8" w:space="0" w:color="auto"/>
              <w:right w:val="single" w:sz="8" w:space="0" w:color="auto"/>
            </w:tcBorders>
            <w:shd w:val="clear" w:color="000000" w:fill="FFFFFF"/>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nil"/>
              <w:left w:val="nil"/>
              <w:bottom w:val="single" w:sz="8" w:space="0" w:color="auto"/>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70,8</w:t>
            </w:r>
            <w:r w:rsidR="00A07EC8">
              <w:rPr>
                <w:rFonts w:eastAsia="Times New Roman"/>
                <w:lang w:eastAsia="sk-SK"/>
              </w:rPr>
              <w:t>0</w:t>
            </w:r>
          </w:p>
        </w:tc>
        <w:tc>
          <w:tcPr>
            <w:tcW w:w="1620" w:type="dxa"/>
            <w:tcBorders>
              <w:top w:val="nil"/>
              <w:left w:val="nil"/>
              <w:bottom w:val="single" w:sz="8" w:space="0" w:color="auto"/>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71,17</w:t>
            </w:r>
          </w:p>
        </w:tc>
      </w:tr>
      <w:tr w:rsidR="00D77614" w:rsidRPr="00F40642" w:rsidTr="00912D0E">
        <w:trPr>
          <w:trHeight w:val="315"/>
        </w:trPr>
        <w:tc>
          <w:tcPr>
            <w:tcW w:w="4875" w:type="dxa"/>
            <w:tcBorders>
              <w:top w:val="nil"/>
              <w:left w:val="single" w:sz="8" w:space="0" w:color="auto"/>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pre mladých poľnohospodárov</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nil"/>
              <w:left w:val="nil"/>
              <w:bottom w:val="single" w:sz="8" w:space="0" w:color="auto"/>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60,41</w:t>
            </w:r>
          </w:p>
        </w:tc>
        <w:tc>
          <w:tcPr>
            <w:tcW w:w="1620" w:type="dxa"/>
            <w:tcBorders>
              <w:top w:val="nil"/>
              <w:left w:val="nil"/>
              <w:bottom w:val="single" w:sz="8" w:space="0" w:color="auto"/>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60,41</w:t>
            </w:r>
          </w:p>
        </w:tc>
      </w:tr>
      <w:tr w:rsidR="00D77614" w:rsidRPr="00F40642" w:rsidTr="00912D0E">
        <w:trPr>
          <w:trHeight w:val="551"/>
        </w:trPr>
        <w:tc>
          <w:tcPr>
            <w:tcW w:w="9015" w:type="dxa"/>
            <w:gridSpan w:val="4"/>
            <w:tcBorders>
              <w:top w:val="nil"/>
              <w:left w:val="single" w:sz="8" w:space="0" w:color="auto"/>
              <w:bottom w:val="nil"/>
              <w:right w:val="single" w:sz="8" w:space="0" w:color="000000"/>
            </w:tcBorders>
            <w:shd w:val="clear" w:color="auto" w:fill="auto"/>
            <w:noWrap/>
            <w:vAlign w:val="center"/>
            <w:hideMark/>
          </w:tcPr>
          <w:p w:rsidR="00D77614" w:rsidRPr="0059295D" w:rsidRDefault="00D77614" w:rsidP="00912D0E">
            <w:pPr>
              <w:spacing w:after="0" w:line="240" w:lineRule="auto"/>
              <w:ind w:firstLine="0"/>
              <w:jc w:val="left"/>
              <w:rPr>
                <w:rFonts w:eastAsia="Times New Roman"/>
                <w:color w:val="000000"/>
                <w:sz w:val="22"/>
                <w:szCs w:val="22"/>
                <w:lang w:eastAsia="sk-SK"/>
              </w:rPr>
            </w:pPr>
            <w:r w:rsidRPr="0059295D">
              <w:rPr>
                <w:rFonts w:eastAsia="Times New Roman"/>
                <w:color w:val="000000"/>
                <w:sz w:val="22"/>
                <w:szCs w:val="22"/>
                <w:lang w:eastAsia="sk-SK"/>
              </w:rPr>
              <w:t>V zmysle § 15 ods. 2 nar. vlády č. 342/2014, koef</w:t>
            </w:r>
            <w:r>
              <w:rPr>
                <w:rFonts w:eastAsia="Times New Roman"/>
                <w:color w:val="000000"/>
                <w:sz w:val="22"/>
                <w:szCs w:val="22"/>
                <w:lang w:eastAsia="sk-SK"/>
              </w:rPr>
              <w:t>.</w:t>
            </w:r>
            <w:r w:rsidRPr="0059295D">
              <w:rPr>
                <w:rFonts w:eastAsia="Times New Roman"/>
                <w:color w:val="000000"/>
                <w:sz w:val="22"/>
                <w:szCs w:val="22"/>
                <w:lang w:eastAsia="sk-SK"/>
              </w:rPr>
              <w:t xml:space="preserve"> úhrady fin. disciplíny(r.2015) je 1,280254 %.</w:t>
            </w:r>
          </w:p>
          <w:p w:rsidR="00D77614" w:rsidRPr="00D52C33" w:rsidRDefault="00D77614" w:rsidP="00912D0E">
            <w:pPr>
              <w:spacing w:after="0" w:line="240" w:lineRule="auto"/>
              <w:ind w:firstLine="0"/>
              <w:jc w:val="left"/>
              <w:rPr>
                <w:rFonts w:eastAsia="Times New Roman"/>
                <w:color w:val="000000"/>
                <w:sz w:val="22"/>
                <w:szCs w:val="22"/>
                <w:lang w:eastAsia="sk-SK"/>
              </w:rPr>
            </w:pPr>
            <w:r w:rsidRPr="0059295D">
              <w:rPr>
                <w:rFonts w:eastAsia="Times New Roman"/>
                <w:color w:val="000000"/>
                <w:sz w:val="22"/>
                <w:szCs w:val="22"/>
                <w:lang w:eastAsia="sk-SK"/>
              </w:rPr>
              <w:t>V zmysle § 15 ods. 2 nar. vlády č. 342/2014, koefi</w:t>
            </w:r>
            <w:r>
              <w:rPr>
                <w:rFonts w:eastAsia="Times New Roman"/>
                <w:color w:val="000000"/>
                <w:sz w:val="22"/>
                <w:szCs w:val="22"/>
                <w:lang w:eastAsia="sk-SK"/>
              </w:rPr>
              <w:t>.</w:t>
            </w:r>
            <w:r w:rsidRPr="0059295D">
              <w:rPr>
                <w:rFonts w:eastAsia="Times New Roman"/>
                <w:color w:val="000000"/>
                <w:sz w:val="22"/>
                <w:szCs w:val="22"/>
                <w:lang w:eastAsia="sk-SK"/>
              </w:rPr>
              <w:t xml:space="preserve"> úhrady fin. disciplíny (r.2016) je 1,358046</w:t>
            </w:r>
            <w:r>
              <w:rPr>
                <w:rFonts w:eastAsia="Times New Roman"/>
                <w:color w:val="000000"/>
                <w:sz w:val="22"/>
                <w:szCs w:val="22"/>
                <w:lang w:eastAsia="sk-SK"/>
              </w:rPr>
              <w:t xml:space="preserve"> </w:t>
            </w:r>
            <w:r w:rsidRPr="0059295D">
              <w:rPr>
                <w:rFonts w:eastAsia="Times New Roman"/>
                <w:color w:val="000000"/>
                <w:sz w:val="22"/>
                <w:szCs w:val="22"/>
                <w:lang w:eastAsia="sk-SK"/>
              </w:rPr>
              <w:t>%</w:t>
            </w:r>
          </w:p>
        </w:tc>
      </w:tr>
      <w:tr w:rsidR="00D77614" w:rsidRPr="00F40642" w:rsidTr="00912D0E">
        <w:trPr>
          <w:trHeight w:val="315"/>
        </w:trPr>
        <w:tc>
          <w:tcPr>
            <w:tcW w:w="4875" w:type="dxa"/>
            <w:tcBorders>
              <w:top w:val="single" w:sz="8" w:space="0" w:color="auto"/>
              <w:left w:val="single" w:sz="8" w:space="0" w:color="auto"/>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b/>
                <w:bCs/>
                <w:color w:val="000000"/>
                <w:lang w:eastAsia="sk-SK"/>
              </w:rPr>
            </w:pPr>
            <w:r w:rsidRPr="00D52C33">
              <w:rPr>
                <w:rFonts w:eastAsia="Times New Roman"/>
                <w:b/>
                <w:bCs/>
                <w:color w:val="000000"/>
                <w:sz w:val="22"/>
                <w:szCs w:val="22"/>
                <w:lang w:eastAsia="sk-SK"/>
              </w:rPr>
              <w:t>Viazané priame platby</w:t>
            </w:r>
          </w:p>
        </w:tc>
        <w:tc>
          <w:tcPr>
            <w:tcW w:w="1080" w:type="dxa"/>
            <w:tcBorders>
              <w:top w:val="single" w:sz="8" w:space="0" w:color="auto"/>
              <w:left w:val="nil"/>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c>
          <w:tcPr>
            <w:tcW w:w="1620" w:type="dxa"/>
            <w:tcBorders>
              <w:top w:val="single" w:sz="8" w:space="0" w:color="auto"/>
              <w:left w:val="nil"/>
              <w:bottom w:val="single" w:sz="8" w:space="0" w:color="auto"/>
              <w:right w:val="single" w:sz="8" w:space="0" w:color="auto"/>
            </w:tcBorders>
          </w:tcPr>
          <w:p w:rsidR="00D77614" w:rsidRPr="00D52C33" w:rsidRDefault="00D77614" w:rsidP="00912D0E">
            <w:pPr>
              <w:spacing w:after="0" w:line="240" w:lineRule="auto"/>
              <w:ind w:firstLine="0"/>
              <w:jc w:val="left"/>
              <w:rPr>
                <w:rFonts w:eastAsia="Times New Roman"/>
                <w:color w:val="000000"/>
                <w:sz w:val="22"/>
                <w:szCs w:val="22"/>
                <w:lang w:eastAsia="sk-SK"/>
              </w:rPr>
            </w:pPr>
          </w:p>
        </w:tc>
      </w:tr>
      <w:tr w:rsidR="00D77614" w:rsidRPr="00F40642" w:rsidTr="00912D0E">
        <w:trPr>
          <w:trHeight w:val="315"/>
        </w:trPr>
        <w:tc>
          <w:tcPr>
            <w:tcW w:w="4875" w:type="dxa"/>
            <w:tcBorders>
              <w:top w:val="nil"/>
              <w:left w:val="single" w:sz="8" w:space="0" w:color="auto"/>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cukrovej repy</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nil"/>
              <w:left w:val="nil"/>
              <w:bottom w:val="single" w:sz="8" w:space="0" w:color="auto"/>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369,8</w:t>
            </w:r>
            <w:r w:rsidR="00A07EC8">
              <w:rPr>
                <w:rFonts w:eastAsia="Times New Roman"/>
                <w:lang w:eastAsia="sk-SK"/>
              </w:rPr>
              <w:t>0</w:t>
            </w:r>
          </w:p>
        </w:tc>
        <w:tc>
          <w:tcPr>
            <w:tcW w:w="1620" w:type="dxa"/>
            <w:tcBorders>
              <w:top w:val="nil"/>
              <w:left w:val="nil"/>
              <w:bottom w:val="single" w:sz="8" w:space="0" w:color="auto"/>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374,11</w:t>
            </w:r>
          </w:p>
        </w:tc>
      </w:tr>
      <w:tr w:rsidR="00D77614" w:rsidRPr="00F40642" w:rsidTr="00912D0E">
        <w:trPr>
          <w:trHeight w:val="315"/>
        </w:trPr>
        <w:tc>
          <w:tcPr>
            <w:tcW w:w="4875" w:type="dxa"/>
            <w:tcBorders>
              <w:top w:val="nil"/>
              <w:left w:val="single" w:sz="8" w:space="0" w:color="auto"/>
              <w:bottom w:val="nil"/>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chmeľu</w:t>
            </w:r>
          </w:p>
        </w:tc>
        <w:tc>
          <w:tcPr>
            <w:tcW w:w="1080" w:type="dxa"/>
            <w:tcBorders>
              <w:top w:val="nil"/>
              <w:left w:val="single" w:sz="8" w:space="0" w:color="auto"/>
              <w:bottom w:val="nil"/>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nil"/>
              <w:left w:val="nil"/>
              <w:bottom w:val="nil"/>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605,46</w:t>
            </w:r>
          </w:p>
        </w:tc>
        <w:tc>
          <w:tcPr>
            <w:tcW w:w="1620" w:type="dxa"/>
            <w:tcBorders>
              <w:top w:val="nil"/>
              <w:left w:val="nil"/>
              <w:bottom w:val="nil"/>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406,99</w:t>
            </w:r>
          </w:p>
        </w:tc>
      </w:tr>
      <w:tr w:rsidR="00D77614" w:rsidRPr="00F40642" w:rsidTr="00912D0E">
        <w:trPr>
          <w:trHeight w:val="300"/>
        </w:trPr>
        <w:tc>
          <w:tcPr>
            <w:tcW w:w="4875" w:type="dxa"/>
            <w:tcBorders>
              <w:top w:val="single" w:sz="8" w:space="0" w:color="auto"/>
              <w:left w:val="single" w:sz="8" w:space="0" w:color="auto"/>
              <w:bottom w:val="nil"/>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vybraných druhov ovocia</w:t>
            </w:r>
          </w:p>
        </w:tc>
        <w:tc>
          <w:tcPr>
            <w:tcW w:w="1080" w:type="dxa"/>
            <w:tcBorders>
              <w:top w:val="single" w:sz="8" w:space="0" w:color="auto"/>
              <w:left w:val="single" w:sz="8" w:space="0" w:color="auto"/>
              <w:bottom w:val="nil"/>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440" w:type="dxa"/>
            <w:tcBorders>
              <w:top w:val="single" w:sz="8" w:space="0" w:color="auto"/>
              <w:left w:val="nil"/>
              <w:bottom w:val="nil"/>
              <w:right w:val="single" w:sz="8" w:space="0" w:color="auto"/>
            </w:tcBorders>
            <w:shd w:val="clear" w:color="auto" w:fill="auto"/>
            <w:noWrap/>
            <w:vAlign w:val="bottom"/>
            <w:hideMark/>
          </w:tcPr>
          <w:p w:rsidR="00D77614" w:rsidRPr="000663FE" w:rsidRDefault="00D77614" w:rsidP="00912D0E">
            <w:pPr>
              <w:spacing w:after="0" w:line="240" w:lineRule="auto"/>
              <w:ind w:firstLine="0"/>
              <w:rPr>
                <w:rFonts w:eastAsia="Times New Roman"/>
                <w:lang w:eastAsia="sk-SK"/>
              </w:rPr>
            </w:pPr>
            <w:r w:rsidRPr="000663FE">
              <w:rPr>
                <w:rFonts w:eastAsia="Times New Roman"/>
                <w:lang w:eastAsia="sk-SK"/>
              </w:rPr>
              <w:t> </w:t>
            </w:r>
          </w:p>
        </w:tc>
        <w:tc>
          <w:tcPr>
            <w:tcW w:w="1620" w:type="dxa"/>
            <w:tcBorders>
              <w:top w:val="single" w:sz="8" w:space="0" w:color="auto"/>
              <w:left w:val="nil"/>
              <w:bottom w:val="nil"/>
              <w:right w:val="single" w:sz="8" w:space="0" w:color="auto"/>
            </w:tcBorders>
            <w:vAlign w:val="bottom"/>
          </w:tcPr>
          <w:p w:rsidR="00D77614" w:rsidRPr="000663FE" w:rsidRDefault="00D77614" w:rsidP="00912D0E">
            <w:pPr>
              <w:spacing w:after="0" w:line="240" w:lineRule="auto"/>
              <w:ind w:firstLine="0"/>
              <w:rPr>
                <w:rFonts w:eastAsia="Times New Roman"/>
                <w:lang w:eastAsia="sk-SK"/>
              </w:rPr>
            </w:pPr>
            <w:r w:rsidRPr="000663FE">
              <w:rPr>
                <w:rFonts w:eastAsia="Times New Roman"/>
                <w:lang w:eastAsia="sk-SK"/>
              </w:rPr>
              <w:t> </w:t>
            </w:r>
          </w:p>
        </w:tc>
      </w:tr>
      <w:tr w:rsidR="00D77614" w:rsidRPr="00F40642" w:rsidTr="00912D0E">
        <w:trPr>
          <w:trHeight w:val="330"/>
        </w:trPr>
        <w:tc>
          <w:tcPr>
            <w:tcW w:w="4875" w:type="dxa"/>
            <w:tcBorders>
              <w:top w:val="nil"/>
              <w:left w:val="single" w:sz="8" w:space="0" w:color="auto"/>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s vysokou prácnosťou</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nil"/>
              <w:left w:val="nil"/>
              <w:bottom w:val="single" w:sz="8" w:space="0" w:color="auto"/>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268,48</w:t>
            </w:r>
          </w:p>
        </w:tc>
        <w:tc>
          <w:tcPr>
            <w:tcW w:w="1620" w:type="dxa"/>
            <w:tcBorders>
              <w:top w:val="nil"/>
              <w:left w:val="nil"/>
              <w:bottom w:val="single" w:sz="8" w:space="0" w:color="auto"/>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155,32</w:t>
            </w:r>
          </w:p>
        </w:tc>
      </w:tr>
      <w:tr w:rsidR="00D77614" w:rsidRPr="00F40642" w:rsidTr="00912D0E">
        <w:trPr>
          <w:trHeight w:val="315"/>
        </w:trPr>
        <w:tc>
          <w:tcPr>
            <w:tcW w:w="4875" w:type="dxa"/>
            <w:tcBorders>
              <w:top w:val="nil"/>
              <w:left w:val="single" w:sz="8" w:space="0" w:color="auto"/>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 vybr. druhov OZ s veľmi vysokou pr</w:t>
            </w:r>
            <w:r>
              <w:rPr>
                <w:rFonts w:eastAsia="Times New Roman"/>
                <w:color w:val="000000"/>
                <w:sz w:val="22"/>
                <w:szCs w:val="22"/>
                <w:lang w:eastAsia="sk-SK"/>
              </w:rPr>
              <w:t>á</w:t>
            </w:r>
            <w:r w:rsidRPr="00D52C33">
              <w:rPr>
                <w:rFonts w:eastAsia="Times New Roman"/>
                <w:color w:val="000000"/>
                <w:sz w:val="22"/>
                <w:szCs w:val="22"/>
                <w:lang w:eastAsia="sk-SK"/>
              </w:rPr>
              <w:t>c.</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nil"/>
              <w:left w:val="nil"/>
              <w:bottom w:val="single" w:sz="8" w:space="0" w:color="auto"/>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392,48</w:t>
            </w:r>
          </w:p>
        </w:tc>
        <w:tc>
          <w:tcPr>
            <w:tcW w:w="1620" w:type="dxa"/>
            <w:tcBorders>
              <w:top w:val="nil"/>
              <w:left w:val="nil"/>
              <w:bottom w:val="single" w:sz="8" w:space="0" w:color="auto"/>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244,75</w:t>
            </w:r>
          </w:p>
        </w:tc>
      </w:tr>
      <w:tr w:rsidR="00D77614" w:rsidRPr="00F40642" w:rsidTr="00912D0E">
        <w:trPr>
          <w:trHeight w:val="300"/>
        </w:trPr>
        <w:tc>
          <w:tcPr>
            <w:tcW w:w="4875" w:type="dxa"/>
            <w:tcBorders>
              <w:top w:val="nil"/>
              <w:left w:val="single" w:sz="8" w:space="0" w:color="auto"/>
              <w:bottom w:val="nil"/>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vybraných druhov</w:t>
            </w:r>
          </w:p>
        </w:tc>
        <w:tc>
          <w:tcPr>
            <w:tcW w:w="1080" w:type="dxa"/>
            <w:tcBorders>
              <w:top w:val="nil"/>
              <w:left w:val="single" w:sz="8" w:space="0" w:color="auto"/>
              <w:bottom w:val="nil"/>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440" w:type="dxa"/>
            <w:tcBorders>
              <w:top w:val="nil"/>
              <w:left w:val="nil"/>
              <w:bottom w:val="nil"/>
              <w:right w:val="single" w:sz="8" w:space="0" w:color="auto"/>
            </w:tcBorders>
            <w:shd w:val="clear" w:color="auto" w:fill="auto"/>
            <w:noWrap/>
            <w:vAlign w:val="bottom"/>
            <w:hideMark/>
          </w:tcPr>
          <w:p w:rsidR="00D77614" w:rsidRPr="000663FE" w:rsidRDefault="00D77614" w:rsidP="00912D0E">
            <w:pPr>
              <w:spacing w:after="0" w:line="240" w:lineRule="auto"/>
              <w:ind w:firstLine="0"/>
              <w:rPr>
                <w:rFonts w:eastAsia="Times New Roman"/>
                <w:lang w:eastAsia="sk-SK"/>
              </w:rPr>
            </w:pPr>
            <w:r w:rsidRPr="000663FE">
              <w:rPr>
                <w:rFonts w:eastAsia="Times New Roman"/>
                <w:lang w:eastAsia="sk-SK"/>
              </w:rPr>
              <w:t> </w:t>
            </w:r>
          </w:p>
        </w:tc>
        <w:tc>
          <w:tcPr>
            <w:tcW w:w="1620" w:type="dxa"/>
            <w:tcBorders>
              <w:top w:val="nil"/>
              <w:left w:val="nil"/>
              <w:bottom w:val="nil"/>
              <w:right w:val="single" w:sz="8" w:space="0" w:color="auto"/>
            </w:tcBorders>
            <w:vAlign w:val="bottom"/>
          </w:tcPr>
          <w:p w:rsidR="00D77614" w:rsidRPr="000663FE" w:rsidRDefault="00D77614" w:rsidP="00912D0E">
            <w:pPr>
              <w:spacing w:after="0" w:line="240" w:lineRule="auto"/>
              <w:ind w:firstLine="0"/>
              <w:rPr>
                <w:rFonts w:eastAsia="Times New Roman"/>
                <w:lang w:eastAsia="sk-SK"/>
              </w:rPr>
            </w:pPr>
            <w:r w:rsidRPr="000663FE">
              <w:rPr>
                <w:rFonts w:eastAsia="Times New Roman"/>
                <w:lang w:eastAsia="sk-SK"/>
              </w:rPr>
              <w:t> </w:t>
            </w:r>
          </w:p>
        </w:tc>
      </w:tr>
      <w:tr w:rsidR="00D77614" w:rsidRPr="00F40642" w:rsidTr="00912D0E">
        <w:trPr>
          <w:trHeight w:val="315"/>
        </w:trPr>
        <w:tc>
          <w:tcPr>
            <w:tcW w:w="4875" w:type="dxa"/>
            <w:tcBorders>
              <w:top w:val="nil"/>
              <w:left w:val="single" w:sz="8" w:space="0" w:color="auto"/>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zeleniny s vysokou prácnosťou</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nil"/>
              <w:left w:val="nil"/>
              <w:bottom w:val="single" w:sz="8" w:space="0" w:color="auto"/>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51,76</w:t>
            </w:r>
          </w:p>
        </w:tc>
        <w:tc>
          <w:tcPr>
            <w:tcW w:w="1620" w:type="dxa"/>
            <w:tcBorders>
              <w:top w:val="nil"/>
              <w:left w:val="nil"/>
              <w:bottom w:val="single" w:sz="8" w:space="0" w:color="auto"/>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45,87</w:t>
            </w:r>
          </w:p>
        </w:tc>
      </w:tr>
      <w:tr w:rsidR="00D77614" w:rsidRPr="00F40642" w:rsidTr="00912D0E">
        <w:trPr>
          <w:trHeight w:val="300"/>
        </w:trPr>
        <w:tc>
          <w:tcPr>
            <w:tcW w:w="4875" w:type="dxa"/>
            <w:tcBorders>
              <w:top w:val="nil"/>
              <w:left w:val="single" w:sz="8" w:space="0" w:color="auto"/>
              <w:bottom w:val="nil"/>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vybraných druhov</w:t>
            </w:r>
          </w:p>
        </w:tc>
        <w:tc>
          <w:tcPr>
            <w:tcW w:w="1080" w:type="dxa"/>
            <w:tcBorders>
              <w:top w:val="nil"/>
              <w:left w:val="single" w:sz="8" w:space="0" w:color="auto"/>
              <w:bottom w:val="nil"/>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440" w:type="dxa"/>
            <w:tcBorders>
              <w:top w:val="nil"/>
              <w:left w:val="nil"/>
              <w:bottom w:val="nil"/>
              <w:right w:val="single" w:sz="8" w:space="0" w:color="auto"/>
            </w:tcBorders>
            <w:shd w:val="clear" w:color="auto" w:fill="auto"/>
            <w:noWrap/>
            <w:vAlign w:val="bottom"/>
            <w:hideMark/>
          </w:tcPr>
          <w:p w:rsidR="00D77614" w:rsidRPr="000663FE" w:rsidRDefault="00D77614" w:rsidP="00912D0E">
            <w:pPr>
              <w:spacing w:after="0" w:line="240" w:lineRule="auto"/>
              <w:ind w:firstLine="0"/>
              <w:rPr>
                <w:rFonts w:eastAsia="Times New Roman"/>
                <w:lang w:eastAsia="sk-SK"/>
              </w:rPr>
            </w:pPr>
            <w:r w:rsidRPr="000663FE">
              <w:rPr>
                <w:rFonts w:eastAsia="Times New Roman"/>
                <w:lang w:eastAsia="sk-SK"/>
              </w:rPr>
              <w:t> </w:t>
            </w:r>
          </w:p>
        </w:tc>
        <w:tc>
          <w:tcPr>
            <w:tcW w:w="1620" w:type="dxa"/>
            <w:tcBorders>
              <w:top w:val="nil"/>
              <w:left w:val="nil"/>
              <w:bottom w:val="nil"/>
              <w:right w:val="single" w:sz="8" w:space="0" w:color="auto"/>
            </w:tcBorders>
            <w:vAlign w:val="bottom"/>
          </w:tcPr>
          <w:p w:rsidR="00D77614" w:rsidRPr="000663FE" w:rsidRDefault="00D77614" w:rsidP="00912D0E">
            <w:pPr>
              <w:spacing w:after="0" w:line="240" w:lineRule="auto"/>
              <w:ind w:firstLine="0"/>
              <w:rPr>
                <w:rFonts w:eastAsia="Times New Roman"/>
                <w:lang w:eastAsia="sk-SK"/>
              </w:rPr>
            </w:pPr>
            <w:r w:rsidRPr="000663FE">
              <w:rPr>
                <w:rFonts w:eastAsia="Times New Roman"/>
                <w:lang w:eastAsia="sk-SK"/>
              </w:rPr>
              <w:t> </w:t>
            </w:r>
          </w:p>
        </w:tc>
      </w:tr>
      <w:tr w:rsidR="00D77614" w:rsidRPr="00F40642" w:rsidTr="00912D0E">
        <w:trPr>
          <w:trHeight w:val="315"/>
        </w:trPr>
        <w:tc>
          <w:tcPr>
            <w:tcW w:w="4875" w:type="dxa"/>
            <w:tcBorders>
              <w:top w:val="nil"/>
              <w:left w:val="single" w:sz="8" w:space="0" w:color="auto"/>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zeleniny s veľmi vysokou prácnosťou</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nil"/>
              <w:left w:val="nil"/>
              <w:bottom w:val="single" w:sz="8" w:space="0" w:color="auto"/>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101,5</w:t>
            </w:r>
            <w:r w:rsidR="00A07EC8">
              <w:rPr>
                <w:rFonts w:eastAsia="Times New Roman"/>
                <w:lang w:eastAsia="sk-SK"/>
              </w:rPr>
              <w:t>0</w:t>
            </w:r>
          </w:p>
        </w:tc>
        <w:tc>
          <w:tcPr>
            <w:tcW w:w="1620" w:type="dxa"/>
            <w:tcBorders>
              <w:top w:val="nil"/>
              <w:left w:val="nil"/>
              <w:bottom w:val="single" w:sz="8" w:space="0" w:color="auto"/>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70,48</w:t>
            </w:r>
          </w:p>
        </w:tc>
      </w:tr>
      <w:tr w:rsidR="00D77614" w:rsidRPr="00F40642" w:rsidTr="00912D0E">
        <w:trPr>
          <w:trHeight w:val="315"/>
        </w:trPr>
        <w:tc>
          <w:tcPr>
            <w:tcW w:w="4875" w:type="dxa"/>
            <w:tcBorders>
              <w:top w:val="nil"/>
              <w:left w:val="single" w:sz="8" w:space="0" w:color="auto"/>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rajčiakov</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nil"/>
              <w:left w:val="nil"/>
              <w:bottom w:val="single" w:sz="8" w:space="0" w:color="auto"/>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862,69</w:t>
            </w:r>
          </w:p>
        </w:tc>
        <w:tc>
          <w:tcPr>
            <w:tcW w:w="1620" w:type="dxa"/>
            <w:tcBorders>
              <w:top w:val="nil"/>
              <w:left w:val="nil"/>
              <w:bottom w:val="single" w:sz="8" w:space="0" w:color="auto"/>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555,71</w:t>
            </w:r>
          </w:p>
        </w:tc>
      </w:tr>
      <w:tr w:rsidR="00D77614" w:rsidRPr="00F40642" w:rsidTr="00912D0E">
        <w:trPr>
          <w:trHeight w:val="315"/>
        </w:trPr>
        <w:tc>
          <w:tcPr>
            <w:tcW w:w="4875" w:type="dxa"/>
            <w:tcBorders>
              <w:top w:val="nil"/>
              <w:left w:val="single" w:sz="8" w:space="0" w:color="auto"/>
              <w:bottom w:val="single" w:sz="8" w:space="0" w:color="auto"/>
              <w:right w:val="nil"/>
            </w:tcBorders>
            <w:shd w:val="clear" w:color="auto" w:fill="auto"/>
            <w:noWrap/>
            <w:vAlign w:val="center"/>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chov bahníc, jariek a kôz</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Pr>
                <w:rFonts w:eastAsia="Times New Roman"/>
                <w:color w:val="000000"/>
                <w:sz w:val="22"/>
                <w:szCs w:val="22"/>
                <w:lang w:eastAsia="sk-SK"/>
              </w:rPr>
              <w:t xml:space="preserve"> </w:t>
            </w:r>
            <w:r w:rsidRPr="00D52C33">
              <w:rPr>
                <w:rFonts w:eastAsia="Times New Roman"/>
                <w:color w:val="000000"/>
                <w:sz w:val="22"/>
                <w:szCs w:val="22"/>
                <w:lang w:eastAsia="sk-SK"/>
              </w:rPr>
              <w:t>ks</w:t>
            </w:r>
          </w:p>
        </w:tc>
        <w:tc>
          <w:tcPr>
            <w:tcW w:w="1440" w:type="dxa"/>
            <w:tcBorders>
              <w:top w:val="nil"/>
              <w:left w:val="nil"/>
              <w:bottom w:val="single" w:sz="8" w:space="0" w:color="auto"/>
              <w:right w:val="single" w:sz="8" w:space="0" w:color="auto"/>
            </w:tcBorders>
            <w:shd w:val="clear" w:color="auto" w:fill="auto"/>
            <w:noWrap/>
            <w:vAlign w:val="bottom"/>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19,09</w:t>
            </w:r>
          </w:p>
        </w:tc>
        <w:tc>
          <w:tcPr>
            <w:tcW w:w="1620" w:type="dxa"/>
            <w:tcBorders>
              <w:top w:val="nil"/>
              <w:left w:val="nil"/>
              <w:bottom w:val="single" w:sz="8" w:space="0" w:color="auto"/>
              <w:right w:val="single" w:sz="8" w:space="0" w:color="auto"/>
            </w:tcBorders>
            <w:vAlign w:val="bottom"/>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17,01</w:t>
            </w:r>
          </w:p>
        </w:tc>
      </w:tr>
      <w:tr w:rsidR="00D77614" w:rsidRPr="00F40642" w:rsidTr="00912D0E">
        <w:trPr>
          <w:trHeight w:val="635"/>
        </w:trPr>
        <w:tc>
          <w:tcPr>
            <w:tcW w:w="4875" w:type="dxa"/>
            <w:tcBorders>
              <w:top w:val="single" w:sz="8" w:space="0" w:color="auto"/>
              <w:left w:val="single" w:sz="8" w:space="0" w:color="auto"/>
              <w:bottom w:val="single" w:sz="4" w:space="0" w:color="000000" w:themeColor="text1"/>
              <w:right w:val="nil"/>
            </w:tcBorders>
            <w:shd w:val="clear" w:color="auto" w:fill="auto"/>
            <w:noWrap/>
            <w:vAlign w:val="center"/>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výkrm vybraných</w:t>
            </w:r>
            <w:r>
              <w:rPr>
                <w:rFonts w:eastAsia="Times New Roman"/>
                <w:color w:val="000000"/>
                <w:sz w:val="22"/>
                <w:szCs w:val="22"/>
                <w:lang w:eastAsia="sk-SK"/>
              </w:rPr>
              <w:t xml:space="preserve"> </w:t>
            </w:r>
            <w:r w:rsidRPr="00D52C33">
              <w:rPr>
                <w:rFonts w:eastAsia="Times New Roman"/>
                <w:color w:val="000000"/>
                <w:sz w:val="22"/>
                <w:szCs w:val="22"/>
                <w:lang w:eastAsia="sk-SK"/>
              </w:rPr>
              <w:t>kategórií hovädzieho dobytka</w:t>
            </w:r>
          </w:p>
        </w:tc>
        <w:tc>
          <w:tcPr>
            <w:tcW w:w="1080" w:type="dxa"/>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rsidR="00D77614" w:rsidRPr="00D52C33" w:rsidRDefault="00D77614" w:rsidP="00912D0E">
            <w:pPr>
              <w:spacing w:after="0" w:line="240" w:lineRule="auto"/>
              <w:ind w:firstLine="200"/>
              <w:jc w:val="center"/>
              <w:rPr>
                <w:rFonts w:eastAsia="Times New Roman"/>
                <w:color w:val="000000"/>
                <w:lang w:eastAsia="sk-SK"/>
              </w:rPr>
            </w:pPr>
            <w:r w:rsidRPr="00D52C33">
              <w:rPr>
                <w:rFonts w:eastAsia="Times New Roman"/>
                <w:color w:val="000000"/>
                <w:sz w:val="22"/>
                <w:szCs w:val="22"/>
                <w:lang w:eastAsia="sk-SK"/>
              </w:rPr>
              <w:t>DJ</w:t>
            </w:r>
          </w:p>
        </w:tc>
        <w:tc>
          <w:tcPr>
            <w:tcW w:w="1440" w:type="dxa"/>
            <w:tcBorders>
              <w:top w:val="single" w:sz="8" w:space="0" w:color="auto"/>
              <w:left w:val="nil"/>
              <w:bottom w:val="single" w:sz="4" w:space="0" w:color="000000" w:themeColor="text1"/>
              <w:right w:val="single" w:sz="8" w:space="0" w:color="auto"/>
            </w:tcBorders>
            <w:shd w:val="clear" w:color="auto" w:fill="auto"/>
            <w:noWrap/>
            <w:vAlign w:val="center"/>
            <w:hideMark/>
          </w:tcPr>
          <w:p w:rsidR="00D77614" w:rsidRPr="000663FE" w:rsidRDefault="00D77614" w:rsidP="00912D0E">
            <w:pPr>
              <w:spacing w:after="0" w:line="240" w:lineRule="auto"/>
              <w:ind w:firstLine="290"/>
              <w:jc w:val="right"/>
              <w:rPr>
                <w:rFonts w:eastAsia="Times New Roman"/>
                <w:lang w:eastAsia="sk-SK"/>
              </w:rPr>
            </w:pPr>
            <w:r w:rsidRPr="000663FE">
              <w:rPr>
                <w:rFonts w:eastAsia="Times New Roman"/>
                <w:lang w:eastAsia="sk-SK"/>
              </w:rPr>
              <w:t>213,82</w:t>
            </w:r>
          </w:p>
        </w:tc>
        <w:tc>
          <w:tcPr>
            <w:tcW w:w="1620" w:type="dxa"/>
            <w:tcBorders>
              <w:top w:val="single" w:sz="8" w:space="0" w:color="auto"/>
              <w:left w:val="nil"/>
              <w:bottom w:val="single" w:sz="4" w:space="0" w:color="000000" w:themeColor="text1"/>
              <w:right w:val="single" w:sz="8" w:space="0" w:color="auto"/>
            </w:tcBorders>
            <w:vAlign w:val="center"/>
          </w:tcPr>
          <w:p w:rsidR="00D77614" w:rsidRPr="000663FE" w:rsidRDefault="00D77614" w:rsidP="00912D0E">
            <w:pPr>
              <w:spacing w:after="0" w:line="240" w:lineRule="auto"/>
              <w:ind w:firstLine="290"/>
              <w:jc w:val="right"/>
              <w:rPr>
                <w:rFonts w:eastAsia="Times New Roman"/>
                <w:lang w:eastAsia="sk-SK"/>
              </w:rPr>
            </w:pPr>
            <w:r w:rsidRPr="000663FE">
              <w:rPr>
                <w:rFonts w:eastAsia="Times New Roman"/>
                <w:lang w:eastAsia="sk-SK"/>
              </w:rPr>
              <w:t>223,03</w:t>
            </w:r>
          </w:p>
        </w:tc>
      </w:tr>
      <w:tr w:rsidR="00D77614" w:rsidRPr="00F40642" w:rsidTr="00912D0E">
        <w:trPr>
          <w:trHeight w:val="625"/>
        </w:trPr>
        <w:tc>
          <w:tcPr>
            <w:tcW w:w="4875" w:type="dxa"/>
            <w:tcBorders>
              <w:top w:val="single" w:sz="4" w:space="0" w:color="000000" w:themeColor="text1"/>
              <w:left w:val="single" w:sz="8" w:space="0" w:color="auto"/>
              <w:bottom w:val="single" w:sz="4" w:space="0" w:color="000000" w:themeColor="text1"/>
              <w:right w:val="nil"/>
            </w:tcBorders>
            <w:shd w:val="clear" w:color="auto" w:fill="auto"/>
            <w:noWrap/>
            <w:vAlign w:val="center"/>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kravy chované v systéme</w:t>
            </w:r>
            <w:r>
              <w:rPr>
                <w:rFonts w:eastAsia="Times New Roman"/>
                <w:color w:val="000000"/>
                <w:sz w:val="22"/>
                <w:szCs w:val="22"/>
                <w:lang w:eastAsia="sk-SK"/>
              </w:rPr>
              <w:t xml:space="preserve"> </w:t>
            </w:r>
            <w:r w:rsidRPr="00D52C33">
              <w:rPr>
                <w:rFonts w:eastAsia="Times New Roman"/>
                <w:color w:val="000000"/>
                <w:sz w:val="22"/>
                <w:szCs w:val="22"/>
                <w:lang w:eastAsia="sk-SK"/>
              </w:rPr>
              <w:t>s trhovou produkciou mlieka</w:t>
            </w:r>
          </w:p>
        </w:tc>
        <w:tc>
          <w:tcPr>
            <w:tcW w:w="1080" w:type="dxa"/>
            <w:tcBorders>
              <w:top w:val="single" w:sz="4" w:space="0" w:color="000000" w:themeColor="text1"/>
              <w:left w:val="single" w:sz="8" w:space="0" w:color="auto"/>
              <w:bottom w:val="single" w:sz="4" w:space="0" w:color="000000" w:themeColor="text1"/>
              <w:right w:val="single" w:sz="8" w:space="0" w:color="auto"/>
            </w:tcBorders>
            <w:shd w:val="clear" w:color="auto" w:fill="auto"/>
            <w:noWrap/>
            <w:vAlign w:val="center"/>
            <w:hideMark/>
          </w:tcPr>
          <w:p w:rsidR="00D77614" w:rsidRPr="0059295D" w:rsidRDefault="00D77614" w:rsidP="00912D0E">
            <w:pPr>
              <w:spacing w:after="0" w:line="240" w:lineRule="auto"/>
              <w:ind w:firstLine="200"/>
              <w:jc w:val="center"/>
              <w:rPr>
                <w:rFonts w:eastAsia="Times New Roman"/>
                <w:color w:val="000000"/>
                <w:sz w:val="22"/>
                <w:szCs w:val="22"/>
                <w:lang w:eastAsia="sk-SK"/>
              </w:rPr>
            </w:pPr>
            <w:r w:rsidRPr="00D52C33">
              <w:rPr>
                <w:rFonts w:eastAsia="Times New Roman"/>
                <w:color w:val="000000"/>
                <w:sz w:val="22"/>
                <w:szCs w:val="22"/>
                <w:lang w:eastAsia="sk-SK"/>
              </w:rPr>
              <w:t>ks</w:t>
            </w:r>
          </w:p>
        </w:tc>
        <w:tc>
          <w:tcPr>
            <w:tcW w:w="1440" w:type="dxa"/>
            <w:tcBorders>
              <w:top w:val="single" w:sz="4" w:space="0" w:color="000000" w:themeColor="text1"/>
              <w:left w:val="nil"/>
              <w:bottom w:val="single" w:sz="4" w:space="0" w:color="000000" w:themeColor="text1"/>
              <w:right w:val="single" w:sz="8" w:space="0" w:color="auto"/>
            </w:tcBorders>
            <w:shd w:val="clear" w:color="auto" w:fill="auto"/>
            <w:noWrap/>
            <w:vAlign w:val="center"/>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 </w:t>
            </w:r>
          </w:p>
          <w:p w:rsidR="00D77614" w:rsidRPr="000663FE" w:rsidRDefault="00D77614" w:rsidP="00912D0E">
            <w:pPr>
              <w:spacing w:after="0" w:line="240" w:lineRule="auto"/>
              <w:ind w:firstLine="380"/>
              <w:jc w:val="right"/>
              <w:rPr>
                <w:rFonts w:eastAsia="Times New Roman"/>
                <w:lang w:eastAsia="sk-SK"/>
              </w:rPr>
            </w:pPr>
            <w:r w:rsidRPr="000663FE">
              <w:rPr>
                <w:rFonts w:eastAsia="Times New Roman"/>
                <w:lang w:eastAsia="sk-SK"/>
              </w:rPr>
              <w:t>250,21</w:t>
            </w:r>
          </w:p>
        </w:tc>
        <w:tc>
          <w:tcPr>
            <w:tcW w:w="1620" w:type="dxa"/>
            <w:tcBorders>
              <w:top w:val="single" w:sz="4" w:space="0" w:color="000000" w:themeColor="text1"/>
              <w:left w:val="nil"/>
              <w:bottom w:val="single" w:sz="4" w:space="0" w:color="000000" w:themeColor="text1"/>
              <w:right w:val="single" w:sz="8" w:space="0" w:color="auto"/>
            </w:tcBorders>
            <w:vAlign w:val="center"/>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 </w:t>
            </w:r>
          </w:p>
          <w:p w:rsidR="00D77614" w:rsidRPr="000663FE" w:rsidRDefault="00D77614" w:rsidP="00912D0E">
            <w:pPr>
              <w:spacing w:after="0" w:line="240" w:lineRule="auto"/>
              <w:jc w:val="right"/>
              <w:rPr>
                <w:rFonts w:eastAsia="Times New Roman"/>
                <w:lang w:eastAsia="sk-SK"/>
              </w:rPr>
            </w:pPr>
            <w:r w:rsidRPr="000663FE">
              <w:rPr>
                <w:rFonts w:eastAsia="Times New Roman"/>
                <w:lang w:eastAsia="sk-SK"/>
              </w:rPr>
              <w:t>274,6</w:t>
            </w:r>
            <w:r w:rsidR="00A07EC8">
              <w:rPr>
                <w:rFonts w:eastAsia="Times New Roman"/>
                <w:lang w:eastAsia="sk-SK"/>
              </w:rPr>
              <w:t>0</w:t>
            </w:r>
          </w:p>
        </w:tc>
      </w:tr>
      <w:tr w:rsidR="00D77614" w:rsidRPr="00F40642" w:rsidTr="00912D0E">
        <w:trPr>
          <w:trHeight w:val="723"/>
        </w:trPr>
        <w:tc>
          <w:tcPr>
            <w:tcW w:w="9015" w:type="dxa"/>
            <w:gridSpan w:val="4"/>
            <w:tcBorders>
              <w:top w:val="single" w:sz="4" w:space="0" w:color="000000" w:themeColor="text1"/>
              <w:left w:val="single" w:sz="8" w:space="0" w:color="auto"/>
              <w:bottom w:val="nil"/>
              <w:right w:val="single" w:sz="8" w:space="0" w:color="000000"/>
            </w:tcBorders>
            <w:shd w:val="clear" w:color="auto" w:fill="auto"/>
            <w:noWrap/>
            <w:vAlign w:val="center"/>
            <w:hideMark/>
          </w:tcPr>
          <w:p w:rsidR="00D77614" w:rsidRPr="0059295D" w:rsidRDefault="00D77614" w:rsidP="00912D0E">
            <w:pPr>
              <w:spacing w:after="0" w:line="240" w:lineRule="auto"/>
              <w:ind w:firstLine="0"/>
              <w:jc w:val="left"/>
              <w:rPr>
                <w:rFonts w:eastAsia="Times New Roman"/>
                <w:color w:val="000000"/>
                <w:sz w:val="22"/>
                <w:szCs w:val="22"/>
                <w:lang w:eastAsia="sk-SK"/>
              </w:rPr>
            </w:pPr>
            <w:r w:rsidRPr="0059295D">
              <w:rPr>
                <w:rFonts w:eastAsia="Times New Roman"/>
                <w:color w:val="000000"/>
                <w:sz w:val="22"/>
                <w:szCs w:val="22"/>
                <w:lang w:eastAsia="sk-SK"/>
              </w:rPr>
              <w:t>V zmysle § 16 nariadenia vlády č. 36/2015, koeficient úhrady fin. disciplíny (r.2015) je 1,280254 %.</w:t>
            </w:r>
          </w:p>
          <w:p w:rsidR="00D77614" w:rsidRPr="00D52C33" w:rsidRDefault="00D77614" w:rsidP="00912D0E">
            <w:pPr>
              <w:spacing w:after="0" w:line="240" w:lineRule="auto"/>
              <w:ind w:firstLine="0"/>
              <w:jc w:val="left"/>
              <w:rPr>
                <w:rFonts w:eastAsia="Times New Roman"/>
                <w:color w:val="000000"/>
                <w:sz w:val="22"/>
                <w:szCs w:val="22"/>
                <w:lang w:eastAsia="sk-SK"/>
              </w:rPr>
            </w:pPr>
            <w:r w:rsidRPr="0059295D">
              <w:rPr>
                <w:rFonts w:eastAsia="Times New Roman"/>
                <w:color w:val="000000"/>
                <w:sz w:val="22"/>
                <w:szCs w:val="22"/>
                <w:lang w:eastAsia="sk-SK"/>
              </w:rPr>
              <w:t>V zmysle § 15 ods. 2 nar. vlády č. 342/2014, koeficient úhrady fin. disciplíny (r.2016) je 1,358046%</w:t>
            </w:r>
          </w:p>
        </w:tc>
      </w:tr>
      <w:tr w:rsidR="00D77614" w:rsidRPr="00F40642" w:rsidTr="00912D0E">
        <w:trPr>
          <w:trHeight w:val="315"/>
        </w:trPr>
        <w:tc>
          <w:tcPr>
            <w:tcW w:w="4875" w:type="dxa"/>
            <w:tcBorders>
              <w:top w:val="single" w:sz="8" w:space="0" w:color="auto"/>
              <w:left w:val="single" w:sz="8" w:space="0" w:color="auto"/>
              <w:bottom w:val="single" w:sz="8" w:space="0" w:color="auto"/>
              <w:right w:val="nil"/>
            </w:tcBorders>
            <w:shd w:val="clear" w:color="auto" w:fill="auto"/>
            <w:noWrap/>
            <w:vAlign w:val="center"/>
            <w:hideMark/>
          </w:tcPr>
          <w:p w:rsidR="00D77614" w:rsidRPr="00D52C33" w:rsidRDefault="00D77614" w:rsidP="00912D0E">
            <w:pPr>
              <w:spacing w:after="0" w:line="240" w:lineRule="auto"/>
              <w:ind w:firstLine="0"/>
              <w:jc w:val="left"/>
              <w:rPr>
                <w:rFonts w:eastAsia="Times New Roman"/>
                <w:b/>
                <w:bCs/>
                <w:color w:val="000000"/>
                <w:lang w:eastAsia="sk-SK"/>
              </w:rPr>
            </w:pPr>
            <w:r w:rsidRPr="00D52C33">
              <w:rPr>
                <w:rFonts w:eastAsia="Times New Roman"/>
                <w:b/>
                <w:bCs/>
                <w:color w:val="000000"/>
                <w:sz w:val="22"/>
                <w:szCs w:val="22"/>
                <w:lang w:eastAsia="sk-SK"/>
              </w:rPr>
              <w:t>Prechodné vnútroštátne platby</w:t>
            </w:r>
          </w:p>
        </w:tc>
        <w:tc>
          <w:tcPr>
            <w:tcW w:w="1080" w:type="dxa"/>
            <w:tcBorders>
              <w:top w:val="single" w:sz="8" w:space="0" w:color="auto"/>
              <w:left w:val="nil"/>
              <w:bottom w:val="single" w:sz="8" w:space="0" w:color="auto"/>
              <w:right w:val="nil"/>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c>
          <w:tcPr>
            <w:tcW w:w="1620" w:type="dxa"/>
            <w:tcBorders>
              <w:top w:val="single" w:sz="8" w:space="0" w:color="auto"/>
              <w:left w:val="nil"/>
              <w:bottom w:val="single" w:sz="8" w:space="0" w:color="auto"/>
              <w:right w:val="single" w:sz="8" w:space="0" w:color="auto"/>
            </w:tcBorders>
          </w:tcPr>
          <w:p w:rsidR="00D77614" w:rsidRPr="00D52C33" w:rsidRDefault="00D77614" w:rsidP="00912D0E">
            <w:pPr>
              <w:spacing w:after="0" w:line="240" w:lineRule="auto"/>
              <w:ind w:firstLine="0"/>
              <w:jc w:val="left"/>
              <w:rPr>
                <w:rFonts w:eastAsia="Times New Roman"/>
                <w:color w:val="000000"/>
                <w:sz w:val="22"/>
                <w:szCs w:val="22"/>
                <w:lang w:eastAsia="sk-SK"/>
              </w:rPr>
            </w:pPr>
          </w:p>
        </w:tc>
      </w:tr>
      <w:tr w:rsidR="00D77614" w:rsidRPr="00F40642" w:rsidTr="00912D0E">
        <w:trPr>
          <w:trHeight w:val="315"/>
        </w:trPr>
        <w:tc>
          <w:tcPr>
            <w:tcW w:w="4875" w:type="dxa"/>
            <w:tcBorders>
              <w:top w:val="nil"/>
              <w:left w:val="single" w:sz="8" w:space="0" w:color="auto"/>
              <w:bottom w:val="nil"/>
              <w:right w:val="nil"/>
            </w:tcBorders>
            <w:shd w:val="clear" w:color="auto" w:fill="auto"/>
            <w:noWrap/>
            <w:vAlign w:val="center"/>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Doplnková vnútroštátna platba na plochu</w:t>
            </w:r>
          </w:p>
        </w:tc>
        <w:tc>
          <w:tcPr>
            <w:tcW w:w="1080" w:type="dxa"/>
            <w:tcBorders>
              <w:top w:val="nil"/>
              <w:left w:val="single" w:sz="8" w:space="0" w:color="auto"/>
              <w:bottom w:val="nil"/>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nil"/>
              <w:left w:val="nil"/>
              <w:bottom w:val="nil"/>
              <w:right w:val="single" w:sz="8" w:space="0" w:color="auto"/>
            </w:tcBorders>
            <w:shd w:val="clear" w:color="auto" w:fill="auto"/>
            <w:noWrap/>
            <w:vAlign w:val="center"/>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0</w:t>
            </w:r>
          </w:p>
        </w:tc>
        <w:tc>
          <w:tcPr>
            <w:tcW w:w="1620" w:type="dxa"/>
            <w:tcBorders>
              <w:top w:val="nil"/>
              <w:left w:val="nil"/>
              <w:bottom w:val="nil"/>
              <w:right w:val="single" w:sz="8" w:space="0" w:color="auto"/>
            </w:tcBorders>
            <w:vAlign w:val="center"/>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0</w:t>
            </w:r>
          </w:p>
        </w:tc>
      </w:tr>
      <w:tr w:rsidR="00D77614" w:rsidRPr="00F40642" w:rsidTr="00912D0E">
        <w:trPr>
          <w:trHeight w:val="315"/>
        </w:trPr>
        <w:tc>
          <w:tcPr>
            <w:tcW w:w="4875" w:type="dxa"/>
            <w:tcBorders>
              <w:top w:val="single" w:sz="8" w:space="0" w:color="auto"/>
              <w:left w:val="single" w:sz="8" w:space="0" w:color="auto"/>
              <w:bottom w:val="single" w:sz="8" w:space="0" w:color="auto"/>
              <w:right w:val="nil"/>
            </w:tcBorders>
            <w:shd w:val="clear" w:color="auto" w:fill="auto"/>
            <w:noWrap/>
            <w:vAlign w:val="center"/>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Doplnková vnútroštátna platba na chmeľ</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0</w:t>
            </w:r>
          </w:p>
        </w:tc>
        <w:tc>
          <w:tcPr>
            <w:tcW w:w="1620" w:type="dxa"/>
            <w:tcBorders>
              <w:top w:val="single" w:sz="8" w:space="0" w:color="auto"/>
              <w:left w:val="nil"/>
              <w:bottom w:val="single" w:sz="8" w:space="0" w:color="auto"/>
              <w:right w:val="single" w:sz="8" w:space="0" w:color="auto"/>
            </w:tcBorders>
            <w:vAlign w:val="center"/>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0</w:t>
            </w:r>
          </w:p>
        </w:tc>
      </w:tr>
      <w:tr w:rsidR="00D77614" w:rsidRPr="00F40642" w:rsidTr="00912D0E">
        <w:trPr>
          <w:trHeight w:val="315"/>
        </w:trPr>
        <w:tc>
          <w:tcPr>
            <w:tcW w:w="4875" w:type="dxa"/>
            <w:tcBorders>
              <w:top w:val="nil"/>
              <w:left w:val="single" w:sz="8" w:space="0" w:color="auto"/>
              <w:bottom w:val="nil"/>
              <w:right w:val="nil"/>
            </w:tcBorders>
            <w:shd w:val="clear" w:color="auto" w:fill="auto"/>
            <w:noWrap/>
            <w:vAlign w:val="center"/>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Doplnková vnútroštátna platba na dobytčie jednotky:</w:t>
            </w:r>
          </w:p>
        </w:tc>
        <w:tc>
          <w:tcPr>
            <w:tcW w:w="1080" w:type="dxa"/>
            <w:tcBorders>
              <w:top w:val="nil"/>
              <w:left w:val="single" w:sz="8" w:space="0" w:color="auto"/>
              <w:bottom w:val="nil"/>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440" w:type="dxa"/>
            <w:tcBorders>
              <w:top w:val="nil"/>
              <w:left w:val="nil"/>
              <w:bottom w:val="nil"/>
              <w:right w:val="single" w:sz="8" w:space="0" w:color="auto"/>
            </w:tcBorders>
            <w:shd w:val="clear" w:color="auto" w:fill="auto"/>
            <w:noWrap/>
            <w:vAlign w:val="center"/>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 </w:t>
            </w:r>
          </w:p>
        </w:tc>
        <w:tc>
          <w:tcPr>
            <w:tcW w:w="1620" w:type="dxa"/>
            <w:tcBorders>
              <w:top w:val="nil"/>
              <w:left w:val="nil"/>
              <w:bottom w:val="nil"/>
              <w:right w:val="single" w:sz="8" w:space="0" w:color="auto"/>
            </w:tcBorders>
            <w:vAlign w:val="center"/>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 </w:t>
            </w:r>
          </w:p>
        </w:tc>
      </w:tr>
      <w:tr w:rsidR="00D77614" w:rsidRPr="00F40642" w:rsidTr="00912D0E">
        <w:trPr>
          <w:trHeight w:val="315"/>
        </w:trPr>
        <w:tc>
          <w:tcPr>
            <w:tcW w:w="4875" w:type="dxa"/>
            <w:tcBorders>
              <w:top w:val="single" w:sz="8" w:space="0" w:color="auto"/>
              <w:left w:val="single" w:sz="8" w:space="0" w:color="auto"/>
              <w:bottom w:val="single" w:sz="8" w:space="0" w:color="auto"/>
              <w:right w:val="nil"/>
            </w:tcBorders>
            <w:shd w:val="clear" w:color="auto" w:fill="auto"/>
            <w:noWrap/>
            <w:vAlign w:val="center"/>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podľa § 4 ods. 2 písm. a), b), c) a f):</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DJ</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0</w:t>
            </w:r>
          </w:p>
        </w:tc>
        <w:tc>
          <w:tcPr>
            <w:tcW w:w="1620" w:type="dxa"/>
            <w:tcBorders>
              <w:top w:val="single" w:sz="8" w:space="0" w:color="auto"/>
              <w:left w:val="nil"/>
              <w:bottom w:val="single" w:sz="8" w:space="0" w:color="auto"/>
              <w:right w:val="single" w:sz="8" w:space="0" w:color="auto"/>
            </w:tcBorders>
            <w:vAlign w:val="center"/>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0</w:t>
            </w:r>
          </w:p>
        </w:tc>
      </w:tr>
      <w:tr w:rsidR="00D77614" w:rsidRPr="00F40642" w:rsidTr="00912D0E">
        <w:trPr>
          <w:trHeight w:val="315"/>
        </w:trPr>
        <w:tc>
          <w:tcPr>
            <w:tcW w:w="4875" w:type="dxa"/>
            <w:tcBorders>
              <w:top w:val="nil"/>
              <w:left w:val="single" w:sz="8" w:space="0" w:color="auto"/>
              <w:bottom w:val="single" w:sz="8" w:space="0" w:color="auto"/>
              <w:right w:val="nil"/>
            </w:tcBorders>
            <w:shd w:val="clear" w:color="auto" w:fill="auto"/>
            <w:noWrap/>
            <w:vAlign w:val="center"/>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podľa § 4 ods. 2 písm. d):</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DJ</w:t>
            </w:r>
          </w:p>
        </w:tc>
        <w:tc>
          <w:tcPr>
            <w:tcW w:w="1440" w:type="dxa"/>
            <w:tcBorders>
              <w:top w:val="nil"/>
              <w:left w:val="nil"/>
              <w:bottom w:val="single" w:sz="8" w:space="0" w:color="auto"/>
              <w:right w:val="single" w:sz="8" w:space="0" w:color="auto"/>
            </w:tcBorders>
            <w:shd w:val="clear" w:color="auto" w:fill="auto"/>
            <w:noWrap/>
            <w:vAlign w:val="center"/>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105</w:t>
            </w:r>
            <w:r w:rsidR="00A07EC8">
              <w:rPr>
                <w:rFonts w:eastAsia="Times New Roman"/>
                <w:lang w:eastAsia="sk-SK"/>
              </w:rPr>
              <w:t>,00</w:t>
            </w:r>
          </w:p>
        </w:tc>
        <w:tc>
          <w:tcPr>
            <w:tcW w:w="1620" w:type="dxa"/>
            <w:tcBorders>
              <w:top w:val="nil"/>
              <w:left w:val="nil"/>
              <w:bottom w:val="single" w:sz="8" w:space="0" w:color="auto"/>
              <w:right w:val="single" w:sz="8" w:space="0" w:color="auto"/>
            </w:tcBorders>
            <w:vAlign w:val="center"/>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98</w:t>
            </w:r>
            <w:r w:rsidR="00A07EC8">
              <w:rPr>
                <w:rFonts w:eastAsia="Times New Roman"/>
                <w:lang w:eastAsia="sk-SK"/>
              </w:rPr>
              <w:t>,00</w:t>
            </w:r>
          </w:p>
        </w:tc>
      </w:tr>
      <w:tr w:rsidR="00D77614" w:rsidRPr="00F40642" w:rsidTr="00912D0E">
        <w:trPr>
          <w:trHeight w:val="315"/>
        </w:trPr>
        <w:tc>
          <w:tcPr>
            <w:tcW w:w="4875" w:type="dxa"/>
            <w:tcBorders>
              <w:top w:val="nil"/>
              <w:left w:val="single" w:sz="8" w:space="0" w:color="auto"/>
              <w:bottom w:val="single" w:sz="8" w:space="0" w:color="auto"/>
              <w:right w:val="nil"/>
            </w:tcBorders>
            <w:shd w:val="clear" w:color="auto" w:fill="auto"/>
            <w:noWrap/>
            <w:vAlign w:val="center"/>
            <w:hideMark/>
          </w:tcPr>
          <w:p w:rsidR="00D77614" w:rsidRPr="00D52C33" w:rsidRDefault="00D77614" w:rsidP="00912D0E">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podľa § 4 ods. 2 písm. e):</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77614" w:rsidRPr="00D52C33" w:rsidRDefault="00D77614" w:rsidP="00912D0E">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DJ</w:t>
            </w:r>
          </w:p>
        </w:tc>
        <w:tc>
          <w:tcPr>
            <w:tcW w:w="1440" w:type="dxa"/>
            <w:tcBorders>
              <w:top w:val="nil"/>
              <w:left w:val="nil"/>
              <w:bottom w:val="single" w:sz="8" w:space="0" w:color="auto"/>
              <w:right w:val="single" w:sz="8" w:space="0" w:color="auto"/>
            </w:tcBorders>
            <w:shd w:val="clear" w:color="auto" w:fill="auto"/>
            <w:noWrap/>
            <w:vAlign w:val="center"/>
            <w:hideMark/>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68,25</w:t>
            </w:r>
          </w:p>
        </w:tc>
        <w:tc>
          <w:tcPr>
            <w:tcW w:w="1620" w:type="dxa"/>
            <w:tcBorders>
              <w:top w:val="nil"/>
              <w:left w:val="nil"/>
              <w:bottom w:val="single" w:sz="8" w:space="0" w:color="auto"/>
              <w:right w:val="single" w:sz="8" w:space="0" w:color="auto"/>
            </w:tcBorders>
            <w:vAlign w:val="center"/>
          </w:tcPr>
          <w:p w:rsidR="00D77614" w:rsidRPr="000663FE" w:rsidRDefault="00D77614" w:rsidP="00912D0E">
            <w:pPr>
              <w:spacing w:after="0" w:line="240" w:lineRule="auto"/>
              <w:ind w:firstLine="0"/>
              <w:jc w:val="right"/>
              <w:rPr>
                <w:rFonts w:eastAsia="Times New Roman"/>
                <w:lang w:eastAsia="sk-SK"/>
              </w:rPr>
            </w:pPr>
            <w:r w:rsidRPr="000663FE">
              <w:rPr>
                <w:rFonts w:eastAsia="Times New Roman"/>
                <w:lang w:eastAsia="sk-SK"/>
              </w:rPr>
              <w:t>63,7</w:t>
            </w:r>
            <w:r w:rsidR="00A07EC8">
              <w:rPr>
                <w:rFonts w:eastAsia="Times New Roman"/>
                <w:lang w:eastAsia="sk-SK"/>
              </w:rPr>
              <w:t>0</w:t>
            </w:r>
          </w:p>
        </w:tc>
      </w:tr>
    </w:tbl>
    <w:p w:rsidR="00D77614" w:rsidRPr="00DE4251" w:rsidRDefault="00D77614" w:rsidP="00D77614">
      <w:pPr>
        <w:spacing w:after="0" w:line="240" w:lineRule="auto"/>
        <w:ind w:firstLine="0"/>
      </w:pPr>
      <w:r w:rsidRPr="00DE4251">
        <w:rPr>
          <w:sz w:val="20"/>
          <w:szCs w:val="20"/>
        </w:rPr>
        <w:t>Prameň: MPRV SR</w:t>
      </w:r>
      <w:r w:rsidR="00A07EC8">
        <w:rPr>
          <w:sz w:val="20"/>
          <w:szCs w:val="20"/>
        </w:rPr>
        <w:t xml:space="preserve">, </w:t>
      </w:r>
      <w:r w:rsidRPr="00DE4251">
        <w:rPr>
          <w:sz w:val="20"/>
          <w:szCs w:val="20"/>
        </w:rPr>
        <w:t>Vypracoval: NPPC - VÚEPP</w:t>
      </w:r>
    </w:p>
    <w:p w:rsidR="006A34F5" w:rsidRDefault="006A34F5" w:rsidP="00523710">
      <w:pPr>
        <w:pStyle w:val="Nadpis3"/>
        <w:numPr>
          <w:ilvl w:val="0"/>
          <w:numId w:val="0"/>
        </w:numPr>
        <w:spacing w:after="0"/>
        <w:ind w:left="862" w:hanging="862"/>
        <w:rPr>
          <w:szCs w:val="24"/>
        </w:rPr>
      </w:pPr>
      <w:bookmarkStart w:id="5" w:name="_Toc483395309"/>
      <w:r w:rsidRPr="000663FE">
        <w:rPr>
          <w:szCs w:val="24"/>
        </w:rPr>
        <w:lastRenderedPageBreak/>
        <w:t>Prechodné vnútroštátne platby</w:t>
      </w:r>
      <w:bookmarkEnd w:id="5"/>
    </w:p>
    <w:p w:rsidR="006A34F5" w:rsidRPr="00717374" w:rsidRDefault="006A34F5" w:rsidP="00912D0E">
      <w:pPr>
        <w:ind w:firstLine="708"/>
      </w:pPr>
      <w:r>
        <w:t>Prechodné vnútroštátne platby sú poskytované zo štátneho rozpočtu ako podpora príjmu poľnohospodárov v tých členských štátoch, ktoré uplatňujú jednotnú platbu na plochu.</w:t>
      </w:r>
    </w:p>
    <w:p w:rsidR="006A34F5" w:rsidRPr="00BA3401" w:rsidRDefault="006A34F5" w:rsidP="00523710">
      <w:pPr>
        <w:shd w:val="clear" w:color="auto" w:fill="FFFFFF"/>
        <w:spacing w:after="0"/>
        <w:ind w:firstLine="0"/>
        <w:rPr>
          <w:b/>
        </w:rPr>
      </w:pPr>
      <w:r w:rsidRPr="00A17B73">
        <w:rPr>
          <w:i/>
        </w:rPr>
        <w:t>•</w:t>
      </w:r>
      <w:r>
        <w:rPr>
          <w:i/>
        </w:rPr>
        <w:t xml:space="preserve"> </w:t>
      </w:r>
      <w:r w:rsidRPr="00BA3401">
        <w:rPr>
          <w:rStyle w:val="Siln"/>
        </w:rPr>
        <w:t xml:space="preserve">Doplnková vnútroštátna platba na dobytčie jednotky </w:t>
      </w:r>
    </w:p>
    <w:p w:rsidR="006A34F5" w:rsidRPr="00C15AC7" w:rsidRDefault="006A34F5" w:rsidP="00523710">
      <w:pPr>
        <w:shd w:val="clear" w:color="auto" w:fill="FFFFFF"/>
        <w:spacing w:after="0"/>
        <w:ind w:hanging="862"/>
        <w:rPr>
          <w:rStyle w:val="Siln"/>
          <w:b w:val="0"/>
          <w:i/>
        </w:rPr>
      </w:pPr>
      <w:r w:rsidRPr="00C15AC7">
        <w:rPr>
          <w:rStyle w:val="Siln"/>
        </w:rPr>
        <w:tab/>
      </w:r>
      <w:r w:rsidRPr="00A17B73">
        <w:rPr>
          <w:i/>
        </w:rPr>
        <w:t>•</w:t>
      </w:r>
      <w:r>
        <w:rPr>
          <w:i/>
        </w:rPr>
        <w:t xml:space="preserve"> </w:t>
      </w:r>
      <w:r w:rsidRPr="00C15AC7">
        <w:rPr>
          <w:rStyle w:val="Siln"/>
        </w:rPr>
        <w:t>Doplnková vnútroštátna platba na plochu</w:t>
      </w:r>
    </w:p>
    <w:p w:rsidR="006A34F5" w:rsidRDefault="006A34F5" w:rsidP="00523710">
      <w:pPr>
        <w:shd w:val="clear" w:color="auto" w:fill="FFFFFF"/>
        <w:spacing w:after="0"/>
        <w:ind w:hanging="862"/>
        <w:rPr>
          <w:b/>
        </w:rPr>
      </w:pPr>
      <w:r w:rsidRPr="00C15AC7">
        <w:rPr>
          <w:rStyle w:val="Siln"/>
        </w:rPr>
        <w:tab/>
      </w:r>
      <w:r w:rsidRPr="00A17B73">
        <w:rPr>
          <w:i/>
        </w:rPr>
        <w:t>•</w:t>
      </w:r>
      <w:r>
        <w:rPr>
          <w:i/>
        </w:rPr>
        <w:t xml:space="preserve"> </w:t>
      </w:r>
      <w:r w:rsidRPr="00C15AC7">
        <w:rPr>
          <w:rStyle w:val="Siln"/>
        </w:rPr>
        <w:t>Doplnková vnútroštátna platba na chmeľ</w:t>
      </w:r>
      <w:r w:rsidRPr="00C15AC7">
        <w:rPr>
          <w:b/>
        </w:rPr>
        <w:t xml:space="preserve"> </w:t>
      </w:r>
    </w:p>
    <w:p w:rsidR="006A34F5" w:rsidRPr="00C15AC7" w:rsidRDefault="006A34F5" w:rsidP="006A34F5">
      <w:pPr>
        <w:shd w:val="clear" w:color="auto" w:fill="FFFFFF"/>
        <w:spacing w:after="0"/>
        <w:ind w:firstLine="0"/>
        <w:rPr>
          <w:b/>
        </w:rPr>
      </w:pPr>
    </w:p>
    <w:p w:rsidR="00344DFD" w:rsidRPr="000663FE" w:rsidRDefault="00523710" w:rsidP="00D77614">
      <w:pPr>
        <w:autoSpaceDE w:val="0"/>
        <w:autoSpaceDN w:val="0"/>
        <w:adjustRightInd w:val="0"/>
        <w:ind w:firstLine="0"/>
      </w:pPr>
      <w:r>
        <w:tab/>
      </w:r>
      <w:r w:rsidR="00344DFD" w:rsidRPr="000663FE">
        <w:t>Poskytovanie uvedených platieb upravuje nariadenie vlády SR č. 152/2013 Z. z. o podmienkach poskytovania podpory v poľnohospodárstve formou prechodných vnútroštátnych platieb v znení nariadenia vlády SR č. 20/2014 Z. z. a  nariadenia vlády SR č.</w:t>
      </w:r>
      <w:r w:rsidR="00A07EC8">
        <w:t> </w:t>
      </w:r>
      <w:r w:rsidR="00344DFD" w:rsidRPr="000663FE">
        <w:t xml:space="preserve">7/2015 Z. z. </w:t>
      </w:r>
    </w:p>
    <w:p w:rsidR="00344DFD" w:rsidRPr="000663FE" w:rsidRDefault="00344DFD" w:rsidP="00344DFD">
      <w:pPr>
        <w:shd w:val="clear" w:color="auto" w:fill="FFFFFF"/>
      </w:pPr>
      <w:r w:rsidRPr="000663FE">
        <w:rPr>
          <w:rStyle w:val="Siln"/>
          <w:i/>
        </w:rPr>
        <w:t>Doplnková vnútroštátna platba na dobytčie jednotky</w:t>
      </w:r>
      <w:r w:rsidRPr="000663FE">
        <w:rPr>
          <w:rStyle w:val="Siln"/>
        </w:rPr>
        <w:t xml:space="preserve"> </w:t>
      </w:r>
      <w:r w:rsidRPr="000663FE">
        <w:t>sa v zmysle § 4 nariadenia vlády SR č. 152/2013 poskytne na:</w:t>
      </w:r>
    </w:p>
    <w:p w:rsidR="00344DFD" w:rsidRPr="000663FE" w:rsidRDefault="00344DFD" w:rsidP="00344DFD">
      <w:pPr>
        <w:shd w:val="clear" w:color="auto" w:fill="FFFFFF"/>
      </w:pPr>
      <w:r w:rsidRPr="000663FE">
        <w:t>a) teľatá do šesť mesiacov na základe stavu zvierat k 31. marcu  2007. Stav zvierat (ODVIAZANÁ časť) sa určuje na základe výpisu z CEHZ,</w:t>
      </w:r>
    </w:p>
    <w:p w:rsidR="00344DFD" w:rsidRPr="000663FE" w:rsidRDefault="00344DFD" w:rsidP="00344DFD">
      <w:pPr>
        <w:shd w:val="clear" w:color="auto" w:fill="FFFFFF"/>
      </w:pPr>
      <w:r w:rsidRPr="000663FE">
        <w:t>b) hovädzí dobytok od 6 do 24 mesiacov na základe stavu zvierat k 31. marcu 2007. Stav zvierat (ODVIAZANÁ časť) sa určuje na základe výpisu z CEHZ,</w:t>
      </w:r>
    </w:p>
    <w:p w:rsidR="00344DFD" w:rsidRPr="000663FE" w:rsidRDefault="00344DFD" w:rsidP="00344DFD">
      <w:pPr>
        <w:shd w:val="clear" w:color="auto" w:fill="FFFFFF"/>
      </w:pPr>
      <w:r w:rsidRPr="000663FE">
        <w:t>c) býky, voly a jalovice nad 24 mesiacov na základe stavu zvierat k 31. marcu 2007.  Stav zvierat (ODVIAZANÁ časť) sa určuje na základe výpisu z CEHZ,</w:t>
      </w:r>
    </w:p>
    <w:p w:rsidR="00344DFD" w:rsidRPr="00786B28" w:rsidRDefault="00344DFD" w:rsidP="00344DFD">
      <w:pPr>
        <w:shd w:val="clear" w:color="auto" w:fill="FFFFFF"/>
      </w:pPr>
      <w:r w:rsidRPr="000663FE">
        <w:t xml:space="preserve">d) dojčiace kravy (najmenej raz otelené ku dňu predloženia žiadosti, ktorých mlieko slúži len ako krmivo na výživu teliat) nad 24 mesiacov na základe stavu zvierat k dátumu podania žiadosti príslušného kalendárneho roka. Stav zvierat (VIAZANÁ časť) sa určuje na </w:t>
      </w:r>
      <w:r w:rsidRPr="00786B28">
        <w:t>základe zoznamu zvierat, ktorý zostaví žiadateľ,</w:t>
      </w:r>
    </w:p>
    <w:p w:rsidR="00344DFD" w:rsidRPr="00786B28" w:rsidRDefault="00344DFD" w:rsidP="00344DFD">
      <w:pPr>
        <w:shd w:val="clear" w:color="auto" w:fill="FFFFFF"/>
      </w:pPr>
      <w:r w:rsidRPr="00786B28">
        <w:t xml:space="preserve">e) ovce a kozy nad 12 mesiacov (samičieho pohlavia) na základe stavu zvierat k 31. marcu 2007. Stav zvierat (ODVIAZANÁ časť) sa určuje na základe výpisu z CEHZ. V prípade, ak sú vo výpise aj barany, žiadateľ vyškrtne zo zoznamu tieto zvieratá a žiadosť si predloží na upravený (nižší) počet zvierat, k dátumu podania žiadosti príslušného kalendárneho roka. Stav zvierat (VIAZANÁ časť) sa určuje na základe zoznamu zvierat, ktorý zostaví žiadateľ, </w:t>
      </w:r>
    </w:p>
    <w:p w:rsidR="00344DFD" w:rsidRPr="000663FE" w:rsidRDefault="00344DFD" w:rsidP="00344DFD">
      <w:pPr>
        <w:shd w:val="clear" w:color="auto" w:fill="FFFFFF"/>
      </w:pPr>
      <w:r w:rsidRPr="00786B28">
        <w:t>f) individuálne referenčné</w:t>
      </w:r>
      <w:r w:rsidRPr="000663FE">
        <w:t xml:space="preserve"> množstvo mlieka (ďalej len „individuálna kvóta“) k</w:t>
      </w:r>
      <w:r>
        <w:t> </w:t>
      </w:r>
      <w:r w:rsidRPr="000663FE">
        <w:t>31. marcu 2007. Stav sa určí na základe rozhodnutia Pôdohospodárskej platobnej agentúry o pridelení individuálnej kvóty.</w:t>
      </w:r>
    </w:p>
    <w:p w:rsidR="00912D0E" w:rsidRDefault="00912D0E" w:rsidP="00505229">
      <w:pPr>
        <w:spacing w:after="0" w:line="240" w:lineRule="auto"/>
        <w:ind w:firstLine="0"/>
        <w:rPr>
          <w:b/>
        </w:rPr>
      </w:pPr>
    </w:p>
    <w:p w:rsidR="00373B4F" w:rsidRDefault="00CB0E59" w:rsidP="00A07EC8">
      <w:pPr>
        <w:spacing w:after="0" w:line="240" w:lineRule="auto"/>
        <w:ind w:firstLine="0"/>
        <w:jc w:val="left"/>
      </w:pPr>
      <w:r w:rsidRPr="00E06DA3">
        <w:rPr>
          <w:b/>
        </w:rPr>
        <w:t>Vyplatené priame platby</w:t>
      </w:r>
      <w:r w:rsidR="00A07EC8" w:rsidRPr="00A07EC8">
        <w:rPr>
          <w:b/>
        </w:rPr>
        <w:t xml:space="preserve">, </w:t>
      </w:r>
      <w:r w:rsidRPr="00A07EC8">
        <w:rPr>
          <w:b/>
        </w:rPr>
        <w:t xml:space="preserve"> </w:t>
      </w:r>
      <w:r w:rsidR="008F6EE5" w:rsidRPr="00A07EC8">
        <w:rPr>
          <w:b/>
        </w:rPr>
        <w:t xml:space="preserve">mil </w:t>
      </w:r>
      <w:r w:rsidRPr="00A07EC8">
        <w:rPr>
          <w:b/>
        </w:rPr>
        <w:t xml:space="preserve">€                            </w:t>
      </w:r>
      <w:r w:rsidR="00A07EC8">
        <w:rPr>
          <w:b/>
        </w:rPr>
        <w:t xml:space="preserve">    </w:t>
      </w:r>
      <w:r w:rsidRPr="00A07EC8">
        <w:t xml:space="preserve">                                          </w:t>
      </w:r>
      <w:r w:rsidRPr="00DE4251">
        <w:t xml:space="preserve">Tabuľka </w:t>
      </w:r>
      <w:r w:rsidR="00484D35">
        <w:t>5</w:t>
      </w:r>
    </w:p>
    <w:tbl>
      <w:tblPr>
        <w:tblW w:w="8946" w:type="dxa"/>
        <w:tblInd w:w="55" w:type="dxa"/>
        <w:tblCellMar>
          <w:left w:w="70" w:type="dxa"/>
          <w:right w:w="70" w:type="dxa"/>
        </w:tblCellMar>
        <w:tblLook w:val="04A0" w:firstRow="1" w:lastRow="0" w:firstColumn="1" w:lastColumn="0" w:noHBand="0" w:noVBand="1"/>
      </w:tblPr>
      <w:tblGrid>
        <w:gridCol w:w="5827"/>
        <w:gridCol w:w="1559"/>
        <w:gridCol w:w="1560"/>
      </w:tblGrid>
      <w:tr w:rsidR="00CB0E59" w:rsidRPr="00373B4F" w:rsidTr="00A617B8">
        <w:trPr>
          <w:trHeight w:val="315"/>
        </w:trPr>
        <w:tc>
          <w:tcPr>
            <w:tcW w:w="5827" w:type="dxa"/>
            <w:tcBorders>
              <w:top w:val="single" w:sz="8" w:space="0" w:color="auto"/>
              <w:left w:val="single" w:sz="8" w:space="0" w:color="auto"/>
              <w:bottom w:val="single" w:sz="8" w:space="0" w:color="auto"/>
              <w:right w:val="single" w:sz="8" w:space="0" w:color="auto"/>
            </w:tcBorders>
            <w:shd w:val="clear" w:color="000000" w:fill="C2D69B" w:themeFill="accent3" w:themeFillTint="99"/>
            <w:noWrap/>
            <w:hideMark/>
          </w:tcPr>
          <w:p w:rsidR="00CB0E59" w:rsidRPr="00734063" w:rsidRDefault="00CB0E59" w:rsidP="00505229">
            <w:pPr>
              <w:spacing w:after="0" w:line="240" w:lineRule="auto"/>
              <w:ind w:firstLine="0"/>
              <w:jc w:val="left"/>
              <w:rPr>
                <w:rFonts w:eastAsia="Times New Roman"/>
                <w:b/>
                <w:bCs/>
                <w:color w:val="000000"/>
                <w:lang w:eastAsia="sk-SK"/>
              </w:rPr>
            </w:pPr>
            <w:r w:rsidRPr="00734063">
              <w:rPr>
                <w:rFonts w:eastAsia="Times New Roman"/>
                <w:b/>
                <w:bCs/>
                <w:color w:val="000000"/>
                <w:sz w:val="22"/>
                <w:szCs w:val="22"/>
                <w:lang w:eastAsia="sk-SK"/>
              </w:rPr>
              <w:t> Tituly</w:t>
            </w:r>
          </w:p>
        </w:tc>
        <w:tc>
          <w:tcPr>
            <w:tcW w:w="1559" w:type="dxa"/>
            <w:tcBorders>
              <w:top w:val="single" w:sz="8" w:space="0" w:color="auto"/>
              <w:left w:val="nil"/>
              <w:bottom w:val="single" w:sz="8" w:space="0" w:color="auto"/>
              <w:right w:val="single" w:sz="8" w:space="0" w:color="auto"/>
            </w:tcBorders>
            <w:shd w:val="clear" w:color="000000" w:fill="C2D69B" w:themeFill="accent3" w:themeFillTint="99"/>
            <w:noWrap/>
            <w:vAlign w:val="center"/>
            <w:hideMark/>
          </w:tcPr>
          <w:p w:rsidR="00CB0E59" w:rsidRPr="00734063" w:rsidRDefault="00CB0E59" w:rsidP="0063619E">
            <w:pPr>
              <w:spacing w:after="0" w:line="240" w:lineRule="auto"/>
              <w:ind w:firstLine="0"/>
              <w:jc w:val="right"/>
              <w:rPr>
                <w:rFonts w:eastAsia="Times New Roman"/>
                <w:b/>
                <w:bCs/>
                <w:color w:val="000000"/>
                <w:lang w:eastAsia="sk-SK"/>
              </w:rPr>
            </w:pPr>
            <w:r w:rsidRPr="00734063">
              <w:rPr>
                <w:rFonts w:eastAsia="Times New Roman"/>
                <w:b/>
                <w:bCs/>
                <w:color w:val="000000"/>
                <w:sz w:val="22"/>
                <w:szCs w:val="22"/>
                <w:lang w:eastAsia="sk-SK"/>
              </w:rPr>
              <w:t>201</w:t>
            </w:r>
            <w:r w:rsidR="0063619E">
              <w:rPr>
                <w:rFonts w:eastAsia="Times New Roman"/>
                <w:b/>
                <w:bCs/>
                <w:color w:val="000000"/>
                <w:sz w:val="22"/>
                <w:szCs w:val="22"/>
                <w:lang w:eastAsia="sk-SK"/>
              </w:rPr>
              <w:t>5</w:t>
            </w:r>
          </w:p>
        </w:tc>
        <w:tc>
          <w:tcPr>
            <w:tcW w:w="1560" w:type="dxa"/>
            <w:tcBorders>
              <w:top w:val="single" w:sz="8" w:space="0" w:color="auto"/>
              <w:left w:val="nil"/>
              <w:bottom w:val="single" w:sz="8" w:space="0" w:color="auto"/>
              <w:right w:val="single" w:sz="8" w:space="0" w:color="auto"/>
            </w:tcBorders>
            <w:shd w:val="clear" w:color="000000" w:fill="C2D69B" w:themeFill="accent3" w:themeFillTint="99"/>
            <w:noWrap/>
            <w:vAlign w:val="center"/>
            <w:hideMark/>
          </w:tcPr>
          <w:p w:rsidR="00CB0E59" w:rsidRPr="00734063" w:rsidRDefault="00CB0E59" w:rsidP="0063619E">
            <w:pPr>
              <w:spacing w:after="0" w:line="240" w:lineRule="auto"/>
              <w:ind w:firstLine="0"/>
              <w:jc w:val="right"/>
              <w:rPr>
                <w:rFonts w:eastAsia="Times New Roman"/>
                <w:b/>
                <w:bCs/>
                <w:color w:val="000000"/>
                <w:lang w:eastAsia="sk-SK"/>
              </w:rPr>
            </w:pPr>
            <w:r w:rsidRPr="00734063">
              <w:rPr>
                <w:rFonts w:eastAsia="Times New Roman"/>
                <w:b/>
                <w:bCs/>
                <w:color w:val="000000"/>
                <w:sz w:val="22"/>
                <w:szCs w:val="22"/>
                <w:lang w:eastAsia="sk-SK"/>
              </w:rPr>
              <w:t>201</w:t>
            </w:r>
            <w:r w:rsidR="0063619E">
              <w:rPr>
                <w:rFonts w:eastAsia="Times New Roman"/>
                <w:b/>
                <w:bCs/>
                <w:color w:val="000000"/>
                <w:sz w:val="22"/>
                <w:szCs w:val="22"/>
                <w:lang w:eastAsia="sk-SK"/>
              </w:rPr>
              <w:t>6</w:t>
            </w:r>
          </w:p>
        </w:tc>
      </w:tr>
      <w:tr w:rsidR="00786B28"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786B28" w:rsidRPr="00D77614" w:rsidRDefault="00786B28" w:rsidP="00FD7741">
            <w:pPr>
              <w:spacing w:after="0" w:line="240" w:lineRule="auto"/>
              <w:ind w:firstLine="0"/>
              <w:jc w:val="left"/>
              <w:rPr>
                <w:rFonts w:eastAsia="Times New Roman"/>
                <w:szCs w:val="22"/>
                <w:lang w:eastAsia="sk-SK"/>
              </w:rPr>
            </w:pPr>
            <w:r w:rsidRPr="00D77614">
              <w:rPr>
                <w:rFonts w:eastAsia="Times New Roman"/>
                <w:szCs w:val="22"/>
                <w:lang w:eastAsia="sk-SK"/>
              </w:rPr>
              <w:t>Jednotná platba na plochu (SAPS)</w:t>
            </w:r>
          </w:p>
        </w:tc>
        <w:tc>
          <w:tcPr>
            <w:tcW w:w="1559"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color w:val="000000"/>
              </w:rPr>
            </w:pPr>
            <w:r w:rsidRPr="00D77614">
              <w:rPr>
                <w:color w:val="000000"/>
              </w:rPr>
              <w:t>48,04</w:t>
            </w:r>
          </w:p>
        </w:tc>
        <w:tc>
          <w:tcPr>
            <w:tcW w:w="1560" w:type="dxa"/>
            <w:tcBorders>
              <w:top w:val="nil"/>
              <w:left w:val="nil"/>
              <w:bottom w:val="single" w:sz="8" w:space="0" w:color="auto"/>
              <w:right w:val="single" w:sz="8" w:space="0" w:color="auto"/>
            </w:tcBorders>
            <w:shd w:val="clear" w:color="000000" w:fill="FFFFFF"/>
            <w:noWrap/>
            <w:vAlign w:val="bottom"/>
            <w:hideMark/>
          </w:tcPr>
          <w:p w:rsidR="00786B28" w:rsidRPr="00D77614" w:rsidRDefault="00D77614">
            <w:pPr>
              <w:jc w:val="right"/>
              <w:rPr>
                <w:color w:val="000000"/>
              </w:rPr>
            </w:pPr>
            <w:r w:rsidRPr="00D77614">
              <w:rPr>
                <w:color w:val="000000"/>
              </w:rPr>
              <w:t>0</w:t>
            </w:r>
            <w:r w:rsidR="00786B28" w:rsidRPr="00D77614">
              <w:rPr>
                <w:color w:val="000000"/>
              </w:rPr>
              <w:t> </w:t>
            </w:r>
          </w:p>
        </w:tc>
      </w:tr>
      <w:tr w:rsidR="00786B28"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786B28" w:rsidRPr="00D77614" w:rsidRDefault="00786B28" w:rsidP="00FD7741">
            <w:pPr>
              <w:spacing w:after="0" w:line="240" w:lineRule="auto"/>
              <w:ind w:firstLine="0"/>
              <w:jc w:val="left"/>
              <w:rPr>
                <w:rFonts w:eastAsia="Times New Roman"/>
                <w:szCs w:val="22"/>
                <w:lang w:eastAsia="sk-SK"/>
              </w:rPr>
            </w:pPr>
            <w:r w:rsidRPr="00D77614">
              <w:rPr>
                <w:rFonts w:eastAsia="Times New Roman"/>
                <w:szCs w:val="22"/>
                <w:lang w:eastAsia="sk-SK"/>
              </w:rPr>
              <w:t>Dojnice</w:t>
            </w:r>
          </w:p>
        </w:tc>
        <w:tc>
          <w:tcPr>
            <w:tcW w:w="1559"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color w:val="000000"/>
              </w:rPr>
            </w:pPr>
            <w:r w:rsidRPr="00D77614">
              <w:rPr>
                <w:color w:val="000000"/>
              </w:rPr>
              <w:t>3,56</w:t>
            </w:r>
          </w:p>
        </w:tc>
        <w:tc>
          <w:tcPr>
            <w:tcW w:w="1560" w:type="dxa"/>
            <w:tcBorders>
              <w:top w:val="nil"/>
              <w:left w:val="nil"/>
              <w:bottom w:val="single" w:sz="8" w:space="0" w:color="auto"/>
              <w:right w:val="single" w:sz="8" w:space="0" w:color="auto"/>
            </w:tcBorders>
            <w:shd w:val="clear" w:color="000000" w:fill="FFFFFF"/>
            <w:noWrap/>
            <w:vAlign w:val="bottom"/>
            <w:hideMark/>
          </w:tcPr>
          <w:p w:rsidR="00786B28" w:rsidRPr="00D77614" w:rsidRDefault="00D77614">
            <w:pPr>
              <w:jc w:val="right"/>
              <w:rPr>
                <w:color w:val="000000"/>
              </w:rPr>
            </w:pPr>
            <w:r w:rsidRPr="00D77614">
              <w:rPr>
                <w:color w:val="000000"/>
              </w:rPr>
              <w:t>0</w:t>
            </w:r>
            <w:r w:rsidR="00786B28" w:rsidRPr="00D77614">
              <w:rPr>
                <w:color w:val="000000"/>
              </w:rPr>
              <w:t> </w:t>
            </w:r>
          </w:p>
        </w:tc>
      </w:tr>
      <w:tr w:rsidR="00786B28"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786B28" w:rsidRPr="00D77614" w:rsidRDefault="00786B28" w:rsidP="00FD7741">
            <w:pPr>
              <w:spacing w:after="0" w:line="240" w:lineRule="auto"/>
              <w:ind w:firstLine="0"/>
              <w:jc w:val="left"/>
              <w:rPr>
                <w:rFonts w:eastAsia="Times New Roman"/>
                <w:szCs w:val="22"/>
                <w:lang w:eastAsia="sk-SK"/>
              </w:rPr>
            </w:pPr>
            <w:r w:rsidRPr="00D77614">
              <w:rPr>
                <w:rFonts w:eastAsia="Times New Roman"/>
                <w:szCs w:val="22"/>
                <w:lang w:eastAsia="sk-SK"/>
              </w:rPr>
              <w:t>Osobitná platba na cukor + ostatné PP</w:t>
            </w:r>
          </w:p>
        </w:tc>
        <w:tc>
          <w:tcPr>
            <w:tcW w:w="1559"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color w:val="000000"/>
              </w:rPr>
            </w:pPr>
            <w:r w:rsidRPr="00D77614">
              <w:rPr>
                <w:color w:val="000000"/>
              </w:rPr>
              <w:t>1,29</w:t>
            </w:r>
          </w:p>
        </w:tc>
        <w:tc>
          <w:tcPr>
            <w:tcW w:w="1560" w:type="dxa"/>
            <w:tcBorders>
              <w:top w:val="nil"/>
              <w:left w:val="nil"/>
              <w:bottom w:val="single" w:sz="8" w:space="0" w:color="auto"/>
              <w:right w:val="single" w:sz="8" w:space="0" w:color="auto"/>
            </w:tcBorders>
            <w:shd w:val="clear" w:color="000000" w:fill="FFFFFF"/>
            <w:noWrap/>
            <w:vAlign w:val="bottom"/>
            <w:hideMark/>
          </w:tcPr>
          <w:p w:rsidR="00786B28" w:rsidRPr="00D77614" w:rsidRDefault="00D77614">
            <w:pPr>
              <w:jc w:val="right"/>
              <w:rPr>
                <w:color w:val="000000"/>
              </w:rPr>
            </w:pPr>
            <w:r w:rsidRPr="00D77614">
              <w:rPr>
                <w:color w:val="000000"/>
              </w:rPr>
              <w:t>0,01</w:t>
            </w:r>
          </w:p>
        </w:tc>
      </w:tr>
      <w:tr w:rsidR="00786B28"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786B28" w:rsidRPr="00D77614" w:rsidRDefault="00786B28" w:rsidP="00FD7741">
            <w:pPr>
              <w:spacing w:after="0" w:line="240" w:lineRule="auto"/>
              <w:ind w:firstLine="0"/>
              <w:jc w:val="left"/>
              <w:rPr>
                <w:rFonts w:eastAsia="Times New Roman"/>
                <w:szCs w:val="22"/>
                <w:lang w:eastAsia="sk-SK"/>
              </w:rPr>
            </w:pPr>
            <w:r w:rsidRPr="00D77614">
              <w:rPr>
                <w:rFonts w:eastAsia="Times New Roman"/>
                <w:szCs w:val="22"/>
                <w:lang w:eastAsia="sk-SK"/>
              </w:rPr>
              <w:t>Prechodné vnútroštátne platby, z toho:</w:t>
            </w:r>
          </w:p>
        </w:tc>
        <w:tc>
          <w:tcPr>
            <w:tcW w:w="1559"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color w:val="000000"/>
              </w:rPr>
            </w:pPr>
            <w:r w:rsidRPr="00D77614">
              <w:rPr>
                <w:color w:val="000000"/>
              </w:rPr>
              <w:t>5,96</w:t>
            </w:r>
          </w:p>
        </w:tc>
        <w:tc>
          <w:tcPr>
            <w:tcW w:w="1560"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color w:val="000000"/>
              </w:rPr>
            </w:pPr>
            <w:r w:rsidRPr="00D77614">
              <w:rPr>
                <w:color w:val="000000"/>
              </w:rPr>
              <w:t>5,57</w:t>
            </w:r>
          </w:p>
        </w:tc>
      </w:tr>
      <w:tr w:rsidR="00786B28" w:rsidRPr="00373B4F" w:rsidTr="00912D0E">
        <w:trPr>
          <w:trHeight w:val="330"/>
        </w:trPr>
        <w:tc>
          <w:tcPr>
            <w:tcW w:w="5827" w:type="dxa"/>
            <w:tcBorders>
              <w:top w:val="nil"/>
              <w:left w:val="single" w:sz="8" w:space="0" w:color="auto"/>
              <w:bottom w:val="single" w:sz="4" w:space="0" w:color="auto"/>
              <w:right w:val="single" w:sz="8" w:space="0" w:color="auto"/>
            </w:tcBorders>
            <w:shd w:val="clear" w:color="000000" w:fill="FFFFFF"/>
            <w:noWrap/>
            <w:vAlign w:val="bottom"/>
            <w:hideMark/>
          </w:tcPr>
          <w:p w:rsidR="00786B28" w:rsidRPr="00D77614" w:rsidRDefault="00786B28"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 xml:space="preserve">  </w:t>
            </w:r>
            <w:r w:rsidR="00A07EC8">
              <w:rPr>
                <w:rFonts w:eastAsia="Times New Roman"/>
                <w:iCs/>
                <w:szCs w:val="22"/>
                <w:lang w:eastAsia="sk-SK"/>
              </w:rPr>
              <w:t xml:space="preserve">               </w:t>
            </w:r>
            <w:r w:rsidR="002B2E52" w:rsidRPr="00222257">
              <w:t>doplnková vnútroštátna platba na plochu</w:t>
            </w:r>
          </w:p>
        </w:tc>
        <w:tc>
          <w:tcPr>
            <w:tcW w:w="1559" w:type="dxa"/>
            <w:tcBorders>
              <w:top w:val="nil"/>
              <w:left w:val="nil"/>
              <w:bottom w:val="single" w:sz="4" w:space="0" w:color="auto"/>
              <w:right w:val="single" w:sz="8" w:space="0" w:color="auto"/>
            </w:tcBorders>
            <w:shd w:val="clear" w:color="000000" w:fill="FFFFFF"/>
            <w:noWrap/>
            <w:vAlign w:val="bottom"/>
            <w:hideMark/>
          </w:tcPr>
          <w:p w:rsidR="00786B28" w:rsidRPr="00D77614" w:rsidRDefault="00786B28">
            <w:pPr>
              <w:jc w:val="right"/>
              <w:rPr>
                <w:iCs/>
                <w:color w:val="000000"/>
              </w:rPr>
            </w:pPr>
            <w:r w:rsidRPr="00D77614">
              <w:rPr>
                <w:iCs/>
                <w:color w:val="000000"/>
              </w:rPr>
              <w:t>0</w:t>
            </w:r>
          </w:p>
        </w:tc>
        <w:tc>
          <w:tcPr>
            <w:tcW w:w="1560" w:type="dxa"/>
            <w:tcBorders>
              <w:top w:val="nil"/>
              <w:left w:val="nil"/>
              <w:bottom w:val="single" w:sz="4" w:space="0" w:color="auto"/>
              <w:right w:val="single" w:sz="8" w:space="0" w:color="auto"/>
            </w:tcBorders>
            <w:shd w:val="clear" w:color="000000" w:fill="FFFFFF"/>
            <w:noWrap/>
            <w:vAlign w:val="bottom"/>
            <w:hideMark/>
          </w:tcPr>
          <w:p w:rsidR="00786B28" w:rsidRPr="00D77614" w:rsidRDefault="00D77614">
            <w:pPr>
              <w:jc w:val="right"/>
              <w:rPr>
                <w:iCs/>
                <w:color w:val="000000"/>
              </w:rPr>
            </w:pPr>
            <w:r w:rsidRPr="00D77614">
              <w:rPr>
                <w:iCs/>
                <w:color w:val="000000"/>
              </w:rPr>
              <w:t>0</w:t>
            </w:r>
            <w:r w:rsidR="00786B28" w:rsidRPr="00D77614">
              <w:rPr>
                <w:iCs/>
                <w:color w:val="000000"/>
              </w:rPr>
              <w:t> </w:t>
            </w:r>
          </w:p>
        </w:tc>
      </w:tr>
      <w:tr w:rsidR="00786B28" w:rsidRPr="00373B4F" w:rsidTr="00912D0E">
        <w:trPr>
          <w:trHeight w:val="330"/>
        </w:trPr>
        <w:tc>
          <w:tcPr>
            <w:tcW w:w="5827"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786B28" w:rsidRPr="00D77614" w:rsidRDefault="00786B28" w:rsidP="00FD7741">
            <w:pPr>
              <w:spacing w:after="0" w:line="240" w:lineRule="auto"/>
              <w:ind w:firstLine="0"/>
              <w:jc w:val="left"/>
              <w:rPr>
                <w:rFonts w:eastAsia="Times New Roman"/>
                <w:iCs/>
                <w:szCs w:val="22"/>
                <w:lang w:eastAsia="sk-SK"/>
              </w:rPr>
            </w:pPr>
            <w:r w:rsidRPr="00D77614">
              <w:rPr>
                <w:rFonts w:eastAsia="Times New Roman"/>
                <w:iCs/>
                <w:szCs w:val="22"/>
                <w:lang w:eastAsia="sk-SK"/>
              </w:rPr>
              <w:lastRenderedPageBreak/>
              <w:t xml:space="preserve">  </w:t>
            </w:r>
            <w:r w:rsidR="00A07EC8">
              <w:rPr>
                <w:rFonts w:eastAsia="Times New Roman"/>
                <w:iCs/>
                <w:szCs w:val="22"/>
                <w:lang w:eastAsia="sk-SK"/>
              </w:rPr>
              <w:t xml:space="preserve">            </w:t>
            </w:r>
            <w:r w:rsidR="002B2E52" w:rsidRPr="00222257">
              <w:t>doplnková vnútroštátna platba na chmeľ</w:t>
            </w:r>
          </w:p>
        </w:tc>
        <w:tc>
          <w:tcPr>
            <w:tcW w:w="1559" w:type="dxa"/>
            <w:tcBorders>
              <w:top w:val="single" w:sz="4" w:space="0" w:color="auto"/>
              <w:left w:val="nil"/>
              <w:bottom w:val="single" w:sz="8" w:space="0" w:color="auto"/>
              <w:right w:val="single" w:sz="8" w:space="0" w:color="auto"/>
            </w:tcBorders>
            <w:shd w:val="clear" w:color="000000" w:fill="FFFFFF"/>
            <w:noWrap/>
            <w:vAlign w:val="bottom"/>
            <w:hideMark/>
          </w:tcPr>
          <w:p w:rsidR="00786B28" w:rsidRPr="00D77614" w:rsidRDefault="00786B28">
            <w:pPr>
              <w:jc w:val="right"/>
              <w:rPr>
                <w:iCs/>
                <w:color w:val="000000"/>
              </w:rPr>
            </w:pPr>
            <w:r w:rsidRPr="00D77614">
              <w:rPr>
                <w:iCs/>
                <w:color w:val="000000"/>
              </w:rPr>
              <w:t>0</w:t>
            </w:r>
          </w:p>
        </w:tc>
        <w:tc>
          <w:tcPr>
            <w:tcW w:w="1560" w:type="dxa"/>
            <w:tcBorders>
              <w:top w:val="single" w:sz="4" w:space="0" w:color="auto"/>
              <w:left w:val="nil"/>
              <w:bottom w:val="single" w:sz="8" w:space="0" w:color="auto"/>
              <w:right w:val="single" w:sz="8" w:space="0" w:color="auto"/>
            </w:tcBorders>
            <w:shd w:val="clear" w:color="000000" w:fill="FFFFFF"/>
            <w:noWrap/>
            <w:vAlign w:val="bottom"/>
            <w:hideMark/>
          </w:tcPr>
          <w:p w:rsidR="00786B28" w:rsidRPr="00D77614" w:rsidRDefault="00D77614">
            <w:pPr>
              <w:jc w:val="right"/>
              <w:rPr>
                <w:iCs/>
                <w:color w:val="000000"/>
              </w:rPr>
            </w:pPr>
            <w:r w:rsidRPr="00D77614">
              <w:rPr>
                <w:iCs/>
                <w:color w:val="000000"/>
              </w:rPr>
              <w:t>0</w:t>
            </w:r>
            <w:r w:rsidR="00786B28" w:rsidRPr="00D77614">
              <w:rPr>
                <w:iCs/>
                <w:color w:val="000000"/>
              </w:rPr>
              <w:t> </w:t>
            </w:r>
          </w:p>
        </w:tc>
      </w:tr>
      <w:tr w:rsidR="00786B28"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786B28" w:rsidRPr="00D77614" w:rsidRDefault="00786B28" w:rsidP="002B2E52">
            <w:pPr>
              <w:spacing w:after="0" w:line="240" w:lineRule="auto"/>
              <w:ind w:left="845" w:hanging="845"/>
              <w:jc w:val="left"/>
              <w:rPr>
                <w:rFonts w:eastAsia="Times New Roman"/>
                <w:iCs/>
                <w:szCs w:val="22"/>
                <w:lang w:eastAsia="sk-SK"/>
              </w:rPr>
            </w:pPr>
            <w:r w:rsidRPr="00D77614">
              <w:rPr>
                <w:rFonts w:eastAsia="Times New Roman"/>
                <w:iCs/>
                <w:szCs w:val="22"/>
                <w:lang w:eastAsia="sk-SK"/>
              </w:rPr>
              <w:t xml:space="preserve">  </w:t>
            </w:r>
            <w:r w:rsidR="00A07EC8">
              <w:rPr>
                <w:rFonts w:eastAsia="Times New Roman"/>
                <w:iCs/>
                <w:szCs w:val="22"/>
                <w:lang w:eastAsia="sk-SK"/>
              </w:rPr>
              <w:t xml:space="preserve">            </w:t>
            </w:r>
            <w:r w:rsidR="002B2E52" w:rsidRPr="00222257">
              <w:t>doplnková vnútroštátna platba na dobytčie jednotky</w:t>
            </w:r>
          </w:p>
        </w:tc>
        <w:tc>
          <w:tcPr>
            <w:tcW w:w="1559"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iCs/>
                <w:color w:val="000000"/>
              </w:rPr>
            </w:pPr>
            <w:r w:rsidRPr="00D77614">
              <w:rPr>
                <w:iCs/>
                <w:color w:val="000000"/>
              </w:rPr>
              <w:t>5,95</w:t>
            </w:r>
          </w:p>
        </w:tc>
        <w:tc>
          <w:tcPr>
            <w:tcW w:w="1560"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iCs/>
                <w:color w:val="000000"/>
              </w:rPr>
            </w:pPr>
            <w:r w:rsidRPr="00D77614">
              <w:rPr>
                <w:iCs/>
                <w:color w:val="000000"/>
              </w:rPr>
              <w:t>5,57</w:t>
            </w:r>
          </w:p>
        </w:tc>
      </w:tr>
      <w:tr w:rsidR="00786B28"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786B28" w:rsidRPr="00D77614" w:rsidRDefault="00786B28"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 </w:t>
            </w:r>
            <w:r w:rsidR="00A07EC8">
              <w:rPr>
                <w:rFonts w:eastAsia="Times New Roman"/>
                <w:iCs/>
                <w:szCs w:val="22"/>
                <w:lang w:eastAsia="sk-SK"/>
              </w:rPr>
              <w:t xml:space="preserve">            </w:t>
            </w:r>
            <w:r w:rsidRPr="00D77614">
              <w:rPr>
                <w:rFonts w:eastAsia="Times New Roman"/>
                <w:iCs/>
                <w:szCs w:val="22"/>
                <w:lang w:eastAsia="sk-SK"/>
              </w:rPr>
              <w:t xml:space="preserve"> plodiny na ornej pôde</w:t>
            </w:r>
          </w:p>
        </w:tc>
        <w:tc>
          <w:tcPr>
            <w:tcW w:w="1559"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iCs/>
                <w:color w:val="000000"/>
              </w:rPr>
            </w:pPr>
            <w:r w:rsidRPr="00D77614">
              <w:rPr>
                <w:iCs/>
                <w:color w:val="000000"/>
              </w:rPr>
              <w:t>0,01</w:t>
            </w:r>
          </w:p>
        </w:tc>
        <w:tc>
          <w:tcPr>
            <w:tcW w:w="1560" w:type="dxa"/>
            <w:tcBorders>
              <w:top w:val="nil"/>
              <w:left w:val="nil"/>
              <w:bottom w:val="single" w:sz="8" w:space="0" w:color="auto"/>
              <w:right w:val="single" w:sz="8" w:space="0" w:color="auto"/>
            </w:tcBorders>
            <w:shd w:val="clear" w:color="000000" w:fill="FFFFFF"/>
            <w:noWrap/>
            <w:vAlign w:val="bottom"/>
            <w:hideMark/>
          </w:tcPr>
          <w:p w:rsidR="00786B28" w:rsidRPr="00D77614" w:rsidRDefault="00D77614">
            <w:pPr>
              <w:jc w:val="right"/>
              <w:rPr>
                <w:iCs/>
                <w:color w:val="000000"/>
              </w:rPr>
            </w:pPr>
            <w:r w:rsidRPr="00D77614">
              <w:rPr>
                <w:iCs/>
                <w:color w:val="000000"/>
              </w:rPr>
              <w:t>0</w:t>
            </w:r>
            <w:r w:rsidR="00786B28" w:rsidRPr="00D77614">
              <w:rPr>
                <w:iCs/>
                <w:color w:val="000000"/>
              </w:rPr>
              <w:t> </w:t>
            </w:r>
          </w:p>
        </w:tc>
      </w:tr>
      <w:tr w:rsidR="00786B28"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786B28" w:rsidRPr="00D77614" w:rsidRDefault="002B2E52" w:rsidP="00FD7741">
            <w:pPr>
              <w:spacing w:after="0" w:line="240" w:lineRule="auto"/>
              <w:ind w:firstLine="0"/>
              <w:jc w:val="left"/>
              <w:rPr>
                <w:rFonts w:eastAsia="Times New Roman"/>
                <w:szCs w:val="22"/>
                <w:lang w:eastAsia="sk-SK"/>
              </w:rPr>
            </w:pPr>
            <w:r w:rsidRPr="00222257">
              <w:t>Prechodný zjednodušený režim základnej platby</w:t>
            </w:r>
          </w:p>
        </w:tc>
        <w:tc>
          <w:tcPr>
            <w:tcW w:w="1559"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color w:val="000000"/>
              </w:rPr>
            </w:pPr>
            <w:r w:rsidRPr="00D77614">
              <w:rPr>
                <w:color w:val="000000"/>
              </w:rPr>
              <w:t>181,66</w:t>
            </w:r>
          </w:p>
        </w:tc>
        <w:tc>
          <w:tcPr>
            <w:tcW w:w="1560"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color w:val="000000"/>
              </w:rPr>
            </w:pPr>
            <w:r w:rsidRPr="00D77614">
              <w:rPr>
                <w:color w:val="000000"/>
              </w:rPr>
              <w:t>217,17</w:t>
            </w:r>
          </w:p>
        </w:tc>
      </w:tr>
      <w:tr w:rsidR="00786B28"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786B28" w:rsidRPr="00D77614" w:rsidRDefault="002B2E52" w:rsidP="00FD7741">
            <w:pPr>
              <w:spacing w:after="0" w:line="240" w:lineRule="auto"/>
              <w:ind w:firstLine="0"/>
              <w:jc w:val="left"/>
              <w:rPr>
                <w:rFonts w:eastAsia="Times New Roman"/>
                <w:szCs w:val="22"/>
                <w:lang w:eastAsia="sk-SK"/>
              </w:rPr>
            </w:pPr>
            <w:r w:rsidRPr="00222257">
              <w:t>Platby na poľnohospodárske  postupy prospešné pre klímu a životné prostredie (greening)</w:t>
            </w:r>
          </w:p>
        </w:tc>
        <w:tc>
          <w:tcPr>
            <w:tcW w:w="1559"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color w:val="000000"/>
              </w:rPr>
            </w:pPr>
            <w:r w:rsidRPr="00D77614">
              <w:rPr>
                <w:color w:val="000000"/>
              </w:rPr>
              <w:t>97,99</w:t>
            </w:r>
          </w:p>
        </w:tc>
        <w:tc>
          <w:tcPr>
            <w:tcW w:w="1560"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color w:val="000000"/>
              </w:rPr>
            </w:pPr>
            <w:r w:rsidRPr="00D77614">
              <w:rPr>
                <w:color w:val="000000"/>
              </w:rPr>
              <w:t>116,73</w:t>
            </w:r>
          </w:p>
        </w:tc>
      </w:tr>
      <w:tr w:rsidR="00786B28"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786B28" w:rsidRPr="00D77614" w:rsidRDefault="00786B28" w:rsidP="00FD7741">
            <w:pPr>
              <w:spacing w:after="0" w:line="240" w:lineRule="auto"/>
              <w:ind w:firstLine="0"/>
              <w:jc w:val="left"/>
              <w:rPr>
                <w:rFonts w:eastAsia="Times New Roman"/>
                <w:szCs w:val="22"/>
                <w:lang w:eastAsia="sk-SK"/>
              </w:rPr>
            </w:pPr>
            <w:r w:rsidRPr="00D77614">
              <w:rPr>
                <w:rFonts w:eastAsia="Times New Roman"/>
                <w:szCs w:val="22"/>
                <w:lang w:eastAsia="sk-SK"/>
              </w:rPr>
              <w:t>Platba pre mladých poľnohospodárov</w:t>
            </w:r>
          </w:p>
        </w:tc>
        <w:tc>
          <w:tcPr>
            <w:tcW w:w="1559" w:type="dxa"/>
            <w:tcBorders>
              <w:top w:val="nil"/>
              <w:left w:val="nil"/>
              <w:bottom w:val="single" w:sz="8" w:space="0" w:color="auto"/>
              <w:right w:val="single" w:sz="8" w:space="0" w:color="auto"/>
            </w:tcBorders>
            <w:shd w:val="clear" w:color="000000" w:fill="FFFFFF"/>
            <w:noWrap/>
            <w:vAlign w:val="center"/>
            <w:hideMark/>
          </w:tcPr>
          <w:p w:rsidR="00786B28" w:rsidRPr="00D77614" w:rsidRDefault="00D77614" w:rsidP="00D77614">
            <w:pPr>
              <w:jc w:val="right"/>
              <w:rPr>
                <w:color w:val="000000"/>
              </w:rPr>
            </w:pPr>
            <w:r w:rsidRPr="00D77614">
              <w:rPr>
                <w:color w:val="00000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786B28" w:rsidRPr="00D77614" w:rsidRDefault="00D77614" w:rsidP="00D77614">
            <w:pPr>
              <w:jc w:val="right"/>
              <w:rPr>
                <w:color w:val="000000"/>
              </w:rPr>
            </w:pPr>
            <w:r w:rsidRPr="00D77614">
              <w:rPr>
                <w:color w:val="000000"/>
              </w:rPr>
              <w:t>0,26</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szCs w:val="22"/>
                <w:lang w:eastAsia="sk-SK"/>
              </w:rPr>
            </w:pPr>
            <w:r w:rsidRPr="00D77614">
              <w:rPr>
                <w:rFonts w:eastAsia="Times New Roman"/>
                <w:szCs w:val="22"/>
                <w:lang w:eastAsia="sk-SK"/>
              </w:rPr>
              <w:t>Viazané priame platby, z toho:</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color w:val="000000"/>
              </w:rPr>
            </w:pPr>
            <w:r w:rsidRPr="00D77614">
              <w:rPr>
                <w:color w:val="000000"/>
              </w:rPr>
              <w:t>41,54</w:t>
            </w: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color w:val="000000"/>
              </w:rPr>
            </w:pPr>
            <w:r w:rsidRPr="00D77614">
              <w:rPr>
                <w:color w:val="000000"/>
              </w:rPr>
              <w:t>63,24</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platba na pestovanie cukrovej repy</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6,22</w:t>
            </w: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7,83</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platba na pestovanie chmeľu</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0,06</w:t>
            </w: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0,04</w:t>
            </w:r>
          </w:p>
        </w:tc>
      </w:tr>
      <w:tr w:rsidR="00A24993" w:rsidRPr="00373B4F" w:rsidTr="00F67151">
        <w:trPr>
          <w:trHeight w:val="330"/>
        </w:trPr>
        <w:tc>
          <w:tcPr>
            <w:tcW w:w="5827" w:type="dxa"/>
            <w:tcBorders>
              <w:top w:val="nil"/>
              <w:left w:val="single" w:sz="8" w:space="0" w:color="auto"/>
              <w:bottom w:val="single" w:sz="4"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platba na pestovanie vybraných druhov ovocia s vysokou prácnosťou</w:t>
            </w:r>
          </w:p>
        </w:tc>
        <w:tc>
          <w:tcPr>
            <w:tcW w:w="1559" w:type="dxa"/>
            <w:tcBorders>
              <w:top w:val="nil"/>
              <w:left w:val="nil"/>
              <w:bottom w:val="single" w:sz="4"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0,22</w:t>
            </w:r>
          </w:p>
        </w:tc>
        <w:tc>
          <w:tcPr>
            <w:tcW w:w="1560" w:type="dxa"/>
            <w:tcBorders>
              <w:top w:val="nil"/>
              <w:left w:val="nil"/>
              <w:bottom w:val="single" w:sz="4"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0,17</w:t>
            </w:r>
          </w:p>
        </w:tc>
      </w:tr>
      <w:tr w:rsidR="00A24993" w:rsidRPr="00373B4F" w:rsidTr="00F67151">
        <w:trPr>
          <w:trHeight w:val="330"/>
        </w:trPr>
        <w:tc>
          <w:tcPr>
            <w:tcW w:w="5827"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platba na pestovanie vybraných druhov ovocia s veľmi vysokou prácnosťou</w:t>
            </w:r>
          </w:p>
        </w:tc>
        <w:tc>
          <w:tcPr>
            <w:tcW w:w="1559" w:type="dxa"/>
            <w:tcBorders>
              <w:top w:val="single" w:sz="4" w:space="0" w:color="auto"/>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0,6</w:t>
            </w:r>
          </w:p>
        </w:tc>
        <w:tc>
          <w:tcPr>
            <w:tcW w:w="1560" w:type="dxa"/>
            <w:tcBorders>
              <w:top w:val="single" w:sz="4" w:space="0" w:color="auto"/>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0,43</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platba na pestovanie vybraných druhov zeleniny s vysokou prácnosťou</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0,05</w:t>
            </w: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0,07</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platba na pestovanie vybraných druhov zeleniny s veľmi vysokou prácnosťou</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0,37</w:t>
            </w: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0,37</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platba na pestovanie rajčiakov</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0,27</w:t>
            </w: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0,27</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platba na chov bahníc, jariek a kôz</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3,93</w:t>
            </w: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6,01</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platba na výkrm vybraných kategórií hovädzieho dobytka</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5,63</w:t>
            </w: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9,06</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iCs/>
                <w:szCs w:val="22"/>
                <w:lang w:eastAsia="sk-SK"/>
              </w:rPr>
            </w:pPr>
            <w:r w:rsidRPr="00D77614">
              <w:rPr>
                <w:rFonts w:eastAsia="Times New Roman"/>
                <w:iCs/>
                <w:szCs w:val="22"/>
                <w:lang w:eastAsia="sk-SK"/>
              </w:rPr>
              <w:t>platba na kravy chované v systéme s trhovou produkciou mlieka</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24,19</w:t>
            </w: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iCs/>
                <w:color w:val="000000"/>
              </w:rPr>
            </w:pPr>
            <w:r w:rsidRPr="00D77614">
              <w:rPr>
                <w:iCs/>
                <w:color w:val="000000"/>
              </w:rPr>
              <w:t>39,01</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szCs w:val="22"/>
                <w:lang w:eastAsia="sk-SK"/>
              </w:rPr>
            </w:pPr>
            <w:r w:rsidRPr="00D77614">
              <w:rPr>
                <w:rFonts w:eastAsia="Times New Roman"/>
                <w:szCs w:val="22"/>
                <w:lang w:eastAsia="sk-SK"/>
              </w:rPr>
              <w:t>Refundácia finančnej disciplíny RFD</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color w:val="000000"/>
              </w:rPr>
            </w:pPr>
            <w:r w:rsidRPr="00D77614">
              <w:rPr>
                <w:color w:val="000000"/>
              </w:rPr>
              <w:t>4,96</w:t>
            </w: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color w:val="000000"/>
              </w:rPr>
            </w:pPr>
            <w:r w:rsidRPr="00D77614">
              <w:rPr>
                <w:color w:val="000000"/>
              </w:rPr>
              <w:t>4,96</w:t>
            </w:r>
          </w:p>
        </w:tc>
      </w:tr>
      <w:tr w:rsidR="00A24993"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A24993" w:rsidRPr="00D77614" w:rsidRDefault="00A24993" w:rsidP="00FD7741">
            <w:pPr>
              <w:spacing w:after="0" w:line="240" w:lineRule="auto"/>
              <w:ind w:firstLine="0"/>
              <w:jc w:val="left"/>
              <w:rPr>
                <w:rFonts w:eastAsia="Times New Roman"/>
                <w:szCs w:val="22"/>
                <w:lang w:eastAsia="sk-SK"/>
              </w:rPr>
            </w:pPr>
            <w:r w:rsidRPr="00D77614">
              <w:rPr>
                <w:rFonts w:eastAsia="Times New Roman"/>
                <w:lang w:eastAsia="sk-SK"/>
              </w:rPr>
              <w:t>prevedené prostriedky pre ÚKSUP</w:t>
            </w:r>
          </w:p>
        </w:tc>
        <w:tc>
          <w:tcPr>
            <w:tcW w:w="1559"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color w:val="000000"/>
              </w:rPr>
            </w:pPr>
          </w:p>
        </w:tc>
        <w:tc>
          <w:tcPr>
            <w:tcW w:w="1560" w:type="dxa"/>
            <w:tcBorders>
              <w:top w:val="nil"/>
              <w:left w:val="nil"/>
              <w:bottom w:val="single" w:sz="8" w:space="0" w:color="auto"/>
              <w:right w:val="single" w:sz="8" w:space="0" w:color="auto"/>
            </w:tcBorders>
            <w:shd w:val="clear" w:color="000000" w:fill="FFFFFF"/>
            <w:noWrap/>
            <w:vAlign w:val="bottom"/>
            <w:hideMark/>
          </w:tcPr>
          <w:p w:rsidR="00A24993" w:rsidRPr="00D77614" w:rsidRDefault="00A24993" w:rsidP="003C7386">
            <w:pPr>
              <w:jc w:val="right"/>
              <w:rPr>
                <w:color w:val="000000"/>
              </w:rPr>
            </w:pPr>
            <w:r w:rsidRPr="00D77614">
              <w:rPr>
                <w:color w:val="000000"/>
              </w:rPr>
              <w:t>0,08</w:t>
            </w:r>
          </w:p>
        </w:tc>
      </w:tr>
      <w:tr w:rsidR="00786B28" w:rsidRPr="00373B4F" w:rsidTr="00A617B8">
        <w:trPr>
          <w:trHeight w:val="330"/>
        </w:trPr>
        <w:tc>
          <w:tcPr>
            <w:tcW w:w="5827" w:type="dxa"/>
            <w:tcBorders>
              <w:top w:val="nil"/>
              <w:left w:val="single" w:sz="8" w:space="0" w:color="auto"/>
              <w:bottom w:val="single" w:sz="8" w:space="0" w:color="auto"/>
              <w:right w:val="single" w:sz="8" w:space="0" w:color="auto"/>
            </w:tcBorders>
            <w:shd w:val="clear" w:color="000000" w:fill="FFFFFF"/>
            <w:noWrap/>
            <w:vAlign w:val="bottom"/>
            <w:hideMark/>
          </w:tcPr>
          <w:p w:rsidR="00786B28" w:rsidRPr="00D77614" w:rsidRDefault="00786B28" w:rsidP="00FD7741">
            <w:pPr>
              <w:spacing w:after="0" w:line="240" w:lineRule="auto"/>
              <w:ind w:firstLine="0"/>
              <w:jc w:val="left"/>
              <w:rPr>
                <w:rFonts w:eastAsia="Times New Roman"/>
                <w:b/>
                <w:bCs/>
                <w:szCs w:val="22"/>
                <w:lang w:eastAsia="sk-SK"/>
              </w:rPr>
            </w:pPr>
            <w:r w:rsidRPr="00D77614">
              <w:rPr>
                <w:rFonts w:eastAsia="Times New Roman"/>
                <w:b/>
                <w:bCs/>
                <w:szCs w:val="22"/>
                <w:lang w:eastAsia="sk-SK"/>
              </w:rPr>
              <w:t>Priame platby spolu</w:t>
            </w:r>
          </w:p>
        </w:tc>
        <w:tc>
          <w:tcPr>
            <w:tcW w:w="1559" w:type="dxa"/>
            <w:tcBorders>
              <w:top w:val="nil"/>
              <w:left w:val="nil"/>
              <w:bottom w:val="single" w:sz="8" w:space="0" w:color="auto"/>
              <w:right w:val="single" w:sz="8" w:space="0" w:color="auto"/>
            </w:tcBorders>
            <w:shd w:val="clear" w:color="000000" w:fill="FFFFFF"/>
            <w:noWrap/>
            <w:vAlign w:val="bottom"/>
            <w:hideMark/>
          </w:tcPr>
          <w:p w:rsidR="00786B28" w:rsidRPr="00D77614" w:rsidRDefault="00786B28">
            <w:pPr>
              <w:jc w:val="right"/>
              <w:rPr>
                <w:b/>
                <w:color w:val="000000"/>
              </w:rPr>
            </w:pPr>
            <w:r w:rsidRPr="00D77614">
              <w:rPr>
                <w:b/>
                <w:color w:val="000000"/>
              </w:rPr>
              <w:t> </w:t>
            </w:r>
            <w:r w:rsidR="006823C9" w:rsidRPr="00D77614">
              <w:rPr>
                <w:b/>
                <w:color w:val="000000"/>
              </w:rPr>
              <w:t>385</w:t>
            </w:r>
          </w:p>
        </w:tc>
        <w:tc>
          <w:tcPr>
            <w:tcW w:w="1560" w:type="dxa"/>
            <w:tcBorders>
              <w:top w:val="nil"/>
              <w:left w:val="nil"/>
              <w:bottom w:val="single" w:sz="8" w:space="0" w:color="auto"/>
              <w:right w:val="single" w:sz="8" w:space="0" w:color="auto"/>
            </w:tcBorders>
            <w:shd w:val="clear" w:color="000000" w:fill="FFFFFF"/>
            <w:noWrap/>
            <w:vAlign w:val="bottom"/>
            <w:hideMark/>
          </w:tcPr>
          <w:p w:rsidR="00786B28" w:rsidRPr="00D77614" w:rsidRDefault="006823C9">
            <w:pPr>
              <w:jc w:val="right"/>
              <w:rPr>
                <w:b/>
                <w:color w:val="000000"/>
              </w:rPr>
            </w:pPr>
            <w:r w:rsidRPr="00D77614">
              <w:rPr>
                <w:b/>
                <w:color w:val="000000"/>
              </w:rPr>
              <w:t>408,01</w:t>
            </w:r>
          </w:p>
        </w:tc>
      </w:tr>
    </w:tbl>
    <w:p w:rsidR="00CB0E59" w:rsidRPr="00DE4251" w:rsidRDefault="00CB0E59" w:rsidP="00505229">
      <w:pPr>
        <w:spacing w:after="0" w:line="240" w:lineRule="auto"/>
        <w:ind w:firstLine="0"/>
        <w:rPr>
          <w:sz w:val="20"/>
          <w:szCs w:val="20"/>
        </w:rPr>
      </w:pPr>
      <w:r w:rsidRPr="00DE4251">
        <w:rPr>
          <w:sz w:val="20"/>
          <w:szCs w:val="20"/>
        </w:rPr>
        <w:t>Prameň: PPA,  MPRV SR</w:t>
      </w:r>
    </w:p>
    <w:p w:rsidR="00CB0E59" w:rsidRDefault="00CB0E59" w:rsidP="00505229">
      <w:pPr>
        <w:spacing w:after="0" w:line="240" w:lineRule="auto"/>
        <w:ind w:firstLine="0"/>
        <w:rPr>
          <w:sz w:val="20"/>
          <w:szCs w:val="20"/>
        </w:rPr>
      </w:pPr>
      <w:r w:rsidRPr="00DE4251">
        <w:rPr>
          <w:sz w:val="20"/>
          <w:szCs w:val="20"/>
        </w:rPr>
        <w:t xml:space="preserve">Vypracoval: NPPC </w:t>
      </w:r>
      <w:r>
        <w:rPr>
          <w:sz w:val="20"/>
          <w:szCs w:val="20"/>
        </w:rPr>
        <w:t>–</w:t>
      </w:r>
      <w:r w:rsidRPr="00DE4251">
        <w:rPr>
          <w:sz w:val="20"/>
          <w:szCs w:val="20"/>
        </w:rPr>
        <w:t xml:space="preserve"> VÚEPP</w:t>
      </w:r>
    </w:p>
    <w:p w:rsidR="00CB0E59" w:rsidRDefault="00484D35" w:rsidP="00CB0E59">
      <w:r>
        <w:t xml:space="preserve"> </w:t>
      </w:r>
    </w:p>
    <w:p w:rsidR="00484D35" w:rsidRPr="008C76D2" w:rsidRDefault="00484D35" w:rsidP="00484D35">
      <w:pPr>
        <w:spacing w:after="0" w:line="240" w:lineRule="auto"/>
        <w:ind w:firstLine="0"/>
        <w:jc w:val="left"/>
        <w:rPr>
          <w:bCs/>
          <w:sz w:val="20"/>
          <w:szCs w:val="20"/>
        </w:rPr>
      </w:pPr>
      <w:r>
        <w:rPr>
          <w:b/>
        </w:rPr>
        <w:t>Priame platby</w:t>
      </w:r>
      <w:r w:rsidRPr="008C76D2">
        <w:rPr>
          <w:b/>
        </w:rPr>
        <w:t xml:space="preserve"> v rokoch 2011 – 2016</w:t>
      </w:r>
      <w:r>
        <w:rPr>
          <w:b/>
        </w:rPr>
        <w:t xml:space="preserve">, </w:t>
      </w:r>
      <w:r w:rsidRPr="008C76D2">
        <w:rPr>
          <w:b/>
        </w:rPr>
        <w:t xml:space="preserve"> v mil. €</w:t>
      </w:r>
      <w:r>
        <w:rPr>
          <w:b/>
        </w:rPr>
        <w:t xml:space="preserve">                                                       </w:t>
      </w:r>
      <w:r w:rsidRPr="00F1363E">
        <w:rPr>
          <w:rStyle w:val="Siln"/>
          <w:b w:val="0"/>
        </w:rPr>
        <w:t xml:space="preserve">Tabuľka </w:t>
      </w:r>
      <w:r>
        <w:rPr>
          <w:rStyle w:val="Siln"/>
          <w:b w:val="0"/>
        </w:rPr>
        <w:t>6</w:t>
      </w:r>
    </w:p>
    <w:tbl>
      <w:tblPr>
        <w:tblStyle w:val="Mriekatabuky"/>
        <w:tblW w:w="0" w:type="auto"/>
        <w:tblInd w:w="108" w:type="dxa"/>
        <w:tblLook w:val="04A0" w:firstRow="1" w:lastRow="0" w:firstColumn="1" w:lastColumn="0" w:noHBand="0" w:noVBand="1"/>
      </w:tblPr>
      <w:tblGrid>
        <w:gridCol w:w="1619"/>
        <w:gridCol w:w="1711"/>
        <w:gridCol w:w="1260"/>
        <w:gridCol w:w="990"/>
        <w:gridCol w:w="1710"/>
        <w:gridCol w:w="1800"/>
      </w:tblGrid>
      <w:tr w:rsidR="00484D35" w:rsidTr="00B35388">
        <w:tc>
          <w:tcPr>
            <w:tcW w:w="1619" w:type="dxa"/>
            <w:shd w:val="clear" w:color="auto" w:fill="D6E3BC" w:themeFill="accent3" w:themeFillTint="66"/>
            <w:vAlign w:val="center"/>
          </w:tcPr>
          <w:p w:rsidR="00484D35" w:rsidRPr="0058198A" w:rsidRDefault="00484D35" w:rsidP="00B35388">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Uka</w:t>
            </w:r>
            <w:r>
              <w:rPr>
                <w:rFonts w:eastAsia="Times New Roman"/>
                <w:b/>
                <w:bCs/>
                <w:color w:val="000000"/>
                <w:sz w:val="22"/>
                <w:szCs w:val="22"/>
                <w:lang w:eastAsia="sk-SK"/>
              </w:rPr>
              <w:t>z</w:t>
            </w:r>
            <w:r w:rsidRPr="0058198A">
              <w:rPr>
                <w:rFonts w:eastAsia="Times New Roman"/>
                <w:b/>
                <w:bCs/>
                <w:color w:val="000000"/>
                <w:sz w:val="22"/>
                <w:szCs w:val="22"/>
                <w:lang w:eastAsia="sk-SK"/>
              </w:rPr>
              <w:t>ovateľ</w:t>
            </w:r>
          </w:p>
        </w:tc>
        <w:tc>
          <w:tcPr>
            <w:tcW w:w="1711" w:type="dxa"/>
            <w:shd w:val="clear" w:color="auto" w:fill="D6E3BC" w:themeFill="accent3" w:themeFillTint="66"/>
            <w:vAlign w:val="center"/>
          </w:tcPr>
          <w:p w:rsidR="00484D35" w:rsidRPr="0058198A" w:rsidRDefault="00B35388" w:rsidP="00B35388">
            <w:pPr>
              <w:spacing w:after="0" w:line="240" w:lineRule="auto"/>
              <w:ind w:firstLine="0"/>
              <w:jc w:val="center"/>
              <w:rPr>
                <w:rFonts w:eastAsia="Times New Roman"/>
                <w:b/>
                <w:bCs/>
                <w:color w:val="000000"/>
                <w:sz w:val="22"/>
                <w:szCs w:val="22"/>
                <w:lang w:eastAsia="sk-SK"/>
              </w:rPr>
            </w:pPr>
            <w:r w:rsidRPr="004B7DE3">
              <w:rPr>
                <w:rFonts w:eastAsia="Times New Roman"/>
                <w:color w:val="000000"/>
                <w:sz w:val="22"/>
                <w:szCs w:val="22"/>
                <w:lang w:eastAsia="sk-SK"/>
              </w:rPr>
              <w:t>Ø</w:t>
            </w:r>
            <w:r w:rsidRPr="0058198A">
              <w:rPr>
                <w:rFonts w:eastAsia="Times New Roman"/>
                <w:b/>
                <w:bCs/>
                <w:color w:val="000000"/>
                <w:sz w:val="22"/>
                <w:szCs w:val="22"/>
                <w:lang w:eastAsia="sk-SK"/>
              </w:rPr>
              <w:t xml:space="preserve"> </w:t>
            </w:r>
            <w:r w:rsidR="00484D35" w:rsidRPr="0058198A">
              <w:rPr>
                <w:rFonts w:eastAsia="Times New Roman"/>
                <w:b/>
                <w:bCs/>
                <w:color w:val="000000"/>
                <w:sz w:val="22"/>
                <w:szCs w:val="22"/>
                <w:lang w:eastAsia="sk-SK"/>
              </w:rPr>
              <w:t>2011-201</w:t>
            </w:r>
            <w:r w:rsidR="00484D35">
              <w:rPr>
                <w:rFonts w:eastAsia="Times New Roman"/>
                <w:b/>
                <w:bCs/>
                <w:color w:val="000000"/>
                <w:sz w:val="22"/>
                <w:szCs w:val="22"/>
                <w:lang w:eastAsia="sk-SK"/>
              </w:rPr>
              <w:t>5</w:t>
            </w:r>
          </w:p>
        </w:tc>
        <w:tc>
          <w:tcPr>
            <w:tcW w:w="1260" w:type="dxa"/>
            <w:shd w:val="clear" w:color="auto" w:fill="D6E3BC" w:themeFill="accent3" w:themeFillTint="66"/>
            <w:vAlign w:val="center"/>
          </w:tcPr>
          <w:p w:rsidR="00484D35" w:rsidRPr="0058198A" w:rsidRDefault="00484D35" w:rsidP="00B35388">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2015</w:t>
            </w:r>
          </w:p>
        </w:tc>
        <w:tc>
          <w:tcPr>
            <w:tcW w:w="990" w:type="dxa"/>
            <w:shd w:val="clear" w:color="auto" w:fill="D6E3BC" w:themeFill="accent3" w:themeFillTint="66"/>
            <w:vAlign w:val="center"/>
          </w:tcPr>
          <w:p w:rsidR="00484D35" w:rsidRPr="0058198A" w:rsidRDefault="00484D35" w:rsidP="00B35388">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w:t>
            </w:r>
            <w:r>
              <w:rPr>
                <w:rFonts w:eastAsia="Times New Roman"/>
                <w:b/>
                <w:bCs/>
                <w:color w:val="000000"/>
                <w:sz w:val="22"/>
                <w:szCs w:val="22"/>
                <w:lang w:eastAsia="sk-SK"/>
              </w:rPr>
              <w:t>6</w:t>
            </w:r>
          </w:p>
        </w:tc>
        <w:tc>
          <w:tcPr>
            <w:tcW w:w="1710" w:type="dxa"/>
            <w:shd w:val="clear" w:color="auto" w:fill="D6E3BC" w:themeFill="accent3" w:themeFillTint="66"/>
            <w:vAlign w:val="center"/>
          </w:tcPr>
          <w:p w:rsidR="00484D35" w:rsidRPr="0058198A" w:rsidRDefault="00484D35" w:rsidP="00B35388">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2016/15</w:t>
            </w:r>
          </w:p>
        </w:tc>
        <w:tc>
          <w:tcPr>
            <w:tcW w:w="1800" w:type="dxa"/>
            <w:shd w:val="clear" w:color="auto" w:fill="D6E3BC" w:themeFill="accent3" w:themeFillTint="66"/>
            <w:vAlign w:val="center"/>
          </w:tcPr>
          <w:p w:rsidR="00484D35" w:rsidRPr="0058198A" w:rsidRDefault="00484D35" w:rsidP="00B35388">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w:t>
            </w:r>
            <w:r w:rsidR="00B35388" w:rsidRPr="004B7DE3">
              <w:rPr>
                <w:rFonts w:eastAsia="Times New Roman"/>
                <w:color w:val="000000"/>
                <w:sz w:val="22"/>
                <w:szCs w:val="22"/>
                <w:lang w:eastAsia="sk-SK"/>
              </w:rPr>
              <w:t xml:space="preserve"> Ø</w:t>
            </w:r>
            <w:r w:rsidR="00B35388" w:rsidRPr="0058198A">
              <w:rPr>
                <w:rFonts w:eastAsia="Times New Roman"/>
                <w:b/>
                <w:bCs/>
                <w:color w:val="000000"/>
                <w:sz w:val="22"/>
                <w:szCs w:val="22"/>
                <w:lang w:eastAsia="sk-SK"/>
              </w:rPr>
              <w:t xml:space="preserve"> </w:t>
            </w:r>
            <w:r w:rsidRPr="0058198A">
              <w:rPr>
                <w:rFonts w:eastAsia="Times New Roman"/>
                <w:b/>
                <w:bCs/>
                <w:color w:val="000000"/>
                <w:sz w:val="22"/>
                <w:szCs w:val="22"/>
                <w:lang w:eastAsia="sk-SK"/>
              </w:rPr>
              <w:t>2011-2015</w:t>
            </w:r>
          </w:p>
        </w:tc>
      </w:tr>
      <w:tr w:rsidR="00484D35" w:rsidTr="00484D35">
        <w:tc>
          <w:tcPr>
            <w:tcW w:w="1619" w:type="dxa"/>
          </w:tcPr>
          <w:p w:rsidR="00484D35" w:rsidRDefault="00B35388" w:rsidP="00B35388">
            <w:pPr>
              <w:spacing w:line="300" w:lineRule="exact"/>
              <w:ind w:firstLine="0"/>
            </w:pPr>
            <w:r>
              <w:t>Priame platby</w:t>
            </w:r>
          </w:p>
        </w:tc>
        <w:tc>
          <w:tcPr>
            <w:tcW w:w="1711" w:type="dxa"/>
            <w:vAlign w:val="center"/>
          </w:tcPr>
          <w:p w:rsidR="00484D35" w:rsidRPr="000663FE" w:rsidRDefault="00484D35" w:rsidP="00484D35">
            <w:pPr>
              <w:spacing w:after="0" w:line="240" w:lineRule="auto"/>
              <w:ind w:firstLine="0"/>
              <w:jc w:val="right"/>
              <w:rPr>
                <w:rFonts w:eastAsia="Times New Roman"/>
                <w:sz w:val="22"/>
                <w:szCs w:val="22"/>
                <w:lang w:eastAsia="sk-SK"/>
              </w:rPr>
            </w:pPr>
            <w:r w:rsidRPr="000663FE">
              <w:rPr>
                <w:rFonts w:eastAsia="Times New Roman"/>
                <w:sz w:val="22"/>
                <w:szCs w:val="22"/>
                <w:lang w:eastAsia="sk-SK"/>
              </w:rPr>
              <w:t>378,1</w:t>
            </w:r>
          </w:p>
        </w:tc>
        <w:tc>
          <w:tcPr>
            <w:tcW w:w="1260" w:type="dxa"/>
            <w:vAlign w:val="center"/>
          </w:tcPr>
          <w:p w:rsidR="00484D35" w:rsidRPr="000663FE" w:rsidRDefault="00484D35" w:rsidP="00484D35">
            <w:pPr>
              <w:spacing w:after="0" w:line="240" w:lineRule="auto"/>
              <w:ind w:firstLine="0"/>
              <w:jc w:val="right"/>
              <w:rPr>
                <w:rFonts w:eastAsia="Times New Roman"/>
                <w:sz w:val="22"/>
                <w:szCs w:val="22"/>
                <w:lang w:eastAsia="sk-SK"/>
              </w:rPr>
            </w:pPr>
            <w:r w:rsidRPr="000663FE">
              <w:rPr>
                <w:rFonts w:eastAsia="Times New Roman"/>
                <w:sz w:val="22"/>
                <w:szCs w:val="22"/>
                <w:lang w:eastAsia="sk-SK"/>
              </w:rPr>
              <w:t>385,0</w:t>
            </w:r>
          </w:p>
        </w:tc>
        <w:tc>
          <w:tcPr>
            <w:tcW w:w="990" w:type="dxa"/>
            <w:vAlign w:val="center"/>
          </w:tcPr>
          <w:p w:rsidR="00484D35" w:rsidRPr="000663FE" w:rsidRDefault="00484D35" w:rsidP="00484D35">
            <w:pPr>
              <w:spacing w:after="0" w:line="240" w:lineRule="auto"/>
              <w:ind w:firstLine="0"/>
              <w:jc w:val="right"/>
              <w:rPr>
                <w:rFonts w:eastAsia="Times New Roman"/>
                <w:sz w:val="22"/>
                <w:szCs w:val="22"/>
                <w:lang w:eastAsia="sk-SK"/>
              </w:rPr>
            </w:pPr>
            <w:r w:rsidRPr="000663FE">
              <w:rPr>
                <w:rFonts w:eastAsia="Times New Roman"/>
                <w:sz w:val="22"/>
                <w:szCs w:val="22"/>
                <w:lang w:eastAsia="sk-SK"/>
              </w:rPr>
              <w:t>408,0</w:t>
            </w:r>
          </w:p>
        </w:tc>
        <w:tc>
          <w:tcPr>
            <w:tcW w:w="1710" w:type="dxa"/>
            <w:vAlign w:val="center"/>
          </w:tcPr>
          <w:p w:rsidR="00484D35" w:rsidRPr="000663FE" w:rsidRDefault="00484D35" w:rsidP="00484D35">
            <w:pPr>
              <w:spacing w:after="0" w:line="240" w:lineRule="auto"/>
              <w:ind w:firstLine="0"/>
              <w:jc w:val="right"/>
              <w:rPr>
                <w:rFonts w:eastAsia="Times New Roman"/>
                <w:sz w:val="22"/>
                <w:szCs w:val="22"/>
                <w:lang w:eastAsia="sk-SK"/>
              </w:rPr>
            </w:pPr>
            <w:r w:rsidRPr="000663FE">
              <w:rPr>
                <w:rFonts w:eastAsia="Times New Roman"/>
                <w:sz w:val="22"/>
                <w:szCs w:val="22"/>
                <w:lang w:eastAsia="sk-SK"/>
              </w:rPr>
              <w:t>106,0</w:t>
            </w:r>
          </w:p>
        </w:tc>
        <w:tc>
          <w:tcPr>
            <w:tcW w:w="1800" w:type="dxa"/>
            <w:vAlign w:val="center"/>
          </w:tcPr>
          <w:p w:rsidR="00484D35" w:rsidRPr="000663FE" w:rsidRDefault="00484D35" w:rsidP="00484D35">
            <w:pPr>
              <w:spacing w:after="0" w:line="240" w:lineRule="auto"/>
              <w:ind w:firstLine="0"/>
              <w:jc w:val="right"/>
              <w:rPr>
                <w:rFonts w:eastAsia="Times New Roman"/>
                <w:sz w:val="22"/>
                <w:szCs w:val="22"/>
                <w:lang w:eastAsia="sk-SK"/>
              </w:rPr>
            </w:pPr>
            <w:r w:rsidRPr="000663FE">
              <w:rPr>
                <w:rFonts w:eastAsia="Times New Roman"/>
                <w:sz w:val="22"/>
                <w:szCs w:val="22"/>
                <w:lang w:eastAsia="sk-SK"/>
              </w:rPr>
              <w:t>107,9</w:t>
            </w:r>
          </w:p>
        </w:tc>
      </w:tr>
    </w:tbl>
    <w:p w:rsidR="00484D35" w:rsidRPr="00F1363E" w:rsidRDefault="00484D35" w:rsidP="00484D35">
      <w:pPr>
        <w:spacing w:after="0" w:line="240" w:lineRule="auto"/>
        <w:ind w:firstLine="0"/>
        <w:rPr>
          <w:rStyle w:val="Siln"/>
          <w:b w:val="0"/>
          <w:sz w:val="20"/>
          <w:szCs w:val="20"/>
        </w:rPr>
      </w:pPr>
      <w:r w:rsidRPr="00F1363E">
        <w:rPr>
          <w:rStyle w:val="Siln"/>
          <w:b w:val="0"/>
          <w:sz w:val="20"/>
          <w:szCs w:val="20"/>
        </w:rPr>
        <w:t>Prameň: MPRV SR, PPA</w:t>
      </w:r>
    </w:p>
    <w:p w:rsidR="00484D35" w:rsidRPr="00F1363E" w:rsidRDefault="00484D35" w:rsidP="00484D35">
      <w:pPr>
        <w:spacing w:after="120" w:line="240" w:lineRule="auto"/>
        <w:ind w:firstLine="0"/>
        <w:rPr>
          <w:b/>
        </w:rPr>
      </w:pPr>
      <w:r w:rsidRPr="00F1363E">
        <w:rPr>
          <w:rStyle w:val="Siln"/>
          <w:b w:val="0"/>
          <w:sz w:val="20"/>
          <w:szCs w:val="20"/>
        </w:rPr>
        <w:t xml:space="preserve">Vypracoval: </w:t>
      </w:r>
      <w:r w:rsidRPr="00F1363E">
        <w:rPr>
          <w:sz w:val="20"/>
          <w:szCs w:val="20"/>
        </w:rPr>
        <w:t>NPPC - VÚEPP</w:t>
      </w:r>
      <w:r w:rsidRPr="00F1363E">
        <w:rPr>
          <w:b/>
        </w:rPr>
        <w:t xml:space="preserve"> </w:t>
      </w:r>
    </w:p>
    <w:p w:rsidR="00484D35" w:rsidRDefault="00484D35" w:rsidP="00CB0E59"/>
    <w:p w:rsidR="008F4328" w:rsidRPr="0083062F" w:rsidRDefault="008261E8" w:rsidP="008F4328">
      <w:pPr>
        <w:pStyle w:val="Nadpis2"/>
        <w:ind w:left="284" w:hanging="284"/>
      </w:pPr>
      <w:r w:rsidRPr="0083062F">
        <w:t xml:space="preserve"> </w:t>
      </w:r>
      <w:bookmarkStart w:id="6" w:name="_Toc483395310"/>
      <w:r w:rsidR="003B1E44" w:rsidRPr="0083062F">
        <w:t>Rozvoj vidieka</w:t>
      </w:r>
      <w:bookmarkEnd w:id="6"/>
    </w:p>
    <w:p w:rsidR="002F1262" w:rsidRDefault="002F1262" w:rsidP="002F1262">
      <w:r w:rsidRPr="00505229">
        <w:t>Politika rozvoja</w:t>
      </w:r>
      <w:r>
        <w:t xml:space="preserve"> vidieka EÚ sa neustále vyvíja</w:t>
      </w:r>
      <w:r w:rsidRPr="00505229">
        <w:t xml:space="preserve"> s cieľom reagovať na nové výzvy vo vidieckych oblastiach</w:t>
      </w:r>
      <w:r>
        <w:t xml:space="preserve">. </w:t>
      </w:r>
      <w:r w:rsidRPr="0083062F">
        <w:t>Poľnohospodárstvo SR bolo</w:t>
      </w:r>
      <w:r>
        <w:t xml:space="preserve"> tiež ovplyvňované</w:t>
      </w:r>
      <w:r w:rsidRPr="0083062F">
        <w:t xml:space="preserve"> faktormi, vyplývajúcimi z cenovej situácie na európskom a svetovom trhu s poľnohospodárskymi komoditami, vrátane pretrvávajúcich dôsledkov finančnej a hospodárskej krízy.</w:t>
      </w:r>
    </w:p>
    <w:p w:rsidR="002F1262" w:rsidRDefault="002F1262" w:rsidP="002F1262">
      <w:r w:rsidRPr="00505229">
        <w:lastRenderedPageBreak/>
        <w:t>Jednotný právny rámec pre financovanie SPP v období finančnej perspektívy rokov 2014 - 2020 ustanovuje nariadenie Európskeho parlamentu a Rady (EÚ) č. 1306/2013 zo 17. decembra 2013 o financovaní, riadení a monitorovaní spoločnej poľnohospodárskej politiky</w:t>
      </w:r>
      <w:r w:rsidR="00032E62">
        <w:t>,</w:t>
      </w:r>
      <w:r w:rsidRPr="00505229">
        <w:t xml:space="preserve"> a ktorým sa zrušujú nariadenia Rady (ES) č. 352/78, (ES) č. 165/94, (ES) č. 2799/98, (ES) č. 814/2000, (ES) č. 1290/2005 a (ES) č. 485/2008. Financovanie výdavkov </w:t>
      </w:r>
      <w:r>
        <w:t xml:space="preserve">na rozvoj vidieka ako II. piliera SPP </w:t>
      </w:r>
      <w:r w:rsidRPr="00505229">
        <w:t>sa realizuje prostredníctvom  Európskeho poľnohospodárskeho fondu pre rozvoj vidieka (EPFRV)</w:t>
      </w:r>
      <w:r>
        <w:t xml:space="preserve"> na základe programov rozvoja vidieka</w:t>
      </w:r>
      <w:r w:rsidRPr="00505229">
        <w:t xml:space="preserve">. EPFRV je súčasťou všeobecného rozpočtu Európskej únie. </w:t>
      </w:r>
    </w:p>
    <w:p w:rsidR="002F1262" w:rsidRPr="0083062F" w:rsidRDefault="002F1262" w:rsidP="002F1262">
      <w:pPr>
        <w:pStyle w:val="Odsekzoznamu"/>
        <w:ind w:left="0" w:firstLine="0"/>
      </w:pPr>
      <w:r>
        <w:rPr>
          <w:color w:val="548DD4" w:themeColor="text2" w:themeTint="99"/>
        </w:rPr>
        <w:tab/>
      </w:r>
      <w:r w:rsidRPr="0083062F">
        <w:t>Členské štáty si v rámci svojich programov rozvoja vidieka určujú kvantitatívne ciele na základe analýzy potrieb územia, na ktoré sa vzťahuje program rozvoja vidieka a stanovia, pomocou akých opatrení tieto ciele dosiahnu a koľko finančných prostriedkov jednotlivým opatreniam pridelia.</w:t>
      </w:r>
    </w:p>
    <w:p w:rsidR="002F1262" w:rsidRPr="008B12EB" w:rsidRDefault="002F1262" w:rsidP="002F1262">
      <w:r w:rsidRPr="0083062F">
        <w:rPr>
          <w:bCs/>
        </w:rPr>
        <w:t xml:space="preserve">Dňa 14. 5. 2014 bol uznesením vlády SR č. 231/2014 schválený </w:t>
      </w:r>
      <w:r w:rsidRPr="00EE1C6A">
        <w:rPr>
          <w:b/>
          <w:bCs/>
        </w:rPr>
        <w:t xml:space="preserve">Program rozvoja vidieka SR 2014 – 2020 </w:t>
      </w:r>
      <w:r w:rsidRPr="00EE1C6A">
        <w:rPr>
          <w:b/>
        </w:rPr>
        <w:t>(PRV</w:t>
      </w:r>
      <w:r w:rsidR="008E5761">
        <w:rPr>
          <w:b/>
        </w:rPr>
        <w:t xml:space="preserve"> SR</w:t>
      </w:r>
      <w:r>
        <w:rPr>
          <w:b/>
        </w:rPr>
        <w:t xml:space="preserve"> 2014-2020</w:t>
      </w:r>
      <w:r w:rsidRPr="00EE1C6A">
        <w:rPr>
          <w:b/>
        </w:rPr>
        <w:t>).</w:t>
      </w:r>
      <w:r w:rsidRPr="00787996">
        <w:t xml:space="preserve"> Program bol schválený EK dňa 13. 2. 2015.</w:t>
      </w:r>
      <w:r>
        <w:t xml:space="preserve"> </w:t>
      </w:r>
      <w:r w:rsidRPr="00787996">
        <w:t xml:space="preserve">Rozpočet programu bol 2 </w:t>
      </w:r>
      <w:r>
        <w:t>078 982 018 €</w:t>
      </w:r>
      <w:r w:rsidRPr="00787996">
        <w:t xml:space="preserve"> verejných výdavkov na 7 </w:t>
      </w:r>
      <w:r>
        <w:t>rokov, z toho 1</w:t>
      </w:r>
      <w:r w:rsidR="00032E62">
        <w:t> </w:t>
      </w:r>
      <w:r>
        <w:t>545</w:t>
      </w:r>
      <w:r w:rsidR="00032E62">
        <w:t> </w:t>
      </w:r>
      <w:r>
        <w:t>272</w:t>
      </w:r>
      <w:r w:rsidR="00032E62">
        <w:t> </w:t>
      </w:r>
      <w:r>
        <w:t>844 €</w:t>
      </w:r>
      <w:r w:rsidRPr="00787996">
        <w:t xml:space="preserve"> predstavuje príspevok EPFRV a 533 709</w:t>
      </w:r>
      <w:r>
        <w:t> </w:t>
      </w:r>
      <w:r w:rsidRPr="00787996">
        <w:t>174</w:t>
      </w:r>
      <w:r>
        <w:t xml:space="preserve"> €</w:t>
      </w:r>
      <w:r w:rsidRPr="00787996">
        <w:t xml:space="preserve"> predstavuje príspevok štátneho</w:t>
      </w:r>
      <w:r>
        <w:t xml:space="preserve"> rozpočtu SR.</w:t>
      </w:r>
    </w:p>
    <w:p w:rsidR="002F1262" w:rsidRDefault="002F1262" w:rsidP="002F1262">
      <w:r w:rsidRPr="00EE1C6A">
        <w:rPr>
          <w:b/>
        </w:rPr>
        <w:t>PRV</w:t>
      </w:r>
      <w:r w:rsidR="008E5761">
        <w:rPr>
          <w:b/>
        </w:rPr>
        <w:t xml:space="preserve"> SR</w:t>
      </w:r>
      <w:r w:rsidR="00630852">
        <w:rPr>
          <w:b/>
        </w:rPr>
        <w:t xml:space="preserve"> </w:t>
      </w:r>
      <w:r>
        <w:rPr>
          <w:b/>
        </w:rPr>
        <w:t>2014-2020</w:t>
      </w:r>
      <w:r w:rsidRPr="00787996">
        <w:t xml:space="preserve"> je dokumentom, na základe ktorého sa poskytuje pomoc prostredníctvom 16</w:t>
      </w:r>
      <w:r>
        <w:t> </w:t>
      </w:r>
      <w:r w:rsidRPr="00787996">
        <w:t>opatrení (vrátane opatrenia „Technická pomoc“) zoskupených okolo 6</w:t>
      </w:r>
      <w:r w:rsidR="00032E62">
        <w:t> </w:t>
      </w:r>
      <w:r w:rsidRPr="00787996">
        <w:t>priorít rozvoja vidieka</w:t>
      </w:r>
      <w:r>
        <w:t>.</w:t>
      </w:r>
    </w:p>
    <w:p w:rsidR="002F1262" w:rsidRDefault="002F1262" w:rsidP="002F1262">
      <w:r w:rsidRPr="00787996">
        <w:t>Vykonávacím rozhodnutím Komisie č. C(2016) 526 zo dňa 27. januára 2016 bolo zmenené vykonávacie rozhodnutie č. C(2015) 831. Na základe uvedenej zmeny (revízie PRV) boli verejné príspevky na implementáciu programu rozvoja vidieka navýšené na úroveň 2</w:t>
      </w:r>
      <w:r w:rsidR="00032E62">
        <w:t> </w:t>
      </w:r>
      <w:r w:rsidRPr="00787996">
        <w:t>099</w:t>
      </w:r>
      <w:r w:rsidR="00032E62">
        <w:t> </w:t>
      </w:r>
      <w:r w:rsidRPr="00787996">
        <w:t xml:space="preserve">199 696 </w:t>
      </w:r>
      <w:r w:rsidR="00032E62">
        <w:t>€</w:t>
      </w:r>
      <w:r w:rsidR="00032E62" w:rsidRPr="00787996">
        <w:t xml:space="preserve"> </w:t>
      </w:r>
      <w:r w:rsidRPr="00787996">
        <w:t xml:space="preserve">a maximálny príspevok z EPFRV na úroveň 1 559 691 844 </w:t>
      </w:r>
      <w:r w:rsidR="00032E62">
        <w:t>€</w:t>
      </w:r>
      <w:r w:rsidRPr="00787996">
        <w:t>.</w:t>
      </w:r>
    </w:p>
    <w:p w:rsidR="002F1262" w:rsidRDefault="002F1262" w:rsidP="002F1262">
      <w:pPr>
        <w:autoSpaceDE w:val="0"/>
        <w:autoSpaceDN w:val="0"/>
        <w:adjustRightInd w:val="0"/>
        <w:ind w:firstLine="708"/>
      </w:pPr>
      <w:r>
        <w:t xml:space="preserve">Východiskom pre </w:t>
      </w:r>
      <w:r w:rsidRPr="002F1262">
        <w:t>stratégiu PRV</w:t>
      </w:r>
      <w:r w:rsidR="008E5761">
        <w:t xml:space="preserve"> SR</w:t>
      </w:r>
      <w:r w:rsidRPr="002F1262">
        <w:t xml:space="preserve"> 2014-2020 sú</w:t>
      </w:r>
      <w:r>
        <w:t xml:space="preserve"> výsledky analýzy SWOT, identifikované potreby ako aj ciele Stratégie Európa 2020. Obsah stratégie je určený Partnerskou dohodou, ako aj rozpočtom verejných prostriedkov. </w:t>
      </w:r>
    </w:p>
    <w:p w:rsidR="00E75928" w:rsidRDefault="002F1262">
      <w:pPr>
        <w:autoSpaceDE w:val="0"/>
        <w:autoSpaceDN w:val="0"/>
        <w:adjustRightInd w:val="0"/>
        <w:spacing w:after="120"/>
        <w:ind w:firstLine="708"/>
      </w:pPr>
      <w:r>
        <w:t xml:space="preserve">V zmysle SPP si stratégia </w:t>
      </w:r>
      <w:r w:rsidRPr="002F1262">
        <w:t>PRV</w:t>
      </w:r>
      <w:r w:rsidR="008E5761">
        <w:t xml:space="preserve"> SR</w:t>
      </w:r>
      <w:r w:rsidRPr="002F1262">
        <w:t xml:space="preserve"> 2014-2020 </w:t>
      </w:r>
      <w:r>
        <w:t>stanovuje nasledovné strategické ciele:</w:t>
      </w:r>
    </w:p>
    <w:p w:rsidR="00E75928" w:rsidRDefault="002F1262">
      <w:pPr>
        <w:pStyle w:val="Odsekzoznamu"/>
        <w:numPr>
          <w:ilvl w:val="0"/>
          <w:numId w:val="33"/>
        </w:numPr>
        <w:autoSpaceDE w:val="0"/>
        <w:autoSpaceDN w:val="0"/>
        <w:adjustRightInd w:val="0"/>
        <w:spacing w:after="120"/>
        <w:rPr>
          <w:i/>
        </w:rPr>
      </w:pPr>
      <w:r w:rsidRPr="002F1262">
        <w:rPr>
          <w:i/>
        </w:rPr>
        <w:t>Posilnenie konkurencieschopnosti pôdohospodárskeho sektora</w:t>
      </w:r>
    </w:p>
    <w:p w:rsidR="00E75928" w:rsidRDefault="002F1262">
      <w:pPr>
        <w:pStyle w:val="Odsekzoznamu"/>
        <w:numPr>
          <w:ilvl w:val="0"/>
          <w:numId w:val="33"/>
        </w:numPr>
        <w:autoSpaceDE w:val="0"/>
        <w:autoSpaceDN w:val="0"/>
        <w:adjustRightInd w:val="0"/>
        <w:spacing w:after="120"/>
        <w:rPr>
          <w:i/>
        </w:rPr>
      </w:pPr>
      <w:r w:rsidRPr="002F1262">
        <w:rPr>
          <w:i/>
        </w:rPr>
        <w:t>Udržateľný manažment prírodných zdrojov a prispôsobovanie sa klimatickým zmenám</w:t>
      </w:r>
    </w:p>
    <w:p w:rsidR="00E75928" w:rsidRDefault="002F1262">
      <w:pPr>
        <w:pStyle w:val="Odsekzoznamu"/>
        <w:numPr>
          <w:ilvl w:val="0"/>
          <w:numId w:val="33"/>
        </w:numPr>
        <w:autoSpaceDE w:val="0"/>
        <w:autoSpaceDN w:val="0"/>
        <w:adjustRightInd w:val="0"/>
        <w:spacing w:after="120"/>
        <w:rPr>
          <w:i/>
        </w:rPr>
      </w:pPr>
      <w:r w:rsidRPr="002F1262">
        <w:rPr>
          <w:i/>
        </w:rPr>
        <w:t>Vyvážený územný rozvoj vidieckych hospodárstiev a komunít vrátane vytvárania a udržiavania pracovných miest</w:t>
      </w:r>
    </w:p>
    <w:p w:rsidR="00E75928" w:rsidRDefault="002F1262">
      <w:pPr>
        <w:autoSpaceDE w:val="0"/>
        <w:autoSpaceDN w:val="0"/>
        <w:adjustRightInd w:val="0"/>
        <w:spacing w:after="120"/>
        <w:ind w:firstLine="0"/>
      </w:pPr>
      <w:r>
        <w:tab/>
        <w:t xml:space="preserve">Najdôležitejším strategickým cieľom programu je </w:t>
      </w:r>
      <w:r w:rsidRPr="00EE1C6A">
        <w:rPr>
          <w:b/>
        </w:rPr>
        <w:t>posilnenie konkurencieschopnosti pôdohospodárskeho sektora (poľnohospodárstvo, lesníctvo a potravinárstvo).</w:t>
      </w:r>
      <w:r>
        <w:t xml:space="preserve"> Približne 37 % z celkových verejných výdavkov programu bude </w:t>
      </w:r>
      <w:r w:rsidR="00032E62">
        <w:t xml:space="preserve">použitých </w:t>
      </w:r>
      <w:r>
        <w:t>na podporu investícií do poľnohospodárskych podnikov, spracovania a odbytu, do lesných podnikov.</w:t>
      </w:r>
    </w:p>
    <w:p w:rsidR="002F1262" w:rsidRDefault="002F1262" w:rsidP="002F1262">
      <w:pPr>
        <w:autoSpaceDE w:val="0"/>
        <w:autoSpaceDN w:val="0"/>
        <w:adjustRightInd w:val="0"/>
        <w:ind w:firstLine="708"/>
      </w:pPr>
      <w:r>
        <w:t>Cieľom je i.) investične podporiť celkovo 1 730 podnikov z toho 250 mladých farmárov a 230 lesných podnikov; ii.) podporiť 600 začínajúcich mladých farmárov a 330 malých farmárov; iii.) rekonštruovať 250 km lesných ciest a</w:t>
      </w:r>
      <w:r w:rsidR="00032E62">
        <w:t> </w:t>
      </w:r>
      <w:r>
        <w:t>512</w:t>
      </w:r>
      <w:r w:rsidR="00032E62">
        <w:t xml:space="preserve"> </w:t>
      </w:r>
      <w:r>
        <w:t>km melioračných kanálov, iv.) realizovať 130 PPÚ.</w:t>
      </w:r>
    </w:p>
    <w:p w:rsidR="002F1262" w:rsidRPr="00EE1C6A" w:rsidRDefault="002F1262" w:rsidP="002F1262">
      <w:pPr>
        <w:pStyle w:val="Nadpis5"/>
        <w:keepNext w:val="0"/>
        <w:spacing w:before="0" w:after="60"/>
        <w:ind w:firstLine="0"/>
        <w:rPr>
          <w:rFonts w:ascii="Times New Roman" w:eastAsia="Calibri" w:hAnsi="Times New Roman"/>
          <w:color w:val="auto"/>
        </w:rPr>
      </w:pPr>
      <w:r>
        <w:rPr>
          <w:rFonts w:ascii="Times New Roman" w:eastAsia="Calibri" w:hAnsi="Times New Roman"/>
          <w:color w:val="auto"/>
        </w:rPr>
        <w:lastRenderedPageBreak/>
        <w:tab/>
      </w:r>
      <w:r w:rsidRPr="00EE1C6A">
        <w:rPr>
          <w:rFonts w:ascii="Times New Roman" w:eastAsia="Calibri" w:hAnsi="Times New Roman"/>
          <w:color w:val="auto"/>
        </w:rPr>
        <w:t xml:space="preserve">V poradí druhým strategickým cieľom je </w:t>
      </w:r>
      <w:r w:rsidRPr="00EE1C6A">
        <w:rPr>
          <w:rFonts w:ascii="Times New Roman" w:eastAsia="Calibri" w:hAnsi="Times New Roman"/>
          <w:b/>
          <w:color w:val="auto"/>
        </w:rPr>
        <w:t>udržateľný manažment prírodných zdrojov a prispôsobovanie sa klimatickým zmenám</w:t>
      </w:r>
      <w:r>
        <w:rPr>
          <w:rFonts w:ascii="Times New Roman" w:eastAsia="Calibri" w:hAnsi="Times New Roman"/>
          <w:b/>
          <w:color w:val="auto"/>
        </w:rPr>
        <w:t>,</w:t>
      </w:r>
      <w:r w:rsidRPr="00EE1C6A">
        <w:rPr>
          <w:rFonts w:ascii="Times New Roman" w:eastAsia="Calibri" w:hAnsi="Times New Roman"/>
          <w:b/>
          <w:color w:val="auto"/>
        </w:rPr>
        <w:t xml:space="preserve">  </w:t>
      </w:r>
      <w:r>
        <w:rPr>
          <w:rFonts w:ascii="Times New Roman" w:eastAsia="Calibri" w:hAnsi="Times New Roman"/>
          <w:color w:val="auto"/>
        </w:rPr>
        <w:t>na ktorý je určených v</w:t>
      </w:r>
      <w:r w:rsidRPr="00EE1C6A">
        <w:rPr>
          <w:rFonts w:ascii="Times New Roman" w:eastAsia="Calibri" w:hAnsi="Times New Roman"/>
          <w:color w:val="auto"/>
        </w:rPr>
        <w:t>iac ako 42</w:t>
      </w:r>
      <w:r>
        <w:rPr>
          <w:rFonts w:ascii="Times New Roman" w:eastAsia="Calibri" w:hAnsi="Times New Roman"/>
          <w:color w:val="auto"/>
        </w:rPr>
        <w:t xml:space="preserve"> %</w:t>
      </w:r>
      <w:r w:rsidRPr="00EE1C6A">
        <w:rPr>
          <w:rFonts w:ascii="Times New Roman" w:eastAsia="Calibri" w:hAnsi="Times New Roman"/>
          <w:color w:val="auto"/>
        </w:rPr>
        <w:t xml:space="preserve"> z prostriedkov programu (z toho 23,22</w:t>
      </w:r>
      <w:r>
        <w:rPr>
          <w:rFonts w:ascii="Times New Roman" w:eastAsia="Calibri" w:hAnsi="Times New Roman"/>
          <w:color w:val="auto"/>
        </w:rPr>
        <w:t xml:space="preserve"> </w:t>
      </w:r>
      <w:r w:rsidRPr="00EE1C6A">
        <w:rPr>
          <w:rFonts w:ascii="Times New Roman" w:eastAsia="Calibri" w:hAnsi="Times New Roman"/>
          <w:color w:val="auto"/>
        </w:rPr>
        <w:t>% pre LFA). Cieľom je podporiť i.) 399 tis. ha p.p. a 51 tis. ha lesov prispievajúcich k ochrane biodiverzity, ii.) 391 tis. ha p.p. a 22 tis. ha lesov prispievajúcich k zlepšeniu vod</w:t>
      </w:r>
      <w:r>
        <w:rPr>
          <w:rFonts w:ascii="Times New Roman" w:eastAsia="Calibri" w:hAnsi="Times New Roman"/>
          <w:color w:val="auto"/>
        </w:rPr>
        <w:t xml:space="preserve">ného </w:t>
      </w:r>
      <w:r w:rsidRPr="00EE1C6A">
        <w:rPr>
          <w:rFonts w:ascii="Times New Roman" w:eastAsia="Calibri" w:hAnsi="Times New Roman"/>
          <w:color w:val="auto"/>
        </w:rPr>
        <w:t>hospodárstva a ochrane pôdy, iii.) 152 tis. ha pôdy prispievajúcich k zvýšeniu sekvestrácie CO2.</w:t>
      </w:r>
    </w:p>
    <w:p w:rsidR="002F1262" w:rsidRPr="00EE1C6A" w:rsidRDefault="002F1262" w:rsidP="002F1262">
      <w:pPr>
        <w:pStyle w:val="Nadpis5"/>
        <w:keepNext w:val="0"/>
        <w:spacing w:before="0" w:after="60"/>
        <w:ind w:firstLine="0"/>
        <w:rPr>
          <w:rFonts w:ascii="Times New Roman" w:eastAsia="Calibri" w:hAnsi="Times New Roman"/>
          <w:color w:val="auto"/>
        </w:rPr>
      </w:pPr>
      <w:r>
        <w:rPr>
          <w:rFonts w:ascii="Times New Roman" w:eastAsia="Calibri" w:hAnsi="Times New Roman"/>
          <w:color w:val="auto"/>
        </w:rPr>
        <w:tab/>
      </w:r>
      <w:r w:rsidRPr="00EE1C6A">
        <w:rPr>
          <w:rFonts w:ascii="Times New Roman" w:eastAsia="Calibri" w:hAnsi="Times New Roman"/>
          <w:color w:val="auto"/>
        </w:rPr>
        <w:t xml:space="preserve">V poradí tretím strategickým cieľom je </w:t>
      </w:r>
      <w:r w:rsidRPr="00EE1C6A">
        <w:rPr>
          <w:rFonts w:ascii="Times New Roman" w:eastAsia="Calibri" w:hAnsi="Times New Roman"/>
          <w:b/>
          <w:color w:val="auto"/>
        </w:rPr>
        <w:t>dosiahnuť vyvážený územný rozvoj vidieckych hospodárstiev a komunít vrátane vytvárania</w:t>
      </w:r>
      <w:r>
        <w:rPr>
          <w:rFonts w:ascii="Times New Roman" w:eastAsia="Calibri" w:hAnsi="Times New Roman"/>
          <w:b/>
          <w:color w:val="auto"/>
        </w:rPr>
        <w:t xml:space="preserve"> a udržiavania pracovných miest, </w:t>
      </w:r>
      <w:r w:rsidRPr="00EE1C6A">
        <w:rPr>
          <w:rFonts w:ascii="Times New Roman" w:eastAsia="Calibri" w:hAnsi="Times New Roman"/>
          <w:color w:val="auto"/>
        </w:rPr>
        <w:t>na ktorý je určených približne 14</w:t>
      </w:r>
      <w:r w:rsidR="00032E62">
        <w:rPr>
          <w:rFonts w:ascii="Times New Roman" w:eastAsia="Calibri" w:hAnsi="Times New Roman"/>
          <w:color w:val="auto"/>
        </w:rPr>
        <w:t xml:space="preserve"> </w:t>
      </w:r>
      <w:r w:rsidRPr="00EE1C6A">
        <w:rPr>
          <w:rFonts w:ascii="Times New Roman" w:eastAsia="Calibri" w:hAnsi="Times New Roman"/>
          <w:color w:val="auto"/>
        </w:rPr>
        <w:t>% rozpočtu programu. Cieľom je vytvoriť 1 100 pracovných miest na vidieku, začleniť 1 mil. obyvateľstva do MAS, zo zlepšenej infraštruktúry a služieb bude benefitovať 176 tis. obyvateľov a 52 tis. obyvateľov bude mať prospech z novej alebo zlepšenej informačnej infraštruktúry.</w:t>
      </w:r>
    </w:p>
    <w:p w:rsidR="002F1262" w:rsidRPr="00787996" w:rsidRDefault="002F1262" w:rsidP="002F1262">
      <w:pPr>
        <w:autoSpaceDE w:val="0"/>
        <w:autoSpaceDN w:val="0"/>
        <w:adjustRightInd w:val="0"/>
        <w:ind w:firstLine="708"/>
      </w:pPr>
      <w:r>
        <w:t>V roku 2015 sa začalo s implementáciou PRV, pričom k 31.12.2016 bolo kontrahovanie na úrovni cca 40 % a čerpanie 14 % z alokácie EPFRV na program.</w:t>
      </w:r>
    </w:p>
    <w:p w:rsidR="002F1262" w:rsidRDefault="002F1262" w:rsidP="002F1262">
      <w:pPr>
        <w:pStyle w:val="Odsekzoznamu"/>
        <w:ind w:left="0"/>
      </w:pPr>
      <w:r>
        <w:t xml:space="preserve">V roku 2016 bolo v schválenom rozpočte na PRV SR rozpočtovaných celkom 347 610 238 €, z toho na PRV SR 2007 – 2013 v objeme 1 408 042 € a na PRV SR 2014 – 2020 v objeme 346 202 196 €. V súlade so zákonom č. 523/2004 Z. z. bol rozpočet upravený o prevod prostriedkov z predchádzajúcich rokov ako aj o prevod prostriedkov do nasledujúceho roka na objem 162 419 206 €, z toho na PRV SR 2014 – 2020 v objeme 162 397 206 €. Skutočné čerpanie bolo vo výške 100 % k upravenému rozpočtu. </w:t>
      </w:r>
    </w:p>
    <w:p w:rsidR="006823C9" w:rsidRDefault="006823C9" w:rsidP="00124D54">
      <w:pPr>
        <w:spacing w:after="0" w:line="240" w:lineRule="auto"/>
        <w:ind w:firstLine="0"/>
        <w:jc w:val="left"/>
        <w:rPr>
          <w:b/>
        </w:rPr>
      </w:pPr>
    </w:p>
    <w:p w:rsidR="004B7FAD" w:rsidRDefault="008242EC" w:rsidP="00124D54">
      <w:pPr>
        <w:spacing w:after="0" w:line="240" w:lineRule="auto"/>
        <w:ind w:firstLine="0"/>
        <w:jc w:val="left"/>
      </w:pPr>
      <w:r w:rsidRPr="006823C9">
        <w:rPr>
          <w:b/>
        </w:rPr>
        <w:t>Výda</w:t>
      </w:r>
      <w:r w:rsidR="00535AD1" w:rsidRPr="006823C9">
        <w:rPr>
          <w:b/>
        </w:rPr>
        <w:t>vky</w:t>
      </w:r>
      <w:r w:rsidRPr="006823C9">
        <w:rPr>
          <w:b/>
        </w:rPr>
        <w:t xml:space="preserve"> n</w:t>
      </w:r>
      <w:r w:rsidR="004E7E05" w:rsidRPr="006823C9">
        <w:rPr>
          <w:b/>
        </w:rPr>
        <w:t>a PRV SR 20</w:t>
      </w:r>
      <w:r w:rsidR="006823C9" w:rsidRPr="006823C9">
        <w:rPr>
          <w:b/>
        </w:rPr>
        <w:t>14</w:t>
      </w:r>
      <w:r w:rsidR="004E7E05" w:rsidRPr="006823C9">
        <w:rPr>
          <w:b/>
        </w:rPr>
        <w:t xml:space="preserve"> – 20</w:t>
      </w:r>
      <w:r w:rsidR="006823C9" w:rsidRPr="006823C9">
        <w:rPr>
          <w:b/>
        </w:rPr>
        <w:t>20</w:t>
      </w:r>
      <w:r w:rsidR="004E7E05" w:rsidRPr="006823C9">
        <w:rPr>
          <w:b/>
        </w:rPr>
        <w:t xml:space="preserve"> za rok 201</w:t>
      </w:r>
      <w:r w:rsidR="002F1262" w:rsidRPr="006823C9">
        <w:rPr>
          <w:b/>
        </w:rPr>
        <w:t>6</w:t>
      </w:r>
      <w:r w:rsidR="00B35388" w:rsidRPr="006823C9">
        <w:rPr>
          <w:b/>
        </w:rPr>
        <w:t xml:space="preserve">, </w:t>
      </w:r>
      <w:r w:rsidR="00674387" w:rsidRPr="006823C9">
        <w:rPr>
          <w:b/>
        </w:rPr>
        <w:t xml:space="preserve"> </w:t>
      </w:r>
      <w:r w:rsidR="00A02337" w:rsidRPr="006823C9">
        <w:t>v</w:t>
      </w:r>
      <w:r w:rsidR="00A02337" w:rsidRPr="00F1363E">
        <w:t xml:space="preserve"> €         </w:t>
      </w:r>
      <w:r w:rsidR="00124D54">
        <w:t xml:space="preserve">                        </w:t>
      </w:r>
      <w:r w:rsidR="00B35388">
        <w:t xml:space="preserve">           </w:t>
      </w:r>
      <w:r w:rsidR="00124D54">
        <w:t xml:space="preserve">   </w:t>
      </w:r>
      <w:r w:rsidR="006823C9">
        <w:t xml:space="preserve"> </w:t>
      </w:r>
      <w:r w:rsidR="00FB0B30" w:rsidRPr="00F1363E">
        <w:t xml:space="preserve">Tabuľka </w:t>
      </w:r>
      <w:r w:rsidR="00B35388">
        <w:t>7</w:t>
      </w:r>
    </w:p>
    <w:tbl>
      <w:tblPr>
        <w:tblW w:w="9369" w:type="dxa"/>
        <w:tblInd w:w="57" w:type="dxa"/>
        <w:tblCellMar>
          <w:left w:w="70" w:type="dxa"/>
          <w:right w:w="70" w:type="dxa"/>
        </w:tblCellMar>
        <w:tblLook w:val="04A0" w:firstRow="1" w:lastRow="0" w:firstColumn="1" w:lastColumn="0" w:noHBand="0" w:noVBand="1"/>
      </w:tblPr>
      <w:tblGrid>
        <w:gridCol w:w="4820"/>
        <w:gridCol w:w="1430"/>
        <w:gridCol w:w="1410"/>
        <w:gridCol w:w="1709"/>
      </w:tblGrid>
      <w:tr w:rsidR="00B35388" w:rsidRPr="00234705" w:rsidTr="00EA40C8">
        <w:trPr>
          <w:trHeight w:val="330"/>
        </w:trPr>
        <w:tc>
          <w:tcPr>
            <w:tcW w:w="4820"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vAlign w:val="center"/>
            <w:hideMark/>
          </w:tcPr>
          <w:p w:rsidR="00B35388" w:rsidRPr="00234705" w:rsidRDefault="00B35388" w:rsidP="00B35388">
            <w:pPr>
              <w:spacing w:after="0" w:line="240" w:lineRule="auto"/>
              <w:ind w:firstLine="0"/>
              <w:jc w:val="left"/>
              <w:rPr>
                <w:rFonts w:eastAsia="Times New Roman"/>
                <w:b/>
                <w:bCs/>
                <w:color w:val="000000"/>
                <w:lang w:eastAsia="sk-SK"/>
              </w:rPr>
            </w:pPr>
            <w:r w:rsidRPr="00234705">
              <w:rPr>
                <w:rFonts w:eastAsia="Times New Roman"/>
                <w:b/>
                <w:bCs/>
                <w:color w:val="000000"/>
                <w:lang w:eastAsia="sk-SK"/>
              </w:rPr>
              <w:t>Opatrenie</w:t>
            </w:r>
          </w:p>
        </w:tc>
        <w:tc>
          <w:tcPr>
            <w:tcW w:w="1430" w:type="dxa"/>
            <w:tcBorders>
              <w:top w:val="single" w:sz="8" w:space="0" w:color="auto"/>
              <w:left w:val="nil"/>
              <w:bottom w:val="single" w:sz="8" w:space="0" w:color="auto"/>
              <w:right w:val="nil"/>
            </w:tcBorders>
            <w:shd w:val="clear" w:color="auto" w:fill="C2D69B" w:themeFill="accent3" w:themeFillTint="99"/>
            <w:noWrap/>
            <w:vAlign w:val="center"/>
            <w:hideMark/>
          </w:tcPr>
          <w:p w:rsidR="00B35388" w:rsidRPr="00234705" w:rsidRDefault="00B35388" w:rsidP="00B35388">
            <w:pPr>
              <w:spacing w:after="0" w:line="240" w:lineRule="auto"/>
              <w:ind w:firstLine="0"/>
              <w:jc w:val="center"/>
              <w:rPr>
                <w:rFonts w:eastAsia="Times New Roman"/>
                <w:b/>
                <w:bCs/>
                <w:color w:val="000000"/>
                <w:lang w:eastAsia="sk-SK"/>
              </w:rPr>
            </w:pPr>
            <w:r w:rsidRPr="00234705">
              <w:rPr>
                <w:rFonts w:eastAsia="Times New Roman"/>
                <w:b/>
                <w:bCs/>
                <w:color w:val="000000"/>
                <w:lang w:eastAsia="sk-SK"/>
              </w:rPr>
              <w:t>EPFRV (EU)</w:t>
            </w:r>
          </w:p>
        </w:tc>
        <w:tc>
          <w:tcPr>
            <w:tcW w:w="1410"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vAlign w:val="center"/>
            <w:hideMark/>
          </w:tcPr>
          <w:p w:rsidR="00B35388" w:rsidRPr="00234705" w:rsidRDefault="00B35388" w:rsidP="00B35388">
            <w:pPr>
              <w:spacing w:after="0" w:line="240" w:lineRule="auto"/>
              <w:ind w:firstLine="0"/>
              <w:jc w:val="center"/>
              <w:rPr>
                <w:rFonts w:eastAsia="Times New Roman"/>
                <w:b/>
                <w:bCs/>
                <w:color w:val="000000"/>
                <w:lang w:eastAsia="sk-SK"/>
              </w:rPr>
            </w:pPr>
            <w:r w:rsidRPr="00234705">
              <w:rPr>
                <w:rFonts w:eastAsia="Times New Roman"/>
                <w:b/>
                <w:bCs/>
                <w:color w:val="000000"/>
                <w:lang w:eastAsia="sk-SK"/>
              </w:rPr>
              <w:t>SR</w:t>
            </w:r>
          </w:p>
        </w:tc>
        <w:tc>
          <w:tcPr>
            <w:tcW w:w="1709"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rsidR="00B35388" w:rsidRPr="00234705" w:rsidRDefault="00B35388" w:rsidP="00B35388">
            <w:pPr>
              <w:spacing w:after="0" w:line="240" w:lineRule="auto"/>
              <w:ind w:firstLine="0"/>
              <w:jc w:val="center"/>
              <w:rPr>
                <w:rFonts w:eastAsia="Times New Roman"/>
                <w:b/>
                <w:bCs/>
                <w:color w:val="000000"/>
                <w:lang w:eastAsia="sk-SK"/>
              </w:rPr>
            </w:pPr>
            <w:r w:rsidRPr="00234705">
              <w:rPr>
                <w:rFonts w:eastAsia="Times New Roman"/>
                <w:b/>
                <w:bCs/>
                <w:color w:val="000000"/>
                <w:lang w:eastAsia="sk-SK"/>
              </w:rPr>
              <w:t>spolu</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Prenos znalostí a informačné akcie</w:t>
            </w:r>
          </w:p>
        </w:tc>
        <w:tc>
          <w:tcPr>
            <w:tcW w:w="1430" w:type="dxa"/>
            <w:tcBorders>
              <w:top w:val="nil"/>
              <w:left w:val="nil"/>
              <w:bottom w:val="single" w:sz="8" w:space="0" w:color="auto"/>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0</w:t>
            </w:r>
          </w:p>
        </w:tc>
        <w:tc>
          <w:tcPr>
            <w:tcW w:w="1410" w:type="dxa"/>
            <w:tcBorders>
              <w:top w:val="nil"/>
              <w:left w:val="single" w:sz="8" w:space="0" w:color="auto"/>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0</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0</w:t>
            </w:r>
          </w:p>
        </w:tc>
      </w:tr>
      <w:tr w:rsidR="00B35388" w:rsidRPr="00234705" w:rsidTr="00EA40C8">
        <w:trPr>
          <w:trHeight w:val="315"/>
        </w:trPr>
        <w:tc>
          <w:tcPr>
            <w:tcW w:w="4820" w:type="dxa"/>
            <w:tcBorders>
              <w:top w:val="nil"/>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Poradenské služby, služby pomoci pri riadení</w:t>
            </w:r>
          </w:p>
        </w:tc>
        <w:tc>
          <w:tcPr>
            <w:tcW w:w="1430" w:type="dxa"/>
            <w:tcBorders>
              <w:top w:val="nil"/>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p>
        </w:tc>
        <w:tc>
          <w:tcPr>
            <w:tcW w:w="1410" w:type="dxa"/>
            <w:tcBorders>
              <w:top w:val="nil"/>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nil"/>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poľn. podnikov a výpomoci pre poľn. podniky</w:t>
            </w:r>
          </w:p>
        </w:tc>
        <w:tc>
          <w:tcPr>
            <w:tcW w:w="1430" w:type="dxa"/>
            <w:tcBorders>
              <w:top w:val="nil"/>
              <w:left w:val="nil"/>
              <w:bottom w:val="single" w:sz="8" w:space="0" w:color="auto"/>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410" w:type="dxa"/>
            <w:tcBorders>
              <w:top w:val="nil"/>
              <w:left w:val="single" w:sz="8" w:space="0" w:color="auto"/>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30"/>
        </w:trPr>
        <w:tc>
          <w:tcPr>
            <w:tcW w:w="4820" w:type="dxa"/>
            <w:tcBorders>
              <w:top w:val="nil"/>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Investície do hmotného majetku</w:t>
            </w:r>
          </w:p>
        </w:tc>
        <w:tc>
          <w:tcPr>
            <w:tcW w:w="1430" w:type="dxa"/>
            <w:tcBorders>
              <w:top w:val="nil"/>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23 391 443</w:t>
            </w:r>
          </w:p>
        </w:tc>
        <w:tc>
          <w:tcPr>
            <w:tcW w:w="1410" w:type="dxa"/>
            <w:tcBorders>
              <w:top w:val="nil"/>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7 797 148</w:t>
            </w:r>
          </w:p>
        </w:tc>
        <w:tc>
          <w:tcPr>
            <w:tcW w:w="1709" w:type="dxa"/>
            <w:tcBorders>
              <w:top w:val="nil"/>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3</w:t>
            </w:r>
            <w:r>
              <w:rPr>
                <w:rFonts w:eastAsia="Times New Roman"/>
                <w:color w:val="000000"/>
                <w:lang w:eastAsia="sk-SK"/>
              </w:rPr>
              <w:t xml:space="preserve"> </w:t>
            </w:r>
            <w:r w:rsidRPr="00234705">
              <w:rPr>
                <w:rFonts w:eastAsia="Times New Roman"/>
                <w:color w:val="000000"/>
                <w:lang w:eastAsia="sk-SK"/>
              </w:rPr>
              <w:t>1949</w:t>
            </w:r>
            <w:r>
              <w:rPr>
                <w:rFonts w:eastAsia="Times New Roman"/>
                <w:color w:val="000000"/>
                <w:lang w:eastAsia="sk-SK"/>
              </w:rPr>
              <w:t xml:space="preserve"> </w:t>
            </w:r>
            <w:r w:rsidRPr="00234705">
              <w:rPr>
                <w:rFonts w:eastAsia="Times New Roman"/>
                <w:color w:val="000000"/>
                <w:lang w:eastAsia="sk-SK"/>
              </w:rPr>
              <w:t>614*</w:t>
            </w:r>
          </w:p>
        </w:tc>
      </w:tr>
      <w:tr w:rsidR="00B35388" w:rsidRPr="00234705" w:rsidTr="00EA40C8">
        <w:trPr>
          <w:trHeight w:val="315"/>
        </w:trPr>
        <w:tc>
          <w:tcPr>
            <w:tcW w:w="4820" w:type="dxa"/>
            <w:tcBorders>
              <w:top w:val="single" w:sz="8" w:space="0" w:color="auto"/>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Obnova potenciálu poľn. výroby poškodeného</w:t>
            </w:r>
          </w:p>
        </w:tc>
        <w:tc>
          <w:tcPr>
            <w:tcW w:w="1430" w:type="dxa"/>
            <w:tcBorders>
              <w:top w:val="single" w:sz="8" w:space="0" w:color="auto"/>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410" w:type="dxa"/>
            <w:tcBorders>
              <w:top w:val="single" w:sz="8" w:space="0" w:color="auto"/>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single" w:sz="8" w:space="0" w:color="auto"/>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15"/>
        </w:trPr>
        <w:tc>
          <w:tcPr>
            <w:tcW w:w="4820" w:type="dxa"/>
            <w:tcBorders>
              <w:top w:val="nil"/>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prírod. katastrofami a katastrofickými udalosťami</w:t>
            </w:r>
            <w:r w:rsidR="00032E62">
              <w:rPr>
                <w:rFonts w:eastAsia="Times New Roman"/>
                <w:color w:val="000000"/>
                <w:lang w:eastAsia="sk-SK"/>
              </w:rPr>
              <w:t xml:space="preserve"> a </w:t>
            </w:r>
            <w:r w:rsidR="00032E62" w:rsidRPr="00234705">
              <w:rPr>
                <w:rFonts w:eastAsia="Times New Roman"/>
                <w:color w:val="000000"/>
                <w:lang w:eastAsia="sk-SK"/>
              </w:rPr>
              <w:t>zavedenie vhodných preventívnych opatrení</w:t>
            </w:r>
          </w:p>
        </w:tc>
        <w:tc>
          <w:tcPr>
            <w:tcW w:w="1430" w:type="dxa"/>
            <w:tcBorders>
              <w:top w:val="nil"/>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ascii="Calibri" w:eastAsia="Times New Roman" w:hAnsi="Calibri"/>
                <w:color w:val="000000"/>
                <w:sz w:val="22"/>
                <w:szCs w:val="22"/>
                <w:lang w:eastAsia="sk-SK"/>
              </w:rPr>
            </w:pPr>
          </w:p>
        </w:tc>
        <w:tc>
          <w:tcPr>
            <w:tcW w:w="1410" w:type="dxa"/>
            <w:tcBorders>
              <w:top w:val="nil"/>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nil"/>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30"/>
        </w:trPr>
        <w:tc>
          <w:tcPr>
            <w:tcW w:w="4820" w:type="dxa"/>
            <w:tcBorders>
              <w:top w:val="nil"/>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Rozvoj poľn.podnikov a podnikateľskej činnosti</w:t>
            </w:r>
          </w:p>
        </w:tc>
        <w:tc>
          <w:tcPr>
            <w:tcW w:w="1430" w:type="dxa"/>
            <w:tcBorders>
              <w:top w:val="nil"/>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394 302</w:t>
            </w:r>
          </w:p>
        </w:tc>
        <w:tc>
          <w:tcPr>
            <w:tcW w:w="1410" w:type="dxa"/>
            <w:tcBorders>
              <w:top w:val="nil"/>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131 434</w:t>
            </w:r>
          </w:p>
        </w:tc>
        <w:tc>
          <w:tcPr>
            <w:tcW w:w="1709" w:type="dxa"/>
            <w:tcBorders>
              <w:top w:val="nil"/>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525 736</w:t>
            </w:r>
          </w:p>
        </w:tc>
      </w:tr>
      <w:tr w:rsidR="00B35388" w:rsidRPr="00234705" w:rsidTr="00EA40C8">
        <w:trPr>
          <w:trHeight w:val="315"/>
        </w:trPr>
        <w:tc>
          <w:tcPr>
            <w:tcW w:w="4820" w:type="dxa"/>
            <w:tcBorders>
              <w:top w:val="single" w:sz="8" w:space="0" w:color="auto"/>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Základné služby a obnova dedín vo vidieckych</w:t>
            </w:r>
          </w:p>
        </w:tc>
        <w:tc>
          <w:tcPr>
            <w:tcW w:w="1430" w:type="dxa"/>
            <w:tcBorders>
              <w:top w:val="single" w:sz="8" w:space="0" w:color="auto"/>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410" w:type="dxa"/>
            <w:tcBorders>
              <w:top w:val="single" w:sz="8" w:space="0" w:color="auto"/>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single" w:sz="8" w:space="0" w:color="auto"/>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oblastiach</w:t>
            </w:r>
          </w:p>
        </w:tc>
        <w:tc>
          <w:tcPr>
            <w:tcW w:w="1430" w:type="dxa"/>
            <w:tcBorders>
              <w:top w:val="nil"/>
              <w:left w:val="nil"/>
              <w:bottom w:val="single" w:sz="8" w:space="0" w:color="auto"/>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410" w:type="dxa"/>
            <w:tcBorders>
              <w:top w:val="nil"/>
              <w:left w:val="single" w:sz="8" w:space="0" w:color="auto"/>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15"/>
        </w:trPr>
        <w:tc>
          <w:tcPr>
            <w:tcW w:w="4820" w:type="dxa"/>
            <w:tcBorders>
              <w:top w:val="nil"/>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Investície do rozvoja lesných oblastí a zlepšenia</w:t>
            </w:r>
          </w:p>
        </w:tc>
        <w:tc>
          <w:tcPr>
            <w:tcW w:w="1430" w:type="dxa"/>
            <w:tcBorders>
              <w:top w:val="nil"/>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p>
        </w:tc>
        <w:tc>
          <w:tcPr>
            <w:tcW w:w="1410" w:type="dxa"/>
            <w:tcBorders>
              <w:top w:val="nil"/>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nil"/>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životaschopnosti lesov</w:t>
            </w:r>
          </w:p>
        </w:tc>
        <w:tc>
          <w:tcPr>
            <w:tcW w:w="1430" w:type="dxa"/>
            <w:tcBorders>
              <w:top w:val="nil"/>
              <w:left w:val="nil"/>
              <w:bottom w:val="single" w:sz="8" w:space="0" w:color="auto"/>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11 389 744</w:t>
            </w:r>
          </w:p>
        </w:tc>
        <w:tc>
          <w:tcPr>
            <w:tcW w:w="1410" w:type="dxa"/>
            <w:tcBorders>
              <w:top w:val="nil"/>
              <w:left w:val="single" w:sz="8" w:space="0" w:color="auto"/>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3 796 582</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15 186 327</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Agroenvironmentálnoklimatické opatrenie</w:t>
            </w:r>
          </w:p>
        </w:tc>
        <w:tc>
          <w:tcPr>
            <w:tcW w:w="143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11 525 031</w:t>
            </w:r>
          </w:p>
        </w:tc>
        <w:tc>
          <w:tcPr>
            <w:tcW w:w="141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3 979 446</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15 504 477</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Ekologické poľnohospodárstvo</w:t>
            </w:r>
          </w:p>
        </w:tc>
        <w:tc>
          <w:tcPr>
            <w:tcW w:w="143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12 078 644</w:t>
            </w:r>
          </w:p>
        </w:tc>
        <w:tc>
          <w:tcPr>
            <w:tcW w:w="141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4 231 078</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16 309 722</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032E62"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Platby v rámci NATURA 2000 a</w:t>
            </w:r>
            <w:r w:rsidR="00032E62">
              <w:rPr>
                <w:rFonts w:eastAsia="Times New Roman"/>
                <w:color w:val="000000"/>
                <w:lang w:eastAsia="sk-SK"/>
              </w:rPr>
              <w:t> </w:t>
            </w:r>
            <w:r w:rsidRPr="00234705">
              <w:rPr>
                <w:rFonts w:eastAsia="Times New Roman"/>
                <w:color w:val="000000"/>
                <w:lang w:eastAsia="sk-SK"/>
              </w:rPr>
              <w:t>smernici</w:t>
            </w:r>
          </w:p>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o vode</w:t>
            </w:r>
          </w:p>
        </w:tc>
        <w:tc>
          <w:tcPr>
            <w:tcW w:w="143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656 997</w:t>
            </w:r>
          </w:p>
        </w:tc>
        <w:tc>
          <w:tcPr>
            <w:tcW w:w="141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219 728</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876 725</w:t>
            </w:r>
          </w:p>
        </w:tc>
      </w:tr>
      <w:tr w:rsidR="00B35388" w:rsidRPr="00234705" w:rsidTr="00EA40C8">
        <w:trPr>
          <w:trHeight w:val="315"/>
        </w:trPr>
        <w:tc>
          <w:tcPr>
            <w:tcW w:w="4820" w:type="dxa"/>
            <w:tcBorders>
              <w:top w:val="nil"/>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Platby pre oblasti s prírodnými alebo inými</w:t>
            </w:r>
          </w:p>
        </w:tc>
        <w:tc>
          <w:tcPr>
            <w:tcW w:w="1430" w:type="dxa"/>
            <w:tcBorders>
              <w:top w:val="nil"/>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p>
        </w:tc>
        <w:tc>
          <w:tcPr>
            <w:tcW w:w="1410" w:type="dxa"/>
            <w:tcBorders>
              <w:top w:val="nil"/>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nil"/>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3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osobitnými obmedzeniami</w:t>
            </w:r>
          </w:p>
        </w:tc>
        <w:tc>
          <w:tcPr>
            <w:tcW w:w="1430" w:type="dxa"/>
            <w:tcBorders>
              <w:top w:val="nil"/>
              <w:left w:val="nil"/>
              <w:bottom w:val="single" w:sz="4" w:space="0" w:color="auto"/>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41 825 611</w:t>
            </w:r>
          </w:p>
        </w:tc>
        <w:tc>
          <w:tcPr>
            <w:tcW w:w="1410" w:type="dxa"/>
            <w:tcBorders>
              <w:top w:val="nil"/>
              <w:left w:val="single" w:sz="8" w:space="0" w:color="auto"/>
              <w:bottom w:val="single" w:sz="4"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14 308 001</w:t>
            </w:r>
          </w:p>
        </w:tc>
        <w:tc>
          <w:tcPr>
            <w:tcW w:w="1709" w:type="dxa"/>
            <w:tcBorders>
              <w:top w:val="nil"/>
              <w:left w:val="nil"/>
              <w:bottom w:val="single" w:sz="4"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56 133 613</w:t>
            </w:r>
          </w:p>
        </w:tc>
      </w:tr>
      <w:tr w:rsidR="00B35388" w:rsidRPr="00234705" w:rsidTr="00EA40C8">
        <w:trPr>
          <w:trHeight w:val="330"/>
        </w:trPr>
        <w:tc>
          <w:tcPr>
            <w:tcW w:w="48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lastRenderedPageBreak/>
              <w:t>Dobré životné podmienky zvierat</w:t>
            </w:r>
          </w:p>
        </w:tc>
        <w:tc>
          <w:tcPr>
            <w:tcW w:w="1430" w:type="dxa"/>
            <w:tcBorders>
              <w:top w:val="single" w:sz="4" w:space="0" w:color="auto"/>
              <w:left w:val="nil"/>
              <w:bottom w:val="single" w:sz="8" w:space="0" w:color="auto"/>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14 833 859</w:t>
            </w:r>
          </w:p>
        </w:tc>
        <w:tc>
          <w:tcPr>
            <w:tcW w:w="14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5 116 814</w:t>
            </w:r>
          </w:p>
        </w:tc>
        <w:tc>
          <w:tcPr>
            <w:tcW w:w="1709" w:type="dxa"/>
            <w:tcBorders>
              <w:top w:val="single" w:sz="4" w:space="0" w:color="auto"/>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19 950 673</w:t>
            </w:r>
          </w:p>
        </w:tc>
      </w:tr>
      <w:tr w:rsidR="00B35388" w:rsidRPr="00234705" w:rsidTr="00EA40C8">
        <w:trPr>
          <w:trHeight w:val="315"/>
        </w:trPr>
        <w:tc>
          <w:tcPr>
            <w:tcW w:w="4820" w:type="dxa"/>
            <w:tcBorders>
              <w:top w:val="single" w:sz="8" w:space="0" w:color="auto"/>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Lesnícko-environmentálne a klimatické</w:t>
            </w:r>
          </w:p>
        </w:tc>
        <w:tc>
          <w:tcPr>
            <w:tcW w:w="1430" w:type="dxa"/>
            <w:tcBorders>
              <w:top w:val="single" w:sz="8" w:space="0" w:color="auto"/>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410" w:type="dxa"/>
            <w:tcBorders>
              <w:top w:val="single" w:sz="8" w:space="0" w:color="auto"/>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single" w:sz="8" w:space="0" w:color="auto"/>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služby a ochrana lesov</w:t>
            </w:r>
          </w:p>
        </w:tc>
        <w:tc>
          <w:tcPr>
            <w:tcW w:w="1430" w:type="dxa"/>
            <w:tcBorders>
              <w:top w:val="nil"/>
              <w:left w:val="nil"/>
              <w:bottom w:val="single" w:sz="8" w:space="0" w:color="auto"/>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335 468</w:t>
            </w:r>
          </w:p>
        </w:tc>
        <w:tc>
          <w:tcPr>
            <w:tcW w:w="1410" w:type="dxa"/>
            <w:tcBorders>
              <w:top w:val="nil"/>
              <w:left w:val="single" w:sz="8" w:space="0" w:color="auto"/>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111 823</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447 292</w:t>
            </w:r>
          </w:p>
        </w:tc>
      </w:tr>
      <w:tr w:rsidR="00B35388" w:rsidRPr="00234705" w:rsidTr="00EA40C8">
        <w:trPr>
          <w:trHeight w:val="330"/>
        </w:trPr>
        <w:tc>
          <w:tcPr>
            <w:tcW w:w="4820" w:type="dxa"/>
            <w:tcBorders>
              <w:top w:val="nil"/>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Spolupráca</w:t>
            </w:r>
          </w:p>
        </w:tc>
        <w:tc>
          <w:tcPr>
            <w:tcW w:w="1430" w:type="dxa"/>
            <w:tcBorders>
              <w:top w:val="nil"/>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p>
        </w:tc>
        <w:tc>
          <w:tcPr>
            <w:tcW w:w="1410" w:type="dxa"/>
            <w:tcBorders>
              <w:top w:val="nil"/>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nil"/>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15"/>
        </w:trPr>
        <w:tc>
          <w:tcPr>
            <w:tcW w:w="4820" w:type="dxa"/>
            <w:tcBorders>
              <w:top w:val="single" w:sz="8" w:space="0" w:color="auto"/>
              <w:left w:val="single" w:sz="8" w:space="0" w:color="auto"/>
              <w:bottom w:val="nil"/>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Podpora miestneho rozvoja iniciatívy LEADER</w:t>
            </w:r>
          </w:p>
        </w:tc>
        <w:tc>
          <w:tcPr>
            <w:tcW w:w="1430" w:type="dxa"/>
            <w:tcBorders>
              <w:top w:val="single" w:sz="8" w:space="0" w:color="auto"/>
              <w:left w:val="nil"/>
              <w:bottom w:val="nil"/>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410" w:type="dxa"/>
            <w:tcBorders>
              <w:top w:val="single" w:sz="8" w:space="0" w:color="auto"/>
              <w:left w:val="single" w:sz="8" w:space="0" w:color="auto"/>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single" w:sz="8" w:space="0" w:color="auto"/>
              <w:left w:val="nil"/>
              <w:bottom w:val="nil"/>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 xml:space="preserve"> (CLLD)</w:t>
            </w:r>
          </w:p>
        </w:tc>
        <w:tc>
          <w:tcPr>
            <w:tcW w:w="1430" w:type="dxa"/>
            <w:tcBorders>
              <w:top w:val="nil"/>
              <w:left w:val="nil"/>
              <w:bottom w:val="single" w:sz="8" w:space="0" w:color="auto"/>
              <w:right w:val="nil"/>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154 972</w:t>
            </w:r>
          </w:p>
        </w:tc>
        <w:tc>
          <w:tcPr>
            <w:tcW w:w="1410" w:type="dxa"/>
            <w:tcBorders>
              <w:top w:val="nil"/>
              <w:left w:val="single" w:sz="8" w:space="0" w:color="auto"/>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51 657</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206 629</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Technická pomoc vrátane NSRV</w:t>
            </w:r>
          </w:p>
        </w:tc>
        <w:tc>
          <w:tcPr>
            <w:tcW w:w="143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4 550 566</w:t>
            </w:r>
          </w:p>
        </w:tc>
        <w:tc>
          <w:tcPr>
            <w:tcW w:w="141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1 516 855</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6 067 421</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color w:val="000000"/>
                <w:lang w:eastAsia="sk-SK"/>
              </w:rPr>
            </w:pPr>
            <w:r w:rsidRPr="00234705">
              <w:rPr>
                <w:rFonts w:eastAsia="Times New Roman"/>
                <w:color w:val="000000"/>
                <w:lang w:eastAsia="sk-SK"/>
              </w:rPr>
              <w:t>Spolu vrátane prostriedkov rozp.</w:t>
            </w:r>
            <w:r>
              <w:rPr>
                <w:rFonts w:eastAsia="Times New Roman"/>
                <w:color w:val="000000"/>
                <w:lang w:eastAsia="sk-SK"/>
              </w:rPr>
              <w:t xml:space="preserve"> </w:t>
            </w:r>
            <w:r w:rsidRPr="00234705">
              <w:rPr>
                <w:rFonts w:eastAsia="Times New Roman"/>
                <w:color w:val="000000"/>
                <w:lang w:eastAsia="sk-SK"/>
              </w:rPr>
              <w:t>kapitoly MPRV*</w:t>
            </w:r>
          </w:p>
        </w:tc>
        <w:tc>
          <w:tcPr>
            <w:tcW w:w="143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41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 </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color w:val="000000"/>
                <w:lang w:eastAsia="sk-SK"/>
              </w:rPr>
            </w:pPr>
            <w:r w:rsidRPr="00234705">
              <w:rPr>
                <w:rFonts w:eastAsia="Times New Roman"/>
                <w:color w:val="000000"/>
                <w:lang w:eastAsia="sk-SK"/>
              </w:rPr>
              <w:t>163 158 230</w:t>
            </w:r>
          </w:p>
        </w:tc>
      </w:tr>
      <w:tr w:rsidR="00B35388" w:rsidRPr="00234705" w:rsidTr="00EA40C8">
        <w:trPr>
          <w:trHeight w:val="33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B35388" w:rsidRPr="00234705" w:rsidRDefault="00B35388" w:rsidP="00B35388">
            <w:pPr>
              <w:spacing w:after="0" w:line="240" w:lineRule="auto"/>
              <w:ind w:firstLine="0"/>
              <w:jc w:val="left"/>
              <w:rPr>
                <w:rFonts w:eastAsia="Times New Roman"/>
                <w:b/>
                <w:bCs/>
                <w:color w:val="000000"/>
                <w:lang w:eastAsia="sk-SK"/>
              </w:rPr>
            </w:pPr>
            <w:r w:rsidRPr="00234705">
              <w:rPr>
                <w:rFonts w:eastAsia="Times New Roman"/>
                <w:b/>
                <w:bCs/>
                <w:color w:val="000000"/>
                <w:lang w:eastAsia="sk-SK"/>
              </w:rPr>
              <w:t>Spolu rozvoj vidieka</w:t>
            </w:r>
          </w:p>
        </w:tc>
        <w:tc>
          <w:tcPr>
            <w:tcW w:w="143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b/>
                <w:bCs/>
                <w:color w:val="000000"/>
                <w:lang w:eastAsia="sk-SK"/>
              </w:rPr>
            </w:pPr>
            <w:r w:rsidRPr="00234705">
              <w:rPr>
                <w:rFonts w:eastAsia="Times New Roman"/>
                <w:b/>
                <w:bCs/>
                <w:color w:val="000000"/>
                <w:lang w:eastAsia="sk-SK"/>
              </w:rPr>
              <w:t>121 136 638</w:t>
            </w:r>
          </w:p>
        </w:tc>
        <w:tc>
          <w:tcPr>
            <w:tcW w:w="1410" w:type="dxa"/>
            <w:tcBorders>
              <w:top w:val="nil"/>
              <w:left w:val="nil"/>
              <w:bottom w:val="single" w:sz="8" w:space="0" w:color="auto"/>
              <w:right w:val="single" w:sz="8" w:space="0" w:color="auto"/>
            </w:tcBorders>
            <w:shd w:val="clear" w:color="auto" w:fill="auto"/>
            <w:noWrap/>
            <w:vAlign w:val="center"/>
            <w:hideMark/>
          </w:tcPr>
          <w:p w:rsidR="00B35388" w:rsidRPr="00234705" w:rsidRDefault="00B35388" w:rsidP="00B35388">
            <w:pPr>
              <w:spacing w:after="0" w:line="240" w:lineRule="auto"/>
              <w:ind w:firstLine="0"/>
              <w:jc w:val="right"/>
              <w:rPr>
                <w:rFonts w:eastAsia="Times New Roman"/>
                <w:b/>
                <w:bCs/>
                <w:color w:val="000000"/>
                <w:lang w:eastAsia="sk-SK"/>
              </w:rPr>
            </w:pPr>
            <w:r w:rsidRPr="00234705">
              <w:rPr>
                <w:rFonts w:eastAsia="Times New Roman"/>
                <w:b/>
                <w:bCs/>
                <w:color w:val="000000"/>
                <w:lang w:eastAsia="sk-SK"/>
              </w:rPr>
              <w:t>41 260 568</w:t>
            </w:r>
          </w:p>
        </w:tc>
        <w:tc>
          <w:tcPr>
            <w:tcW w:w="1709" w:type="dxa"/>
            <w:tcBorders>
              <w:top w:val="nil"/>
              <w:left w:val="nil"/>
              <w:bottom w:val="single" w:sz="8" w:space="0" w:color="auto"/>
              <w:right w:val="single" w:sz="8" w:space="0" w:color="auto"/>
            </w:tcBorders>
            <w:shd w:val="clear" w:color="auto" w:fill="auto"/>
            <w:noWrap/>
            <w:vAlign w:val="center"/>
            <w:hideMark/>
          </w:tcPr>
          <w:p w:rsidR="00B35388" w:rsidRPr="00E70440" w:rsidRDefault="00B35388" w:rsidP="00B35388">
            <w:pPr>
              <w:pStyle w:val="Odsekzoznamu"/>
              <w:numPr>
                <w:ilvl w:val="0"/>
                <w:numId w:val="34"/>
              </w:numPr>
              <w:spacing w:after="0" w:line="240" w:lineRule="auto"/>
              <w:jc w:val="right"/>
              <w:rPr>
                <w:rFonts w:eastAsia="Times New Roman"/>
                <w:b/>
                <w:bCs/>
                <w:color w:val="000000"/>
                <w:lang w:eastAsia="sk-SK"/>
              </w:rPr>
            </w:pPr>
            <w:r>
              <w:rPr>
                <w:rFonts w:eastAsia="Times New Roman"/>
                <w:b/>
                <w:bCs/>
                <w:color w:val="000000"/>
                <w:lang w:eastAsia="sk-SK"/>
              </w:rPr>
              <w:t xml:space="preserve"> 39</w:t>
            </w:r>
            <w:r w:rsidRPr="00E70440">
              <w:rPr>
                <w:rFonts w:eastAsia="Times New Roman"/>
                <w:b/>
                <w:bCs/>
                <w:color w:val="000000"/>
                <w:lang w:eastAsia="sk-SK"/>
              </w:rPr>
              <w:t>7 206</w:t>
            </w:r>
          </w:p>
        </w:tc>
      </w:tr>
    </w:tbl>
    <w:p w:rsidR="00D77614" w:rsidRPr="00032E62" w:rsidRDefault="00B35388" w:rsidP="00D77614">
      <w:pPr>
        <w:spacing w:after="0" w:line="240" w:lineRule="auto"/>
        <w:ind w:hanging="142"/>
        <w:jc w:val="left"/>
        <w:rPr>
          <w:sz w:val="22"/>
          <w:szCs w:val="22"/>
        </w:rPr>
      </w:pPr>
      <w:r>
        <w:rPr>
          <w:rStyle w:val="Siln"/>
          <w:b w:val="0"/>
          <w:sz w:val="20"/>
          <w:szCs w:val="20"/>
        </w:rPr>
        <w:t xml:space="preserve">  </w:t>
      </w:r>
      <w:r w:rsidR="00057DE9" w:rsidRPr="00057DE9">
        <w:rPr>
          <w:rStyle w:val="Siln"/>
          <w:b w:val="0"/>
          <w:sz w:val="22"/>
          <w:szCs w:val="22"/>
        </w:rPr>
        <w:t xml:space="preserve">Prameň: MPRV SR, PPA,  </w:t>
      </w:r>
      <w:r w:rsidR="00057DE9" w:rsidRPr="00057DE9">
        <w:rPr>
          <w:sz w:val="22"/>
          <w:szCs w:val="22"/>
        </w:rPr>
        <w:t>*761 024 € - prostriedky rozpočtovej kapitoly MPRV SR</w:t>
      </w:r>
    </w:p>
    <w:p w:rsidR="00B35388" w:rsidRPr="00032E62" w:rsidRDefault="00057DE9" w:rsidP="00B35388">
      <w:pPr>
        <w:spacing w:after="0" w:line="240" w:lineRule="auto"/>
        <w:ind w:hanging="142"/>
        <w:jc w:val="left"/>
        <w:rPr>
          <w:bCs/>
          <w:sz w:val="22"/>
          <w:szCs w:val="22"/>
        </w:rPr>
      </w:pPr>
      <w:r w:rsidRPr="00057DE9">
        <w:rPr>
          <w:rStyle w:val="Siln"/>
          <w:b w:val="0"/>
          <w:sz w:val="22"/>
          <w:szCs w:val="22"/>
        </w:rPr>
        <w:t xml:space="preserve">  Vypracoval: </w:t>
      </w:r>
      <w:r w:rsidRPr="00057DE9">
        <w:rPr>
          <w:sz w:val="22"/>
          <w:szCs w:val="22"/>
        </w:rPr>
        <w:t>NPPC - VÚEPP</w:t>
      </w:r>
      <w:r w:rsidRPr="00057DE9">
        <w:rPr>
          <w:b/>
          <w:sz w:val="22"/>
          <w:szCs w:val="22"/>
        </w:rPr>
        <w:t xml:space="preserve"> </w:t>
      </w:r>
    </w:p>
    <w:p w:rsidR="00C3267D" w:rsidRDefault="00C3267D" w:rsidP="00B35388">
      <w:pPr>
        <w:spacing w:after="0" w:line="240" w:lineRule="auto"/>
        <w:ind w:firstLine="0"/>
        <w:jc w:val="left"/>
        <w:rPr>
          <w:b/>
        </w:rPr>
      </w:pPr>
    </w:p>
    <w:p w:rsidR="00B35388" w:rsidRPr="008C76D2" w:rsidRDefault="00B35388" w:rsidP="00B35388">
      <w:pPr>
        <w:spacing w:after="0" w:line="240" w:lineRule="auto"/>
        <w:ind w:firstLine="0"/>
        <w:jc w:val="left"/>
        <w:rPr>
          <w:bCs/>
          <w:sz w:val="20"/>
          <w:szCs w:val="20"/>
        </w:rPr>
      </w:pPr>
      <w:r w:rsidRPr="006D47D7">
        <w:rPr>
          <w:b/>
        </w:rPr>
        <w:t xml:space="preserve">Rozvoj vidieka </w:t>
      </w:r>
      <w:r w:rsidRPr="008C76D2">
        <w:rPr>
          <w:b/>
        </w:rPr>
        <w:t>v rokoch 2011 – 2016</w:t>
      </w:r>
      <w:r>
        <w:rPr>
          <w:b/>
        </w:rPr>
        <w:t xml:space="preserve">, </w:t>
      </w:r>
      <w:r w:rsidRPr="008C76D2">
        <w:rPr>
          <w:b/>
        </w:rPr>
        <w:t xml:space="preserve"> v mil. €</w:t>
      </w:r>
      <w:r>
        <w:rPr>
          <w:b/>
        </w:rPr>
        <w:t xml:space="preserve">                                                       </w:t>
      </w:r>
      <w:r w:rsidRPr="00F1363E">
        <w:rPr>
          <w:rStyle w:val="Siln"/>
          <w:b w:val="0"/>
        </w:rPr>
        <w:t xml:space="preserve">Tabuľka </w:t>
      </w:r>
      <w:r>
        <w:rPr>
          <w:rStyle w:val="Siln"/>
          <w:b w:val="0"/>
        </w:rPr>
        <w:t>8</w:t>
      </w:r>
    </w:p>
    <w:tbl>
      <w:tblPr>
        <w:tblStyle w:val="Mriekatabuky"/>
        <w:tblpPr w:leftFromText="180" w:rightFromText="180" w:vertAnchor="page" w:horzAnchor="margin" w:tblpY="5865"/>
        <w:tblW w:w="0" w:type="auto"/>
        <w:tblLook w:val="04A0" w:firstRow="1" w:lastRow="0" w:firstColumn="1" w:lastColumn="0" w:noHBand="0" w:noVBand="1"/>
      </w:tblPr>
      <w:tblGrid>
        <w:gridCol w:w="2660"/>
        <w:gridCol w:w="992"/>
        <w:gridCol w:w="1276"/>
        <w:gridCol w:w="992"/>
        <w:gridCol w:w="1370"/>
        <w:gridCol w:w="1800"/>
      </w:tblGrid>
      <w:tr w:rsidR="00EE65E0" w:rsidTr="00EE65E0">
        <w:tc>
          <w:tcPr>
            <w:tcW w:w="2660" w:type="dxa"/>
            <w:shd w:val="clear" w:color="auto" w:fill="D6E3BC" w:themeFill="accent3" w:themeFillTint="66"/>
            <w:vAlign w:val="center"/>
          </w:tcPr>
          <w:p w:rsidR="00EE65E0" w:rsidRPr="0058198A" w:rsidRDefault="00EE65E0" w:rsidP="00EE65E0">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Uka</w:t>
            </w:r>
            <w:r>
              <w:rPr>
                <w:rFonts w:eastAsia="Times New Roman"/>
                <w:b/>
                <w:bCs/>
                <w:color w:val="000000"/>
                <w:sz w:val="22"/>
                <w:szCs w:val="22"/>
                <w:lang w:eastAsia="sk-SK"/>
              </w:rPr>
              <w:t>z</w:t>
            </w:r>
            <w:r w:rsidRPr="0058198A">
              <w:rPr>
                <w:rFonts w:eastAsia="Times New Roman"/>
                <w:b/>
                <w:bCs/>
                <w:color w:val="000000"/>
                <w:sz w:val="22"/>
                <w:szCs w:val="22"/>
                <w:lang w:eastAsia="sk-SK"/>
              </w:rPr>
              <w:t>ovateľ</w:t>
            </w:r>
          </w:p>
        </w:tc>
        <w:tc>
          <w:tcPr>
            <w:tcW w:w="992" w:type="dxa"/>
            <w:shd w:val="clear" w:color="auto" w:fill="D6E3BC" w:themeFill="accent3" w:themeFillTint="66"/>
            <w:vAlign w:val="center"/>
          </w:tcPr>
          <w:p w:rsidR="00EE65E0" w:rsidRPr="0058198A" w:rsidRDefault="00EE65E0" w:rsidP="00EE65E0">
            <w:pPr>
              <w:spacing w:after="0" w:line="240" w:lineRule="auto"/>
              <w:ind w:firstLine="0"/>
              <w:jc w:val="center"/>
              <w:rPr>
                <w:rFonts w:eastAsia="Times New Roman"/>
                <w:b/>
                <w:bCs/>
                <w:color w:val="000000"/>
                <w:sz w:val="22"/>
                <w:szCs w:val="22"/>
                <w:lang w:eastAsia="sk-SK"/>
              </w:rPr>
            </w:pPr>
            <w:r w:rsidRPr="004B7DE3">
              <w:rPr>
                <w:rFonts w:eastAsia="Times New Roman"/>
                <w:color w:val="000000"/>
                <w:sz w:val="22"/>
                <w:szCs w:val="22"/>
                <w:lang w:eastAsia="sk-SK"/>
              </w:rPr>
              <w:t>Ø</w:t>
            </w:r>
            <w:r w:rsidRPr="0058198A">
              <w:rPr>
                <w:rFonts w:eastAsia="Times New Roman"/>
                <w:b/>
                <w:bCs/>
                <w:color w:val="000000"/>
                <w:sz w:val="22"/>
                <w:szCs w:val="22"/>
                <w:lang w:eastAsia="sk-SK"/>
              </w:rPr>
              <w:t xml:space="preserve"> 2011-201</w:t>
            </w:r>
            <w:r>
              <w:rPr>
                <w:rFonts w:eastAsia="Times New Roman"/>
                <w:b/>
                <w:bCs/>
                <w:color w:val="000000"/>
                <w:sz w:val="22"/>
                <w:szCs w:val="22"/>
                <w:lang w:eastAsia="sk-SK"/>
              </w:rPr>
              <w:t>5</w:t>
            </w:r>
          </w:p>
        </w:tc>
        <w:tc>
          <w:tcPr>
            <w:tcW w:w="1276" w:type="dxa"/>
            <w:shd w:val="clear" w:color="auto" w:fill="D6E3BC" w:themeFill="accent3" w:themeFillTint="66"/>
            <w:vAlign w:val="center"/>
          </w:tcPr>
          <w:p w:rsidR="00EE65E0" w:rsidRPr="0058198A" w:rsidRDefault="00EE65E0" w:rsidP="00EE65E0">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2015</w:t>
            </w:r>
          </w:p>
        </w:tc>
        <w:tc>
          <w:tcPr>
            <w:tcW w:w="992" w:type="dxa"/>
            <w:shd w:val="clear" w:color="auto" w:fill="D6E3BC" w:themeFill="accent3" w:themeFillTint="66"/>
            <w:vAlign w:val="center"/>
          </w:tcPr>
          <w:p w:rsidR="00EE65E0" w:rsidRPr="0058198A" w:rsidRDefault="00EE65E0" w:rsidP="00EE65E0">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w:t>
            </w:r>
            <w:r>
              <w:rPr>
                <w:rFonts w:eastAsia="Times New Roman"/>
                <w:b/>
                <w:bCs/>
                <w:color w:val="000000"/>
                <w:sz w:val="22"/>
                <w:szCs w:val="22"/>
                <w:lang w:eastAsia="sk-SK"/>
              </w:rPr>
              <w:t>6</w:t>
            </w:r>
          </w:p>
        </w:tc>
        <w:tc>
          <w:tcPr>
            <w:tcW w:w="1370" w:type="dxa"/>
            <w:shd w:val="clear" w:color="auto" w:fill="D6E3BC" w:themeFill="accent3" w:themeFillTint="66"/>
            <w:vAlign w:val="center"/>
          </w:tcPr>
          <w:p w:rsidR="00EE65E0" w:rsidRPr="0058198A" w:rsidRDefault="00EE65E0" w:rsidP="00EE65E0">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2016/15</w:t>
            </w:r>
          </w:p>
        </w:tc>
        <w:tc>
          <w:tcPr>
            <w:tcW w:w="1800" w:type="dxa"/>
            <w:shd w:val="clear" w:color="auto" w:fill="D6E3BC" w:themeFill="accent3" w:themeFillTint="66"/>
            <w:vAlign w:val="center"/>
          </w:tcPr>
          <w:p w:rsidR="00EE65E0" w:rsidRPr="0058198A" w:rsidRDefault="00EE65E0" w:rsidP="00EE65E0">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w:t>
            </w:r>
            <w:r w:rsidRPr="004B7DE3">
              <w:rPr>
                <w:rFonts w:eastAsia="Times New Roman"/>
                <w:color w:val="000000"/>
                <w:sz w:val="22"/>
                <w:szCs w:val="22"/>
                <w:lang w:eastAsia="sk-SK"/>
              </w:rPr>
              <w:t xml:space="preserve"> Ø</w:t>
            </w:r>
            <w:r w:rsidRPr="0058198A">
              <w:rPr>
                <w:rFonts w:eastAsia="Times New Roman"/>
                <w:b/>
                <w:bCs/>
                <w:color w:val="000000"/>
                <w:sz w:val="22"/>
                <w:szCs w:val="22"/>
                <w:lang w:eastAsia="sk-SK"/>
              </w:rPr>
              <w:t xml:space="preserve"> 2011-2015</w:t>
            </w:r>
          </w:p>
        </w:tc>
      </w:tr>
      <w:tr w:rsidR="00EE65E0" w:rsidTr="00EE65E0">
        <w:tc>
          <w:tcPr>
            <w:tcW w:w="2660" w:type="dxa"/>
          </w:tcPr>
          <w:p w:rsidR="00EE65E0" w:rsidRPr="00B95A6A" w:rsidRDefault="00EE65E0" w:rsidP="00EE65E0">
            <w:pPr>
              <w:spacing w:after="0" w:line="240" w:lineRule="auto"/>
              <w:ind w:firstLine="0"/>
              <w:jc w:val="left"/>
              <w:rPr>
                <w:rFonts w:eastAsia="Times New Roman"/>
                <w:color w:val="000000"/>
                <w:lang w:eastAsia="sk-SK"/>
              </w:rPr>
            </w:pPr>
            <w:r w:rsidRPr="00B95A6A">
              <w:rPr>
                <w:rFonts w:eastAsia="Times New Roman"/>
                <w:color w:val="000000"/>
                <w:lang w:eastAsia="sk-SK"/>
              </w:rPr>
              <w:t>Program rozvoja vidieka  (PRV</w:t>
            </w:r>
            <w:r w:rsidR="008E5761">
              <w:rPr>
                <w:rFonts w:eastAsia="Times New Roman"/>
                <w:color w:val="000000"/>
                <w:lang w:eastAsia="sk-SK"/>
              </w:rPr>
              <w:t xml:space="preserve"> SR</w:t>
            </w:r>
            <w:r w:rsidRPr="00B95A6A">
              <w:rPr>
                <w:rFonts w:eastAsia="Times New Roman"/>
                <w:color w:val="000000"/>
                <w:lang w:eastAsia="sk-SK"/>
              </w:rPr>
              <w:t xml:space="preserve"> 2007 – 2013)</w:t>
            </w:r>
          </w:p>
        </w:tc>
        <w:tc>
          <w:tcPr>
            <w:tcW w:w="992" w:type="dxa"/>
            <w:vAlign w:val="bottom"/>
          </w:tcPr>
          <w:p w:rsidR="00EE65E0" w:rsidRPr="00B95A6A" w:rsidRDefault="00EE65E0" w:rsidP="00EE65E0">
            <w:pPr>
              <w:spacing w:after="0" w:line="240" w:lineRule="auto"/>
              <w:ind w:firstLine="0"/>
              <w:jc w:val="right"/>
              <w:rPr>
                <w:rFonts w:eastAsia="Times New Roman"/>
                <w:color w:val="000000"/>
                <w:lang w:eastAsia="sk-SK"/>
              </w:rPr>
            </w:pPr>
            <w:r w:rsidRPr="00B95A6A">
              <w:rPr>
                <w:rFonts w:eastAsia="Times New Roman"/>
                <w:color w:val="000000"/>
                <w:lang w:eastAsia="sk-SK"/>
              </w:rPr>
              <w:t>282,3</w:t>
            </w:r>
          </w:p>
        </w:tc>
        <w:tc>
          <w:tcPr>
            <w:tcW w:w="1276" w:type="dxa"/>
            <w:vAlign w:val="bottom"/>
          </w:tcPr>
          <w:p w:rsidR="00EE65E0" w:rsidRPr="00B95A6A" w:rsidRDefault="00EE65E0" w:rsidP="00EE65E0">
            <w:pPr>
              <w:spacing w:after="0" w:line="240" w:lineRule="auto"/>
              <w:ind w:firstLine="0"/>
              <w:jc w:val="right"/>
              <w:rPr>
                <w:rFonts w:eastAsia="Times New Roman"/>
                <w:color w:val="000000"/>
                <w:lang w:eastAsia="sk-SK"/>
              </w:rPr>
            </w:pPr>
            <w:r w:rsidRPr="00B95A6A">
              <w:rPr>
                <w:rFonts w:eastAsia="Times New Roman"/>
                <w:color w:val="000000"/>
                <w:lang w:eastAsia="sk-SK"/>
              </w:rPr>
              <w:t>313,8</w:t>
            </w:r>
          </w:p>
        </w:tc>
        <w:tc>
          <w:tcPr>
            <w:tcW w:w="992" w:type="dxa"/>
            <w:vAlign w:val="bottom"/>
          </w:tcPr>
          <w:p w:rsidR="00EE65E0" w:rsidRPr="00B95A6A" w:rsidRDefault="00EE65E0" w:rsidP="00EE65E0">
            <w:pPr>
              <w:spacing w:after="0" w:line="240" w:lineRule="auto"/>
              <w:ind w:firstLine="0"/>
              <w:jc w:val="right"/>
              <w:rPr>
                <w:rFonts w:eastAsia="Times New Roman"/>
                <w:color w:val="000000"/>
                <w:lang w:eastAsia="sk-SK"/>
              </w:rPr>
            </w:pPr>
            <w:r w:rsidRPr="00B95A6A">
              <w:rPr>
                <w:rFonts w:eastAsia="Times New Roman"/>
                <w:color w:val="000000"/>
                <w:lang w:eastAsia="sk-SK"/>
              </w:rPr>
              <w:t>0,02</w:t>
            </w:r>
          </w:p>
        </w:tc>
        <w:tc>
          <w:tcPr>
            <w:tcW w:w="1370" w:type="dxa"/>
            <w:vAlign w:val="bottom"/>
          </w:tcPr>
          <w:p w:rsidR="00EE65E0" w:rsidRPr="00B95A6A" w:rsidRDefault="00EE65E0" w:rsidP="00EE65E0">
            <w:pPr>
              <w:spacing w:after="0" w:line="240" w:lineRule="auto"/>
              <w:ind w:firstLine="0"/>
              <w:jc w:val="right"/>
              <w:rPr>
                <w:rFonts w:eastAsia="Times New Roman"/>
                <w:color w:val="000000"/>
                <w:lang w:eastAsia="sk-SK"/>
              </w:rPr>
            </w:pPr>
            <w:r w:rsidRPr="00B95A6A">
              <w:rPr>
                <w:rFonts w:eastAsia="Times New Roman"/>
                <w:color w:val="000000"/>
                <w:lang w:eastAsia="sk-SK"/>
              </w:rPr>
              <w:t>0,01</w:t>
            </w:r>
          </w:p>
        </w:tc>
        <w:tc>
          <w:tcPr>
            <w:tcW w:w="1800" w:type="dxa"/>
            <w:vAlign w:val="bottom"/>
          </w:tcPr>
          <w:p w:rsidR="00EE65E0" w:rsidRPr="00B95A6A" w:rsidRDefault="00EE65E0" w:rsidP="00EE65E0">
            <w:pPr>
              <w:spacing w:after="0" w:line="240" w:lineRule="auto"/>
              <w:ind w:firstLine="0"/>
              <w:jc w:val="right"/>
              <w:rPr>
                <w:rFonts w:eastAsia="Times New Roman"/>
                <w:color w:val="000000"/>
                <w:lang w:eastAsia="sk-SK"/>
              </w:rPr>
            </w:pPr>
            <w:r w:rsidRPr="00B95A6A">
              <w:rPr>
                <w:rFonts w:eastAsia="Times New Roman"/>
                <w:color w:val="000000"/>
                <w:lang w:eastAsia="sk-SK"/>
              </w:rPr>
              <w:t>0,007</w:t>
            </w:r>
          </w:p>
        </w:tc>
      </w:tr>
      <w:tr w:rsidR="00EE65E0" w:rsidTr="00EE65E0">
        <w:tc>
          <w:tcPr>
            <w:tcW w:w="2660" w:type="dxa"/>
          </w:tcPr>
          <w:p w:rsidR="00EE65E0" w:rsidRPr="00B95A6A" w:rsidRDefault="00EE65E0" w:rsidP="00EE65E0">
            <w:pPr>
              <w:spacing w:after="0" w:line="240" w:lineRule="auto"/>
              <w:ind w:firstLine="0"/>
              <w:jc w:val="left"/>
              <w:rPr>
                <w:rFonts w:eastAsia="Times New Roman"/>
                <w:color w:val="000000"/>
                <w:lang w:eastAsia="sk-SK"/>
              </w:rPr>
            </w:pPr>
            <w:r w:rsidRPr="00B95A6A">
              <w:rPr>
                <w:rFonts w:eastAsia="Times New Roman"/>
                <w:color w:val="000000"/>
                <w:lang w:eastAsia="sk-SK"/>
              </w:rPr>
              <w:t xml:space="preserve">Program rozvoja vidieka (PRV </w:t>
            </w:r>
            <w:r w:rsidR="008E5761">
              <w:rPr>
                <w:rFonts w:eastAsia="Times New Roman"/>
                <w:color w:val="000000"/>
                <w:lang w:eastAsia="sk-SK"/>
              </w:rPr>
              <w:t xml:space="preserve">SR </w:t>
            </w:r>
            <w:r w:rsidRPr="00B95A6A">
              <w:rPr>
                <w:rFonts w:eastAsia="Times New Roman"/>
                <w:color w:val="000000"/>
                <w:lang w:eastAsia="sk-SK"/>
              </w:rPr>
              <w:t>2014 -2020</w:t>
            </w:r>
          </w:p>
        </w:tc>
        <w:tc>
          <w:tcPr>
            <w:tcW w:w="992" w:type="dxa"/>
            <w:vAlign w:val="bottom"/>
          </w:tcPr>
          <w:p w:rsidR="00EE65E0" w:rsidRPr="00B95A6A" w:rsidRDefault="00EE65E0" w:rsidP="00EE65E0">
            <w:pPr>
              <w:spacing w:after="0" w:line="240" w:lineRule="auto"/>
              <w:ind w:firstLine="0"/>
              <w:jc w:val="right"/>
              <w:rPr>
                <w:rFonts w:eastAsia="Times New Roman"/>
                <w:color w:val="000000"/>
                <w:lang w:eastAsia="sk-SK"/>
              </w:rPr>
            </w:pPr>
            <w:r w:rsidRPr="00B95A6A">
              <w:rPr>
                <w:rFonts w:eastAsia="Times New Roman"/>
                <w:color w:val="000000"/>
                <w:lang w:eastAsia="sk-SK"/>
              </w:rPr>
              <w:t>25,9</w:t>
            </w:r>
          </w:p>
        </w:tc>
        <w:tc>
          <w:tcPr>
            <w:tcW w:w="1276" w:type="dxa"/>
            <w:vAlign w:val="bottom"/>
          </w:tcPr>
          <w:p w:rsidR="00EE65E0" w:rsidRPr="00B95A6A" w:rsidRDefault="00EE65E0" w:rsidP="00EE65E0">
            <w:pPr>
              <w:spacing w:after="0" w:line="240" w:lineRule="auto"/>
              <w:ind w:firstLine="0"/>
              <w:jc w:val="right"/>
              <w:rPr>
                <w:rFonts w:eastAsia="Times New Roman"/>
                <w:color w:val="000000"/>
                <w:lang w:eastAsia="sk-SK"/>
              </w:rPr>
            </w:pPr>
            <w:r w:rsidRPr="00B95A6A">
              <w:rPr>
                <w:rFonts w:eastAsia="Times New Roman"/>
                <w:color w:val="000000"/>
                <w:lang w:eastAsia="sk-SK"/>
              </w:rPr>
              <w:t>60,0</w:t>
            </w:r>
          </w:p>
        </w:tc>
        <w:tc>
          <w:tcPr>
            <w:tcW w:w="992" w:type="dxa"/>
            <w:vAlign w:val="bottom"/>
          </w:tcPr>
          <w:p w:rsidR="00EE65E0" w:rsidRPr="00B95A6A" w:rsidRDefault="00EE65E0" w:rsidP="00EE65E0">
            <w:pPr>
              <w:spacing w:after="0" w:line="240" w:lineRule="auto"/>
              <w:ind w:firstLine="0"/>
              <w:jc w:val="right"/>
              <w:rPr>
                <w:rFonts w:eastAsia="Times New Roman"/>
                <w:color w:val="000000"/>
                <w:lang w:eastAsia="sk-SK"/>
              </w:rPr>
            </w:pPr>
            <w:r w:rsidRPr="00B95A6A">
              <w:rPr>
                <w:rFonts w:eastAsia="Times New Roman"/>
                <w:color w:val="000000"/>
                <w:lang w:eastAsia="sk-SK"/>
              </w:rPr>
              <w:t>162,4</w:t>
            </w:r>
          </w:p>
        </w:tc>
        <w:tc>
          <w:tcPr>
            <w:tcW w:w="1370" w:type="dxa"/>
            <w:vAlign w:val="bottom"/>
          </w:tcPr>
          <w:p w:rsidR="00EE65E0" w:rsidRPr="00B95A6A" w:rsidRDefault="00EE65E0" w:rsidP="00EE65E0">
            <w:pPr>
              <w:spacing w:after="0" w:line="240" w:lineRule="auto"/>
              <w:ind w:firstLine="0"/>
              <w:jc w:val="right"/>
              <w:rPr>
                <w:rFonts w:eastAsia="Times New Roman"/>
                <w:color w:val="000000"/>
                <w:lang w:eastAsia="sk-SK"/>
              </w:rPr>
            </w:pPr>
            <w:r w:rsidRPr="00B95A6A">
              <w:rPr>
                <w:rFonts w:eastAsia="Times New Roman"/>
                <w:color w:val="000000"/>
                <w:lang w:eastAsia="sk-SK"/>
              </w:rPr>
              <w:t>270,7</w:t>
            </w:r>
          </w:p>
        </w:tc>
        <w:tc>
          <w:tcPr>
            <w:tcW w:w="1800" w:type="dxa"/>
            <w:vAlign w:val="bottom"/>
          </w:tcPr>
          <w:p w:rsidR="00EE65E0" w:rsidRPr="00B95A6A" w:rsidRDefault="00EE65E0" w:rsidP="00EE65E0">
            <w:pPr>
              <w:spacing w:after="0" w:line="240" w:lineRule="auto"/>
              <w:ind w:firstLine="0"/>
              <w:jc w:val="right"/>
              <w:rPr>
                <w:rFonts w:eastAsia="Times New Roman"/>
                <w:color w:val="000000"/>
                <w:lang w:eastAsia="sk-SK"/>
              </w:rPr>
            </w:pPr>
            <w:r w:rsidRPr="00B95A6A">
              <w:rPr>
                <w:rFonts w:eastAsia="Times New Roman"/>
                <w:color w:val="000000"/>
                <w:lang w:eastAsia="sk-SK"/>
              </w:rPr>
              <w:t>627,0</w:t>
            </w:r>
          </w:p>
        </w:tc>
      </w:tr>
      <w:tr w:rsidR="00EE65E0" w:rsidTr="00EE65E0">
        <w:tc>
          <w:tcPr>
            <w:tcW w:w="2660" w:type="dxa"/>
          </w:tcPr>
          <w:p w:rsidR="00EE65E0" w:rsidRPr="00834C29" w:rsidRDefault="00EE65E0" w:rsidP="00EE65E0">
            <w:pPr>
              <w:spacing w:after="0" w:line="240" w:lineRule="auto"/>
              <w:ind w:firstLine="0"/>
              <w:jc w:val="left"/>
              <w:rPr>
                <w:rFonts w:eastAsia="Times New Roman"/>
                <w:color w:val="000000"/>
                <w:lang w:eastAsia="sk-SK"/>
              </w:rPr>
            </w:pPr>
            <w:r w:rsidRPr="00834C29">
              <w:rPr>
                <w:rFonts w:eastAsia="Times New Roman"/>
                <w:color w:val="000000"/>
                <w:lang w:eastAsia="sk-SK"/>
              </w:rPr>
              <w:t xml:space="preserve"> Spolu rozvoj vidieka</w:t>
            </w:r>
          </w:p>
        </w:tc>
        <w:tc>
          <w:tcPr>
            <w:tcW w:w="992" w:type="dxa"/>
            <w:vAlign w:val="bottom"/>
          </w:tcPr>
          <w:p w:rsidR="00EE65E0" w:rsidRPr="00834C29" w:rsidRDefault="00EE65E0" w:rsidP="00EE65E0">
            <w:pPr>
              <w:spacing w:after="0" w:line="240" w:lineRule="auto"/>
              <w:ind w:firstLine="0"/>
              <w:jc w:val="right"/>
              <w:rPr>
                <w:rFonts w:eastAsia="Times New Roman"/>
                <w:color w:val="000000"/>
                <w:lang w:eastAsia="sk-SK"/>
              </w:rPr>
            </w:pPr>
            <w:r w:rsidRPr="00834C29">
              <w:rPr>
                <w:rFonts w:eastAsia="Times New Roman"/>
                <w:color w:val="000000"/>
                <w:lang w:eastAsia="sk-SK"/>
              </w:rPr>
              <w:t>308,3</w:t>
            </w:r>
          </w:p>
        </w:tc>
        <w:tc>
          <w:tcPr>
            <w:tcW w:w="1276" w:type="dxa"/>
            <w:vAlign w:val="bottom"/>
          </w:tcPr>
          <w:p w:rsidR="00EE65E0" w:rsidRPr="00834C29" w:rsidRDefault="00EE65E0" w:rsidP="00EE65E0">
            <w:pPr>
              <w:spacing w:after="0" w:line="240" w:lineRule="auto"/>
              <w:ind w:firstLine="0"/>
              <w:jc w:val="right"/>
              <w:rPr>
                <w:rFonts w:eastAsia="Times New Roman"/>
                <w:color w:val="000000"/>
                <w:lang w:eastAsia="sk-SK"/>
              </w:rPr>
            </w:pPr>
            <w:r w:rsidRPr="00834C29">
              <w:rPr>
                <w:rFonts w:eastAsia="Times New Roman"/>
                <w:color w:val="000000"/>
                <w:lang w:eastAsia="sk-SK"/>
              </w:rPr>
              <w:t>373,8</w:t>
            </w:r>
          </w:p>
        </w:tc>
        <w:tc>
          <w:tcPr>
            <w:tcW w:w="992" w:type="dxa"/>
            <w:vAlign w:val="bottom"/>
          </w:tcPr>
          <w:p w:rsidR="00EE65E0" w:rsidRPr="00834C29" w:rsidRDefault="00EE65E0" w:rsidP="00EE65E0">
            <w:pPr>
              <w:spacing w:after="0" w:line="240" w:lineRule="auto"/>
              <w:ind w:firstLine="0"/>
              <w:jc w:val="right"/>
              <w:rPr>
                <w:rFonts w:eastAsia="Times New Roman"/>
                <w:color w:val="000000"/>
                <w:lang w:eastAsia="sk-SK"/>
              </w:rPr>
            </w:pPr>
            <w:r w:rsidRPr="00834C29">
              <w:rPr>
                <w:rFonts w:eastAsia="Times New Roman"/>
                <w:color w:val="000000"/>
                <w:lang w:eastAsia="sk-SK"/>
              </w:rPr>
              <w:t>162,4</w:t>
            </w:r>
            <w:r>
              <w:rPr>
                <w:rFonts w:eastAsia="Times New Roman"/>
                <w:color w:val="000000"/>
                <w:lang w:eastAsia="sk-SK"/>
              </w:rPr>
              <w:t>2</w:t>
            </w:r>
          </w:p>
        </w:tc>
        <w:tc>
          <w:tcPr>
            <w:tcW w:w="1370" w:type="dxa"/>
            <w:vAlign w:val="bottom"/>
          </w:tcPr>
          <w:p w:rsidR="00EE65E0" w:rsidRPr="00834C29" w:rsidRDefault="00EE65E0" w:rsidP="00EE65E0">
            <w:pPr>
              <w:spacing w:after="0" w:line="240" w:lineRule="auto"/>
              <w:ind w:firstLine="0"/>
              <w:jc w:val="right"/>
              <w:rPr>
                <w:rFonts w:eastAsia="Times New Roman"/>
                <w:color w:val="000000"/>
                <w:lang w:eastAsia="sk-SK"/>
              </w:rPr>
            </w:pPr>
            <w:r w:rsidRPr="00834C29">
              <w:rPr>
                <w:rFonts w:eastAsia="Times New Roman"/>
                <w:color w:val="000000"/>
                <w:lang w:eastAsia="sk-SK"/>
              </w:rPr>
              <w:t>43,</w:t>
            </w:r>
            <w:r>
              <w:rPr>
                <w:rFonts w:eastAsia="Times New Roman"/>
                <w:color w:val="000000"/>
                <w:lang w:eastAsia="sk-SK"/>
              </w:rPr>
              <w:t>5</w:t>
            </w:r>
          </w:p>
        </w:tc>
        <w:tc>
          <w:tcPr>
            <w:tcW w:w="1800" w:type="dxa"/>
            <w:vAlign w:val="bottom"/>
          </w:tcPr>
          <w:p w:rsidR="00EE65E0" w:rsidRPr="00834C29" w:rsidRDefault="00EE65E0" w:rsidP="00EE65E0">
            <w:pPr>
              <w:spacing w:after="0" w:line="240" w:lineRule="auto"/>
              <w:ind w:firstLine="0"/>
              <w:jc w:val="right"/>
              <w:rPr>
                <w:rFonts w:eastAsia="Times New Roman"/>
                <w:color w:val="000000"/>
                <w:lang w:eastAsia="sk-SK"/>
              </w:rPr>
            </w:pPr>
            <w:r w:rsidRPr="00834C29">
              <w:rPr>
                <w:rFonts w:eastAsia="Times New Roman"/>
                <w:color w:val="000000"/>
                <w:lang w:eastAsia="sk-SK"/>
              </w:rPr>
              <w:t>52,7</w:t>
            </w:r>
          </w:p>
        </w:tc>
      </w:tr>
    </w:tbl>
    <w:p w:rsidR="00B35388" w:rsidRDefault="00B35388" w:rsidP="00EE65E0">
      <w:pPr>
        <w:spacing w:after="0" w:line="240" w:lineRule="auto"/>
        <w:ind w:firstLine="0"/>
        <w:jc w:val="left"/>
        <w:rPr>
          <w:rStyle w:val="Siln"/>
          <w:b w:val="0"/>
          <w:sz w:val="20"/>
          <w:szCs w:val="20"/>
        </w:rPr>
      </w:pPr>
      <w:r w:rsidRPr="00F1363E">
        <w:rPr>
          <w:rStyle w:val="Siln"/>
          <w:b w:val="0"/>
          <w:sz w:val="20"/>
          <w:szCs w:val="20"/>
        </w:rPr>
        <w:t>Prameň: MPRV SR, PPA</w:t>
      </w:r>
    </w:p>
    <w:p w:rsidR="00B35388" w:rsidRPr="00F02F78" w:rsidRDefault="00B35388" w:rsidP="00EE65E0">
      <w:pPr>
        <w:spacing w:after="0" w:line="240" w:lineRule="auto"/>
        <w:ind w:firstLine="0"/>
        <w:jc w:val="left"/>
        <w:rPr>
          <w:bCs/>
          <w:sz w:val="20"/>
          <w:szCs w:val="20"/>
        </w:rPr>
      </w:pPr>
      <w:r w:rsidRPr="00F1363E">
        <w:rPr>
          <w:rStyle w:val="Siln"/>
          <w:b w:val="0"/>
          <w:sz w:val="20"/>
          <w:szCs w:val="20"/>
        </w:rPr>
        <w:t xml:space="preserve">Vypracoval: </w:t>
      </w:r>
      <w:r w:rsidRPr="00F1363E">
        <w:rPr>
          <w:sz w:val="20"/>
          <w:szCs w:val="20"/>
        </w:rPr>
        <w:t>NPPC - VÚEPP</w:t>
      </w:r>
      <w:r w:rsidRPr="00F1363E">
        <w:rPr>
          <w:b/>
        </w:rPr>
        <w:t xml:space="preserve"> </w:t>
      </w:r>
    </w:p>
    <w:p w:rsidR="00B35388" w:rsidRDefault="00B35388" w:rsidP="00124D54">
      <w:pPr>
        <w:spacing w:after="0" w:line="240" w:lineRule="auto"/>
        <w:ind w:firstLine="0"/>
        <w:jc w:val="left"/>
      </w:pPr>
    </w:p>
    <w:p w:rsidR="00C17BF6" w:rsidRDefault="00EF066D" w:rsidP="008261E8">
      <w:pPr>
        <w:pStyle w:val="Nadpis2"/>
        <w:ind w:left="284" w:hanging="284"/>
      </w:pPr>
      <w:bookmarkStart w:id="7" w:name="_Toc483395311"/>
      <w:r w:rsidRPr="00F1363E">
        <w:t xml:space="preserve">Operačný </w:t>
      </w:r>
      <w:r w:rsidRPr="00D71ED2">
        <w:t>program</w:t>
      </w:r>
      <w:r w:rsidR="00C17BF6" w:rsidRPr="00D71ED2">
        <w:t xml:space="preserve"> </w:t>
      </w:r>
      <w:r w:rsidR="00F636F8" w:rsidRPr="00D71ED2">
        <w:t>R</w:t>
      </w:r>
      <w:r w:rsidR="00C17BF6" w:rsidRPr="00D71ED2">
        <w:t>ybné hospodárstvo</w:t>
      </w:r>
      <w:bookmarkEnd w:id="7"/>
      <w:r w:rsidR="00C17BF6" w:rsidRPr="00F1363E">
        <w:t xml:space="preserve"> </w:t>
      </w:r>
    </w:p>
    <w:p w:rsidR="00B35388" w:rsidRPr="00505229" w:rsidRDefault="0077356F" w:rsidP="00B35388">
      <w:pPr>
        <w:ind w:firstLine="706"/>
      </w:pPr>
      <w:r w:rsidRPr="00222257">
        <w:t xml:space="preserve">Operačný program </w:t>
      </w:r>
      <w:r w:rsidR="00DA796E" w:rsidRPr="00DA796E">
        <w:t>R</w:t>
      </w:r>
      <w:r w:rsidRPr="00222257">
        <w:t xml:space="preserve">ybné hospodárstvo SR 2007 – 2013 </w:t>
      </w:r>
      <w:r w:rsidRPr="00704AB2">
        <w:rPr>
          <w:b/>
        </w:rPr>
        <w:t>(ďalej len „OP RH SR 2007 – 2013“)</w:t>
      </w:r>
      <w:r w:rsidRPr="00222257">
        <w:t xml:space="preserve"> a Operačný program </w:t>
      </w:r>
      <w:r w:rsidR="00DA796E" w:rsidRPr="00DA796E">
        <w:t>R</w:t>
      </w:r>
      <w:r w:rsidRPr="00222257">
        <w:t xml:space="preserve">ybné hospodárstvo 2014 - 2020  </w:t>
      </w:r>
      <w:r w:rsidRPr="00704AB2">
        <w:rPr>
          <w:b/>
        </w:rPr>
        <w:t>(ďalej len „OP RH 2014 – 2020</w:t>
      </w:r>
      <w:r w:rsidR="00630852">
        <w:rPr>
          <w:b/>
        </w:rPr>
        <w:t>)</w:t>
      </w:r>
      <w:r>
        <w:rPr>
          <w:b/>
        </w:rPr>
        <w:t xml:space="preserve"> </w:t>
      </w:r>
      <w:r w:rsidR="00B35388">
        <w:t>pokrýva</w:t>
      </w:r>
      <w:r w:rsidR="00B35388" w:rsidRPr="00505229">
        <w:t xml:space="preserve"> celé územie SR a bol implementovaný najmä na základe nariadení Rady (ES) a realizovaný z Európskeho fondu pre rybné hospodárstvo v súlade s nariadením Rady (ES) č. 1198/2006 a 1303/2013. Cieľom je zabezpečiť trvalo</w:t>
      </w:r>
      <w:r w:rsidR="00B35388">
        <w:t xml:space="preserve"> </w:t>
      </w:r>
      <w:r w:rsidR="00B35388" w:rsidRPr="00505229">
        <w:t>udržateľný rozvoj odvetvia rybné hospodárstvo, rybolovných oblastí a vnútrozemského rybolovu v súlade so zásadami Spoločnej politiky rybného hospodárstva.</w:t>
      </w:r>
    </w:p>
    <w:p w:rsidR="00B35388" w:rsidRPr="00237AFD" w:rsidRDefault="00B35388" w:rsidP="00B35388">
      <w:pPr>
        <w:ind w:firstLine="706"/>
      </w:pPr>
      <w:r w:rsidRPr="00505229">
        <w:t>Nový</w:t>
      </w:r>
      <w:r w:rsidRPr="00505229">
        <w:rPr>
          <w:color w:val="548DD4" w:themeColor="text2" w:themeTint="99"/>
        </w:rPr>
        <w:t xml:space="preserve"> </w:t>
      </w:r>
      <w:r w:rsidRPr="00505229">
        <w:t>OP RH</w:t>
      </w:r>
      <w:r w:rsidR="0077356F">
        <w:t xml:space="preserve"> SR</w:t>
      </w:r>
      <w:r w:rsidRPr="00505229">
        <w:t xml:space="preserve"> 2014 – 2020 je vypracovaný v súlade s prílohou I vykonávacieho nariadenia Komisie (EÚ) č. 771/2014 zo 14. júla 2014 ustanovujúceho príslušné pravidlá </w:t>
      </w:r>
      <w:r w:rsidR="002B2E52" w:rsidRPr="00704AB2">
        <w:t>podľa nariadenia EP a Rady (EÚ) č. 508/2014 Európsky námorný a rybársky fond (ďalej len „ENRF“).</w:t>
      </w:r>
      <w:r w:rsidRPr="00505229">
        <w:t xml:space="preserve"> Bol schválený uznesením vlády Slovenskej republiky č. 481/2014 z 24. 09. 2014, je programovým dokumentom MPRV SR, ktorý je základným rámcom pre poskytovanie podpory spolufinancovanej z ENRF v</w:t>
      </w:r>
      <w:r>
        <w:t> </w:t>
      </w:r>
      <w:r w:rsidRPr="00505229">
        <w:t>programovom období 2014 - 2020 a z prostriedkov štátneho rozpočtu. Svojím zameraním nadväzuje na podporu realizovanú v</w:t>
      </w:r>
      <w:r>
        <w:t> </w:t>
      </w:r>
      <w:r w:rsidRPr="00505229">
        <w:t xml:space="preserve">programovom období 2007 - 2013, najmä v oblasti investícií do akvakultúry a spracovania produktov rybolovu a akvakultúry. </w:t>
      </w:r>
    </w:p>
    <w:p w:rsidR="00B35388" w:rsidRPr="00237AFD" w:rsidRDefault="00B35388" w:rsidP="00B35388">
      <w:pPr>
        <w:shd w:val="clear" w:color="auto" w:fill="FFFFFF"/>
        <w:ind w:left="107" w:right="107" w:firstLine="706"/>
      </w:pPr>
      <w:r w:rsidRPr="00237AFD">
        <w:t>Celkový objem verejných výdavkov na sedemročné programové obdobie predstavuje</w:t>
      </w:r>
      <w:r>
        <w:t xml:space="preserve"> </w:t>
      </w:r>
      <w:r w:rsidRPr="00350DCD">
        <w:rPr>
          <w:rStyle w:val="Siln"/>
          <w:b w:val="0"/>
        </w:rPr>
        <w:t>20 832 779 €</w:t>
      </w:r>
      <w:r w:rsidRPr="005347BC">
        <w:t xml:space="preserve"> (z toho ENRF: 15 785 000 €, štátny rozpočet: 5 047 779 €).</w:t>
      </w:r>
      <w:r>
        <w:t xml:space="preserve"> </w:t>
      </w:r>
      <w:r w:rsidRPr="00237AFD">
        <w:t xml:space="preserve">Finančné prostriedky z operačného programu by mali prispieť najmä k zvýšeniu </w:t>
      </w:r>
      <w:r w:rsidRPr="00237AFD">
        <w:lastRenderedPageBreak/>
        <w:t>konkurencieschopnosti a domácej produkcie akvakultúry</w:t>
      </w:r>
      <w:r>
        <w:t>,</w:t>
      </w:r>
      <w:r w:rsidRPr="00237AFD">
        <w:t xml:space="preserve"> vrátane spracovania, </w:t>
      </w:r>
      <w:r>
        <w:t xml:space="preserve">k </w:t>
      </w:r>
      <w:r w:rsidRPr="00237AFD">
        <w:t>zvýšeniu kvality a pridanej hodnoty produktov, zefektívneniu a racionalizácii výrobných procesov, zvýšeniu, resp. udržaniu zamestnanosti v sektore, zvýšeniu efektívnosti využívania zdrojov, a to so zreteľom na ochranu životného prostredia, ďalej k zlepšeniu zberu údajov za sektor akvakultúry a spracovania a ich vypovedacej schopnosti, vrátane vykonávania systému Únie na kontrolu, inšpekcie a presadzovanie v súlade so Spoločnou rybárskou politikou EÚ.</w:t>
      </w:r>
    </w:p>
    <w:p w:rsidR="00B35388" w:rsidRPr="00237AFD" w:rsidRDefault="00B35388" w:rsidP="00B35388">
      <w:pPr>
        <w:ind w:firstLine="706"/>
      </w:pPr>
      <w:r>
        <w:t xml:space="preserve">Financovanie OP RH </w:t>
      </w:r>
      <w:r w:rsidR="0077356F">
        <w:t xml:space="preserve">SR </w:t>
      </w:r>
      <w:r>
        <w:t>2007 - 2013</w:t>
      </w:r>
      <w:r w:rsidRPr="00237AFD">
        <w:t xml:space="preserve"> vychádza z Národného strategického plánu rybného hospodárstva 2007 – 2013, ktorý bol schválený Uznesením vlády SR č. 933 z 8. 11. 2006 a je zabezpečený z  Európskeho fondu pre rybné hospodárstvo. </w:t>
      </w:r>
    </w:p>
    <w:p w:rsidR="00B35388" w:rsidRDefault="00B35388" w:rsidP="00B35388">
      <w:pPr>
        <w:autoSpaceDE w:val="0"/>
        <w:autoSpaceDN w:val="0"/>
        <w:ind w:firstLine="706"/>
      </w:pPr>
      <w:r w:rsidRPr="00237AFD">
        <w:t>Celková suma verejných finančných prostriedkov na dané programové obdobie 2007</w:t>
      </w:r>
      <w:r>
        <w:t> </w:t>
      </w:r>
      <w:r w:rsidRPr="00237AFD">
        <w:t>–</w:t>
      </w:r>
      <w:r>
        <w:t> </w:t>
      </w:r>
      <w:r w:rsidRPr="00237AFD">
        <w:t xml:space="preserve">2013 </w:t>
      </w:r>
      <w:r>
        <w:t>bola</w:t>
      </w:r>
      <w:r w:rsidRPr="00237AFD">
        <w:t xml:space="preserve"> 18 922 750 €, z toho z prostriedkov EÚ 13 688 528 € a z prostriedkov štátneho rozpočtu SR na spolufinancovanie 5 234 222 €. </w:t>
      </w:r>
    </w:p>
    <w:p w:rsidR="00B35388" w:rsidRDefault="00B35388" w:rsidP="00B35388">
      <w:pPr>
        <w:autoSpaceDE w:val="0"/>
        <w:autoSpaceDN w:val="0"/>
        <w:ind w:firstLine="706"/>
      </w:pPr>
      <w:r>
        <w:t xml:space="preserve">V roku 2016 bol na OP RH </w:t>
      </w:r>
      <w:r w:rsidR="0077356F">
        <w:t xml:space="preserve">SR </w:t>
      </w:r>
      <w:r>
        <w:t xml:space="preserve">v rámci 2. Programového obdobia OP RH </w:t>
      </w:r>
      <w:r w:rsidR="0077356F">
        <w:t xml:space="preserve">SR </w:t>
      </w:r>
      <w:r>
        <w:t>2007 – 2013 upravený rozpočet vo výške 413 467 €, z toho prostriedky EÚ v objeme 310 100 € a spolufinancovanie zo ŠR v objeme 103 367 €. Skutočné čerpanie bolo vo výške 100</w:t>
      </w:r>
      <w:r w:rsidR="00032E62">
        <w:t xml:space="preserve"> </w:t>
      </w:r>
      <w:r>
        <w:t>% upraveného rozpočtu. Čerpanie bolo na opatrenie „Investície do akvakultúry – cieľ Konvergencia“ v rámci prioritnej osi 2. Pre konečného prijímateľa MPRV SR bolo v roku 2016 vyplatených 132 825 € na opatrenie „Technická pomoc“.</w:t>
      </w:r>
    </w:p>
    <w:p w:rsidR="00B35388" w:rsidRDefault="00B35388" w:rsidP="00B35388">
      <w:pPr>
        <w:autoSpaceDE w:val="0"/>
        <w:autoSpaceDN w:val="0"/>
        <w:ind w:firstLine="706"/>
      </w:pPr>
      <w:r>
        <w:t xml:space="preserve">V rámci 3. Programového obdobia, t. j. na OP </w:t>
      </w:r>
      <w:r w:rsidR="0077356F">
        <w:t xml:space="preserve">RH SR </w:t>
      </w:r>
      <w:r>
        <w:t>2014 – 2020 neboli v roku 2015 a 2016 čerpané žiadne finančné prostriedky.</w:t>
      </w:r>
    </w:p>
    <w:p w:rsidR="00350DCD" w:rsidRPr="00237AFD" w:rsidRDefault="00350DCD" w:rsidP="00350DCD">
      <w:pPr>
        <w:autoSpaceDE w:val="0"/>
        <w:autoSpaceDN w:val="0"/>
        <w:spacing w:line="320" w:lineRule="atLeast"/>
      </w:pPr>
    </w:p>
    <w:p w:rsidR="00B35388" w:rsidRPr="008C76D2" w:rsidRDefault="00B35388" w:rsidP="00047F72">
      <w:pPr>
        <w:autoSpaceDE w:val="0"/>
        <w:autoSpaceDN w:val="0"/>
        <w:spacing w:after="0" w:line="320" w:lineRule="atLeast"/>
        <w:ind w:firstLine="0"/>
        <w:jc w:val="left"/>
        <w:rPr>
          <w:bCs/>
          <w:sz w:val="20"/>
          <w:szCs w:val="20"/>
        </w:rPr>
      </w:pPr>
      <w:r w:rsidRPr="00461D14">
        <w:rPr>
          <w:b/>
        </w:rPr>
        <w:t>OP RH</w:t>
      </w:r>
      <w:r w:rsidR="0077356F">
        <w:rPr>
          <w:b/>
        </w:rPr>
        <w:t xml:space="preserve"> SR</w:t>
      </w:r>
      <w:r w:rsidRPr="00461D14">
        <w:rPr>
          <w:b/>
        </w:rPr>
        <w:t xml:space="preserve"> </w:t>
      </w:r>
      <w:r w:rsidR="00047F72">
        <w:rPr>
          <w:b/>
        </w:rPr>
        <w:t xml:space="preserve">2007-2013 </w:t>
      </w:r>
      <w:r w:rsidRPr="00461D14">
        <w:rPr>
          <w:b/>
        </w:rPr>
        <w:t>v rokoch 2011 – 2016</w:t>
      </w:r>
      <w:r>
        <w:rPr>
          <w:b/>
        </w:rPr>
        <w:t xml:space="preserve">, </w:t>
      </w:r>
      <w:r w:rsidRPr="008C76D2">
        <w:rPr>
          <w:b/>
        </w:rPr>
        <w:t xml:space="preserve"> v mil. €</w:t>
      </w:r>
      <w:r>
        <w:rPr>
          <w:b/>
        </w:rPr>
        <w:t xml:space="preserve">                                                   </w:t>
      </w:r>
      <w:r w:rsidRPr="00F1363E">
        <w:rPr>
          <w:rStyle w:val="Siln"/>
          <w:b w:val="0"/>
        </w:rPr>
        <w:t xml:space="preserve">Tabuľka </w:t>
      </w:r>
      <w:r>
        <w:rPr>
          <w:rStyle w:val="Siln"/>
          <w:b w:val="0"/>
        </w:rPr>
        <w:t>9</w:t>
      </w:r>
    </w:p>
    <w:tbl>
      <w:tblPr>
        <w:tblStyle w:val="Mriekatabuky"/>
        <w:tblW w:w="0" w:type="auto"/>
        <w:tblInd w:w="108" w:type="dxa"/>
        <w:tblLook w:val="04A0" w:firstRow="1" w:lastRow="0" w:firstColumn="1" w:lastColumn="0" w:noHBand="0" w:noVBand="1"/>
      </w:tblPr>
      <w:tblGrid>
        <w:gridCol w:w="1619"/>
        <w:gridCol w:w="1711"/>
        <w:gridCol w:w="1260"/>
        <w:gridCol w:w="990"/>
        <w:gridCol w:w="1710"/>
        <w:gridCol w:w="1800"/>
      </w:tblGrid>
      <w:tr w:rsidR="00B35388" w:rsidTr="00B35388">
        <w:tc>
          <w:tcPr>
            <w:tcW w:w="1619" w:type="dxa"/>
            <w:shd w:val="clear" w:color="auto" w:fill="D6E3BC" w:themeFill="accent3" w:themeFillTint="66"/>
            <w:vAlign w:val="center"/>
          </w:tcPr>
          <w:p w:rsidR="00B35388" w:rsidRPr="0058198A" w:rsidRDefault="00B35388" w:rsidP="00B35388">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Uka</w:t>
            </w:r>
            <w:r>
              <w:rPr>
                <w:rFonts w:eastAsia="Times New Roman"/>
                <w:b/>
                <w:bCs/>
                <w:color w:val="000000"/>
                <w:sz w:val="22"/>
                <w:szCs w:val="22"/>
                <w:lang w:eastAsia="sk-SK"/>
              </w:rPr>
              <w:t>z</w:t>
            </w:r>
            <w:r w:rsidRPr="0058198A">
              <w:rPr>
                <w:rFonts w:eastAsia="Times New Roman"/>
                <w:b/>
                <w:bCs/>
                <w:color w:val="000000"/>
                <w:sz w:val="22"/>
                <w:szCs w:val="22"/>
                <w:lang w:eastAsia="sk-SK"/>
              </w:rPr>
              <w:t>ovateľ</w:t>
            </w:r>
          </w:p>
        </w:tc>
        <w:tc>
          <w:tcPr>
            <w:tcW w:w="1711" w:type="dxa"/>
            <w:shd w:val="clear" w:color="auto" w:fill="D6E3BC" w:themeFill="accent3" w:themeFillTint="66"/>
            <w:vAlign w:val="center"/>
          </w:tcPr>
          <w:p w:rsidR="00B35388" w:rsidRPr="0058198A" w:rsidRDefault="00B35388" w:rsidP="00B35388">
            <w:pPr>
              <w:spacing w:after="0" w:line="240" w:lineRule="auto"/>
              <w:ind w:firstLine="0"/>
              <w:jc w:val="center"/>
              <w:rPr>
                <w:rFonts w:eastAsia="Times New Roman"/>
                <w:b/>
                <w:bCs/>
                <w:color w:val="000000"/>
                <w:sz w:val="22"/>
                <w:szCs w:val="22"/>
                <w:lang w:eastAsia="sk-SK"/>
              </w:rPr>
            </w:pPr>
            <w:r w:rsidRPr="004B7DE3">
              <w:rPr>
                <w:rFonts w:eastAsia="Times New Roman"/>
                <w:color w:val="000000"/>
                <w:sz w:val="22"/>
                <w:szCs w:val="22"/>
                <w:lang w:eastAsia="sk-SK"/>
              </w:rPr>
              <w:t>Ø</w:t>
            </w:r>
            <w:r w:rsidRPr="0058198A">
              <w:rPr>
                <w:rFonts w:eastAsia="Times New Roman"/>
                <w:b/>
                <w:bCs/>
                <w:color w:val="000000"/>
                <w:sz w:val="22"/>
                <w:szCs w:val="22"/>
                <w:lang w:eastAsia="sk-SK"/>
              </w:rPr>
              <w:t xml:space="preserve"> 2011-201</w:t>
            </w:r>
            <w:r>
              <w:rPr>
                <w:rFonts w:eastAsia="Times New Roman"/>
                <w:b/>
                <w:bCs/>
                <w:color w:val="000000"/>
                <w:sz w:val="22"/>
                <w:szCs w:val="22"/>
                <w:lang w:eastAsia="sk-SK"/>
              </w:rPr>
              <w:t>5</w:t>
            </w:r>
          </w:p>
        </w:tc>
        <w:tc>
          <w:tcPr>
            <w:tcW w:w="1260" w:type="dxa"/>
            <w:shd w:val="clear" w:color="auto" w:fill="D6E3BC" w:themeFill="accent3" w:themeFillTint="66"/>
            <w:vAlign w:val="center"/>
          </w:tcPr>
          <w:p w:rsidR="00B35388" w:rsidRPr="0058198A" w:rsidRDefault="00B35388" w:rsidP="00B35388">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2015</w:t>
            </w:r>
          </w:p>
        </w:tc>
        <w:tc>
          <w:tcPr>
            <w:tcW w:w="990" w:type="dxa"/>
            <w:shd w:val="clear" w:color="auto" w:fill="D6E3BC" w:themeFill="accent3" w:themeFillTint="66"/>
            <w:vAlign w:val="center"/>
          </w:tcPr>
          <w:p w:rsidR="00B35388" w:rsidRPr="0058198A" w:rsidRDefault="00B35388" w:rsidP="00B35388">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w:t>
            </w:r>
            <w:r>
              <w:rPr>
                <w:rFonts w:eastAsia="Times New Roman"/>
                <w:b/>
                <w:bCs/>
                <w:color w:val="000000"/>
                <w:sz w:val="22"/>
                <w:szCs w:val="22"/>
                <w:lang w:eastAsia="sk-SK"/>
              </w:rPr>
              <w:t>6</w:t>
            </w:r>
          </w:p>
        </w:tc>
        <w:tc>
          <w:tcPr>
            <w:tcW w:w="1710" w:type="dxa"/>
            <w:shd w:val="clear" w:color="auto" w:fill="D6E3BC" w:themeFill="accent3" w:themeFillTint="66"/>
            <w:vAlign w:val="center"/>
          </w:tcPr>
          <w:p w:rsidR="00B35388" w:rsidRPr="0058198A" w:rsidRDefault="00B35388" w:rsidP="00B35388">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2016/15</w:t>
            </w:r>
          </w:p>
        </w:tc>
        <w:tc>
          <w:tcPr>
            <w:tcW w:w="1800" w:type="dxa"/>
            <w:shd w:val="clear" w:color="auto" w:fill="D6E3BC" w:themeFill="accent3" w:themeFillTint="66"/>
            <w:vAlign w:val="center"/>
          </w:tcPr>
          <w:p w:rsidR="00B35388" w:rsidRPr="0058198A" w:rsidRDefault="00B35388" w:rsidP="00B35388">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w:t>
            </w:r>
            <w:r w:rsidRPr="004B7DE3">
              <w:rPr>
                <w:rFonts w:eastAsia="Times New Roman"/>
                <w:color w:val="000000"/>
                <w:sz w:val="22"/>
                <w:szCs w:val="22"/>
                <w:lang w:eastAsia="sk-SK"/>
              </w:rPr>
              <w:t xml:space="preserve"> Ø</w:t>
            </w:r>
            <w:r w:rsidRPr="0058198A">
              <w:rPr>
                <w:rFonts w:eastAsia="Times New Roman"/>
                <w:b/>
                <w:bCs/>
                <w:color w:val="000000"/>
                <w:sz w:val="22"/>
                <w:szCs w:val="22"/>
                <w:lang w:eastAsia="sk-SK"/>
              </w:rPr>
              <w:t xml:space="preserve"> 2011-2015</w:t>
            </w:r>
          </w:p>
        </w:tc>
      </w:tr>
      <w:tr w:rsidR="00B35388" w:rsidTr="00B35388">
        <w:tc>
          <w:tcPr>
            <w:tcW w:w="1619" w:type="dxa"/>
          </w:tcPr>
          <w:p w:rsidR="00B35388" w:rsidRDefault="008A2DCC" w:rsidP="00B35388">
            <w:pPr>
              <w:spacing w:line="300" w:lineRule="exact"/>
              <w:ind w:firstLine="0"/>
            </w:pPr>
            <w:r>
              <w:t>OP RH</w:t>
            </w:r>
            <w:r w:rsidR="0077356F">
              <w:t xml:space="preserve"> SR</w:t>
            </w:r>
          </w:p>
        </w:tc>
        <w:tc>
          <w:tcPr>
            <w:tcW w:w="1711" w:type="dxa"/>
            <w:vAlign w:val="center"/>
          </w:tcPr>
          <w:p w:rsidR="00B35388" w:rsidRPr="004B7DE3" w:rsidRDefault="00B35388" w:rsidP="00B35388">
            <w:pPr>
              <w:spacing w:after="0" w:line="240" w:lineRule="auto"/>
              <w:ind w:firstLine="0"/>
              <w:jc w:val="right"/>
              <w:rPr>
                <w:rFonts w:eastAsia="Times New Roman"/>
                <w:color w:val="000000"/>
                <w:sz w:val="22"/>
                <w:szCs w:val="22"/>
                <w:lang w:eastAsia="sk-SK"/>
              </w:rPr>
            </w:pPr>
            <w:r w:rsidRPr="004B7DE3">
              <w:rPr>
                <w:rFonts w:eastAsia="Times New Roman"/>
                <w:color w:val="000000"/>
                <w:sz w:val="22"/>
                <w:szCs w:val="22"/>
                <w:lang w:eastAsia="sk-SK"/>
              </w:rPr>
              <w:t>2,3</w:t>
            </w:r>
          </w:p>
        </w:tc>
        <w:tc>
          <w:tcPr>
            <w:tcW w:w="1260" w:type="dxa"/>
            <w:vAlign w:val="center"/>
          </w:tcPr>
          <w:p w:rsidR="00B35388" w:rsidRPr="004B7DE3" w:rsidRDefault="00B35388" w:rsidP="00B35388">
            <w:pPr>
              <w:spacing w:after="0" w:line="240" w:lineRule="auto"/>
              <w:ind w:firstLine="0"/>
              <w:jc w:val="right"/>
              <w:rPr>
                <w:rFonts w:eastAsia="Times New Roman"/>
                <w:color w:val="000000"/>
                <w:sz w:val="22"/>
                <w:szCs w:val="22"/>
                <w:lang w:eastAsia="sk-SK"/>
              </w:rPr>
            </w:pPr>
            <w:r w:rsidRPr="004B7DE3">
              <w:rPr>
                <w:rFonts w:eastAsia="Times New Roman"/>
                <w:color w:val="000000"/>
                <w:sz w:val="22"/>
                <w:szCs w:val="22"/>
                <w:lang w:eastAsia="sk-SK"/>
              </w:rPr>
              <w:t>2,6</w:t>
            </w:r>
          </w:p>
        </w:tc>
        <w:tc>
          <w:tcPr>
            <w:tcW w:w="990" w:type="dxa"/>
            <w:vAlign w:val="center"/>
          </w:tcPr>
          <w:p w:rsidR="00B35388" w:rsidRPr="004B7DE3" w:rsidRDefault="00B35388" w:rsidP="00B35388">
            <w:pPr>
              <w:spacing w:after="0" w:line="240" w:lineRule="auto"/>
              <w:ind w:firstLine="0"/>
              <w:jc w:val="right"/>
              <w:rPr>
                <w:rFonts w:eastAsia="Times New Roman"/>
                <w:color w:val="000000"/>
                <w:sz w:val="22"/>
                <w:szCs w:val="22"/>
                <w:lang w:eastAsia="sk-SK"/>
              </w:rPr>
            </w:pPr>
            <w:r w:rsidRPr="004B7DE3">
              <w:rPr>
                <w:rFonts w:eastAsia="Times New Roman"/>
                <w:color w:val="000000"/>
                <w:sz w:val="22"/>
                <w:szCs w:val="22"/>
                <w:lang w:eastAsia="sk-SK"/>
              </w:rPr>
              <w:t>0,4</w:t>
            </w:r>
          </w:p>
        </w:tc>
        <w:tc>
          <w:tcPr>
            <w:tcW w:w="1710" w:type="dxa"/>
            <w:vAlign w:val="center"/>
          </w:tcPr>
          <w:p w:rsidR="00B35388" w:rsidRPr="004B7DE3" w:rsidRDefault="00B35388" w:rsidP="00B35388">
            <w:pPr>
              <w:spacing w:after="0" w:line="240" w:lineRule="auto"/>
              <w:ind w:firstLine="0"/>
              <w:jc w:val="right"/>
              <w:rPr>
                <w:rFonts w:eastAsia="Times New Roman"/>
                <w:color w:val="000000"/>
                <w:sz w:val="22"/>
                <w:szCs w:val="22"/>
                <w:lang w:eastAsia="sk-SK"/>
              </w:rPr>
            </w:pPr>
            <w:r w:rsidRPr="004B7DE3">
              <w:rPr>
                <w:rFonts w:eastAsia="Times New Roman"/>
                <w:color w:val="000000"/>
                <w:sz w:val="22"/>
                <w:szCs w:val="22"/>
                <w:lang w:eastAsia="sk-SK"/>
              </w:rPr>
              <w:t>15,4</w:t>
            </w:r>
          </w:p>
        </w:tc>
        <w:tc>
          <w:tcPr>
            <w:tcW w:w="1800" w:type="dxa"/>
            <w:vAlign w:val="center"/>
          </w:tcPr>
          <w:p w:rsidR="00B35388" w:rsidRPr="004B7DE3" w:rsidRDefault="00B35388" w:rsidP="00B35388">
            <w:pPr>
              <w:spacing w:after="0" w:line="240" w:lineRule="auto"/>
              <w:ind w:firstLine="0"/>
              <w:jc w:val="right"/>
              <w:rPr>
                <w:rFonts w:eastAsia="Times New Roman"/>
                <w:color w:val="000000"/>
                <w:sz w:val="22"/>
                <w:szCs w:val="22"/>
                <w:lang w:eastAsia="sk-SK"/>
              </w:rPr>
            </w:pPr>
            <w:r w:rsidRPr="004B7DE3">
              <w:rPr>
                <w:rFonts w:eastAsia="Times New Roman"/>
                <w:color w:val="000000"/>
                <w:sz w:val="22"/>
                <w:szCs w:val="22"/>
                <w:lang w:eastAsia="sk-SK"/>
              </w:rPr>
              <w:t>17,4</w:t>
            </w:r>
          </w:p>
        </w:tc>
      </w:tr>
    </w:tbl>
    <w:p w:rsidR="00B35388" w:rsidRPr="00F1363E" w:rsidRDefault="00B35388" w:rsidP="00B35388">
      <w:pPr>
        <w:spacing w:after="0" w:line="240" w:lineRule="auto"/>
        <w:ind w:firstLine="0"/>
        <w:rPr>
          <w:rStyle w:val="Siln"/>
          <w:b w:val="0"/>
          <w:sz w:val="20"/>
          <w:szCs w:val="20"/>
        </w:rPr>
      </w:pPr>
      <w:r w:rsidRPr="00F1363E">
        <w:rPr>
          <w:rStyle w:val="Siln"/>
          <w:b w:val="0"/>
          <w:sz w:val="20"/>
          <w:szCs w:val="20"/>
        </w:rPr>
        <w:t>Prameň: MPRV SR, PPA</w:t>
      </w:r>
    </w:p>
    <w:p w:rsidR="00B35388" w:rsidRPr="00F1363E" w:rsidRDefault="00B35388" w:rsidP="00B35388">
      <w:pPr>
        <w:spacing w:after="120" w:line="240" w:lineRule="auto"/>
        <w:ind w:firstLine="0"/>
        <w:rPr>
          <w:b/>
        </w:rPr>
      </w:pPr>
      <w:r w:rsidRPr="00F1363E">
        <w:rPr>
          <w:rStyle w:val="Siln"/>
          <w:b w:val="0"/>
          <w:sz w:val="20"/>
          <w:szCs w:val="20"/>
        </w:rPr>
        <w:t xml:space="preserve">Vypracoval: </w:t>
      </w:r>
      <w:r w:rsidRPr="00F1363E">
        <w:rPr>
          <w:sz w:val="20"/>
          <w:szCs w:val="20"/>
        </w:rPr>
        <w:t>NPPC - VÚEPP</w:t>
      </w:r>
      <w:r w:rsidRPr="00F1363E">
        <w:rPr>
          <w:b/>
        </w:rPr>
        <w:t xml:space="preserve"> </w:t>
      </w:r>
    </w:p>
    <w:p w:rsidR="003C7A2D" w:rsidRDefault="003C7A2D" w:rsidP="002415DD">
      <w:pPr>
        <w:spacing w:after="0" w:line="240" w:lineRule="auto"/>
        <w:ind w:firstLine="0"/>
        <w:rPr>
          <w:sz w:val="20"/>
          <w:szCs w:val="20"/>
        </w:rPr>
      </w:pPr>
    </w:p>
    <w:p w:rsidR="007D6E25" w:rsidRDefault="007D6E25" w:rsidP="007D6E25">
      <w:pPr>
        <w:pStyle w:val="Nadpis2"/>
        <w:ind w:left="284" w:hanging="284"/>
      </w:pPr>
      <w:bookmarkStart w:id="8" w:name="_Toc483395312"/>
      <w:r w:rsidRPr="00F1363E">
        <w:t>Štátna pomoc a národné podpory</w:t>
      </w:r>
      <w:bookmarkEnd w:id="8"/>
    </w:p>
    <w:p w:rsidR="000371B5" w:rsidRPr="004B3594" w:rsidRDefault="00057DE9" w:rsidP="000371B5">
      <w:pPr>
        <w:shd w:val="clear" w:color="auto" w:fill="FFFFFF"/>
        <w:ind w:left="108" w:right="108"/>
      </w:pPr>
      <w:r w:rsidRPr="00057DE9">
        <w:t xml:space="preserve">Podpora ako štátna pomoc a minimálna pomoc podľa </w:t>
      </w:r>
      <w:r>
        <w:rPr>
          <w:rStyle w:val="Siln"/>
          <w:b w:val="0"/>
        </w:rPr>
        <w:t xml:space="preserve">výnosu MPRV SR z 10. decembra 2014 č. 660/2014-100 o poskytovaní podpory v poľnohospodárstve, potravinárstve, lesnom hospodárstve a rybnom hospodárstve, </w:t>
      </w:r>
      <w:r w:rsidRPr="00057DE9">
        <w:t>sa môže poskytnúť na: činnosti v poľnohospodárskej prvovýrobe, činnosti v spracovaní poľnohospodárskych výrobkov a výrobe potravinárskych výrobkov, činnosti v marketingu poľnohospodárskych a potravinárskych výrobkov, investície na ochranu kultúrneho a prírodného dedičstva nachádzajúce sa v pôdohospodárskych podnikoch, nápravu škôd spôsobených nepriaznivými poveternostnými udalosťami a živelnou pohromou podľa osobitného predpisu v sektore pôdohospodárstva, výskum a vývoj v poľnohospodárstve a lesnom hospodárstve, činnosti v lesnom hospodárstve, činnosti zamerané na rozvoj vidieka, zamestnávanie znevýhodnených zamestnancov a značne znevýhodnených zamestnancov, činnosti v hospodárskom chove rýb.</w:t>
      </w:r>
    </w:p>
    <w:p w:rsidR="000371B5" w:rsidRPr="009752E6" w:rsidRDefault="000371B5" w:rsidP="000371B5">
      <w:r w:rsidRPr="009752E6">
        <w:lastRenderedPageBreak/>
        <w:t>Štátna pomoc a národné podpory sa poskytli v zmysle legislatívy:</w:t>
      </w:r>
    </w:p>
    <w:p w:rsidR="000371B5" w:rsidRPr="009752E6" w:rsidRDefault="000371B5" w:rsidP="000371B5">
      <w:pPr>
        <w:pStyle w:val="Zkladntext"/>
        <w:numPr>
          <w:ilvl w:val="0"/>
          <w:numId w:val="7"/>
        </w:numPr>
        <w:spacing w:line="320" w:lineRule="exact"/>
        <w:rPr>
          <w:sz w:val="24"/>
        </w:rPr>
      </w:pPr>
      <w:r w:rsidRPr="009752E6">
        <w:rPr>
          <w:sz w:val="24"/>
        </w:rPr>
        <w:t>zákona č. 523/2004 Z. z. o rozpočtových pravidlách verejnej správy a o zmene a doplnení niektorých zákonov v znení neskorších predpisov,</w:t>
      </w:r>
    </w:p>
    <w:p w:rsidR="000371B5" w:rsidRPr="009752E6" w:rsidRDefault="000371B5" w:rsidP="000371B5">
      <w:pPr>
        <w:pStyle w:val="Zkladntext"/>
        <w:numPr>
          <w:ilvl w:val="0"/>
          <w:numId w:val="7"/>
        </w:numPr>
        <w:spacing w:line="320" w:lineRule="exact"/>
        <w:rPr>
          <w:sz w:val="24"/>
        </w:rPr>
      </w:pPr>
      <w:r w:rsidRPr="009752E6">
        <w:rPr>
          <w:sz w:val="24"/>
        </w:rPr>
        <w:t>zákona č. 543/2007 Z. z. o pôsobnosti orgánov štátnej správy pri poskytovaní podpory v pôdohospodárstve a rozvoji vidieka v znení neskorších predpisov,</w:t>
      </w:r>
    </w:p>
    <w:p w:rsidR="000371B5" w:rsidRPr="009752E6" w:rsidRDefault="000371B5" w:rsidP="000371B5">
      <w:pPr>
        <w:pStyle w:val="Zkladntext"/>
        <w:numPr>
          <w:ilvl w:val="0"/>
          <w:numId w:val="7"/>
        </w:numPr>
        <w:spacing w:line="320" w:lineRule="exact"/>
        <w:rPr>
          <w:sz w:val="24"/>
        </w:rPr>
      </w:pPr>
      <w:r w:rsidRPr="009752E6">
        <w:rPr>
          <w:sz w:val="24"/>
        </w:rPr>
        <w:t>zákona č. 231/1999 Z. z. o štátnej pomoci v znení neskorších predpisov,</w:t>
      </w:r>
    </w:p>
    <w:p w:rsidR="000371B5" w:rsidRPr="009752E6" w:rsidRDefault="000371B5" w:rsidP="000371B5">
      <w:pPr>
        <w:pStyle w:val="Zkladntext"/>
        <w:numPr>
          <w:ilvl w:val="0"/>
          <w:numId w:val="7"/>
        </w:numPr>
        <w:spacing w:line="320" w:lineRule="exact"/>
        <w:rPr>
          <w:sz w:val="24"/>
        </w:rPr>
      </w:pPr>
      <w:r w:rsidRPr="009752E6">
        <w:rPr>
          <w:sz w:val="24"/>
        </w:rPr>
        <w:t>zákona č. 39/2007 Z. z. o veterinárnej starostlivosti v znení neskorších predpisov,</w:t>
      </w:r>
    </w:p>
    <w:p w:rsidR="000371B5" w:rsidRPr="009752E6" w:rsidRDefault="000371B5" w:rsidP="000371B5">
      <w:pPr>
        <w:pStyle w:val="Zkladntext"/>
        <w:numPr>
          <w:ilvl w:val="0"/>
          <w:numId w:val="7"/>
        </w:numPr>
        <w:spacing w:line="320" w:lineRule="exact"/>
        <w:rPr>
          <w:sz w:val="24"/>
        </w:rPr>
      </w:pPr>
      <w:r w:rsidRPr="009752E6">
        <w:rPr>
          <w:sz w:val="24"/>
        </w:rPr>
        <w:t>zákona č. 194/1998 Z. z. o šľachtení a plemenitbe hospodárskych zvierat, v znení neskorších predpisov</w:t>
      </w:r>
    </w:p>
    <w:p w:rsidR="000371B5" w:rsidRPr="009752E6" w:rsidRDefault="000371B5" w:rsidP="000371B5">
      <w:pPr>
        <w:pStyle w:val="Zkladntext"/>
        <w:numPr>
          <w:ilvl w:val="0"/>
          <w:numId w:val="7"/>
        </w:numPr>
        <w:spacing w:line="320" w:lineRule="exact"/>
        <w:rPr>
          <w:sz w:val="24"/>
        </w:rPr>
      </w:pPr>
      <w:r w:rsidRPr="009752E6">
        <w:rPr>
          <w:sz w:val="24"/>
        </w:rPr>
        <w:t>zákona č. 455/1991 Zb. o živnostenskom podnikaní v znení neskorších predpisov,</w:t>
      </w:r>
    </w:p>
    <w:p w:rsidR="000371B5" w:rsidRPr="009752E6" w:rsidRDefault="000371B5" w:rsidP="000371B5">
      <w:pPr>
        <w:pStyle w:val="Zkladntext"/>
        <w:numPr>
          <w:ilvl w:val="0"/>
          <w:numId w:val="7"/>
        </w:numPr>
        <w:spacing w:line="320" w:lineRule="exact"/>
        <w:rPr>
          <w:sz w:val="24"/>
        </w:rPr>
      </w:pPr>
      <w:r w:rsidRPr="009752E6">
        <w:rPr>
          <w:sz w:val="24"/>
        </w:rPr>
        <w:t>zákon č. 326/2005 Z. z. o lesoch v znení neskorších predpisov,</w:t>
      </w:r>
    </w:p>
    <w:p w:rsidR="000371B5" w:rsidRPr="009752E6" w:rsidRDefault="000371B5" w:rsidP="000371B5">
      <w:pPr>
        <w:pStyle w:val="Zkladntext"/>
        <w:numPr>
          <w:ilvl w:val="0"/>
          <w:numId w:val="7"/>
        </w:numPr>
        <w:spacing w:line="320" w:lineRule="exact"/>
        <w:rPr>
          <w:sz w:val="24"/>
        </w:rPr>
      </w:pPr>
      <w:r w:rsidRPr="009752E6">
        <w:rPr>
          <w:sz w:val="24"/>
        </w:rPr>
        <w:t xml:space="preserve">výnos Ministerstva pôdohospodárstva a rozvoja vidieka Slovenskej republiky </w:t>
      </w:r>
      <w:r w:rsidR="004B3594">
        <w:rPr>
          <w:sz w:val="24"/>
        </w:rPr>
        <w:t> </w:t>
      </w:r>
      <w:r w:rsidR="004B3594" w:rsidRPr="009752E6">
        <w:rPr>
          <w:sz w:val="24"/>
        </w:rPr>
        <w:t>z</w:t>
      </w:r>
      <w:r w:rsidR="004B3594">
        <w:rPr>
          <w:sz w:val="24"/>
        </w:rPr>
        <w:t> </w:t>
      </w:r>
      <w:r w:rsidRPr="009752E6">
        <w:rPr>
          <w:sz w:val="24"/>
        </w:rPr>
        <w:t>10</w:t>
      </w:r>
      <w:r w:rsidR="004B3594" w:rsidRPr="009752E6">
        <w:rPr>
          <w:sz w:val="24"/>
        </w:rPr>
        <w:t>.</w:t>
      </w:r>
      <w:r w:rsidR="004B3594">
        <w:rPr>
          <w:sz w:val="24"/>
        </w:rPr>
        <w:t> </w:t>
      </w:r>
      <w:r w:rsidRPr="009752E6">
        <w:rPr>
          <w:sz w:val="24"/>
        </w:rPr>
        <w:t>decembra 2014 č. 660/2014-100 o poskytovaní podpory v poľnohospodárstve, potravinárstve, lesnom hospodárstve a rybnom hospodárstve</w:t>
      </w:r>
    </w:p>
    <w:p w:rsidR="004B3594" w:rsidRDefault="004B3594" w:rsidP="000371B5"/>
    <w:p w:rsidR="000371B5" w:rsidRPr="009752E6" w:rsidRDefault="000371B5" w:rsidP="000371B5">
      <w:r w:rsidRPr="009752E6">
        <w:t>Národné podpory  boli legislatívne zabezpečené :</w:t>
      </w:r>
    </w:p>
    <w:p w:rsidR="000371B5" w:rsidRPr="009752E6" w:rsidRDefault="000371B5" w:rsidP="000371B5">
      <w:pPr>
        <w:pStyle w:val="Zkladntext"/>
        <w:numPr>
          <w:ilvl w:val="0"/>
          <w:numId w:val="7"/>
        </w:numPr>
        <w:spacing w:line="320" w:lineRule="exact"/>
        <w:rPr>
          <w:sz w:val="24"/>
        </w:rPr>
      </w:pPr>
      <w:r w:rsidRPr="009752E6">
        <w:rPr>
          <w:sz w:val="24"/>
        </w:rPr>
        <w:t>výnosom MPRV SR č. 536/2011-100 o podrobnostiach pri poskytovaní podpory v pôdohospodárstve a pri rozvoji vidieka v znení neskorších predpisov.</w:t>
      </w:r>
    </w:p>
    <w:p w:rsidR="000371B5" w:rsidRPr="009752E6" w:rsidRDefault="000371B5" w:rsidP="000371B5">
      <w:pPr>
        <w:pStyle w:val="Zkladntext"/>
        <w:spacing w:line="320" w:lineRule="exact"/>
        <w:rPr>
          <w:sz w:val="24"/>
        </w:rPr>
      </w:pPr>
    </w:p>
    <w:p w:rsidR="007D6E25" w:rsidRPr="00F1363E" w:rsidRDefault="007D6E25" w:rsidP="007D6E25">
      <w:pPr>
        <w:pStyle w:val="Zkladntext"/>
        <w:ind w:left="397" w:hanging="397"/>
        <w:rPr>
          <w:b/>
          <w:sz w:val="24"/>
        </w:rPr>
      </w:pPr>
      <w:r w:rsidRPr="00F1363E">
        <w:rPr>
          <w:b/>
          <w:sz w:val="24"/>
        </w:rPr>
        <w:t xml:space="preserve">Dotácie na štátnu a minimálnu pomoc v rámci kapitoly MPRV SR </w:t>
      </w:r>
    </w:p>
    <w:p w:rsidR="007D6E25" w:rsidRDefault="007D6E25" w:rsidP="007D6E25">
      <w:pPr>
        <w:pStyle w:val="Zkladntext"/>
        <w:ind w:left="397" w:hanging="397"/>
        <w:rPr>
          <w:sz w:val="24"/>
        </w:rPr>
      </w:pPr>
      <w:r w:rsidRPr="00F1363E">
        <w:rPr>
          <w:sz w:val="24"/>
        </w:rPr>
        <w:t xml:space="preserve">v €                                                                                                                       </w:t>
      </w:r>
      <w:r w:rsidR="001669D1">
        <w:rPr>
          <w:sz w:val="24"/>
        </w:rPr>
        <w:t xml:space="preserve">  </w:t>
      </w:r>
      <w:r w:rsidRPr="00F1363E">
        <w:rPr>
          <w:sz w:val="24"/>
        </w:rPr>
        <w:t xml:space="preserve"> Tabuľka </w:t>
      </w:r>
      <w:r w:rsidR="001808F1">
        <w:rPr>
          <w:sz w:val="24"/>
        </w:rPr>
        <w:t>10</w:t>
      </w:r>
    </w:p>
    <w:tbl>
      <w:tblPr>
        <w:tblW w:w="9013" w:type="dxa"/>
        <w:tblInd w:w="57" w:type="dxa"/>
        <w:tblCellMar>
          <w:left w:w="70" w:type="dxa"/>
          <w:right w:w="70" w:type="dxa"/>
        </w:tblCellMar>
        <w:tblLook w:val="04A0" w:firstRow="1" w:lastRow="0" w:firstColumn="1" w:lastColumn="0" w:noHBand="0" w:noVBand="1"/>
      </w:tblPr>
      <w:tblGrid>
        <w:gridCol w:w="6673"/>
        <w:gridCol w:w="1170"/>
        <w:gridCol w:w="1170"/>
      </w:tblGrid>
      <w:tr w:rsidR="000371B5" w:rsidRPr="009752E6" w:rsidTr="000371B5">
        <w:trPr>
          <w:trHeight w:val="330"/>
        </w:trPr>
        <w:tc>
          <w:tcPr>
            <w:tcW w:w="6673"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rsidR="000371B5" w:rsidRPr="000371B5" w:rsidRDefault="000371B5" w:rsidP="000371B5">
            <w:pPr>
              <w:spacing w:after="0" w:line="240" w:lineRule="auto"/>
              <w:ind w:firstLine="0"/>
              <w:jc w:val="left"/>
              <w:rPr>
                <w:rFonts w:eastAsia="Times New Roman"/>
                <w:b/>
                <w:bCs/>
                <w:color w:val="000000"/>
                <w:sz w:val="22"/>
                <w:szCs w:val="22"/>
                <w:lang w:eastAsia="sk-SK"/>
              </w:rPr>
            </w:pPr>
            <w:r w:rsidRPr="000371B5">
              <w:rPr>
                <w:rFonts w:eastAsia="Times New Roman"/>
                <w:b/>
                <w:bCs/>
                <w:color w:val="000000"/>
                <w:sz w:val="22"/>
                <w:szCs w:val="22"/>
                <w:lang w:eastAsia="sk-SK"/>
              </w:rPr>
              <w:t>Štátna pomoc</w:t>
            </w:r>
          </w:p>
        </w:tc>
        <w:tc>
          <w:tcPr>
            <w:tcW w:w="1170" w:type="dxa"/>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rsidR="000371B5" w:rsidRPr="000371B5" w:rsidRDefault="000371B5" w:rsidP="000371B5">
            <w:pPr>
              <w:spacing w:after="0" w:line="240" w:lineRule="auto"/>
              <w:ind w:firstLine="0"/>
              <w:jc w:val="center"/>
              <w:rPr>
                <w:rFonts w:eastAsia="Times New Roman"/>
                <w:b/>
                <w:bCs/>
                <w:color w:val="000000"/>
                <w:sz w:val="22"/>
                <w:szCs w:val="22"/>
                <w:lang w:eastAsia="sk-SK"/>
              </w:rPr>
            </w:pPr>
            <w:r w:rsidRPr="000371B5">
              <w:rPr>
                <w:rFonts w:eastAsia="Times New Roman"/>
                <w:b/>
                <w:bCs/>
                <w:color w:val="000000"/>
                <w:sz w:val="22"/>
                <w:szCs w:val="22"/>
                <w:lang w:eastAsia="sk-SK"/>
              </w:rPr>
              <w:t>2015</w:t>
            </w:r>
          </w:p>
        </w:tc>
        <w:tc>
          <w:tcPr>
            <w:tcW w:w="1170" w:type="dxa"/>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rsidR="000371B5" w:rsidRPr="000371B5" w:rsidRDefault="000371B5" w:rsidP="000371B5">
            <w:pPr>
              <w:spacing w:after="0" w:line="240" w:lineRule="auto"/>
              <w:ind w:firstLine="0"/>
              <w:jc w:val="center"/>
              <w:rPr>
                <w:rFonts w:eastAsia="Times New Roman"/>
                <w:b/>
                <w:bCs/>
                <w:color w:val="000000"/>
                <w:sz w:val="22"/>
                <w:szCs w:val="22"/>
                <w:lang w:eastAsia="sk-SK"/>
              </w:rPr>
            </w:pPr>
            <w:r w:rsidRPr="000371B5">
              <w:rPr>
                <w:rFonts w:eastAsia="Times New Roman"/>
                <w:b/>
                <w:bCs/>
                <w:color w:val="000000"/>
                <w:sz w:val="22"/>
                <w:szCs w:val="22"/>
                <w:lang w:eastAsia="sk-SK"/>
              </w:rPr>
              <w:t>2016</w:t>
            </w:r>
          </w:p>
        </w:tc>
      </w:tr>
      <w:tr w:rsidR="000371B5" w:rsidRPr="009752E6" w:rsidTr="004B3594">
        <w:trPr>
          <w:trHeight w:val="330"/>
        </w:trPr>
        <w:tc>
          <w:tcPr>
            <w:tcW w:w="6673" w:type="dxa"/>
            <w:tcBorders>
              <w:top w:val="nil"/>
              <w:left w:val="single" w:sz="8" w:space="0" w:color="auto"/>
              <w:bottom w:val="single" w:sz="8" w:space="0" w:color="auto"/>
              <w:right w:val="single" w:sz="8" w:space="0" w:color="auto"/>
            </w:tcBorders>
            <w:shd w:val="clear" w:color="auto" w:fill="auto"/>
            <w:noWrap/>
            <w:vAlign w:val="center"/>
            <w:hideMark/>
          </w:tcPr>
          <w:p w:rsidR="00E75928" w:rsidRDefault="000371B5">
            <w:pPr>
              <w:spacing w:after="0" w:line="240" w:lineRule="auto"/>
              <w:ind w:firstLine="0"/>
              <w:jc w:val="left"/>
              <w:rPr>
                <w:rFonts w:eastAsia="Times New Roman"/>
                <w:lang w:eastAsia="sk-SK"/>
              </w:rPr>
            </w:pPr>
            <w:r w:rsidRPr="009752E6">
              <w:rPr>
                <w:rFonts w:eastAsia="Times New Roman"/>
                <w:lang w:eastAsia="sk-SK"/>
              </w:rPr>
              <w:t>Tituly</w:t>
            </w:r>
          </w:p>
        </w:tc>
        <w:tc>
          <w:tcPr>
            <w:tcW w:w="1170" w:type="dxa"/>
            <w:tcBorders>
              <w:top w:val="nil"/>
              <w:left w:val="nil"/>
              <w:bottom w:val="single" w:sz="8" w:space="0" w:color="auto"/>
              <w:right w:val="single" w:sz="8" w:space="0" w:color="auto"/>
            </w:tcBorders>
            <w:shd w:val="clear" w:color="auto" w:fill="auto"/>
            <w:noWrap/>
            <w:vAlign w:val="bottom"/>
            <w:hideMark/>
          </w:tcPr>
          <w:p w:rsidR="000371B5" w:rsidRPr="009752E6" w:rsidRDefault="000371B5" w:rsidP="006A34F5">
            <w:pPr>
              <w:spacing w:after="0" w:line="240" w:lineRule="auto"/>
              <w:ind w:firstLine="0"/>
              <w:rPr>
                <w:rFonts w:eastAsia="Times New Roman"/>
                <w:lang w:eastAsia="sk-SK"/>
              </w:rPr>
            </w:pPr>
            <w:r w:rsidRPr="009752E6">
              <w:rPr>
                <w:rFonts w:eastAsia="Times New Roman"/>
                <w:lang w:eastAsia="sk-SK"/>
              </w:rPr>
              <w:t> </w:t>
            </w:r>
          </w:p>
        </w:tc>
        <w:tc>
          <w:tcPr>
            <w:tcW w:w="1170" w:type="dxa"/>
            <w:tcBorders>
              <w:top w:val="nil"/>
              <w:left w:val="nil"/>
              <w:bottom w:val="single" w:sz="8" w:space="0" w:color="auto"/>
              <w:right w:val="single" w:sz="8" w:space="0" w:color="auto"/>
            </w:tcBorders>
            <w:shd w:val="clear" w:color="auto" w:fill="auto"/>
            <w:noWrap/>
            <w:vAlign w:val="bottom"/>
            <w:hideMark/>
          </w:tcPr>
          <w:p w:rsidR="000371B5" w:rsidRPr="009752E6" w:rsidRDefault="000371B5" w:rsidP="006A34F5">
            <w:pPr>
              <w:spacing w:after="0" w:line="240" w:lineRule="auto"/>
              <w:ind w:firstLine="0"/>
              <w:rPr>
                <w:rFonts w:eastAsia="Times New Roman"/>
                <w:lang w:eastAsia="sk-SK"/>
              </w:rPr>
            </w:pPr>
            <w:r w:rsidRPr="009752E6">
              <w:rPr>
                <w:rFonts w:eastAsia="Times New Roman"/>
                <w:lang w:eastAsia="sk-SK"/>
              </w:rPr>
              <w:t> </w:t>
            </w:r>
          </w:p>
        </w:tc>
      </w:tr>
      <w:tr w:rsidR="000371B5" w:rsidRPr="009752E6" w:rsidTr="004B3594">
        <w:trPr>
          <w:trHeight w:val="330"/>
        </w:trPr>
        <w:tc>
          <w:tcPr>
            <w:tcW w:w="6673" w:type="dxa"/>
            <w:tcBorders>
              <w:top w:val="nil"/>
              <w:left w:val="single" w:sz="8" w:space="0" w:color="auto"/>
              <w:bottom w:val="single" w:sz="8" w:space="0" w:color="auto"/>
              <w:right w:val="single" w:sz="8" w:space="0" w:color="auto"/>
            </w:tcBorders>
            <w:shd w:val="clear" w:color="000000" w:fill="FFFFFF"/>
            <w:noWrap/>
            <w:vAlign w:val="center"/>
            <w:hideMark/>
          </w:tcPr>
          <w:p w:rsidR="00E75928" w:rsidRDefault="000371B5">
            <w:pPr>
              <w:spacing w:after="0" w:line="240" w:lineRule="auto"/>
              <w:ind w:firstLine="0"/>
              <w:jc w:val="left"/>
              <w:rPr>
                <w:rFonts w:eastAsia="Times New Roman"/>
                <w:lang w:eastAsia="sk-SK"/>
              </w:rPr>
            </w:pPr>
            <w:r w:rsidRPr="009752E6">
              <w:rPr>
                <w:rFonts w:eastAsia="Times New Roman"/>
                <w:lang w:eastAsia="sk-SK"/>
              </w:rPr>
              <w:t>Dotácia na zabezpečenie účasti prvovýrobcov na výstavách</w:t>
            </w:r>
          </w:p>
        </w:tc>
        <w:tc>
          <w:tcPr>
            <w:tcW w:w="1170"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Chars="100" w:firstLine="240"/>
              <w:jc w:val="right"/>
              <w:rPr>
                <w:rFonts w:eastAsia="Times New Roman"/>
                <w:lang w:eastAsia="sk-SK"/>
              </w:rPr>
            </w:pPr>
            <w:r w:rsidRPr="009752E6">
              <w:rPr>
                <w:rFonts w:eastAsia="Times New Roman"/>
                <w:lang w:eastAsia="sk-SK"/>
              </w:rPr>
              <w:t>65 000</w:t>
            </w:r>
          </w:p>
        </w:tc>
        <w:tc>
          <w:tcPr>
            <w:tcW w:w="1170"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Chars="100" w:firstLine="240"/>
              <w:jc w:val="right"/>
              <w:rPr>
                <w:rFonts w:eastAsia="Times New Roman"/>
                <w:lang w:eastAsia="sk-SK"/>
              </w:rPr>
            </w:pPr>
            <w:r w:rsidRPr="009752E6">
              <w:rPr>
                <w:rFonts w:eastAsia="Times New Roman"/>
                <w:lang w:eastAsia="sk-SK"/>
              </w:rPr>
              <w:t>65 000</w:t>
            </w:r>
          </w:p>
        </w:tc>
      </w:tr>
      <w:tr w:rsidR="000371B5" w:rsidRPr="009752E6" w:rsidTr="004B3594">
        <w:trPr>
          <w:trHeight w:val="645"/>
        </w:trPr>
        <w:tc>
          <w:tcPr>
            <w:tcW w:w="6673" w:type="dxa"/>
            <w:tcBorders>
              <w:top w:val="nil"/>
              <w:left w:val="single" w:sz="8" w:space="0" w:color="auto"/>
              <w:bottom w:val="single" w:sz="8" w:space="0" w:color="auto"/>
              <w:right w:val="single" w:sz="8" w:space="0" w:color="auto"/>
            </w:tcBorders>
            <w:shd w:val="clear" w:color="000000" w:fill="FFFFFF"/>
            <w:noWrap/>
            <w:vAlign w:val="center"/>
            <w:hideMark/>
          </w:tcPr>
          <w:p w:rsidR="00E75928" w:rsidRDefault="000371B5">
            <w:pPr>
              <w:spacing w:after="0" w:line="240" w:lineRule="auto"/>
              <w:ind w:firstLine="0"/>
              <w:jc w:val="left"/>
              <w:rPr>
                <w:rFonts w:eastAsia="Times New Roman"/>
                <w:lang w:eastAsia="sk-SK"/>
              </w:rPr>
            </w:pPr>
            <w:r w:rsidRPr="009752E6">
              <w:rPr>
                <w:rFonts w:eastAsia="Times New Roman"/>
                <w:lang w:eastAsia="sk-SK"/>
              </w:rPr>
              <w:t>Dotácia na založenie a vedenie plemennej knihy a plemennej evidencie</w:t>
            </w:r>
          </w:p>
        </w:tc>
        <w:tc>
          <w:tcPr>
            <w:tcW w:w="1170"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Chars="100" w:firstLine="240"/>
              <w:jc w:val="right"/>
              <w:rPr>
                <w:rFonts w:eastAsia="Times New Roman"/>
                <w:lang w:eastAsia="sk-SK"/>
              </w:rPr>
            </w:pPr>
            <w:r w:rsidRPr="009752E6">
              <w:rPr>
                <w:rFonts w:eastAsia="Times New Roman"/>
                <w:lang w:eastAsia="sk-SK"/>
              </w:rPr>
              <w:t>378 791</w:t>
            </w:r>
          </w:p>
        </w:tc>
        <w:tc>
          <w:tcPr>
            <w:tcW w:w="1170"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Chars="100" w:firstLine="240"/>
              <w:jc w:val="right"/>
              <w:rPr>
                <w:rFonts w:eastAsia="Times New Roman"/>
                <w:lang w:eastAsia="sk-SK"/>
              </w:rPr>
            </w:pPr>
            <w:r w:rsidRPr="009752E6">
              <w:rPr>
                <w:rFonts w:eastAsia="Times New Roman"/>
                <w:lang w:eastAsia="sk-SK"/>
              </w:rPr>
              <w:t>379 999</w:t>
            </w:r>
          </w:p>
        </w:tc>
      </w:tr>
      <w:tr w:rsidR="000371B5" w:rsidRPr="009752E6" w:rsidTr="004B3594">
        <w:trPr>
          <w:trHeight w:val="645"/>
        </w:trPr>
        <w:tc>
          <w:tcPr>
            <w:tcW w:w="6673" w:type="dxa"/>
            <w:tcBorders>
              <w:top w:val="nil"/>
              <w:left w:val="single" w:sz="8" w:space="0" w:color="auto"/>
              <w:bottom w:val="single" w:sz="8" w:space="0" w:color="auto"/>
              <w:right w:val="single" w:sz="8" w:space="0" w:color="auto"/>
            </w:tcBorders>
            <w:shd w:val="clear" w:color="000000" w:fill="FFFFFF"/>
            <w:noWrap/>
            <w:vAlign w:val="center"/>
            <w:hideMark/>
          </w:tcPr>
          <w:p w:rsidR="00E75928" w:rsidRDefault="000371B5">
            <w:pPr>
              <w:spacing w:after="0" w:line="240" w:lineRule="auto"/>
              <w:ind w:firstLine="0"/>
              <w:jc w:val="left"/>
              <w:rPr>
                <w:rFonts w:eastAsia="Times New Roman"/>
                <w:lang w:eastAsia="sk-SK"/>
              </w:rPr>
            </w:pPr>
            <w:r w:rsidRPr="009752E6">
              <w:rPr>
                <w:rFonts w:eastAsia="Times New Roman"/>
                <w:lang w:eastAsia="sk-SK"/>
              </w:rPr>
              <w:t>Dotácia na kontrolu úžitkovosti, testovanie a  odhad plemennej hodnoty zvierat</w:t>
            </w:r>
          </w:p>
        </w:tc>
        <w:tc>
          <w:tcPr>
            <w:tcW w:w="1170"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Chars="100" w:firstLine="240"/>
              <w:jc w:val="right"/>
              <w:rPr>
                <w:rFonts w:eastAsia="Times New Roman"/>
                <w:lang w:eastAsia="sk-SK"/>
              </w:rPr>
            </w:pPr>
            <w:r w:rsidRPr="009752E6">
              <w:rPr>
                <w:rFonts w:eastAsia="Times New Roman"/>
                <w:lang w:eastAsia="sk-SK"/>
              </w:rPr>
              <w:t>950 000</w:t>
            </w:r>
          </w:p>
        </w:tc>
        <w:tc>
          <w:tcPr>
            <w:tcW w:w="1170"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Chars="100" w:firstLine="240"/>
              <w:jc w:val="right"/>
              <w:rPr>
                <w:rFonts w:eastAsia="Times New Roman"/>
                <w:lang w:eastAsia="sk-SK"/>
              </w:rPr>
            </w:pPr>
            <w:r w:rsidRPr="009752E6">
              <w:rPr>
                <w:rFonts w:eastAsia="Times New Roman"/>
                <w:lang w:eastAsia="sk-SK"/>
              </w:rPr>
              <w:t>900 616</w:t>
            </w:r>
          </w:p>
        </w:tc>
      </w:tr>
      <w:tr w:rsidR="000371B5" w:rsidRPr="009752E6" w:rsidTr="004B3594">
        <w:trPr>
          <w:trHeight w:val="645"/>
        </w:trPr>
        <w:tc>
          <w:tcPr>
            <w:tcW w:w="6673" w:type="dxa"/>
            <w:tcBorders>
              <w:top w:val="nil"/>
              <w:left w:val="single" w:sz="8" w:space="0" w:color="auto"/>
              <w:bottom w:val="single" w:sz="8" w:space="0" w:color="auto"/>
              <w:right w:val="single" w:sz="8" w:space="0" w:color="auto"/>
            </w:tcBorders>
            <w:shd w:val="clear" w:color="000000" w:fill="FFFFFF"/>
            <w:noWrap/>
            <w:vAlign w:val="center"/>
            <w:hideMark/>
          </w:tcPr>
          <w:p w:rsidR="00E75928" w:rsidRDefault="000371B5">
            <w:pPr>
              <w:spacing w:after="0" w:line="240" w:lineRule="auto"/>
              <w:ind w:firstLine="0"/>
              <w:jc w:val="left"/>
              <w:rPr>
                <w:rFonts w:eastAsia="Times New Roman"/>
                <w:lang w:eastAsia="sk-SK"/>
              </w:rPr>
            </w:pPr>
            <w:r w:rsidRPr="009752E6">
              <w:rPr>
                <w:rFonts w:eastAsia="Times New Roman"/>
                <w:lang w:eastAsia="sk-SK"/>
              </w:rPr>
              <w:t>Dotácia na opeľovaciu činnosť včiel (pre podnikateľské subjekty)</w:t>
            </w:r>
          </w:p>
        </w:tc>
        <w:tc>
          <w:tcPr>
            <w:tcW w:w="1170" w:type="dxa"/>
            <w:tcBorders>
              <w:top w:val="nil"/>
              <w:left w:val="nil"/>
              <w:bottom w:val="single" w:sz="8" w:space="0" w:color="auto"/>
              <w:right w:val="single" w:sz="8" w:space="0" w:color="auto"/>
            </w:tcBorders>
            <w:shd w:val="clear" w:color="000000" w:fill="FFFFFF"/>
            <w:vAlign w:val="center"/>
            <w:hideMark/>
          </w:tcPr>
          <w:p w:rsidR="000371B5" w:rsidRPr="009752E6" w:rsidRDefault="000371B5" w:rsidP="000371B5">
            <w:pPr>
              <w:spacing w:after="0" w:line="240" w:lineRule="auto"/>
              <w:ind w:firstLineChars="100" w:firstLine="240"/>
              <w:jc w:val="right"/>
              <w:rPr>
                <w:rFonts w:eastAsia="Times New Roman"/>
                <w:lang w:eastAsia="sk-SK"/>
              </w:rPr>
            </w:pPr>
            <w:r w:rsidRPr="009752E6">
              <w:rPr>
                <w:rFonts w:eastAsia="Times New Roman"/>
                <w:lang w:eastAsia="sk-SK"/>
              </w:rPr>
              <w:t>0</w:t>
            </w:r>
          </w:p>
        </w:tc>
        <w:tc>
          <w:tcPr>
            <w:tcW w:w="1170" w:type="dxa"/>
            <w:tcBorders>
              <w:top w:val="nil"/>
              <w:left w:val="nil"/>
              <w:bottom w:val="single" w:sz="8" w:space="0" w:color="auto"/>
              <w:right w:val="single" w:sz="8" w:space="0" w:color="auto"/>
            </w:tcBorders>
            <w:shd w:val="clear" w:color="000000" w:fill="FFFFFF"/>
            <w:vAlign w:val="center"/>
            <w:hideMark/>
          </w:tcPr>
          <w:p w:rsidR="000371B5" w:rsidRPr="009752E6" w:rsidRDefault="000371B5" w:rsidP="000371B5">
            <w:pPr>
              <w:spacing w:after="0" w:line="240" w:lineRule="auto"/>
              <w:ind w:firstLineChars="100" w:firstLine="240"/>
              <w:jc w:val="right"/>
              <w:rPr>
                <w:rFonts w:eastAsia="Times New Roman"/>
                <w:lang w:eastAsia="sk-SK"/>
              </w:rPr>
            </w:pPr>
            <w:r w:rsidRPr="009752E6">
              <w:rPr>
                <w:rFonts w:eastAsia="Times New Roman"/>
                <w:lang w:eastAsia="sk-SK"/>
              </w:rPr>
              <w:t>1 556 </w:t>
            </w:r>
          </w:p>
        </w:tc>
      </w:tr>
      <w:tr w:rsidR="000371B5" w:rsidRPr="009752E6" w:rsidTr="004B3594">
        <w:trPr>
          <w:trHeight w:val="645"/>
        </w:trPr>
        <w:tc>
          <w:tcPr>
            <w:tcW w:w="6673" w:type="dxa"/>
            <w:tcBorders>
              <w:top w:val="nil"/>
              <w:left w:val="single" w:sz="8" w:space="0" w:color="auto"/>
              <w:bottom w:val="single" w:sz="8" w:space="0" w:color="auto"/>
              <w:right w:val="single" w:sz="8" w:space="0" w:color="auto"/>
            </w:tcBorders>
            <w:shd w:val="clear" w:color="000000" w:fill="FFFFFF"/>
            <w:noWrap/>
            <w:vAlign w:val="center"/>
            <w:hideMark/>
          </w:tcPr>
          <w:p w:rsidR="00E75928" w:rsidRDefault="000371B5">
            <w:pPr>
              <w:spacing w:after="0" w:line="240" w:lineRule="auto"/>
              <w:ind w:firstLine="0"/>
              <w:jc w:val="left"/>
              <w:rPr>
                <w:rFonts w:eastAsia="Times New Roman"/>
                <w:lang w:eastAsia="sk-SK"/>
              </w:rPr>
            </w:pPr>
            <w:r w:rsidRPr="009752E6">
              <w:rPr>
                <w:rFonts w:eastAsia="Times New Roman"/>
                <w:lang w:eastAsia="sk-SK"/>
              </w:rPr>
              <w:t>Schéma minimálnej štátnej pomoci na účasť spracovateľa na výstave v znení Dodatku č. 1</w:t>
            </w:r>
          </w:p>
        </w:tc>
        <w:tc>
          <w:tcPr>
            <w:tcW w:w="1170"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Chars="100" w:firstLine="240"/>
              <w:jc w:val="right"/>
              <w:rPr>
                <w:rFonts w:eastAsia="Times New Roman"/>
                <w:lang w:eastAsia="sk-SK"/>
              </w:rPr>
            </w:pPr>
            <w:r w:rsidRPr="009752E6">
              <w:rPr>
                <w:rFonts w:eastAsia="Times New Roman"/>
                <w:lang w:eastAsia="sk-SK"/>
              </w:rPr>
              <w:t>37 824</w:t>
            </w:r>
          </w:p>
        </w:tc>
        <w:tc>
          <w:tcPr>
            <w:tcW w:w="1170"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Chars="100" w:firstLine="240"/>
              <w:jc w:val="right"/>
              <w:rPr>
                <w:rFonts w:eastAsia="Times New Roman"/>
                <w:lang w:eastAsia="sk-SK"/>
              </w:rPr>
            </w:pPr>
            <w:r w:rsidRPr="009752E6">
              <w:rPr>
                <w:rFonts w:eastAsia="Times New Roman"/>
                <w:lang w:eastAsia="sk-SK"/>
              </w:rPr>
              <w:t>39 000 </w:t>
            </w:r>
          </w:p>
        </w:tc>
      </w:tr>
      <w:tr w:rsidR="000371B5" w:rsidRPr="009752E6" w:rsidTr="004B3594">
        <w:trPr>
          <w:trHeight w:val="330"/>
        </w:trPr>
        <w:tc>
          <w:tcPr>
            <w:tcW w:w="6673" w:type="dxa"/>
            <w:tcBorders>
              <w:top w:val="nil"/>
              <w:left w:val="single" w:sz="8" w:space="0" w:color="auto"/>
              <w:bottom w:val="single" w:sz="8" w:space="0" w:color="auto"/>
              <w:right w:val="single" w:sz="8" w:space="0" w:color="auto"/>
            </w:tcBorders>
            <w:shd w:val="clear" w:color="000000" w:fill="FFFFFF"/>
            <w:noWrap/>
            <w:vAlign w:val="center"/>
            <w:hideMark/>
          </w:tcPr>
          <w:p w:rsidR="00E75928" w:rsidRDefault="000371B5">
            <w:pPr>
              <w:spacing w:after="0" w:line="240" w:lineRule="auto"/>
              <w:ind w:firstLine="0"/>
              <w:jc w:val="left"/>
              <w:rPr>
                <w:rFonts w:eastAsia="Times New Roman"/>
                <w:b/>
                <w:bCs/>
                <w:lang w:eastAsia="sk-SK"/>
              </w:rPr>
            </w:pPr>
            <w:r w:rsidRPr="009752E6">
              <w:rPr>
                <w:rFonts w:eastAsia="Times New Roman"/>
                <w:b/>
                <w:bCs/>
                <w:lang w:eastAsia="sk-SK"/>
              </w:rPr>
              <w:t>Štátna a minimálna pomoc spolu</w:t>
            </w:r>
          </w:p>
        </w:tc>
        <w:tc>
          <w:tcPr>
            <w:tcW w:w="1170"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b/>
                <w:bCs/>
                <w:lang w:eastAsia="sk-SK"/>
              </w:rPr>
            </w:pPr>
            <w:r w:rsidRPr="009752E6">
              <w:rPr>
                <w:rFonts w:eastAsia="Times New Roman"/>
                <w:b/>
                <w:bCs/>
                <w:lang w:eastAsia="sk-SK"/>
              </w:rPr>
              <w:t>1 431 615</w:t>
            </w:r>
          </w:p>
        </w:tc>
        <w:tc>
          <w:tcPr>
            <w:tcW w:w="1170"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b/>
                <w:bCs/>
                <w:lang w:eastAsia="sk-SK"/>
              </w:rPr>
            </w:pPr>
            <w:r w:rsidRPr="009752E6">
              <w:rPr>
                <w:rFonts w:eastAsia="Times New Roman"/>
                <w:b/>
                <w:bCs/>
                <w:lang w:eastAsia="sk-SK"/>
              </w:rPr>
              <w:t>1 386 169</w:t>
            </w:r>
          </w:p>
        </w:tc>
      </w:tr>
    </w:tbl>
    <w:p w:rsidR="007D6E25" w:rsidRPr="001343A8" w:rsidRDefault="007D6E25" w:rsidP="007D6E25">
      <w:pPr>
        <w:spacing w:after="0" w:line="240" w:lineRule="auto"/>
        <w:ind w:firstLine="0"/>
        <w:rPr>
          <w:sz w:val="20"/>
          <w:szCs w:val="20"/>
        </w:rPr>
      </w:pPr>
      <w:r w:rsidRPr="001343A8">
        <w:rPr>
          <w:sz w:val="20"/>
          <w:szCs w:val="20"/>
        </w:rPr>
        <w:t xml:space="preserve">Prameň: MPRV SR </w:t>
      </w:r>
    </w:p>
    <w:p w:rsidR="007D6E25" w:rsidRDefault="007D6E25" w:rsidP="007D6E25">
      <w:pPr>
        <w:spacing w:after="0" w:line="240" w:lineRule="auto"/>
        <w:ind w:firstLine="0"/>
        <w:rPr>
          <w:sz w:val="20"/>
          <w:szCs w:val="20"/>
        </w:rPr>
      </w:pPr>
      <w:r w:rsidRPr="00F1363E">
        <w:rPr>
          <w:sz w:val="20"/>
          <w:szCs w:val="20"/>
        </w:rPr>
        <w:t xml:space="preserve">Vypracoval: NPPC </w:t>
      </w:r>
      <w:r w:rsidR="002E5774">
        <w:rPr>
          <w:sz w:val="20"/>
          <w:szCs w:val="20"/>
        </w:rPr>
        <w:t>–</w:t>
      </w:r>
      <w:r w:rsidRPr="00F1363E">
        <w:rPr>
          <w:sz w:val="20"/>
          <w:szCs w:val="20"/>
        </w:rPr>
        <w:t xml:space="preserve"> VÚEPP</w:t>
      </w:r>
    </w:p>
    <w:p w:rsidR="002E5774" w:rsidRDefault="002E5774" w:rsidP="007D6E25">
      <w:pPr>
        <w:spacing w:after="0" w:line="240" w:lineRule="auto"/>
        <w:ind w:firstLine="0"/>
        <w:rPr>
          <w:sz w:val="20"/>
          <w:szCs w:val="20"/>
        </w:rPr>
      </w:pPr>
    </w:p>
    <w:p w:rsidR="00C3267D" w:rsidRDefault="00C3267D" w:rsidP="007D6E25">
      <w:pPr>
        <w:spacing w:after="0" w:line="240" w:lineRule="auto"/>
        <w:ind w:firstLine="0"/>
        <w:rPr>
          <w:sz w:val="20"/>
          <w:szCs w:val="20"/>
        </w:rPr>
      </w:pPr>
    </w:p>
    <w:p w:rsidR="00C3267D" w:rsidRDefault="00C3267D" w:rsidP="007D6E25">
      <w:pPr>
        <w:spacing w:after="0" w:line="240" w:lineRule="auto"/>
        <w:ind w:firstLine="0"/>
        <w:rPr>
          <w:sz w:val="20"/>
          <w:szCs w:val="20"/>
        </w:rPr>
      </w:pPr>
    </w:p>
    <w:p w:rsidR="00C3267D" w:rsidRDefault="00C3267D" w:rsidP="007D6E25">
      <w:pPr>
        <w:spacing w:after="0" w:line="240" w:lineRule="auto"/>
        <w:ind w:firstLine="0"/>
        <w:rPr>
          <w:sz w:val="20"/>
          <w:szCs w:val="20"/>
        </w:rPr>
      </w:pPr>
    </w:p>
    <w:p w:rsidR="00C3267D" w:rsidRDefault="00C3267D" w:rsidP="007D6E25">
      <w:pPr>
        <w:spacing w:after="0" w:line="240" w:lineRule="auto"/>
        <w:ind w:firstLine="0"/>
        <w:rPr>
          <w:sz w:val="20"/>
          <w:szCs w:val="20"/>
        </w:rPr>
      </w:pPr>
    </w:p>
    <w:p w:rsidR="00C3267D" w:rsidRDefault="00C3267D" w:rsidP="007D6E25">
      <w:pPr>
        <w:spacing w:after="0" w:line="240" w:lineRule="auto"/>
        <w:ind w:firstLine="0"/>
        <w:rPr>
          <w:sz w:val="20"/>
          <w:szCs w:val="20"/>
        </w:rPr>
      </w:pPr>
    </w:p>
    <w:p w:rsidR="00AA2C5B" w:rsidRDefault="00AA2C5B" w:rsidP="007D6E25">
      <w:pPr>
        <w:spacing w:after="0" w:line="240" w:lineRule="auto"/>
        <w:ind w:firstLine="0"/>
        <w:rPr>
          <w:sz w:val="20"/>
          <w:szCs w:val="20"/>
        </w:rPr>
      </w:pPr>
    </w:p>
    <w:p w:rsidR="00AA2C5B" w:rsidRDefault="00AA2C5B" w:rsidP="007D6E25">
      <w:pPr>
        <w:spacing w:after="0" w:line="240" w:lineRule="auto"/>
        <w:ind w:firstLine="0"/>
        <w:rPr>
          <w:sz w:val="20"/>
          <w:szCs w:val="20"/>
        </w:rPr>
      </w:pPr>
    </w:p>
    <w:p w:rsidR="00C3267D" w:rsidRDefault="00C3267D" w:rsidP="007D6E25">
      <w:pPr>
        <w:spacing w:after="0" w:line="240" w:lineRule="auto"/>
        <w:ind w:firstLine="0"/>
        <w:rPr>
          <w:sz w:val="20"/>
          <w:szCs w:val="20"/>
        </w:rPr>
      </w:pPr>
    </w:p>
    <w:p w:rsidR="00C3267D" w:rsidRDefault="00C3267D" w:rsidP="007D6E25">
      <w:pPr>
        <w:spacing w:after="0" w:line="240" w:lineRule="auto"/>
        <w:ind w:firstLine="0"/>
        <w:rPr>
          <w:sz w:val="20"/>
          <w:szCs w:val="20"/>
        </w:rPr>
      </w:pPr>
    </w:p>
    <w:p w:rsidR="00C3267D" w:rsidRDefault="00C3267D" w:rsidP="007D6E25">
      <w:pPr>
        <w:spacing w:after="0" w:line="240" w:lineRule="auto"/>
        <w:ind w:firstLine="0"/>
        <w:rPr>
          <w:sz w:val="20"/>
          <w:szCs w:val="20"/>
        </w:rPr>
      </w:pPr>
    </w:p>
    <w:p w:rsidR="002E5774" w:rsidRPr="002E5774" w:rsidRDefault="002E5774" w:rsidP="000371B5">
      <w:pPr>
        <w:spacing w:after="0" w:line="240" w:lineRule="auto"/>
        <w:ind w:firstLine="0"/>
        <w:jc w:val="left"/>
      </w:pPr>
      <w:r>
        <w:rPr>
          <w:b/>
        </w:rPr>
        <w:lastRenderedPageBreak/>
        <w:t>Národné podpory</w:t>
      </w:r>
      <w:r w:rsidR="000371B5">
        <w:rPr>
          <w:b/>
        </w:rPr>
        <w:t xml:space="preserve">, </w:t>
      </w:r>
      <w:r w:rsidRPr="00EB4BD8">
        <w:t xml:space="preserve"> €</w:t>
      </w:r>
      <w:r w:rsidRPr="002E5774">
        <w:t xml:space="preserve">               </w:t>
      </w:r>
      <w:r w:rsidR="000371B5">
        <w:t xml:space="preserve"> </w:t>
      </w:r>
      <w:r w:rsidRPr="002E5774">
        <w:t xml:space="preserve">                                                       </w:t>
      </w:r>
      <w:r>
        <w:t xml:space="preserve">       </w:t>
      </w:r>
      <w:r w:rsidRPr="002E5774">
        <w:t xml:space="preserve">              Tabuľka </w:t>
      </w:r>
      <w:r w:rsidR="001808F1">
        <w:t>11</w:t>
      </w:r>
    </w:p>
    <w:tbl>
      <w:tblPr>
        <w:tblW w:w="9048" w:type="dxa"/>
        <w:tblInd w:w="55" w:type="dxa"/>
        <w:tblCellMar>
          <w:left w:w="70" w:type="dxa"/>
          <w:right w:w="70" w:type="dxa"/>
        </w:tblCellMar>
        <w:tblLook w:val="04A0" w:firstRow="1" w:lastRow="0" w:firstColumn="1" w:lastColumn="0" w:noHBand="0" w:noVBand="1"/>
      </w:tblPr>
      <w:tblGrid>
        <w:gridCol w:w="6678"/>
        <w:gridCol w:w="1185"/>
        <w:gridCol w:w="1185"/>
      </w:tblGrid>
      <w:tr w:rsidR="000371B5" w:rsidRPr="00475990" w:rsidTr="001808F1">
        <w:trPr>
          <w:trHeight w:val="300"/>
        </w:trPr>
        <w:tc>
          <w:tcPr>
            <w:tcW w:w="6678" w:type="dxa"/>
            <w:tcBorders>
              <w:top w:val="single" w:sz="8" w:space="0" w:color="auto"/>
              <w:left w:val="single" w:sz="8" w:space="0" w:color="auto"/>
              <w:bottom w:val="single" w:sz="4" w:space="0" w:color="auto"/>
              <w:right w:val="single" w:sz="4" w:space="0" w:color="auto"/>
            </w:tcBorders>
            <w:shd w:val="clear" w:color="000000" w:fill="C2D69B" w:themeFill="accent3" w:themeFillTint="99"/>
            <w:noWrap/>
            <w:vAlign w:val="bottom"/>
            <w:hideMark/>
          </w:tcPr>
          <w:p w:rsidR="000371B5" w:rsidRPr="00475990" w:rsidRDefault="000371B5" w:rsidP="00E952B2">
            <w:pPr>
              <w:spacing w:after="0" w:line="240" w:lineRule="auto"/>
              <w:ind w:firstLine="0"/>
              <w:jc w:val="left"/>
              <w:rPr>
                <w:rFonts w:eastAsia="Times New Roman"/>
                <w:b/>
                <w:bCs/>
                <w:color w:val="000000"/>
                <w:sz w:val="22"/>
                <w:szCs w:val="22"/>
                <w:lang w:eastAsia="sk-SK"/>
              </w:rPr>
            </w:pPr>
            <w:r w:rsidRPr="00475990">
              <w:rPr>
                <w:rFonts w:eastAsia="Times New Roman"/>
                <w:b/>
                <w:bCs/>
                <w:color w:val="000000"/>
                <w:sz w:val="22"/>
                <w:szCs w:val="22"/>
                <w:lang w:eastAsia="sk-SK"/>
              </w:rPr>
              <w:t>Výnos MPRV SR č. 536/2011-100</w:t>
            </w:r>
          </w:p>
        </w:tc>
        <w:tc>
          <w:tcPr>
            <w:tcW w:w="1185" w:type="dxa"/>
            <w:tcBorders>
              <w:top w:val="single" w:sz="8" w:space="0" w:color="auto"/>
              <w:left w:val="nil"/>
              <w:bottom w:val="single" w:sz="4" w:space="0" w:color="auto"/>
              <w:right w:val="single" w:sz="4" w:space="0" w:color="auto"/>
            </w:tcBorders>
            <w:shd w:val="clear" w:color="000000" w:fill="C2D69B" w:themeFill="accent3" w:themeFillTint="99"/>
            <w:vAlign w:val="bottom"/>
            <w:hideMark/>
          </w:tcPr>
          <w:p w:rsidR="000371B5" w:rsidRPr="009752E6" w:rsidRDefault="000371B5" w:rsidP="006A34F5">
            <w:pPr>
              <w:spacing w:after="0" w:line="240" w:lineRule="auto"/>
              <w:ind w:firstLine="0"/>
              <w:jc w:val="center"/>
              <w:rPr>
                <w:rFonts w:eastAsia="Times New Roman"/>
                <w:b/>
                <w:bCs/>
                <w:sz w:val="22"/>
                <w:szCs w:val="22"/>
                <w:lang w:eastAsia="sk-SK"/>
              </w:rPr>
            </w:pPr>
            <w:r w:rsidRPr="009752E6">
              <w:rPr>
                <w:rFonts w:eastAsia="Times New Roman"/>
                <w:b/>
                <w:bCs/>
                <w:sz w:val="22"/>
                <w:szCs w:val="22"/>
                <w:lang w:eastAsia="sk-SK"/>
              </w:rPr>
              <w:t>2015</w:t>
            </w:r>
          </w:p>
        </w:tc>
        <w:tc>
          <w:tcPr>
            <w:tcW w:w="1185" w:type="dxa"/>
            <w:tcBorders>
              <w:top w:val="single" w:sz="8" w:space="0" w:color="auto"/>
              <w:left w:val="nil"/>
              <w:bottom w:val="single" w:sz="4" w:space="0" w:color="auto"/>
              <w:right w:val="single" w:sz="8" w:space="0" w:color="auto"/>
            </w:tcBorders>
            <w:shd w:val="clear" w:color="000000" w:fill="C2D69B" w:themeFill="accent3" w:themeFillTint="99"/>
            <w:vAlign w:val="bottom"/>
            <w:hideMark/>
          </w:tcPr>
          <w:p w:rsidR="000371B5" w:rsidRPr="009752E6" w:rsidRDefault="000371B5" w:rsidP="006A34F5">
            <w:pPr>
              <w:spacing w:after="0" w:line="240" w:lineRule="auto"/>
              <w:ind w:firstLine="0"/>
              <w:jc w:val="center"/>
              <w:rPr>
                <w:rFonts w:eastAsia="Times New Roman"/>
                <w:b/>
                <w:bCs/>
                <w:sz w:val="22"/>
                <w:szCs w:val="22"/>
                <w:lang w:eastAsia="sk-SK"/>
              </w:rPr>
            </w:pPr>
            <w:r w:rsidRPr="009752E6">
              <w:rPr>
                <w:rFonts w:eastAsia="Times New Roman"/>
                <w:b/>
                <w:bCs/>
                <w:sz w:val="22"/>
                <w:szCs w:val="22"/>
                <w:lang w:eastAsia="sk-SK"/>
              </w:rPr>
              <w:t>2016</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0371B5" w:rsidRPr="00475990" w:rsidRDefault="000371B5"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Dotácia na chránený chov plemenn</w:t>
            </w:r>
            <w:r>
              <w:rPr>
                <w:rFonts w:eastAsia="Times New Roman"/>
                <w:color w:val="000000"/>
                <w:sz w:val="22"/>
                <w:szCs w:val="22"/>
                <w:lang w:eastAsia="sk-SK"/>
              </w:rPr>
              <w:t>ých</w:t>
            </w:r>
            <w:r w:rsidRPr="00475990">
              <w:rPr>
                <w:rFonts w:eastAsia="Times New Roman"/>
                <w:color w:val="000000"/>
                <w:sz w:val="22"/>
                <w:szCs w:val="22"/>
                <w:lang w:eastAsia="sk-SK"/>
              </w:rPr>
              <w:t xml:space="preserve"> koní Národný žrebčín Topoľčianky š. p.</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1 077 095</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1 226 802</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0371B5" w:rsidRPr="00475990" w:rsidRDefault="000371B5"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Dotácia na chránený chov plemenn</w:t>
            </w:r>
            <w:r>
              <w:rPr>
                <w:rFonts w:eastAsia="Times New Roman"/>
                <w:color w:val="000000"/>
                <w:sz w:val="22"/>
                <w:szCs w:val="22"/>
                <w:lang w:eastAsia="sk-SK"/>
              </w:rPr>
              <w:t>ých</w:t>
            </w:r>
            <w:r w:rsidRPr="00475990">
              <w:rPr>
                <w:rFonts w:eastAsia="Times New Roman"/>
                <w:color w:val="000000"/>
                <w:sz w:val="22"/>
                <w:szCs w:val="22"/>
                <w:lang w:eastAsia="sk-SK"/>
              </w:rPr>
              <w:t xml:space="preserve"> koní Lesy SR</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0</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 </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0371B5" w:rsidRPr="00475990" w:rsidRDefault="000371B5"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Dotácia na činnosť dostihovej autority - Závodisko Bratislava</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850 308</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899 825</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0371B5" w:rsidRPr="00475990" w:rsidRDefault="000371B5"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Dotácia na správu, zachovanie prevádzkyschopného stavu hydromelioračného majetku vo vlastníctve štátu a likvidáciu nefun</w:t>
            </w:r>
            <w:r>
              <w:rPr>
                <w:rFonts w:eastAsia="Times New Roman"/>
                <w:color w:val="000000"/>
                <w:sz w:val="22"/>
                <w:szCs w:val="22"/>
                <w:lang w:eastAsia="sk-SK"/>
              </w:rPr>
              <w:t>k</w:t>
            </w:r>
            <w:r w:rsidRPr="00475990">
              <w:rPr>
                <w:rFonts w:eastAsia="Times New Roman"/>
                <w:color w:val="000000"/>
                <w:sz w:val="22"/>
                <w:szCs w:val="22"/>
                <w:lang w:eastAsia="sk-SK"/>
              </w:rPr>
              <w:t>č</w:t>
            </w:r>
            <w:r>
              <w:rPr>
                <w:rFonts w:eastAsia="Times New Roman"/>
                <w:color w:val="000000"/>
                <w:sz w:val="22"/>
                <w:szCs w:val="22"/>
                <w:lang w:eastAsia="sk-SK"/>
              </w:rPr>
              <w:t>ných</w:t>
            </w:r>
            <w:r w:rsidRPr="00475990">
              <w:rPr>
                <w:rFonts w:eastAsia="Times New Roman"/>
                <w:color w:val="000000"/>
                <w:sz w:val="22"/>
                <w:szCs w:val="22"/>
                <w:lang w:eastAsia="sk-SK"/>
              </w:rPr>
              <w:t xml:space="preserve"> častí majetku - Hydromeliorácie</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1 907 000*</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366 010</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0371B5" w:rsidRPr="00475990" w:rsidRDefault="000371B5" w:rsidP="00E952B2">
            <w:pPr>
              <w:spacing w:after="0" w:line="240" w:lineRule="auto"/>
              <w:ind w:firstLine="0"/>
              <w:jc w:val="left"/>
              <w:rPr>
                <w:rFonts w:eastAsia="Times New Roman"/>
                <w:b/>
                <w:bCs/>
                <w:color w:val="000000"/>
                <w:sz w:val="22"/>
                <w:szCs w:val="22"/>
                <w:lang w:eastAsia="sk-SK"/>
              </w:rPr>
            </w:pPr>
            <w:r w:rsidRPr="00475990">
              <w:rPr>
                <w:rFonts w:eastAsia="Times New Roman"/>
                <w:b/>
                <w:bCs/>
                <w:color w:val="000000"/>
                <w:sz w:val="22"/>
                <w:szCs w:val="22"/>
                <w:lang w:eastAsia="sk-SK"/>
              </w:rPr>
              <w:t>Národné podpory - dotácie nefinančným subjektom spolu </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b/>
                <w:bCs/>
                <w:sz w:val="22"/>
                <w:szCs w:val="22"/>
                <w:lang w:eastAsia="sk-SK"/>
              </w:rPr>
            </w:pPr>
            <w:r w:rsidRPr="009752E6">
              <w:rPr>
                <w:rFonts w:eastAsia="Times New Roman"/>
                <w:b/>
                <w:bCs/>
                <w:sz w:val="22"/>
                <w:szCs w:val="22"/>
                <w:lang w:eastAsia="sk-SK"/>
              </w:rPr>
              <w:t>3 834 403</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b/>
                <w:bCs/>
                <w:sz w:val="22"/>
                <w:szCs w:val="22"/>
                <w:lang w:eastAsia="sk-SK"/>
              </w:rPr>
            </w:pPr>
            <w:r w:rsidRPr="009752E6">
              <w:rPr>
                <w:rFonts w:eastAsia="Times New Roman"/>
                <w:b/>
                <w:bCs/>
                <w:sz w:val="22"/>
                <w:szCs w:val="22"/>
                <w:lang w:eastAsia="sk-SK"/>
              </w:rPr>
              <w:t>2 492 637</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E75928" w:rsidRDefault="000371B5">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mimorozpočtový zdro</w:t>
            </w:r>
            <w:r>
              <w:rPr>
                <w:rFonts w:eastAsia="Times New Roman"/>
                <w:color w:val="000000"/>
                <w:sz w:val="22"/>
                <w:szCs w:val="22"/>
                <w:lang w:eastAsia="sk-SK"/>
              </w:rPr>
              <w:t>j dotácií na chránený chov plemenných koní Národný žrebčín</w:t>
            </w:r>
            <w:r w:rsidRPr="00475990">
              <w:rPr>
                <w:rFonts w:eastAsia="Times New Roman"/>
                <w:color w:val="000000"/>
                <w:sz w:val="22"/>
                <w:szCs w:val="22"/>
                <w:lang w:eastAsia="sk-SK"/>
              </w:rPr>
              <w:t xml:space="preserve"> Topoľčianky</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b/>
                <w:bCs/>
                <w:i/>
                <w:iCs/>
                <w:sz w:val="22"/>
                <w:szCs w:val="22"/>
                <w:lang w:eastAsia="sk-SK"/>
              </w:rPr>
            </w:pPr>
            <w:r w:rsidRPr="009752E6">
              <w:rPr>
                <w:rFonts w:eastAsia="Times New Roman"/>
                <w:b/>
                <w:bCs/>
                <w:i/>
                <w:iCs/>
                <w:sz w:val="22"/>
                <w:szCs w:val="22"/>
                <w:lang w:eastAsia="sk-SK"/>
              </w:rPr>
              <w:t>142875**</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b/>
                <w:bCs/>
                <w:i/>
                <w:iCs/>
                <w:sz w:val="22"/>
                <w:szCs w:val="22"/>
                <w:lang w:eastAsia="sk-SK"/>
              </w:rPr>
            </w:pPr>
            <w:r w:rsidRPr="009752E6">
              <w:rPr>
                <w:rFonts w:eastAsia="Times New Roman"/>
                <w:b/>
                <w:bCs/>
                <w:i/>
                <w:iCs/>
                <w:sz w:val="22"/>
                <w:szCs w:val="22"/>
                <w:lang w:eastAsia="sk-SK"/>
              </w:rPr>
              <w:t> </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vAlign w:val="bottom"/>
            <w:hideMark/>
          </w:tcPr>
          <w:p w:rsidR="000371B5" w:rsidRPr="00475990" w:rsidRDefault="000371B5"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 xml:space="preserve">Opeľovacia činnosť včiel </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499 591***</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497</w:t>
            </w:r>
            <w:r w:rsidR="004A746A">
              <w:rPr>
                <w:rFonts w:eastAsia="Times New Roman"/>
                <w:sz w:val="22"/>
                <w:szCs w:val="22"/>
                <w:lang w:eastAsia="sk-SK"/>
              </w:rPr>
              <w:t> </w:t>
            </w:r>
            <w:r w:rsidRPr="009752E6">
              <w:rPr>
                <w:rFonts w:eastAsia="Times New Roman"/>
                <w:sz w:val="22"/>
                <w:szCs w:val="22"/>
                <w:lang w:eastAsia="sk-SK"/>
              </w:rPr>
              <w:t>930</w:t>
            </w:r>
            <w:r w:rsidR="004A746A">
              <w:rPr>
                <w:rFonts w:eastAsia="Times New Roman"/>
                <w:sz w:val="22"/>
                <w:szCs w:val="22"/>
                <w:lang w:eastAsia="sk-SK"/>
              </w:rPr>
              <w:t>***</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0371B5" w:rsidRPr="00475990" w:rsidRDefault="000371B5"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Organizovanie výstav, súťaží a účasť na medzinárodných podujatiach (obč.združ.)</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36 000</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1808F1" w:rsidP="001808F1">
            <w:pPr>
              <w:spacing w:after="0" w:line="240" w:lineRule="auto"/>
              <w:ind w:firstLine="0"/>
              <w:jc w:val="right"/>
              <w:rPr>
                <w:rFonts w:eastAsia="Times New Roman"/>
                <w:sz w:val="22"/>
                <w:szCs w:val="22"/>
                <w:lang w:eastAsia="sk-SK"/>
              </w:rPr>
            </w:pPr>
            <w:r>
              <w:rPr>
                <w:rFonts w:eastAsia="Times New Roman"/>
                <w:sz w:val="22"/>
                <w:szCs w:val="22"/>
                <w:lang w:eastAsia="sk-SK"/>
              </w:rPr>
              <w:t>24</w:t>
            </w:r>
            <w:r w:rsidR="000371B5" w:rsidRPr="009752E6">
              <w:rPr>
                <w:rFonts w:eastAsia="Times New Roman"/>
                <w:sz w:val="22"/>
                <w:szCs w:val="22"/>
                <w:lang w:eastAsia="sk-SK"/>
              </w:rPr>
              <w:t xml:space="preserve"> </w:t>
            </w:r>
            <w:r>
              <w:rPr>
                <w:rFonts w:eastAsia="Times New Roman"/>
                <w:sz w:val="22"/>
                <w:szCs w:val="22"/>
                <w:lang w:eastAsia="sk-SK"/>
              </w:rPr>
              <w:t>473</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0371B5" w:rsidRPr="00475990" w:rsidRDefault="000371B5"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 Zabezpečenie úloh pre potreby rezortu (SPPK, SLK, SPK, AKS)</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146 475</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153 948</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0371B5" w:rsidRPr="009752E6" w:rsidRDefault="000371B5" w:rsidP="006A34F5">
            <w:pPr>
              <w:spacing w:after="0" w:line="240" w:lineRule="auto"/>
              <w:ind w:firstLine="0"/>
              <w:rPr>
                <w:rFonts w:eastAsia="Times New Roman"/>
                <w:sz w:val="22"/>
                <w:szCs w:val="22"/>
                <w:lang w:eastAsia="sk-SK"/>
              </w:rPr>
            </w:pPr>
            <w:r w:rsidRPr="009752E6">
              <w:rPr>
                <w:rFonts w:eastAsia="Times New Roman"/>
                <w:sz w:val="22"/>
                <w:szCs w:val="22"/>
                <w:lang w:eastAsia="sk-SK"/>
              </w:rPr>
              <w:t> Združenie mladých farmárov (ASYF)</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0 </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sz w:val="22"/>
                <w:szCs w:val="22"/>
                <w:lang w:eastAsia="sk-SK"/>
              </w:rPr>
            </w:pPr>
            <w:r w:rsidRPr="009752E6">
              <w:rPr>
                <w:rFonts w:eastAsia="Times New Roman"/>
                <w:sz w:val="22"/>
                <w:szCs w:val="22"/>
                <w:lang w:eastAsia="sk-SK"/>
              </w:rPr>
              <w:t>6 000</w:t>
            </w:r>
          </w:p>
        </w:tc>
      </w:tr>
      <w:tr w:rsidR="00475990"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Kompenzácia strát na zvieratách v dôsledku nariadených  veterinárnych opatrení pre chovateľov - nepodnikateľov</w:t>
            </w:r>
          </w:p>
        </w:tc>
        <w:tc>
          <w:tcPr>
            <w:tcW w:w="1185" w:type="dxa"/>
            <w:tcBorders>
              <w:top w:val="nil"/>
              <w:left w:val="nil"/>
              <w:bottom w:val="single" w:sz="4" w:space="0" w:color="auto"/>
              <w:right w:val="single" w:sz="4" w:space="0" w:color="auto"/>
            </w:tcBorders>
            <w:shd w:val="clear" w:color="000000" w:fill="FFFFFF"/>
            <w:vAlign w:val="center"/>
            <w:hideMark/>
          </w:tcPr>
          <w:p w:rsidR="00475990" w:rsidRPr="00475990" w:rsidRDefault="00475990" w:rsidP="000371B5">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50 000</w:t>
            </w:r>
          </w:p>
        </w:tc>
        <w:tc>
          <w:tcPr>
            <w:tcW w:w="1185" w:type="dxa"/>
            <w:tcBorders>
              <w:top w:val="nil"/>
              <w:left w:val="nil"/>
              <w:bottom w:val="single" w:sz="4" w:space="0" w:color="auto"/>
              <w:right w:val="single" w:sz="8" w:space="0" w:color="auto"/>
            </w:tcBorders>
            <w:shd w:val="clear" w:color="000000" w:fill="FFFFFF"/>
            <w:vAlign w:val="center"/>
            <w:hideMark/>
          </w:tcPr>
          <w:p w:rsidR="00475990" w:rsidRPr="00475990" w:rsidRDefault="00475990" w:rsidP="000371B5">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50 000</w:t>
            </w:r>
          </w:p>
        </w:tc>
      </w:tr>
      <w:tr w:rsidR="000371B5" w:rsidRPr="00475990" w:rsidTr="001808F1">
        <w:trPr>
          <w:trHeight w:val="300"/>
        </w:trPr>
        <w:tc>
          <w:tcPr>
            <w:tcW w:w="6678" w:type="dxa"/>
            <w:tcBorders>
              <w:top w:val="nil"/>
              <w:left w:val="single" w:sz="8" w:space="0" w:color="auto"/>
              <w:bottom w:val="single" w:sz="4" w:space="0" w:color="auto"/>
              <w:right w:val="single" w:sz="4" w:space="0" w:color="auto"/>
            </w:tcBorders>
            <w:shd w:val="clear" w:color="000000" w:fill="FFFFFF"/>
            <w:noWrap/>
            <w:vAlign w:val="bottom"/>
            <w:hideMark/>
          </w:tcPr>
          <w:p w:rsidR="000371B5" w:rsidRPr="00475990" w:rsidRDefault="000371B5"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Národné podpory - transfery celkom</w:t>
            </w:r>
          </w:p>
        </w:tc>
        <w:tc>
          <w:tcPr>
            <w:tcW w:w="1185" w:type="dxa"/>
            <w:tcBorders>
              <w:top w:val="nil"/>
              <w:left w:val="nil"/>
              <w:bottom w:val="single" w:sz="4"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b/>
                <w:bCs/>
                <w:sz w:val="22"/>
                <w:szCs w:val="22"/>
                <w:lang w:eastAsia="sk-SK"/>
              </w:rPr>
            </w:pPr>
            <w:r w:rsidRPr="009752E6">
              <w:rPr>
                <w:rFonts w:eastAsia="Times New Roman"/>
                <w:b/>
                <w:bCs/>
                <w:sz w:val="22"/>
                <w:szCs w:val="22"/>
                <w:lang w:eastAsia="sk-SK"/>
              </w:rPr>
              <w:t>732 066</w:t>
            </w:r>
          </w:p>
        </w:tc>
        <w:tc>
          <w:tcPr>
            <w:tcW w:w="1185" w:type="dxa"/>
            <w:tcBorders>
              <w:top w:val="nil"/>
              <w:left w:val="nil"/>
              <w:bottom w:val="single" w:sz="4"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b/>
                <w:bCs/>
                <w:sz w:val="22"/>
                <w:szCs w:val="22"/>
                <w:lang w:eastAsia="sk-SK"/>
              </w:rPr>
            </w:pPr>
            <w:r w:rsidRPr="009752E6">
              <w:rPr>
                <w:rFonts w:eastAsia="Times New Roman"/>
                <w:b/>
                <w:bCs/>
                <w:sz w:val="22"/>
                <w:szCs w:val="22"/>
                <w:lang w:eastAsia="sk-SK"/>
              </w:rPr>
              <w:t>720 878</w:t>
            </w:r>
          </w:p>
        </w:tc>
      </w:tr>
      <w:tr w:rsidR="000371B5" w:rsidRPr="00475990" w:rsidTr="001808F1">
        <w:trPr>
          <w:trHeight w:val="315"/>
        </w:trPr>
        <w:tc>
          <w:tcPr>
            <w:tcW w:w="6678" w:type="dxa"/>
            <w:tcBorders>
              <w:top w:val="nil"/>
              <w:left w:val="single" w:sz="8" w:space="0" w:color="auto"/>
              <w:bottom w:val="single" w:sz="8" w:space="0" w:color="auto"/>
              <w:right w:val="single" w:sz="4" w:space="0" w:color="auto"/>
            </w:tcBorders>
            <w:shd w:val="clear" w:color="000000" w:fill="FFFFFF"/>
            <w:noWrap/>
            <w:vAlign w:val="bottom"/>
            <w:hideMark/>
          </w:tcPr>
          <w:p w:rsidR="000371B5" w:rsidRPr="00475990" w:rsidRDefault="000371B5" w:rsidP="00E952B2">
            <w:pPr>
              <w:spacing w:after="0" w:line="240" w:lineRule="auto"/>
              <w:ind w:firstLine="0"/>
              <w:jc w:val="left"/>
              <w:rPr>
                <w:rFonts w:eastAsia="Times New Roman"/>
                <w:b/>
                <w:bCs/>
                <w:color w:val="000000"/>
                <w:sz w:val="22"/>
                <w:szCs w:val="22"/>
                <w:lang w:eastAsia="sk-SK"/>
              </w:rPr>
            </w:pPr>
            <w:r w:rsidRPr="00475990">
              <w:rPr>
                <w:rFonts w:eastAsia="Times New Roman"/>
                <w:b/>
                <w:bCs/>
                <w:color w:val="000000"/>
                <w:sz w:val="22"/>
                <w:szCs w:val="22"/>
                <w:lang w:eastAsia="sk-SK"/>
              </w:rPr>
              <w:t>Národné podpory celkom - bežné transfery</w:t>
            </w:r>
          </w:p>
        </w:tc>
        <w:tc>
          <w:tcPr>
            <w:tcW w:w="1185" w:type="dxa"/>
            <w:tcBorders>
              <w:top w:val="nil"/>
              <w:left w:val="nil"/>
              <w:bottom w:val="single" w:sz="8" w:space="0" w:color="auto"/>
              <w:right w:val="single" w:sz="4"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b/>
                <w:bCs/>
                <w:sz w:val="22"/>
                <w:szCs w:val="22"/>
                <w:lang w:eastAsia="sk-SK"/>
              </w:rPr>
            </w:pPr>
            <w:r w:rsidRPr="009752E6">
              <w:rPr>
                <w:rFonts w:eastAsia="Times New Roman"/>
                <w:b/>
                <w:bCs/>
                <w:sz w:val="22"/>
                <w:szCs w:val="22"/>
                <w:lang w:eastAsia="sk-SK"/>
              </w:rPr>
              <w:t>4 566 469</w:t>
            </w:r>
          </w:p>
        </w:tc>
        <w:tc>
          <w:tcPr>
            <w:tcW w:w="1185" w:type="dxa"/>
            <w:tcBorders>
              <w:top w:val="nil"/>
              <w:left w:val="nil"/>
              <w:bottom w:val="single" w:sz="8" w:space="0" w:color="auto"/>
              <w:right w:val="single" w:sz="8" w:space="0" w:color="auto"/>
            </w:tcBorders>
            <w:shd w:val="clear" w:color="000000" w:fill="FFFFFF"/>
            <w:vAlign w:val="bottom"/>
            <w:hideMark/>
          </w:tcPr>
          <w:p w:rsidR="000371B5" w:rsidRPr="009752E6" w:rsidRDefault="000371B5" w:rsidP="006A34F5">
            <w:pPr>
              <w:spacing w:after="0" w:line="240" w:lineRule="auto"/>
              <w:ind w:firstLine="0"/>
              <w:jc w:val="right"/>
              <w:rPr>
                <w:rFonts w:eastAsia="Times New Roman"/>
                <w:b/>
                <w:bCs/>
                <w:sz w:val="22"/>
                <w:szCs w:val="22"/>
                <w:lang w:eastAsia="sk-SK"/>
              </w:rPr>
            </w:pPr>
            <w:r w:rsidRPr="009752E6">
              <w:rPr>
                <w:rFonts w:eastAsia="Times New Roman"/>
                <w:b/>
                <w:bCs/>
                <w:sz w:val="22"/>
                <w:szCs w:val="22"/>
                <w:lang w:eastAsia="sk-SK"/>
              </w:rPr>
              <w:t>3 213 515</w:t>
            </w:r>
          </w:p>
        </w:tc>
      </w:tr>
    </w:tbl>
    <w:p w:rsidR="001808F1" w:rsidRPr="00D71A5E" w:rsidRDefault="001808F1" w:rsidP="001808F1">
      <w:pPr>
        <w:spacing w:after="0" w:line="240" w:lineRule="auto"/>
        <w:ind w:firstLine="0"/>
        <w:rPr>
          <w:sz w:val="20"/>
          <w:szCs w:val="20"/>
        </w:rPr>
      </w:pPr>
      <w:r w:rsidRPr="002652C9">
        <w:rPr>
          <w:sz w:val="20"/>
          <w:szCs w:val="20"/>
        </w:rPr>
        <w:t>*</w:t>
      </w:r>
      <w:r w:rsidRPr="00D71A5E">
        <w:rPr>
          <w:sz w:val="20"/>
          <w:szCs w:val="20"/>
        </w:rPr>
        <w:t xml:space="preserve"> z poskytnutej dotácie Hydromeliorácie, š.p. vrátili nevyčerpanú </w:t>
      </w:r>
      <w:r w:rsidRPr="00734063">
        <w:rPr>
          <w:sz w:val="20"/>
          <w:szCs w:val="20"/>
        </w:rPr>
        <w:t>dotáciu vo výške</w:t>
      </w:r>
      <w:r w:rsidR="004B3594">
        <w:rPr>
          <w:sz w:val="20"/>
          <w:szCs w:val="20"/>
        </w:rPr>
        <w:t xml:space="preserve"> </w:t>
      </w:r>
      <w:r w:rsidRPr="00734063">
        <w:rPr>
          <w:sz w:val="20"/>
          <w:szCs w:val="20"/>
        </w:rPr>
        <w:t>78 961 €</w:t>
      </w:r>
    </w:p>
    <w:p w:rsidR="001808F1" w:rsidRPr="00D71A5E" w:rsidRDefault="001808F1" w:rsidP="001808F1">
      <w:pPr>
        <w:spacing w:after="0" w:line="240" w:lineRule="auto"/>
        <w:ind w:firstLine="0"/>
        <w:rPr>
          <w:sz w:val="20"/>
          <w:szCs w:val="20"/>
        </w:rPr>
      </w:pPr>
      <w:r w:rsidRPr="00D71A5E">
        <w:rPr>
          <w:sz w:val="20"/>
          <w:szCs w:val="20"/>
        </w:rPr>
        <w:t>**suma z mimorozpočtového zdroja nie je zahrnutá v celkovom súčte</w:t>
      </w:r>
    </w:p>
    <w:p w:rsidR="001808F1" w:rsidRDefault="001808F1" w:rsidP="001808F1">
      <w:pPr>
        <w:spacing w:after="0" w:line="240" w:lineRule="auto"/>
        <w:ind w:firstLine="0"/>
        <w:rPr>
          <w:sz w:val="20"/>
          <w:szCs w:val="20"/>
        </w:rPr>
      </w:pPr>
      <w:r w:rsidRPr="00D71A5E">
        <w:rPr>
          <w:sz w:val="20"/>
          <w:szCs w:val="20"/>
        </w:rPr>
        <w:t xml:space="preserve">***z tohto titulu bolo vrátených 680 </w:t>
      </w:r>
      <w:r w:rsidRPr="00A03432">
        <w:rPr>
          <w:sz w:val="20"/>
          <w:szCs w:val="20"/>
        </w:rPr>
        <w:t>€ a v roku 2016 1 067 €</w:t>
      </w:r>
    </w:p>
    <w:p w:rsidR="001808F1" w:rsidRPr="009752E6" w:rsidRDefault="001808F1" w:rsidP="001808F1">
      <w:pPr>
        <w:spacing w:after="0" w:line="240" w:lineRule="auto"/>
        <w:ind w:firstLine="0"/>
        <w:rPr>
          <w:sz w:val="20"/>
          <w:szCs w:val="20"/>
        </w:rPr>
      </w:pPr>
      <w:r w:rsidRPr="009752E6">
        <w:rPr>
          <w:sz w:val="20"/>
          <w:szCs w:val="20"/>
        </w:rPr>
        <w:t>Prameň: MPRV SR</w:t>
      </w:r>
    </w:p>
    <w:p w:rsidR="001808F1" w:rsidRPr="009752E6" w:rsidRDefault="001808F1" w:rsidP="001808F1">
      <w:pPr>
        <w:spacing w:after="0" w:line="240" w:lineRule="auto"/>
        <w:ind w:firstLine="0"/>
      </w:pPr>
      <w:r w:rsidRPr="009752E6">
        <w:rPr>
          <w:sz w:val="20"/>
          <w:szCs w:val="20"/>
        </w:rPr>
        <w:t>Vypracoval: NPPC - VÚEPP</w:t>
      </w:r>
    </w:p>
    <w:p w:rsidR="007D6E25" w:rsidRDefault="007D6E25" w:rsidP="007D6E25">
      <w:pPr>
        <w:spacing w:after="0" w:line="240" w:lineRule="auto"/>
        <w:ind w:firstLine="0"/>
        <w:rPr>
          <w:sz w:val="20"/>
          <w:szCs w:val="20"/>
        </w:rPr>
      </w:pPr>
      <w:r>
        <w:rPr>
          <w:sz w:val="20"/>
          <w:szCs w:val="20"/>
        </w:rPr>
        <w:tab/>
      </w:r>
    </w:p>
    <w:p w:rsidR="000371B5" w:rsidRPr="009752E6" w:rsidRDefault="000371B5" w:rsidP="000371B5">
      <w:r w:rsidRPr="009752E6">
        <w:t xml:space="preserve">Na štátnu pomoc a národné podpory bolo v roku 2015  vynaložených 6,1 mil. </w:t>
      </w:r>
      <w:r w:rsidR="004B3594" w:rsidRPr="009752E6">
        <w:t>€</w:t>
      </w:r>
      <w:r w:rsidR="004B3594">
        <w:t xml:space="preserve"> a</w:t>
      </w:r>
      <w:r w:rsidR="004B3594" w:rsidRPr="009752E6">
        <w:t xml:space="preserve"> </w:t>
      </w:r>
      <w:r w:rsidRPr="009752E6">
        <w:t>4,6 mil. €</w:t>
      </w:r>
      <w:r w:rsidR="004B3594">
        <w:t xml:space="preserve"> </w:t>
      </w:r>
      <w:r w:rsidR="004B3594" w:rsidRPr="009752E6">
        <w:t>v roku 2016</w:t>
      </w:r>
      <w:r w:rsidRPr="009752E6">
        <w:t>.</w:t>
      </w:r>
    </w:p>
    <w:p w:rsidR="007D6E25" w:rsidRDefault="007D6E25" w:rsidP="00BF6EF1">
      <w:pPr>
        <w:spacing w:after="0" w:line="240" w:lineRule="auto"/>
        <w:ind w:firstLine="0"/>
        <w:jc w:val="left"/>
        <w:rPr>
          <w:sz w:val="20"/>
          <w:szCs w:val="20"/>
        </w:rPr>
      </w:pPr>
    </w:p>
    <w:p w:rsidR="00BF6EF1" w:rsidRPr="008C76D2" w:rsidRDefault="00BF6EF1" w:rsidP="00F67151">
      <w:pPr>
        <w:autoSpaceDE w:val="0"/>
        <w:autoSpaceDN w:val="0"/>
        <w:spacing w:after="0" w:line="240" w:lineRule="auto"/>
        <w:ind w:firstLine="0"/>
        <w:jc w:val="left"/>
        <w:rPr>
          <w:bCs/>
          <w:sz w:val="20"/>
          <w:szCs w:val="20"/>
        </w:rPr>
      </w:pPr>
      <w:r w:rsidRPr="00406E7A">
        <w:rPr>
          <w:b/>
        </w:rPr>
        <w:t>Štátna pomoc a národné podpory</w:t>
      </w:r>
      <w:r w:rsidRPr="00461D14">
        <w:rPr>
          <w:b/>
        </w:rPr>
        <w:t xml:space="preserve"> v rokoch 2011 – 2016</w:t>
      </w:r>
      <w:r>
        <w:rPr>
          <w:b/>
        </w:rPr>
        <w:t xml:space="preserve">, </w:t>
      </w:r>
      <w:r w:rsidRPr="008C76D2">
        <w:rPr>
          <w:b/>
        </w:rPr>
        <w:t xml:space="preserve"> v mil. €</w:t>
      </w:r>
      <w:r>
        <w:rPr>
          <w:b/>
        </w:rPr>
        <w:t xml:space="preserve">                  </w:t>
      </w:r>
      <w:r w:rsidRPr="00BF6EF1">
        <w:t>Tab</w:t>
      </w:r>
      <w:r w:rsidRPr="00F1363E">
        <w:rPr>
          <w:rStyle w:val="Siln"/>
          <w:b w:val="0"/>
        </w:rPr>
        <w:t xml:space="preserve">uľka </w:t>
      </w:r>
      <w:r w:rsidR="007A4CAB">
        <w:rPr>
          <w:rStyle w:val="Siln"/>
          <w:b w:val="0"/>
        </w:rPr>
        <w:t>12</w:t>
      </w:r>
    </w:p>
    <w:tbl>
      <w:tblPr>
        <w:tblStyle w:val="Mriekatabuky"/>
        <w:tblW w:w="0" w:type="auto"/>
        <w:tblInd w:w="108" w:type="dxa"/>
        <w:tblLook w:val="04A0" w:firstRow="1" w:lastRow="0" w:firstColumn="1" w:lastColumn="0" w:noHBand="0" w:noVBand="1"/>
      </w:tblPr>
      <w:tblGrid>
        <w:gridCol w:w="1619"/>
        <w:gridCol w:w="1711"/>
        <w:gridCol w:w="1260"/>
        <w:gridCol w:w="990"/>
        <w:gridCol w:w="1710"/>
        <w:gridCol w:w="1800"/>
      </w:tblGrid>
      <w:tr w:rsidR="00BF6EF1" w:rsidTr="006A34F5">
        <w:tc>
          <w:tcPr>
            <w:tcW w:w="1619" w:type="dxa"/>
            <w:shd w:val="clear" w:color="auto" w:fill="D6E3BC" w:themeFill="accent3" w:themeFillTint="66"/>
            <w:vAlign w:val="center"/>
          </w:tcPr>
          <w:p w:rsidR="00BF6EF1" w:rsidRPr="0058198A" w:rsidRDefault="00BF6EF1" w:rsidP="00F67151">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Uka</w:t>
            </w:r>
            <w:r>
              <w:rPr>
                <w:rFonts w:eastAsia="Times New Roman"/>
                <w:b/>
                <w:bCs/>
                <w:color w:val="000000"/>
                <w:sz w:val="22"/>
                <w:szCs w:val="22"/>
                <w:lang w:eastAsia="sk-SK"/>
              </w:rPr>
              <w:t>z</w:t>
            </w:r>
            <w:r w:rsidRPr="0058198A">
              <w:rPr>
                <w:rFonts w:eastAsia="Times New Roman"/>
                <w:b/>
                <w:bCs/>
                <w:color w:val="000000"/>
                <w:sz w:val="22"/>
                <w:szCs w:val="22"/>
                <w:lang w:eastAsia="sk-SK"/>
              </w:rPr>
              <w:t>ovateľ</w:t>
            </w:r>
          </w:p>
        </w:tc>
        <w:tc>
          <w:tcPr>
            <w:tcW w:w="1711" w:type="dxa"/>
            <w:shd w:val="clear" w:color="auto" w:fill="D6E3BC" w:themeFill="accent3" w:themeFillTint="66"/>
            <w:vAlign w:val="center"/>
          </w:tcPr>
          <w:p w:rsidR="00BF6EF1" w:rsidRPr="0058198A" w:rsidRDefault="00BF6EF1" w:rsidP="00F67151">
            <w:pPr>
              <w:spacing w:after="0" w:line="240" w:lineRule="auto"/>
              <w:ind w:firstLine="0"/>
              <w:jc w:val="center"/>
              <w:rPr>
                <w:rFonts w:eastAsia="Times New Roman"/>
                <w:b/>
                <w:bCs/>
                <w:color w:val="000000"/>
                <w:sz w:val="22"/>
                <w:szCs w:val="22"/>
                <w:lang w:eastAsia="sk-SK"/>
              </w:rPr>
            </w:pPr>
            <w:r w:rsidRPr="004B7DE3">
              <w:rPr>
                <w:rFonts w:eastAsia="Times New Roman"/>
                <w:color w:val="000000"/>
                <w:sz w:val="22"/>
                <w:szCs w:val="22"/>
                <w:lang w:eastAsia="sk-SK"/>
              </w:rPr>
              <w:t>Ø</w:t>
            </w:r>
            <w:r w:rsidRPr="0058198A">
              <w:rPr>
                <w:rFonts w:eastAsia="Times New Roman"/>
                <w:b/>
                <w:bCs/>
                <w:color w:val="000000"/>
                <w:sz w:val="22"/>
                <w:szCs w:val="22"/>
                <w:lang w:eastAsia="sk-SK"/>
              </w:rPr>
              <w:t xml:space="preserve"> 2011-201</w:t>
            </w:r>
            <w:r>
              <w:rPr>
                <w:rFonts w:eastAsia="Times New Roman"/>
                <w:b/>
                <w:bCs/>
                <w:color w:val="000000"/>
                <w:sz w:val="22"/>
                <w:szCs w:val="22"/>
                <w:lang w:eastAsia="sk-SK"/>
              </w:rPr>
              <w:t>5</w:t>
            </w:r>
          </w:p>
        </w:tc>
        <w:tc>
          <w:tcPr>
            <w:tcW w:w="1260" w:type="dxa"/>
            <w:shd w:val="clear" w:color="auto" w:fill="D6E3BC" w:themeFill="accent3" w:themeFillTint="66"/>
            <w:vAlign w:val="center"/>
          </w:tcPr>
          <w:p w:rsidR="00BF6EF1" w:rsidRPr="0058198A" w:rsidRDefault="00BF6EF1" w:rsidP="00F67151">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2015</w:t>
            </w:r>
          </w:p>
        </w:tc>
        <w:tc>
          <w:tcPr>
            <w:tcW w:w="990" w:type="dxa"/>
            <w:shd w:val="clear" w:color="auto" w:fill="D6E3BC" w:themeFill="accent3" w:themeFillTint="66"/>
            <w:vAlign w:val="center"/>
          </w:tcPr>
          <w:p w:rsidR="00BF6EF1" w:rsidRPr="0058198A" w:rsidRDefault="00BF6EF1" w:rsidP="00F67151">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w:t>
            </w:r>
            <w:r>
              <w:rPr>
                <w:rFonts w:eastAsia="Times New Roman"/>
                <w:b/>
                <w:bCs/>
                <w:color w:val="000000"/>
                <w:sz w:val="22"/>
                <w:szCs w:val="22"/>
                <w:lang w:eastAsia="sk-SK"/>
              </w:rPr>
              <w:t>6</w:t>
            </w:r>
          </w:p>
        </w:tc>
        <w:tc>
          <w:tcPr>
            <w:tcW w:w="1710" w:type="dxa"/>
            <w:shd w:val="clear" w:color="auto" w:fill="D6E3BC" w:themeFill="accent3" w:themeFillTint="66"/>
            <w:vAlign w:val="center"/>
          </w:tcPr>
          <w:p w:rsidR="00BF6EF1" w:rsidRPr="0058198A" w:rsidRDefault="00BF6EF1" w:rsidP="00F67151">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2016/15</w:t>
            </w:r>
          </w:p>
        </w:tc>
        <w:tc>
          <w:tcPr>
            <w:tcW w:w="1800" w:type="dxa"/>
            <w:shd w:val="clear" w:color="auto" w:fill="D6E3BC" w:themeFill="accent3" w:themeFillTint="66"/>
            <w:vAlign w:val="center"/>
          </w:tcPr>
          <w:p w:rsidR="00BF6EF1" w:rsidRPr="0058198A" w:rsidRDefault="00BF6EF1" w:rsidP="00F67151">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w:t>
            </w:r>
            <w:r w:rsidRPr="004B7DE3">
              <w:rPr>
                <w:rFonts w:eastAsia="Times New Roman"/>
                <w:color w:val="000000"/>
                <w:sz w:val="22"/>
                <w:szCs w:val="22"/>
                <w:lang w:eastAsia="sk-SK"/>
              </w:rPr>
              <w:t xml:space="preserve"> Ø</w:t>
            </w:r>
            <w:r w:rsidRPr="0058198A">
              <w:rPr>
                <w:rFonts w:eastAsia="Times New Roman"/>
                <w:b/>
                <w:bCs/>
                <w:color w:val="000000"/>
                <w:sz w:val="22"/>
                <w:szCs w:val="22"/>
                <w:lang w:eastAsia="sk-SK"/>
              </w:rPr>
              <w:t xml:space="preserve"> 2011-2015</w:t>
            </w:r>
          </w:p>
        </w:tc>
      </w:tr>
      <w:tr w:rsidR="00BF6EF1" w:rsidTr="00BF6EF1">
        <w:tc>
          <w:tcPr>
            <w:tcW w:w="1619" w:type="dxa"/>
          </w:tcPr>
          <w:p w:rsidR="00BF6EF1" w:rsidRDefault="00BF6EF1" w:rsidP="00F67151">
            <w:pPr>
              <w:spacing w:after="0" w:line="240" w:lineRule="auto"/>
              <w:ind w:firstLine="0"/>
            </w:pPr>
            <w:r w:rsidRPr="00A2253E">
              <w:rPr>
                <w:rFonts w:eastAsia="Times New Roman"/>
                <w:color w:val="000000"/>
                <w:sz w:val="22"/>
                <w:szCs w:val="22"/>
                <w:lang w:eastAsia="sk-SK"/>
              </w:rPr>
              <w:t>Štátna pomoc a nár</w:t>
            </w:r>
            <w:r>
              <w:rPr>
                <w:rFonts w:eastAsia="Times New Roman"/>
                <w:color w:val="000000"/>
                <w:sz w:val="22"/>
                <w:szCs w:val="22"/>
                <w:lang w:eastAsia="sk-SK"/>
              </w:rPr>
              <w:t>.</w:t>
            </w:r>
            <w:r w:rsidRPr="00A2253E">
              <w:rPr>
                <w:rFonts w:eastAsia="Times New Roman"/>
                <w:color w:val="000000"/>
                <w:sz w:val="22"/>
                <w:szCs w:val="22"/>
                <w:lang w:eastAsia="sk-SK"/>
              </w:rPr>
              <w:t xml:space="preserve"> podpory</w:t>
            </w:r>
          </w:p>
        </w:tc>
        <w:tc>
          <w:tcPr>
            <w:tcW w:w="1711" w:type="dxa"/>
            <w:vAlign w:val="center"/>
          </w:tcPr>
          <w:p w:rsidR="00BF6EF1" w:rsidRPr="00A2253E" w:rsidRDefault="00BF6EF1" w:rsidP="00F67151">
            <w:pPr>
              <w:spacing w:after="0" w:line="240" w:lineRule="auto"/>
              <w:ind w:firstLine="0"/>
              <w:jc w:val="right"/>
              <w:rPr>
                <w:rFonts w:eastAsia="Times New Roman"/>
                <w:color w:val="000000"/>
                <w:sz w:val="22"/>
                <w:szCs w:val="22"/>
                <w:lang w:eastAsia="sk-SK"/>
              </w:rPr>
            </w:pPr>
            <w:r w:rsidRPr="00A2253E">
              <w:rPr>
                <w:rFonts w:eastAsia="Times New Roman"/>
                <w:color w:val="000000"/>
                <w:sz w:val="22"/>
                <w:szCs w:val="22"/>
                <w:lang w:eastAsia="sk-SK"/>
              </w:rPr>
              <w:t>9,3</w:t>
            </w:r>
          </w:p>
        </w:tc>
        <w:tc>
          <w:tcPr>
            <w:tcW w:w="1260" w:type="dxa"/>
            <w:vAlign w:val="center"/>
          </w:tcPr>
          <w:p w:rsidR="00BF6EF1" w:rsidRPr="00A2253E" w:rsidRDefault="00BF6EF1" w:rsidP="00F67151">
            <w:pPr>
              <w:spacing w:after="0" w:line="240" w:lineRule="auto"/>
              <w:ind w:firstLine="0"/>
              <w:jc w:val="right"/>
              <w:rPr>
                <w:rFonts w:eastAsia="Times New Roman"/>
                <w:color w:val="000000"/>
                <w:sz w:val="22"/>
                <w:szCs w:val="22"/>
                <w:lang w:eastAsia="sk-SK"/>
              </w:rPr>
            </w:pPr>
            <w:r w:rsidRPr="00A2253E">
              <w:rPr>
                <w:rFonts w:eastAsia="Times New Roman"/>
                <w:color w:val="000000"/>
                <w:sz w:val="22"/>
                <w:szCs w:val="22"/>
                <w:lang w:eastAsia="sk-SK"/>
              </w:rPr>
              <w:t>6,1</w:t>
            </w:r>
          </w:p>
        </w:tc>
        <w:tc>
          <w:tcPr>
            <w:tcW w:w="990" w:type="dxa"/>
            <w:vAlign w:val="center"/>
          </w:tcPr>
          <w:p w:rsidR="00BF6EF1" w:rsidRPr="00A2253E" w:rsidRDefault="00BF6EF1" w:rsidP="00F67151">
            <w:pPr>
              <w:spacing w:after="0" w:line="240" w:lineRule="auto"/>
              <w:ind w:firstLine="0"/>
              <w:jc w:val="right"/>
              <w:rPr>
                <w:rFonts w:eastAsia="Times New Roman"/>
                <w:color w:val="000000"/>
                <w:sz w:val="22"/>
                <w:szCs w:val="22"/>
                <w:lang w:eastAsia="sk-SK"/>
              </w:rPr>
            </w:pPr>
            <w:r w:rsidRPr="00A2253E">
              <w:rPr>
                <w:rFonts w:eastAsia="Times New Roman"/>
                <w:color w:val="000000"/>
                <w:sz w:val="22"/>
                <w:szCs w:val="22"/>
                <w:lang w:eastAsia="sk-SK"/>
              </w:rPr>
              <w:t>4,6</w:t>
            </w:r>
          </w:p>
        </w:tc>
        <w:tc>
          <w:tcPr>
            <w:tcW w:w="1710" w:type="dxa"/>
            <w:vAlign w:val="center"/>
          </w:tcPr>
          <w:p w:rsidR="00BF6EF1" w:rsidRPr="00A2253E" w:rsidRDefault="00BF6EF1" w:rsidP="00F67151">
            <w:pPr>
              <w:spacing w:after="0" w:line="240" w:lineRule="auto"/>
              <w:ind w:firstLine="0"/>
              <w:jc w:val="right"/>
              <w:rPr>
                <w:rFonts w:eastAsia="Times New Roman"/>
                <w:color w:val="000000"/>
                <w:sz w:val="22"/>
                <w:szCs w:val="22"/>
                <w:lang w:eastAsia="sk-SK"/>
              </w:rPr>
            </w:pPr>
            <w:r w:rsidRPr="00A2253E">
              <w:rPr>
                <w:rFonts w:eastAsia="Times New Roman"/>
                <w:color w:val="000000"/>
                <w:sz w:val="22"/>
                <w:szCs w:val="22"/>
                <w:lang w:eastAsia="sk-SK"/>
              </w:rPr>
              <w:t>75,4</w:t>
            </w:r>
          </w:p>
        </w:tc>
        <w:tc>
          <w:tcPr>
            <w:tcW w:w="1800" w:type="dxa"/>
            <w:vAlign w:val="center"/>
          </w:tcPr>
          <w:p w:rsidR="00BF6EF1" w:rsidRPr="00A2253E" w:rsidRDefault="00BF6EF1" w:rsidP="00F67151">
            <w:pPr>
              <w:spacing w:after="0" w:line="240" w:lineRule="auto"/>
              <w:ind w:firstLine="0"/>
              <w:jc w:val="right"/>
              <w:rPr>
                <w:rFonts w:eastAsia="Times New Roman"/>
                <w:color w:val="000000"/>
                <w:sz w:val="22"/>
                <w:szCs w:val="22"/>
                <w:lang w:eastAsia="sk-SK"/>
              </w:rPr>
            </w:pPr>
            <w:r w:rsidRPr="00A2253E">
              <w:rPr>
                <w:rFonts w:eastAsia="Times New Roman"/>
                <w:color w:val="000000"/>
                <w:sz w:val="22"/>
                <w:szCs w:val="22"/>
                <w:lang w:eastAsia="sk-SK"/>
              </w:rPr>
              <w:t>49,5</w:t>
            </w:r>
          </w:p>
        </w:tc>
      </w:tr>
    </w:tbl>
    <w:p w:rsidR="00BF6EF1" w:rsidRPr="00F1363E" w:rsidRDefault="00BF6EF1" w:rsidP="00F67151">
      <w:pPr>
        <w:spacing w:after="0" w:line="240" w:lineRule="auto"/>
        <w:ind w:firstLine="0"/>
        <w:rPr>
          <w:rStyle w:val="Siln"/>
          <w:b w:val="0"/>
          <w:sz w:val="20"/>
          <w:szCs w:val="20"/>
        </w:rPr>
      </w:pPr>
      <w:r w:rsidRPr="00F1363E">
        <w:rPr>
          <w:rStyle w:val="Siln"/>
          <w:b w:val="0"/>
          <w:sz w:val="20"/>
          <w:szCs w:val="20"/>
        </w:rPr>
        <w:t>Prameň: MPRV SR, PPA</w:t>
      </w:r>
    </w:p>
    <w:p w:rsidR="00BF6EF1" w:rsidRPr="00F1363E" w:rsidRDefault="00BF6EF1" w:rsidP="00F67151">
      <w:pPr>
        <w:spacing w:after="0" w:line="240" w:lineRule="auto"/>
        <w:ind w:firstLine="0"/>
        <w:rPr>
          <w:b/>
        </w:rPr>
      </w:pPr>
      <w:r w:rsidRPr="00F1363E">
        <w:rPr>
          <w:rStyle w:val="Siln"/>
          <w:b w:val="0"/>
          <w:sz w:val="20"/>
          <w:szCs w:val="20"/>
        </w:rPr>
        <w:t xml:space="preserve">Vypracoval: </w:t>
      </w:r>
      <w:r w:rsidRPr="00F1363E">
        <w:rPr>
          <w:sz w:val="20"/>
          <w:szCs w:val="20"/>
        </w:rPr>
        <w:t>NPPC - VÚEPP</w:t>
      </w:r>
      <w:r w:rsidRPr="00F1363E">
        <w:rPr>
          <w:b/>
        </w:rPr>
        <w:t xml:space="preserve"> </w:t>
      </w:r>
    </w:p>
    <w:p w:rsidR="00F7759E" w:rsidRDefault="00BF6EF1" w:rsidP="002415DD">
      <w:pPr>
        <w:spacing w:after="0" w:line="240" w:lineRule="auto"/>
        <w:ind w:firstLine="0"/>
        <w:rPr>
          <w:sz w:val="20"/>
          <w:szCs w:val="20"/>
        </w:rPr>
      </w:pPr>
      <w:r>
        <w:rPr>
          <w:sz w:val="20"/>
          <w:szCs w:val="20"/>
        </w:rPr>
        <w:t xml:space="preserve"> </w:t>
      </w:r>
    </w:p>
    <w:p w:rsidR="00BF6EF1" w:rsidRDefault="0091776E" w:rsidP="002415DD">
      <w:pPr>
        <w:spacing w:after="0" w:line="240" w:lineRule="auto"/>
        <w:ind w:firstLine="0"/>
        <w:rPr>
          <w:sz w:val="20"/>
          <w:szCs w:val="20"/>
        </w:rPr>
      </w:pPr>
      <w:r>
        <w:rPr>
          <w:sz w:val="20"/>
          <w:szCs w:val="20"/>
        </w:rPr>
        <w:t xml:space="preserve"> </w:t>
      </w:r>
    </w:p>
    <w:p w:rsidR="00FB7AC2" w:rsidRPr="0094220D" w:rsidRDefault="00FB7AC2" w:rsidP="008261E8">
      <w:pPr>
        <w:pStyle w:val="Nadpis2"/>
        <w:ind w:left="426" w:hanging="426"/>
      </w:pPr>
      <w:bookmarkStart w:id="9" w:name="_Toc483395313"/>
      <w:r w:rsidRPr="0094220D">
        <w:t>Celková podpora do poľnohospodárstva a</w:t>
      </w:r>
      <w:r w:rsidR="00C8081F" w:rsidRPr="0094220D">
        <w:t> </w:t>
      </w:r>
      <w:r w:rsidRPr="0094220D">
        <w:t>potravinárstva</w:t>
      </w:r>
      <w:bookmarkEnd w:id="9"/>
    </w:p>
    <w:p w:rsidR="004C2381" w:rsidRDefault="004C2381" w:rsidP="00114046">
      <w:pPr>
        <w:spacing w:after="120"/>
        <w:ind w:firstLine="0"/>
        <w:rPr>
          <w:b/>
        </w:rPr>
      </w:pPr>
      <w:r w:rsidRPr="0094220D">
        <w:rPr>
          <w:b/>
        </w:rPr>
        <w:t>Všeobecné služby</w:t>
      </w:r>
    </w:p>
    <w:p w:rsidR="0091776E" w:rsidRPr="00787996" w:rsidRDefault="0091776E" w:rsidP="0091776E">
      <w:pPr>
        <w:spacing w:after="120"/>
        <w:ind w:firstLine="284"/>
      </w:pPr>
      <w:r w:rsidRPr="00787996">
        <w:t>Všeobecné služby pre poľnohospodárov boli vykonávané prevažne špecializovanými inštitúciami v rámci rezortu pôdohospodárstva. Patrí sem:</w:t>
      </w:r>
    </w:p>
    <w:p w:rsidR="00E75928" w:rsidRDefault="0091776E">
      <w:pPr>
        <w:numPr>
          <w:ilvl w:val="0"/>
          <w:numId w:val="13"/>
        </w:numPr>
        <w:spacing w:after="0"/>
        <w:ind w:left="284" w:hanging="284"/>
      </w:pPr>
      <w:r w:rsidRPr="00787996">
        <w:rPr>
          <w:i/>
        </w:rPr>
        <w:t>Výskum a vývoj:</w:t>
      </w:r>
      <w:r w:rsidRPr="00787996">
        <w:t xml:space="preserve"> výskumné ústavy rezortu, národné opatrenia (zachovanie a starostlivosť o genofond zvierat, výskum a vývoj na zachovanie a starostlivosť o genofond rastlín, výskum a vývoj na zachovanie a rozširovanie genetického základu pestovaných rastlín),</w:t>
      </w:r>
    </w:p>
    <w:p w:rsidR="00E75928" w:rsidRDefault="00057DE9">
      <w:pPr>
        <w:numPr>
          <w:ilvl w:val="0"/>
          <w:numId w:val="13"/>
        </w:numPr>
        <w:spacing w:after="0"/>
        <w:ind w:left="284" w:hanging="284"/>
      </w:pPr>
      <w:r w:rsidRPr="00057DE9">
        <w:rPr>
          <w:i/>
        </w:rPr>
        <w:lastRenderedPageBreak/>
        <w:t>Poľnohospodársk</w:t>
      </w:r>
      <w:r w:rsidR="0091776E" w:rsidRPr="00787996">
        <w:rPr>
          <w:i/>
        </w:rPr>
        <w:t>e poradenstvo a vzdelávanie:</w:t>
      </w:r>
      <w:r w:rsidR="0091776E" w:rsidRPr="00787996">
        <w:t xml:space="preserve"> zmluva s Agroinštitútom, štátny podnik, príspevok pre Inštitút vzdelávania veterinárnych lekárov (IVVL) a Agentúru pre rozvoj vidieka (ARVI) na zabezpečenie vzdelávacích aktivít,</w:t>
      </w:r>
    </w:p>
    <w:p w:rsidR="0091776E" w:rsidRPr="00787996" w:rsidRDefault="0091776E" w:rsidP="0091776E">
      <w:pPr>
        <w:numPr>
          <w:ilvl w:val="0"/>
          <w:numId w:val="13"/>
        </w:numPr>
        <w:spacing w:after="0"/>
        <w:ind w:left="284" w:hanging="284"/>
      </w:pPr>
      <w:r w:rsidRPr="00787996">
        <w:rPr>
          <w:i/>
        </w:rPr>
        <w:t>Služby špecializovanej štátnej spr</w:t>
      </w:r>
      <w:r w:rsidR="00057DE9" w:rsidRPr="00057DE9">
        <w:rPr>
          <w:i/>
        </w:rPr>
        <w:t>ávy: Plemenárske služby SR, štátny podnik (</w:t>
      </w:r>
      <w:r w:rsidRPr="00787996">
        <w:t xml:space="preserve">výdavky na registre CEHZ), Rozpočtové organizácie:  Štátna veterinárna a potravinová správa SR, Ústredný kontrolný a skúšobný ústav poľnohospodársky, </w:t>
      </w:r>
    </w:p>
    <w:p w:rsidR="0091776E" w:rsidRPr="00787996" w:rsidRDefault="0091776E" w:rsidP="0091776E">
      <w:pPr>
        <w:numPr>
          <w:ilvl w:val="0"/>
          <w:numId w:val="13"/>
        </w:numPr>
        <w:spacing w:after="0"/>
        <w:ind w:left="284" w:hanging="284"/>
      </w:pPr>
      <w:r w:rsidRPr="00787996">
        <w:rPr>
          <w:i/>
        </w:rPr>
        <w:t>Infraštruktúra:</w:t>
      </w:r>
      <w:r w:rsidRPr="00787996">
        <w:rPr>
          <w:b/>
        </w:rPr>
        <w:t xml:space="preserve"> </w:t>
      </w:r>
      <w:r w:rsidRPr="00787996">
        <w:t xml:space="preserve"> pozemkové úpravy  z  rozpočtovej kapitoly MPRV SR  (mimo opatrení PRV SR), </w:t>
      </w:r>
    </w:p>
    <w:p w:rsidR="0091776E" w:rsidRPr="00787996" w:rsidRDefault="0091776E" w:rsidP="0091776E">
      <w:pPr>
        <w:numPr>
          <w:ilvl w:val="0"/>
          <w:numId w:val="13"/>
        </w:numPr>
        <w:spacing w:after="0"/>
        <w:ind w:left="284" w:hanging="284"/>
      </w:pPr>
      <w:r w:rsidRPr="00787996">
        <w:rPr>
          <w:i/>
        </w:rPr>
        <w:t>Marketing a propagácia:</w:t>
      </w:r>
      <w:r w:rsidRPr="00787996">
        <w:t xml:space="preserve"> Propagácia rezortu, marketingové aktivity poľnohospodárskych výrobkov a potravín, vrátane Značky kvality SK,</w:t>
      </w:r>
    </w:p>
    <w:p w:rsidR="0091776E" w:rsidRPr="00787996" w:rsidRDefault="0091776E" w:rsidP="0091776E">
      <w:pPr>
        <w:numPr>
          <w:ilvl w:val="0"/>
          <w:numId w:val="13"/>
        </w:numPr>
        <w:spacing w:after="0"/>
        <w:ind w:left="284" w:hanging="284"/>
      </w:pPr>
      <w:r w:rsidRPr="00787996">
        <w:rPr>
          <w:i/>
        </w:rPr>
        <w:t>Ostatné služby:</w:t>
      </w:r>
      <w:r w:rsidRPr="00787996">
        <w:t xml:space="preserve"> inštitucionálne výdavky úradu MPRV SR, PPA, informatizácia rezortu, rezortná štatistika, zahraničná spolupráca rezortu, transfer pre Múzeum vo Sv. Antone.</w:t>
      </w:r>
    </w:p>
    <w:p w:rsidR="001E4F6A" w:rsidRPr="00F1363E" w:rsidRDefault="001E4F6A" w:rsidP="007B7CEE">
      <w:pPr>
        <w:spacing w:after="0" w:line="240" w:lineRule="auto"/>
        <w:ind w:firstLine="0"/>
        <w:rPr>
          <w:b/>
          <w:bCs/>
        </w:rPr>
      </w:pPr>
    </w:p>
    <w:p w:rsidR="00980F5F" w:rsidRPr="00F1363E" w:rsidRDefault="005966DB" w:rsidP="00802716">
      <w:pPr>
        <w:spacing w:after="0" w:line="240" w:lineRule="auto"/>
        <w:ind w:firstLine="0"/>
        <w:rPr>
          <w:b/>
          <w:bCs/>
        </w:rPr>
      </w:pPr>
      <w:r w:rsidRPr="00F1363E">
        <w:rPr>
          <w:b/>
          <w:bCs/>
        </w:rPr>
        <w:t>Štruktúra podpôr na všeobecné služby</w:t>
      </w:r>
    </w:p>
    <w:p w:rsidR="00610A37" w:rsidRDefault="005966DB" w:rsidP="00802716">
      <w:pPr>
        <w:spacing w:after="0" w:line="240" w:lineRule="auto"/>
        <w:ind w:firstLine="0"/>
        <w:jc w:val="left"/>
      </w:pPr>
      <w:r w:rsidRPr="00F1363E">
        <w:rPr>
          <w:bCs/>
        </w:rPr>
        <w:t xml:space="preserve"> v mil. €</w:t>
      </w:r>
      <w:r w:rsidRPr="00F1363E">
        <w:t xml:space="preserve">                                                                                               </w:t>
      </w:r>
      <w:r w:rsidR="007B7CEE" w:rsidRPr="00F1363E">
        <w:t xml:space="preserve">                    </w:t>
      </w:r>
      <w:r w:rsidRPr="00F1363E">
        <w:t xml:space="preserve">Tabuľka </w:t>
      </w:r>
      <w:r w:rsidR="00C81227">
        <w:t>1</w:t>
      </w:r>
      <w:r w:rsidR="007A4CAB">
        <w:t>3</w:t>
      </w:r>
    </w:p>
    <w:tbl>
      <w:tblPr>
        <w:tblW w:w="8946" w:type="dxa"/>
        <w:tblInd w:w="55" w:type="dxa"/>
        <w:tblCellMar>
          <w:left w:w="70" w:type="dxa"/>
          <w:right w:w="70" w:type="dxa"/>
        </w:tblCellMar>
        <w:tblLook w:val="04A0" w:firstRow="1" w:lastRow="0" w:firstColumn="1" w:lastColumn="0" w:noHBand="0" w:noVBand="1"/>
      </w:tblPr>
      <w:tblGrid>
        <w:gridCol w:w="6819"/>
        <w:gridCol w:w="1134"/>
        <w:gridCol w:w="993"/>
      </w:tblGrid>
      <w:tr w:rsidR="00C81227" w:rsidRPr="00610A37" w:rsidTr="00DB5F2B">
        <w:trPr>
          <w:trHeight w:val="315"/>
        </w:trPr>
        <w:tc>
          <w:tcPr>
            <w:tcW w:w="6819" w:type="dxa"/>
            <w:tcBorders>
              <w:top w:val="single" w:sz="8" w:space="0" w:color="auto"/>
              <w:left w:val="single" w:sz="8" w:space="0" w:color="auto"/>
              <w:bottom w:val="single" w:sz="4" w:space="0" w:color="auto"/>
              <w:right w:val="single" w:sz="4" w:space="0" w:color="auto"/>
            </w:tcBorders>
            <w:shd w:val="clear" w:color="000000" w:fill="C2D69B" w:themeFill="accent3" w:themeFillTint="99"/>
            <w:noWrap/>
            <w:hideMark/>
          </w:tcPr>
          <w:p w:rsidR="00C81227" w:rsidRPr="00610A37" w:rsidRDefault="00C81227" w:rsidP="00610A37">
            <w:pPr>
              <w:spacing w:after="0" w:line="240" w:lineRule="auto"/>
              <w:ind w:firstLine="0"/>
              <w:rPr>
                <w:rFonts w:eastAsia="Times New Roman"/>
                <w:b/>
                <w:bCs/>
                <w:color w:val="000000"/>
                <w:sz w:val="22"/>
                <w:szCs w:val="22"/>
                <w:lang w:eastAsia="sk-SK"/>
              </w:rPr>
            </w:pPr>
            <w:r w:rsidRPr="00610A37">
              <w:rPr>
                <w:rFonts w:eastAsia="Times New Roman"/>
                <w:b/>
                <w:bCs/>
                <w:color w:val="000000"/>
                <w:sz w:val="22"/>
                <w:szCs w:val="22"/>
                <w:lang w:eastAsia="sk-SK"/>
              </w:rPr>
              <w:t> Tituly</w:t>
            </w:r>
          </w:p>
        </w:tc>
        <w:tc>
          <w:tcPr>
            <w:tcW w:w="1134" w:type="dxa"/>
            <w:tcBorders>
              <w:top w:val="single" w:sz="8" w:space="0" w:color="auto"/>
              <w:left w:val="single" w:sz="4" w:space="0" w:color="auto"/>
              <w:bottom w:val="single" w:sz="4" w:space="0" w:color="auto"/>
              <w:right w:val="single" w:sz="4" w:space="0" w:color="auto"/>
            </w:tcBorders>
            <w:shd w:val="clear" w:color="000000" w:fill="C2D69B" w:themeFill="accent3" w:themeFillTint="99"/>
            <w:noWrap/>
            <w:hideMark/>
          </w:tcPr>
          <w:p w:rsidR="00C81227" w:rsidRPr="000D6A3B" w:rsidRDefault="00C81227" w:rsidP="006A34F5">
            <w:pPr>
              <w:spacing w:after="0" w:line="240" w:lineRule="auto"/>
              <w:ind w:firstLine="0"/>
              <w:jc w:val="right"/>
              <w:rPr>
                <w:rFonts w:eastAsia="Times New Roman"/>
                <w:b/>
                <w:bCs/>
                <w:color w:val="000000"/>
                <w:sz w:val="22"/>
                <w:szCs w:val="22"/>
                <w:lang w:eastAsia="sk-SK"/>
              </w:rPr>
            </w:pPr>
            <w:r w:rsidRPr="000D6A3B">
              <w:rPr>
                <w:rFonts w:eastAsia="Times New Roman"/>
                <w:b/>
                <w:bCs/>
                <w:color w:val="000000"/>
                <w:sz w:val="22"/>
                <w:szCs w:val="22"/>
                <w:lang w:eastAsia="sk-SK"/>
              </w:rPr>
              <w:t>2015</w:t>
            </w:r>
          </w:p>
        </w:tc>
        <w:tc>
          <w:tcPr>
            <w:tcW w:w="993" w:type="dxa"/>
            <w:tcBorders>
              <w:top w:val="single" w:sz="8" w:space="0" w:color="auto"/>
              <w:left w:val="single" w:sz="4" w:space="0" w:color="auto"/>
              <w:bottom w:val="single" w:sz="4" w:space="0" w:color="auto"/>
              <w:right w:val="single" w:sz="8" w:space="0" w:color="auto"/>
            </w:tcBorders>
            <w:shd w:val="clear" w:color="000000" w:fill="C2D69B" w:themeFill="accent3" w:themeFillTint="99"/>
            <w:noWrap/>
            <w:hideMark/>
          </w:tcPr>
          <w:p w:rsidR="00C81227" w:rsidRPr="000D6A3B" w:rsidRDefault="00C81227" w:rsidP="006A34F5">
            <w:pPr>
              <w:spacing w:after="0" w:line="240" w:lineRule="auto"/>
              <w:ind w:firstLine="0"/>
              <w:jc w:val="right"/>
              <w:rPr>
                <w:rFonts w:eastAsia="Times New Roman"/>
                <w:b/>
                <w:bCs/>
                <w:color w:val="000000"/>
                <w:sz w:val="22"/>
                <w:szCs w:val="22"/>
                <w:lang w:eastAsia="sk-SK"/>
              </w:rPr>
            </w:pPr>
            <w:r w:rsidRPr="000D6A3B">
              <w:rPr>
                <w:rFonts w:eastAsia="Times New Roman"/>
                <w:b/>
                <w:bCs/>
                <w:color w:val="000000"/>
                <w:sz w:val="22"/>
                <w:szCs w:val="22"/>
                <w:lang w:eastAsia="sk-SK"/>
              </w:rPr>
              <w:t>2016</w:t>
            </w:r>
          </w:p>
        </w:tc>
      </w:tr>
      <w:tr w:rsidR="00C81227" w:rsidRPr="00610A37" w:rsidTr="00DB5F2B">
        <w:trPr>
          <w:trHeight w:val="330"/>
        </w:trPr>
        <w:tc>
          <w:tcPr>
            <w:tcW w:w="681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81227" w:rsidRPr="00610A37" w:rsidRDefault="00C8122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Výskum a vývoj</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6,5</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3,6</w:t>
            </w:r>
          </w:p>
        </w:tc>
      </w:tr>
      <w:tr w:rsidR="00C8122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C81227" w:rsidRPr="00610A37" w:rsidRDefault="00C8122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Poľnohospodárske školstvo</w:t>
            </w:r>
          </w:p>
        </w:tc>
        <w:tc>
          <w:tcPr>
            <w:tcW w:w="1134"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0,3</w:t>
            </w:r>
          </w:p>
        </w:tc>
        <w:tc>
          <w:tcPr>
            <w:tcW w:w="993"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0,3</w:t>
            </w:r>
          </w:p>
        </w:tc>
      </w:tr>
      <w:tr w:rsidR="00C8122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C81227" w:rsidRPr="00610A37" w:rsidRDefault="00C8122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Služby organizácií štátnej správy</w:t>
            </w:r>
          </w:p>
        </w:tc>
        <w:tc>
          <w:tcPr>
            <w:tcW w:w="1134"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53,7</w:t>
            </w:r>
          </w:p>
        </w:tc>
        <w:tc>
          <w:tcPr>
            <w:tcW w:w="993"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77,8</w:t>
            </w:r>
          </w:p>
        </w:tc>
      </w:tr>
      <w:tr w:rsidR="00C8122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C81227" w:rsidRPr="00610A37" w:rsidRDefault="00C8122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Infraštruktúra</w:t>
            </w:r>
          </w:p>
        </w:tc>
        <w:tc>
          <w:tcPr>
            <w:tcW w:w="1134"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1</w:t>
            </w:r>
          </w:p>
        </w:tc>
        <w:tc>
          <w:tcPr>
            <w:tcW w:w="993"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2,3</w:t>
            </w:r>
          </w:p>
        </w:tc>
      </w:tr>
      <w:tr w:rsidR="00C8122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C81227" w:rsidRPr="00610A37" w:rsidRDefault="00C8122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Marketing a propagácia</w:t>
            </w:r>
          </w:p>
        </w:tc>
        <w:tc>
          <w:tcPr>
            <w:tcW w:w="1134"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0,6</w:t>
            </w:r>
          </w:p>
        </w:tc>
        <w:tc>
          <w:tcPr>
            <w:tcW w:w="993"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0,5</w:t>
            </w:r>
          </w:p>
        </w:tc>
      </w:tr>
      <w:tr w:rsidR="00C8122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C81227" w:rsidRPr="00610A37" w:rsidRDefault="00C8122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Ostatné služby</w:t>
            </w:r>
          </w:p>
        </w:tc>
        <w:tc>
          <w:tcPr>
            <w:tcW w:w="1134"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22,7</w:t>
            </w:r>
          </w:p>
        </w:tc>
        <w:tc>
          <w:tcPr>
            <w:tcW w:w="993"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21,6</w:t>
            </w:r>
          </w:p>
        </w:tc>
      </w:tr>
      <w:tr w:rsidR="00C8122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C81227" w:rsidRPr="00610A37" w:rsidRDefault="00C81227" w:rsidP="00610A37">
            <w:pPr>
              <w:spacing w:after="0" w:line="240" w:lineRule="auto"/>
              <w:ind w:firstLine="0"/>
              <w:jc w:val="left"/>
              <w:rPr>
                <w:rFonts w:eastAsia="Times New Roman"/>
                <w:color w:val="000000"/>
                <w:lang w:eastAsia="sk-SK"/>
              </w:rPr>
            </w:pPr>
            <w:r w:rsidRPr="00610A37">
              <w:rPr>
                <w:rFonts w:eastAsia="Times New Roman"/>
                <w:bCs/>
                <w:color w:val="000000"/>
                <w:lang w:eastAsia="sk-SK"/>
              </w:rPr>
              <w:t>Všeobecné služby spolu</w:t>
            </w:r>
          </w:p>
        </w:tc>
        <w:tc>
          <w:tcPr>
            <w:tcW w:w="1134"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84,8</w:t>
            </w:r>
          </w:p>
        </w:tc>
        <w:tc>
          <w:tcPr>
            <w:tcW w:w="993"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106,1</w:t>
            </w:r>
          </w:p>
        </w:tc>
      </w:tr>
      <w:tr w:rsidR="00C81227" w:rsidRPr="00610A37" w:rsidTr="00F67151">
        <w:trPr>
          <w:trHeight w:val="330"/>
        </w:trPr>
        <w:tc>
          <w:tcPr>
            <w:tcW w:w="6819" w:type="dxa"/>
            <w:tcBorders>
              <w:top w:val="nil"/>
              <w:left w:val="single" w:sz="8" w:space="0" w:color="auto"/>
              <w:bottom w:val="single" w:sz="4" w:space="0" w:color="auto"/>
              <w:right w:val="single" w:sz="8" w:space="0" w:color="auto"/>
            </w:tcBorders>
            <w:shd w:val="clear" w:color="auto" w:fill="auto"/>
            <w:noWrap/>
            <w:vAlign w:val="bottom"/>
            <w:hideMark/>
          </w:tcPr>
          <w:p w:rsidR="00C81227" w:rsidRPr="00610A37" w:rsidRDefault="00C8122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Podpory na občianske združenia, nezisk. org. a štátne  podniky a štátna pomoc</w:t>
            </w:r>
          </w:p>
        </w:tc>
        <w:tc>
          <w:tcPr>
            <w:tcW w:w="1134" w:type="dxa"/>
            <w:tcBorders>
              <w:top w:val="nil"/>
              <w:left w:val="nil"/>
              <w:bottom w:val="single" w:sz="4"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6,0*</w:t>
            </w:r>
          </w:p>
        </w:tc>
        <w:tc>
          <w:tcPr>
            <w:tcW w:w="993" w:type="dxa"/>
            <w:tcBorders>
              <w:top w:val="nil"/>
              <w:left w:val="nil"/>
              <w:bottom w:val="single" w:sz="4"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3,2*</w:t>
            </w:r>
          </w:p>
        </w:tc>
      </w:tr>
      <w:tr w:rsidR="00C81227" w:rsidRPr="00F67151" w:rsidTr="00F67151">
        <w:trPr>
          <w:trHeight w:val="330"/>
        </w:trPr>
        <w:tc>
          <w:tcPr>
            <w:tcW w:w="681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81227" w:rsidRPr="00F67151" w:rsidRDefault="00C81227" w:rsidP="00610A37">
            <w:pPr>
              <w:spacing w:after="0" w:line="240" w:lineRule="auto"/>
              <w:ind w:firstLine="0"/>
              <w:jc w:val="left"/>
              <w:rPr>
                <w:rFonts w:eastAsia="Times New Roman"/>
                <w:b/>
                <w:color w:val="000000"/>
                <w:lang w:eastAsia="sk-SK"/>
              </w:rPr>
            </w:pPr>
            <w:r w:rsidRPr="00F67151">
              <w:rPr>
                <w:rFonts w:eastAsia="Times New Roman"/>
                <w:b/>
                <w:color w:val="000000"/>
                <w:lang w:eastAsia="sk-SK"/>
              </w:rPr>
              <w:t>Spolu</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C81227" w:rsidRPr="00F67151" w:rsidRDefault="00C81227" w:rsidP="006A34F5">
            <w:pPr>
              <w:spacing w:after="0" w:line="240" w:lineRule="auto"/>
              <w:ind w:firstLine="0"/>
              <w:jc w:val="right"/>
              <w:rPr>
                <w:rFonts w:eastAsia="Times New Roman"/>
                <w:b/>
                <w:color w:val="000000"/>
                <w:lang w:eastAsia="sk-SK"/>
              </w:rPr>
            </w:pPr>
            <w:r w:rsidRPr="00F67151">
              <w:rPr>
                <w:rFonts w:eastAsia="Times New Roman"/>
                <w:b/>
                <w:color w:val="000000"/>
                <w:lang w:eastAsia="sk-SK"/>
              </w:rPr>
              <w:t>90,8</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C81227" w:rsidRPr="00F67151" w:rsidRDefault="00C81227" w:rsidP="006A34F5">
            <w:pPr>
              <w:spacing w:after="0" w:line="240" w:lineRule="auto"/>
              <w:ind w:firstLine="0"/>
              <w:jc w:val="right"/>
              <w:rPr>
                <w:rFonts w:eastAsia="Times New Roman"/>
                <w:b/>
                <w:color w:val="000000"/>
                <w:lang w:eastAsia="sk-SK"/>
              </w:rPr>
            </w:pPr>
            <w:r w:rsidRPr="00F67151">
              <w:rPr>
                <w:rFonts w:eastAsia="Times New Roman"/>
                <w:b/>
                <w:color w:val="000000"/>
                <w:lang w:eastAsia="sk-SK"/>
              </w:rPr>
              <w:t>109,3</w:t>
            </w:r>
          </w:p>
        </w:tc>
      </w:tr>
      <w:tr w:rsidR="00C8122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C81227" w:rsidRPr="00610A37" w:rsidRDefault="00C8122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 xml:space="preserve"> - z rozpočtovej kapitoly MPRV SR</w:t>
            </w:r>
          </w:p>
        </w:tc>
        <w:tc>
          <w:tcPr>
            <w:tcW w:w="1134" w:type="dxa"/>
            <w:tcBorders>
              <w:top w:val="nil"/>
              <w:left w:val="nil"/>
              <w:bottom w:val="single" w:sz="8" w:space="0" w:color="auto"/>
              <w:right w:val="single" w:sz="8" w:space="0" w:color="auto"/>
            </w:tcBorders>
            <w:shd w:val="clear" w:color="auto" w:fill="auto"/>
            <w:noWrap/>
            <w:vAlign w:val="bottom"/>
            <w:hideMark/>
          </w:tcPr>
          <w:p w:rsidR="00C81227" w:rsidRPr="00F67151" w:rsidRDefault="00C81227" w:rsidP="006A34F5">
            <w:pPr>
              <w:spacing w:after="0" w:line="240" w:lineRule="auto"/>
              <w:ind w:firstLine="0"/>
              <w:jc w:val="right"/>
              <w:rPr>
                <w:rFonts w:eastAsia="Times New Roman"/>
                <w:bCs/>
                <w:color w:val="000000"/>
                <w:lang w:eastAsia="sk-SK"/>
              </w:rPr>
            </w:pPr>
            <w:r w:rsidRPr="00F67151">
              <w:rPr>
                <w:rFonts w:eastAsia="Times New Roman"/>
                <w:bCs/>
                <w:color w:val="000000"/>
                <w:lang w:eastAsia="sk-SK"/>
              </w:rPr>
              <w:t>89,4</w:t>
            </w:r>
          </w:p>
        </w:tc>
        <w:tc>
          <w:tcPr>
            <w:tcW w:w="993" w:type="dxa"/>
            <w:tcBorders>
              <w:top w:val="nil"/>
              <w:left w:val="nil"/>
              <w:bottom w:val="single" w:sz="8" w:space="0" w:color="auto"/>
              <w:right w:val="single" w:sz="8" w:space="0" w:color="auto"/>
            </w:tcBorders>
            <w:shd w:val="clear" w:color="auto" w:fill="auto"/>
            <w:noWrap/>
            <w:vAlign w:val="bottom"/>
            <w:hideMark/>
          </w:tcPr>
          <w:p w:rsidR="00C81227" w:rsidRPr="00F67151" w:rsidRDefault="00C81227" w:rsidP="006A34F5">
            <w:pPr>
              <w:spacing w:after="0" w:line="240" w:lineRule="auto"/>
              <w:ind w:firstLine="0"/>
              <w:jc w:val="right"/>
              <w:rPr>
                <w:rFonts w:eastAsia="Times New Roman"/>
                <w:bCs/>
                <w:color w:val="000000"/>
                <w:lang w:eastAsia="sk-SK"/>
              </w:rPr>
            </w:pPr>
            <w:r w:rsidRPr="00F67151">
              <w:rPr>
                <w:rFonts w:eastAsia="Times New Roman"/>
                <w:bCs/>
                <w:color w:val="000000"/>
                <w:lang w:eastAsia="sk-SK"/>
              </w:rPr>
              <w:t>107,8</w:t>
            </w:r>
          </w:p>
        </w:tc>
      </w:tr>
      <w:tr w:rsidR="00C8122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C81227" w:rsidRPr="00610A37" w:rsidRDefault="00C8122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 xml:space="preserve"> - z ostatných zdrojov</w:t>
            </w:r>
          </w:p>
        </w:tc>
        <w:tc>
          <w:tcPr>
            <w:tcW w:w="1134"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1,4</w:t>
            </w:r>
          </w:p>
        </w:tc>
        <w:tc>
          <w:tcPr>
            <w:tcW w:w="993" w:type="dxa"/>
            <w:tcBorders>
              <w:top w:val="nil"/>
              <w:left w:val="nil"/>
              <w:bottom w:val="single" w:sz="8" w:space="0" w:color="auto"/>
              <w:right w:val="single" w:sz="8" w:space="0" w:color="auto"/>
            </w:tcBorders>
            <w:shd w:val="clear" w:color="auto" w:fill="auto"/>
            <w:noWrap/>
            <w:vAlign w:val="bottom"/>
            <w:hideMark/>
          </w:tcPr>
          <w:p w:rsidR="00C81227" w:rsidRPr="000D6A3B" w:rsidRDefault="00C81227" w:rsidP="006A34F5">
            <w:pPr>
              <w:spacing w:after="0" w:line="240" w:lineRule="auto"/>
              <w:ind w:firstLine="0"/>
              <w:jc w:val="right"/>
              <w:rPr>
                <w:rFonts w:eastAsia="Times New Roman"/>
                <w:color w:val="000000"/>
                <w:lang w:eastAsia="sk-SK"/>
              </w:rPr>
            </w:pPr>
            <w:r w:rsidRPr="000D6A3B">
              <w:rPr>
                <w:rFonts w:eastAsia="Times New Roman"/>
                <w:color w:val="000000"/>
                <w:lang w:eastAsia="sk-SK"/>
              </w:rPr>
              <w:t>1,5</w:t>
            </w:r>
          </w:p>
        </w:tc>
      </w:tr>
    </w:tbl>
    <w:p w:rsidR="00CC79E8" w:rsidRPr="00F1363E" w:rsidRDefault="00AF5433" w:rsidP="00802716">
      <w:pPr>
        <w:spacing w:after="0" w:line="240" w:lineRule="auto"/>
        <w:ind w:firstLine="0"/>
        <w:rPr>
          <w:sz w:val="20"/>
          <w:szCs w:val="20"/>
        </w:rPr>
      </w:pPr>
      <w:r w:rsidRPr="00F1363E">
        <w:rPr>
          <w:sz w:val="20"/>
          <w:szCs w:val="20"/>
        </w:rPr>
        <w:t xml:space="preserve">Prameň: MPRV SR, </w:t>
      </w:r>
      <w:r w:rsidR="003578DA" w:rsidRPr="00F1363E">
        <w:rPr>
          <w:sz w:val="20"/>
          <w:szCs w:val="20"/>
        </w:rPr>
        <w:t>*dotácie - národné podpory, zahrnuté v časti o štátnej pomoci a národných podporách</w:t>
      </w:r>
    </w:p>
    <w:p w:rsidR="00AF5433" w:rsidRPr="00F1363E" w:rsidRDefault="00AF5433" w:rsidP="00802716">
      <w:pPr>
        <w:spacing w:after="0" w:line="240" w:lineRule="auto"/>
        <w:ind w:firstLine="0"/>
        <w:rPr>
          <w:sz w:val="20"/>
          <w:szCs w:val="20"/>
        </w:rPr>
      </w:pPr>
      <w:r w:rsidRPr="00F1363E">
        <w:rPr>
          <w:sz w:val="20"/>
          <w:szCs w:val="20"/>
        </w:rPr>
        <w:t xml:space="preserve">Vypracoval: </w:t>
      </w:r>
      <w:r w:rsidR="00CC79E8" w:rsidRPr="00F1363E">
        <w:rPr>
          <w:sz w:val="20"/>
          <w:szCs w:val="20"/>
        </w:rPr>
        <w:t xml:space="preserve">NPPC - </w:t>
      </w:r>
      <w:r w:rsidRPr="00F1363E">
        <w:rPr>
          <w:sz w:val="20"/>
          <w:szCs w:val="20"/>
        </w:rPr>
        <w:t>VÚEPP</w:t>
      </w:r>
    </w:p>
    <w:p w:rsidR="00FD4B99" w:rsidRDefault="00FD4B99" w:rsidP="00802716">
      <w:pPr>
        <w:spacing w:after="0"/>
        <w:ind w:firstLine="708"/>
      </w:pPr>
    </w:p>
    <w:p w:rsidR="00C81227" w:rsidRPr="00787996" w:rsidRDefault="00C81227" w:rsidP="00C81227">
      <w:pPr>
        <w:ind w:firstLine="708"/>
      </w:pPr>
      <w:r w:rsidRPr="00787996">
        <w:t>Najväčší podiel na všeobecných službách v rokoch 2015 a 2016 mali služby ústavov špecializovanej štátnej správy, ktorých činnosť sa zameriavala predovšetkým na kontrolu dodržiavania fytosanitárnych, zooveterinárnych a hygienických predpisov, s cieľom zachovania zdravotnej nezávadnosti potravín.</w:t>
      </w:r>
    </w:p>
    <w:p w:rsidR="00C81227" w:rsidRDefault="00C81227" w:rsidP="00C81227">
      <w:pPr>
        <w:spacing w:after="0"/>
        <w:ind w:firstLine="0"/>
        <w:rPr>
          <w:b/>
        </w:rPr>
      </w:pPr>
    </w:p>
    <w:p w:rsidR="00C81227" w:rsidRPr="008C76D2" w:rsidRDefault="00C81227" w:rsidP="00C81227">
      <w:pPr>
        <w:autoSpaceDE w:val="0"/>
        <w:autoSpaceDN w:val="0"/>
        <w:spacing w:after="0" w:line="320" w:lineRule="atLeast"/>
        <w:ind w:firstLine="0"/>
        <w:jc w:val="left"/>
        <w:rPr>
          <w:bCs/>
          <w:sz w:val="20"/>
          <w:szCs w:val="20"/>
        </w:rPr>
      </w:pPr>
      <w:r w:rsidRPr="00406E7A">
        <w:rPr>
          <w:b/>
        </w:rPr>
        <w:t>Štátna pomoc a národné podpory</w:t>
      </w:r>
      <w:r w:rsidRPr="00461D14">
        <w:rPr>
          <w:b/>
        </w:rPr>
        <w:t xml:space="preserve"> v rokoch 2011 – 2016</w:t>
      </w:r>
      <w:r>
        <w:rPr>
          <w:b/>
        </w:rPr>
        <w:t xml:space="preserve">, </w:t>
      </w:r>
      <w:r w:rsidRPr="008C76D2">
        <w:rPr>
          <w:b/>
        </w:rPr>
        <w:t xml:space="preserve"> v mil. €</w:t>
      </w:r>
      <w:r>
        <w:rPr>
          <w:b/>
        </w:rPr>
        <w:t xml:space="preserve">                  </w:t>
      </w:r>
      <w:r w:rsidRPr="00BF6EF1">
        <w:t>Tab</w:t>
      </w:r>
      <w:r w:rsidRPr="00F1363E">
        <w:rPr>
          <w:rStyle w:val="Siln"/>
          <w:b w:val="0"/>
        </w:rPr>
        <w:t xml:space="preserve">uľka </w:t>
      </w:r>
      <w:r w:rsidR="007A4CAB">
        <w:rPr>
          <w:rStyle w:val="Siln"/>
          <w:b w:val="0"/>
        </w:rPr>
        <w:t>14</w:t>
      </w:r>
    </w:p>
    <w:tbl>
      <w:tblPr>
        <w:tblStyle w:val="Mriekatabuky"/>
        <w:tblW w:w="0" w:type="auto"/>
        <w:tblInd w:w="108" w:type="dxa"/>
        <w:tblLook w:val="04A0" w:firstRow="1" w:lastRow="0" w:firstColumn="1" w:lastColumn="0" w:noHBand="0" w:noVBand="1"/>
      </w:tblPr>
      <w:tblGrid>
        <w:gridCol w:w="1619"/>
        <w:gridCol w:w="1711"/>
        <w:gridCol w:w="1260"/>
        <w:gridCol w:w="990"/>
        <w:gridCol w:w="1710"/>
        <w:gridCol w:w="1800"/>
      </w:tblGrid>
      <w:tr w:rsidR="00C81227" w:rsidTr="006A34F5">
        <w:tc>
          <w:tcPr>
            <w:tcW w:w="1619" w:type="dxa"/>
            <w:shd w:val="clear" w:color="auto" w:fill="D6E3BC" w:themeFill="accent3" w:themeFillTint="66"/>
            <w:vAlign w:val="center"/>
          </w:tcPr>
          <w:p w:rsidR="00C81227" w:rsidRPr="0058198A" w:rsidRDefault="00C81227" w:rsidP="006A34F5">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Uka</w:t>
            </w:r>
            <w:r>
              <w:rPr>
                <w:rFonts w:eastAsia="Times New Roman"/>
                <w:b/>
                <w:bCs/>
                <w:color w:val="000000"/>
                <w:sz w:val="22"/>
                <w:szCs w:val="22"/>
                <w:lang w:eastAsia="sk-SK"/>
              </w:rPr>
              <w:t>z</w:t>
            </w:r>
            <w:r w:rsidRPr="0058198A">
              <w:rPr>
                <w:rFonts w:eastAsia="Times New Roman"/>
                <w:b/>
                <w:bCs/>
                <w:color w:val="000000"/>
                <w:sz w:val="22"/>
                <w:szCs w:val="22"/>
                <w:lang w:eastAsia="sk-SK"/>
              </w:rPr>
              <w:t>ovateľ</w:t>
            </w:r>
          </w:p>
        </w:tc>
        <w:tc>
          <w:tcPr>
            <w:tcW w:w="1711" w:type="dxa"/>
            <w:shd w:val="clear" w:color="auto" w:fill="D6E3BC" w:themeFill="accent3" w:themeFillTint="66"/>
            <w:vAlign w:val="center"/>
          </w:tcPr>
          <w:p w:rsidR="00C81227" w:rsidRPr="0058198A" w:rsidRDefault="00C81227" w:rsidP="006A34F5">
            <w:pPr>
              <w:spacing w:after="0" w:line="240" w:lineRule="auto"/>
              <w:ind w:firstLine="0"/>
              <w:jc w:val="center"/>
              <w:rPr>
                <w:rFonts w:eastAsia="Times New Roman"/>
                <w:b/>
                <w:bCs/>
                <w:color w:val="000000"/>
                <w:sz w:val="22"/>
                <w:szCs w:val="22"/>
                <w:lang w:eastAsia="sk-SK"/>
              </w:rPr>
            </w:pPr>
            <w:r w:rsidRPr="004B7DE3">
              <w:rPr>
                <w:rFonts w:eastAsia="Times New Roman"/>
                <w:color w:val="000000"/>
                <w:sz w:val="22"/>
                <w:szCs w:val="22"/>
                <w:lang w:eastAsia="sk-SK"/>
              </w:rPr>
              <w:t>Ø</w:t>
            </w:r>
            <w:r w:rsidRPr="0058198A">
              <w:rPr>
                <w:rFonts w:eastAsia="Times New Roman"/>
                <w:b/>
                <w:bCs/>
                <w:color w:val="000000"/>
                <w:sz w:val="22"/>
                <w:szCs w:val="22"/>
                <w:lang w:eastAsia="sk-SK"/>
              </w:rPr>
              <w:t xml:space="preserve"> 2011-201</w:t>
            </w:r>
            <w:r>
              <w:rPr>
                <w:rFonts w:eastAsia="Times New Roman"/>
                <w:b/>
                <w:bCs/>
                <w:color w:val="000000"/>
                <w:sz w:val="22"/>
                <w:szCs w:val="22"/>
                <w:lang w:eastAsia="sk-SK"/>
              </w:rPr>
              <w:t>5</w:t>
            </w:r>
          </w:p>
        </w:tc>
        <w:tc>
          <w:tcPr>
            <w:tcW w:w="1260" w:type="dxa"/>
            <w:shd w:val="clear" w:color="auto" w:fill="D6E3BC" w:themeFill="accent3" w:themeFillTint="66"/>
            <w:vAlign w:val="center"/>
          </w:tcPr>
          <w:p w:rsidR="00C81227" w:rsidRPr="0058198A" w:rsidRDefault="00C81227" w:rsidP="006A34F5">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2015</w:t>
            </w:r>
          </w:p>
        </w:tc>
        <w:tc>
          <w:tcPr>
            <w:tcW w:w="990" w:type="dxa"/>
            <w:shd w:val="clear" w:color="auto" w:fill="D6E3BC" w:themeFill="accent3" w:themeFillTint="66"/>
            <w:vAlign w:val="center"/>
          </w:tcPr>
          <w:p w:rsidR="00C81227" w:rsidRPr="0058198A" w:rsidRDefault="00C81227" w:rsidP="006A34F5">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201</w:t>
            </w:r>
            <w:r>
              <w:rPr>
                <w:rFonts w:eastAsia="Times New Roman"/>
                <w:b/>
                <w:bCs/>
                <w:color w:val="000000"/>
                <w:sz w:val="22"/>
                <w:szCs w:val="22"/>
                <w:lang w:eastAsia="sk-SK"/>
              </w:rPr>
              <w:t>6</w:t>
            </w:r>
          </w:p>
        </w:tc>
        <w:tc>
          <w:tcPr>
            <w:tcW w:w="1710" w:type="dxa"/>
            <w:shd w:val="clear" w:color="auto" w:fill="D6E3BC" w:themeFill="accent3" w:themeFillTint="66"/>
            <w:vAlign w:val="center"/>
          </w:tcPr>
          <w:p w:rsidR="00C81227" w:rsidRPr="0058198A" w:rsidRDefault="00C81227" w:rsidP="006A34F5">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2016/15</w:t>
            </w:r>
          </w:p>
        </w:tc>
        <w:tc>
          <w:tcPr>
            <w:tcW w:w="1800" w:type="dxa"/>
            <w:shd w:val="clear" w:color="auto" w:fill="D6E3BC" w:themeFill="accent3" w:themeFillTint="66"/>
            <w:vAlign w:val="center"/>
          </w:tcPr>
          <w:p w:rsidR="00C81227" w:rsidRPr="0058198A" w:rsidRDefault="00C81227" w:rsidP="006A34F5">
            <w:pPr>
              <w:spacing w:after="0" w:line="240" w:lineRule="auto"/>
              <w:ind w:firstLine="0"/>
              <w:jc w:val="center"/>
              <w:rPr>
                <w:rFonts w:eastAsia="Times New Roman"/>
                <w:b/>
                <w:bCs/>
                <w:color w:val="000000"/>
                <w:sz w:val="22"/>
                <w:szCs w:val="22"/>
                <w:lang w:eastAsia="sk-SK"/>
              </w:rPr>
            </w:pPr>
            <w:r w:rsidRPr="0058198A">
              <w:rPr>
                <w:rFonts w:eastAsia="Times New Roman"/>
                <w:b/>
                <w:bCs/>
                <w:color w:val="000000"/>
                <w:sz w:val="22"/>
                <w:szCs w:val="22"/>
                <w:lang w:eastAsia="sk-SK"/>
              </w:rPr>
              <w:t>Index 2016/</w:t>
            </w:r>
            <w:r w:rsidRPr="004B7DE3">
              <w:rPr>
                <w:rFonts w:eastAsia="Times New Roman"/>
                <w:color w:val="000000"/>
                <w:sz w:val="22"/>
                <w:szCs w:val="22"/>
                <w:lang w:eastAsia="sk-SK"/>
              </w:rPr>
              <w:t xml:space="preserve"> Ø</w:t>
            </w:r>
            <w:r w:rsidRPr="0058198A">
              <w:rPr>
                <w:rFonts w:eastAsia="Times New Roman"/>
                <w:b/>
                <w:bCs/>
                <w:color w:val="000000"/>
                <w:sz w:val="22"/>
                <w:szCs w:val="22"/>
                <w:lang w:eastAsia="sk-SK"/>
              </w:rPr>
              <w:t xml:space="preserve"> 2011-2015</w:t>
            </w:r>
          </w:p>
        </w:tc>
      </w:tr>
      <w:tr w:rsidR="00C81227" w:rsidTr="006A34F5">
        <w:tc>
          <w:tcPr>
            <w:tcW w:w="1619" w:type="dxa"/>
            <w:vAlign w:val="bottom"/>
          </w:tcPr>
          <w:p w:rsidR="00C81227" w:rsidRPr="00AB16F8" w:rsidRDefault="00C81227" w:rsidP="006A34F5">
            <w:pPr>
              <w:spacing w:after="0" w:line="240" w:lineRule="auto"/>
              <w:ind w:firstLine="0"/>
              <w:jc w:val="left"/>
              <w:rPr>
                <w:rFonts w:eastAsia="Times New Roman"/>
                <w:color w:val="000000"/>
                <w:sz w:val="22"/>
                <w:szCs w:val="22"/>
                <w:lang w:eastAsia="sk-SK"/>
              </w:rPr>
            </w:pPr>
            <w:r w:rsidRPr="00AB16F8">
              <w:rPr>
                <w:rFonts w:eastAsia="Times New Roman"/>
                <w:color w:val="000000"/>
                <w:sz w:val="22"/>
                <w:szCs w:val="22"/>
                <w:lang w:eastAsia="sk-SK"/>
              </w:rPr>
              <w:t>Všeobecné služby</w:t>
            </w:r>
          </w:p>
        </w:tc>
        <w:tc>
          <w:tcPr>
            <w:tcW w:w="1711" w:type="dxa"/>
            <w:vAlign w:val="bottom"/>
          </w:tcPr>
          <w:p w:rsidR="00C81227" w:rsidRPr="00AB16F8" w:rsidRDefault="00C81227" w:rsidP="006A34F5">
            <w:pPr>
              <w:spacing w:after="0" w:line="240" w:lineRule="auto"/>
              <w:ind w:firstLine="0"/>
              <w:jc w:val="right"/>
              <w:rPr>
                <w:rFonts w:eastAsia="Times New Roman"/>
                <w:color w:val="000000"/>
                <w:sz w:val="22"/>
                <w:szCs w:val="22"/>
                <w:lang w:eastAsia="sk-SK"/>
              </w:rPr>
            </w:pPr>
            <w:r w:rsidRPr="00AB16F8">
              <w:rPr>
                <w:rFonts w:eastAsia="Times New Roman"/>
                <w:color w:val="000000"/>
                <w:sz w:val="22"/>
                <w:szCs w:val="22"/>
                <w:lang w:eastAsia="sk-SK"/>
              </w:rPr>
              <w:t>96,9</w:t>
            </w:r>
          </w:p>
        </w:tc>
        <w:tc>
          <w:tcPr>
            <w:tcW w:w="1260" w:type="dxa"/>
            <w:vAlign w:val="bottom"/>
          </w:tcPr>
          <w:p w:rsidR="00C81227" w:rsidRPr="00AB16F8" w:rsidRDefault="00C81227" w:rsidP="006A34F5">
            <w:pPr>
              <w:spacing w:after="0" w:line="240" w:lineRule="auto"/>
              <w:ind w:firstLine="0"/>
              <w:jc w:val="right"/>
              <w:rPr>
                <w:rFonts w:eastAsia="Times New Roman"/>
                <w:color w:val="000000"/>
                <w:sz w:val="22"/>
                <w:szCs w:val="22"/>
                <w:lang w:eastAsia="sk-SK"/>
              </w:rPr>
            </w:pPr>
            <w:r w:rsidRPr="00AB16F8">
              <w:rPr>
                <w:rFonts w:eastAsia="Times New Roman"/>
                <w:color w:val="000000"/>
                <w:sz w:val="22"/>
                <w:szCs w:val="22"/>
                <w:lang w:eastAsia="sk-SK"/>
              </w:rPr>
              <w:t>89,4</w:t>
            </w:r>
          </w:p>
        </w:tc>
        <w:tc>
          <w:tcPr>
            <w:tcW w:w="990" w:type="dxa"/>
            <w:vAlign w:val="bottom"/>
          </w:tcPr>
          <w:p w:rsidR="00C81227" w:rsidRPr="00AB16F8" w:rsidRDefault="00C81227" w:rsidP="006A34F5">
            <w:pPr>
              <w:spacing w:after="0" w:line="240" w:lineRule="auto"/>
              <w:ind w:firstLine="0"/>
              <w:jc w:val="right"/>
              <w:rPr>
                <w:rFonts w:eastAsia="Times New Roman"/>
                <w:color w:val="000000"/>
                <w:sz w:val="22"/>
                <w:szCs w:val="22"/>
                <w:lang w:eastAsia="sk-SK"/>
              </w:rPr>
            </w:pPr>
            <w:r w:rsidRPr="00AB16F8">
              <w:rPr>
                <w:rFonts w:eastAsia="Times New Roman"/>
                <w:color w:val="000000"/>
                <w:sz w:val="22"/>
                <w:szCs w:val="22"/>
                <w:lang w:eastAsia="sk-SK"/>
              </w:rPr>
              <w:t>107,8</w:t>
            </w:r>
          </w:p>
        </w:tc>
        <w:tc>
          <w:tcPr>
            <w:tcW w:w="1710" w:type="dxa"/>
            <w:vAlign w:val="bottom"/>
          </w:tcPr>
          <w:p w:rsidR="00C81227" w:rsidRPr="00AB16F8" w:rsidRDefault="00C81227" w:rsidP="006A34F5">
            <w:pPr>
              <w:spacing w:after="0" w:line="240" w:lineRule="auto"/>
              <w:ind w:firstLine="0"/>
              <w:jc w:val="right"/>
              <w:rPr>
                <w:rFonts w:eastAsia="Times New Roman"/>
                <w:color w:val="000000"/>
                <w:sz w:val="22"/>
                <w:szCs w:val="22"/>
                <w:lang w:eastAsia="sk-SK"/>
              </w:rPr>
            </w:pPr>
            <w:r w:rsidRPr="00AB16F8">
              <w:rPr>
                <w:rFonts w:eastAsia="Times New Roman"/>
                <w:color w:val="000000"/>
                <w:sz w:val="22"/>
                <w:szCs w:val="22"/>
                <w:lang w:eastAsia="sk-SK"/>
              </w:rPr>
              <w:t>120,6</w:t>
            </w:r>
          </w:p>
        </w:tc>
        <w:tc>
          <w:tcPr>
            <w:tcW w:w="1800" w:type="dxa"/>
            <w:vAlign w:val="bottom"/>
          </w:tcPr>
          <w:p w:rsidR="00C81227" w:rsidRPr="00AB16F8" w:rsidRDefault="00C81227" w:rsidP="006A34F5">
            <w:pPr>
              <w:spacing w:after="0" w:line="240" w:lineRule="auto"/>
              <w:ind w:firstLine="0"/>
              <w:jc w:val="right"/>
              <w:rPr>
                <w:rFonts w:eastAsia="Times New Roman"/>
                <w:color w:val="000000"/>
                <w:sz w:val="22"/>
                <w:szCs w:val="22"/>
                <w:lang w:eastAsia="sk-SK"/>
              </w:rPr>
            </w:pPr>
            <w:r w:rsidRPr="00AB16F8">
              <w:rPr>
                <w:rFonts w:eastAsia="Times New Roman"/>
                <w:color w:val="000000"/>
                <w:sz w:val="22"/>
                <w:szCs w:val="22"/>
                <w:lang w:eastAsia="sk-SK"/>
              </w:rPr>
              <w:t>111,2</w:t>
            </w:r>
          </w:p>
        </w:tc>
      </w:tr>
    </w:tbl>
    <w:p w:rsidR="00C81227" w:rsidRPr="00F1363E" w:rsidRDefault="00C81227" w:rsidP="00C81227">
      <w:pPr>
        <w:spacing w:after="0" w:line="240" w:lineRule="auto"/>
        <w:ind w:firstLine="0"/>
        <w:rPr>
          <w:rStyle w:val="Siln"/>
          <w:b w:val="0"/>
          <w:sz w:val="20"/>
          <w:szCs w:val="20"/>
        </w:rPr>
      </w:pPr>
      <w:r w:rsidRPr="00F1363E">
        <w:rPr>
          <w:rStyle w:val="Siln"/>
          <w:b w:val="0"/>
          <w:sz w:val="20"/>
          <w:szCs w:val="20"/>
        </w:rPr>
        <w:t>Prameň: MPRV SR, PPA</w:t>
      </w:r>
    </w:p>
    <w:p w:rsidR="00C81227" w:rsidRPr="00F1363E" w:rsidRDefault="00C81227" w:rsidP="00C81227">
      <w:pPr>
        <w:spacing w:after="120" w:line="240" w:lineRule="auto"/>
        <w:ind w:firstLine="0"/>
        <w:rPr>
          <w:b/>
        </w:rPr>
      </w:pPr>
      <w:r w:rsidRPr="00F1363E">
        <w:rPr>
          <w:rStyle w:val="Siln"/>
          <w:b w:val="0"/>
          <w:sz w:val="20"/>
          <w:szCs w:val="20"/>
        </w:rPr>
        <w:t xml:space="preserve">Vypracoval: </w:t>
      </w:r>
      <w:r w:rsidRPr="00F1363E">
        <w:rPr>
          <w:sz w:val="20"/>
          <w:szCs w:val="20"/>
        </w:rPr>
        <w:t>NPPC - VÚEPP</w:t>
      </w:r>
      <w:r w:rsidRPr="00F1363E">
        <w:rPr>
          <w:b/>
        </w:rPr>
        <w:t xml:space="preserve"> </w:t>
      </w:r>
    </w:p>
    <w:p w:rsidR="00674387" w:rsidRDefault="00674387" w:rsidP="00802716">
      <w:pPr>
        <w:spacing w:after="0"/>
        <w:ind w:firstLine="0"/>
        <w:rPr>
          <w:b/>
        </w:rPr>
      </w:pPr>
    </w:p>
    <w:p w:rsidR="00CC79E8" w:rsidRDefault="0039477D" w:rsidP="00802716">
      <w:pPr>
        <w:spacing w:after="0"/>
        <w:ind w:firstLine="0"/>
        <w:jc w:val="left"/>
      </w:pPr>
      <w:r w:rsidRPr="00F1363E">
        <w:rPr>
          <w:b/>
        </w:rPr>
        <w:lastRenderedPageBreak/>
        <w:t>Celkové výda</w:t>
      </w:r>
      <w:r w:rsidR="00A149C1" w:rsidRPr="00F1363E">
        <w:rPr>
          <w:b/>
        </w:rPr>
        <w:t>vky</w:t>
      </w:r>
      <w:r w:rsidRPr="00F1363E">
        <w:rPr>
          <w:b/>
        </w:rPr>
        <w:t xml:space="preserve"> do poľnohospodárstva</w:t>
      </w:r>
      <w:r w:rsidR="006D1743" w:rsidRPr="00F1363E">
        <w:rPr>
          <w:b/>
        </w:rPr>
        <w:t>, rozvoja vidieka a potravinárstva</w:t>
      </w:r>
      <w:r w:rsidRPr="00F1363E">
        <w:rPr>
          <w:b/>
        </w:rPr>
        <w:t xml:space="preserve"> </w:t>
      </w:r>
      <w:r w:rsidR="001F7D81" w:rsidRPr="00F1363E">
        <w:rPr>
          <w:b/>
        </w:rPr>
        <w:t>v rokoch 201</w:t>
      </w:r>
      <w:r w:rsidR="00880240">
        <w:rPr>
          <w:b/>
        </w:rPr>
        <w:t>4</w:t>
      </w:r>
      <w:r w:rsidR="00CA5B83">
        <w:rPr>
          <w:b/>
        </w:rPr>
        <w:t xml:space="preserve"> a</w:t>
      </w:r>
      <w:r w:rsidR="00802716">
        <w:rPr>
          <w:b/>
        </w:rPr>
        <w:t> </w:t>
      </w:r>
      <w:r w:rsidR="00880240">
        <w:rPr>
          <w:b/>
        </w:rPr>
        <w:t>2015</w:t>
      </w:r>
      <w:r w:rsidR="00802716">
        <w:rPr>
          <w:b/>
        </w:rPr>
        <w:t xml:space="preserve"> </w:t>
      </w:r>
      <w:r w:rsidR="00CC79E8" w:rsidRPr="00F1363E">
        <w:t>v mil. €                                                                                             Tabuľka 1</w:t>
      </w:r>
      <w:r w:rsidR="007A4CAB">
        <w:t>5</w:t>
      </w:r>
    </w:p>
    <w:tbl>
      <w:tblPr>
        <w:tblW w:w="0" w:type="auto"/>
        <w:tblInd w:w="55" w:type="dxa"/>
        <w:tblCellMar>
          <w:left w:w="70" w:type="dxa"/>
          <w:right w:w="70" w:type="dxa"/>
        </w:tblCellMar>
        <w:tblLook w:val="04A0" w:firstRow="1" w:lastRow="0" w:firstColumn="1" w:lastColumn="0" w:noHBand="0" w:noVBand="1"/>
      </w:tblPr>
      <w:tblGrid>
        <w:gridCol w:w="3276"/>
        <w:gridCol w:w="992"/>
        <w:gridCol w:w="992"/>
        <w:gridCol w:w="851"/>
        <w:gridCol w:w="850"/>
        <w:gridCol w:w="851"/>
        <w:gridCol w:w="992"/>
      </w:tblGrid>
      <w:tr w:rsidR="00880240" w:rsidRPr="00880240" w:rsidTr="00D209D6">
        <w:trPr>
          <w:trHeight w:val="315"/>
        </w:trPr>
        <w:tc>
          <w:tcPr>
            <w:tcW w:w="3276" w:type="dxa"/>
            <w:tcBorders>
              <w:top w:val="single" w:sz="8" w:space="0" w:color="auto"/>
              <w:left w:val="single" w:sz="8" w:space="0" w:color="auto"/>
              <w:bottom w:val="single" w:sz="4" w:space="0" w:color="auto"/>
              <w:right w:val="single" w:sz="4" w:space="0" w:color="auto"/>
            </w:tcBorders>
            <w:shd w:val="clear" w:color="000000" w:fill="C2D69B" w:themeFill="accent3" w:themeFillTint="99"/>
            <w:hideMark/>
          </w:tcPr>
          <w:p w:rsidR="00880240" w:rsidRPr="00880240" w:rsidRDefault="00880240" w:rsidP="00880240">
            <w:pPr>
              <w:spacing w:after="0" w:line="240" w:lineRule="auto"/>
              <w:ind w:firstLine="0"/>
              <w:rPr>
                <w:rFonts w:eastAsia="Times New Roman"/>
                <w:b/>
                <w:bCs/>
                <w:color w:val="000000"/>
                <w:sz w:val="22"/>
                <w:szCs w:val="22"/>
                <w:lang w:eastAsia="sk-SK"/>
              </w:rPr>
            </w:pPr>
            <w:r w:rsidRPr="00880240">
              <w:rPr>
                <w:rFonts w:eastAsia="Times New Roman"/>
                <w:b/>
                <w:bCs/>
                <w:color w:val="000000"/>
                <w:sz w:val="22"/>
                <w:szCs w:val="22"/>
                <w:lang w:eastAsia="sk-SK"/>
              </w:rPr>
              <w:t> </w:t>
            </w:r>
          </w:p>
        </w:tc>
        <w:tc>
          <w:tcPr>
            <w:tcW w:w="2835" w:type="dxa"/>
            <w:gridSpan w:val="3"/>
            <w:tcBorders>
              <w:top w:val="single" w:sz="8" w:space="0" w:color="auto"/>
              <w:left w:val="single" w:sz="4" w:space="0" w:color="auto"/>
              <w:bottom w:val="single" w:sz="4" w:space="0" w:color="auto"/>
              <w:right w:val="single" w:sz="4" w:space="0" w:color="auto"/>
            </w:tcBorders>
            <w:shd w:val="clear" w:color="000000" w:fill="C2D69B" w:themeFill="accent3" w:themeFillTint="99"/>
            <w:vAlign w:val="bottom"/>
            <w:hideMark/>
          </w:tcPr>
          <w:p w:rsidR="00880240" w:rsidRPr="00880240" w:rsidRDefault="00880240" w:rsidP="007A4CAB">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201</w:t>
            </w:r>
            <w:r w:rsidR="007A4CAB">
              <w:rPr>
                <w:rFonts w:eastAsia="Times New Roman"/>
                <w:b/>
                <w:bCs/>
                <w:color w:val="000000"/>
                <w:sz w:val="22"/>
                <w:szCs w:val="22"/>
                <w:lang w:eastAsia="sk-SK"/>
              </w:rPr>
              <w:t>5</w:t>
            </w:r>
          </w:p>
        </w:tc>
        <w:tc>
          <w:tcPr>
            <w:tcW w:w="2693" w:type="dxa"/>
            <w:gridSpan w:val="3"/>
            <w:tcBorders>
              <w:top w:val="single" w:sz="8" w:space="0" w:color="auto"/>
              <w:left w:val="single" w:sz="4" w:space="0" w:color="auto"/>
              <w:bottom w:val="single" w:sz="4" w:space="0" w:color="auto"/>
              <w:right w:val="single" w:sz="8" w:space="0" w:color="auto"/>
            </w:tcBorders>
            <w:shd w:val="clear" w:color="000000" w:fill="C2D69B" w:themeFill="accent3" w:themeFillTint="99"/>
            <w:vAlign w:val="bottom"/>
            <w:hideMark/>
          </w:tcPr>
          <w:p w:rsidR="00880240" w:rsidRPr="00880240" w:rsidRDefault="00880240" w:rsidP="007A4CAB">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201</w:t>
            </w:r>
            <w:r w:rsidR="007A4CAB">
              <w:rPr>
                <w:rFonts w:eastAsia="Times New Roman"/>
                <w:b/>
                <w:bCs/>
                <w:color w:val="000000"/>
                <w:sz w:val="22"/>
                <w:szCs w:val="22"/>
                <w:lang w:eastAsia="sk-SK"/>
              </w:rPr>
              <w:t>6</w:t>
            </w:r>
          </w:p>
        </w:tc>
      </w:tr>
      <w:tr w:rsidR="00D209D6" w:rsidRPr="00880240" w:rsidTr="00D209D6">
        <w:trPr>
          <w:trHeight w:val="315"/>
        </w:trPr>
        <w:tc>
          <w:tcPr>
            <w:tcW w:w="3276" w:type="dxa"/>
            <w:tcBorders>
              <w:top w:val="single" w:sz="4" w:space="0" w:color="auto"/>
              <w:left w:val="single" w:sz="8" w:space="0" w:color="auto"/>
              <w:bottom w:val="single" w:sz="4" w:space="0" w:color="auto"/>
              <w:right w:val="single" w:sz="4" w:space="0" w:color="auto"/>
            </w:tcBorders>
            <w:shd w:val="clear" w:color="000000" w:fill="C2D69B" w:themeFill="accent3" w:themeFillTint="99"/>
            <w:hideMark/>
          </w:tcPr>
          <w:p w:rsidR="00880240" w:rsidRPr="00880240" w:rsidRDefault="00880240" w:rsidP="00880240">
            <w:pPr>
              <w:spacing w:after="0" w:line="240" w:lineRule="auto"/>
              <w:ind w:firstLine="0"/>
              <w:rPr>
                <w:rFonts w:eastAsia="Times New Roman"/>
                <w:b/>
                <w:bCs/>
                <w:color w:val="000000"/>
                <w:sz w:val="22"/>
                <w:szCs w:val="22"/>
                <w:lang w:eastAsia="sk-SK"/>
              </w:rPr>
            </w:pPr>
            <w:r w:rsidRPr="00880240">
              <w:rPr>
                <w:rFonts w:eastAsia="Times New Roman"/>
                <w:b/>
                <w:bCs/>
                <w:color w:val="000000"/>
                <w:sz w:val="22"/>
                <w:szCs w:val="22"/>
                <w:lang w:eastAsia="sk-SK"/>
              </w:rPr>
              <w:t> Tituly</w:t>
            </w:r>
          </w:p>
        </w:tc>
        <w:tc>
          <w:tcPr>
            <w:tcW w:w="992"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EÚ</w:t>
            </w:r>
          </w:p>
        </w:tc>
        <w:tc>
          <w:tcPr>
            <w:tcW w:w="992" w:type="dxa"/>
            <w:tcBorders>
              <w:top w:val="single" w:sz="4" w:space="0" w:color="auto"/>
              <w:left w:val="single" w:sz="4" w:space="0" w:color="auto"/>
              <w:bottom w:val="single" w:sz="4" w:space="0" w:color="auto"/>
              <w:right w:val="single" w:sz="4" w:space="0" w:color="auto"/>
            </w:tcBorders>
            <w:shd w:val="clear" w:color="000000" w:fill="C2D69B" w:themeFill="accent3" w:themeFillTint="99"/>
            <w:noWrap/>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SR</w:t>
            </w:r>
          </w:p>
        </w:tc>
        <w:tc>
          <w:tcPr>
            <w:tcW w:w="851" w:type="dxa"/>
            <w:tcBorders>
              <w:top w:val="single" w:sz="4" w:space="0" w:color="auto"/>
              <w:left w:val="single" w:sz="4" w:space="0" w:color="auto"/>
              <w:bottom w:val="single" w:sz="4" w:space="0" w:color="auto"/>
              <w:right w:val="single" w:sz="4" w:space="0" w:color="auto"/>
            </w:tcBorders>
            <w:shd w:val="clear" w:color="000000" w:fill="C2D69B" w:themeFill="accent3" w:themeFillTint="99"/>
            <w:noWrap/>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Spolu</w:t>
            </w:r>
          </w:p>
        </w:tc>
        <w:tc>
          <w:tcPr>
            <w:tcW w:w="850"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EÚ</w:t>
            </w:r>
          </w:p>
        </w:tc>
        <w:tc>
          <w:tcPr>
            <w:tcW w:w="851"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SR</w:t>
            </w:r>
          </w:p>
        </w:tc>
        <w:tc>
          <w:tcPr>
            <w:tcW w:w="992" w:type="dxa"/>
            <w:tcBorders>
              <w:top w:val="single" w:sz="4" w:space="0" w:color="auto"/>
              <w:left w:val="single" w:sz="4" w:space="0" w:color="auto"/>
              <w:bottom w:val="single" w:sz="4" w:space="0" w:color="auto"/>
              <w:right w:val="single" w:sz="8" w:space="0" w:color="auto"/>
            </w:tcBorders>
            <w:shd w:val="clear" w:color="000000" w:fill="C2D69B" w:themeFill="accent3" w:themeFillTint="99"/>
            <w:noWrap/>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Spolu</w:t>
            </w:r>
          </w:p>
        </w:tc>
      </w:tr>
      <w:tr w:rsidR="00D209D6" w:rsidRPr="00880240" w:rsidTr="00D209D6">
        <w:trPr>
          <w:trHeight w:val="315"/>
        </w:trPr>
        <w:tc>
          <w:tcPr>
            <w:tcW w:w="3276" w:type="dxa"/>
            <w:tcBorders>
              <w:top w:val="single" w:sz="4" w:space="0" w:color="auto"/>
              <w:left w:val="single" w:sz="8" w:space="0" w:color="auto"/>
              <w:bottom w:val="single" w:sz="8" w:space="0" w:color="auto"/>
              <w:right w:val="single" w:sz="8" w:space="0" w:color="auto"/>
            </w:tcBorders>
            <w:shd w:val="clear" w:color="000000" w:fill="FFFFFF"/>
            <w:hideMark/>
          </w:tcPr>
          <w:p w:rsidR="000F59CE" w:rsidRPr="00880240" w:rsidRDefault="000F59CE" w:rsidP="00880240">
            <w:pPr>
              <w:spacing w:after="0" w:line="240" w:lineRule="auto"/>
              <w:ind w:firstLine="0"/>
              <w:jc w:val="left"/>
              <w:rPr>
                <w:rFonts w:eastAsia="Times New Roman"/>
                <w:color w:val="000000"/>
                <w:sz w:val="22"/>
                <w:szCs w:val="22"/>
                <w:lang w:eastAsia="sk-SK"/>
              </w:rPr>
            </w:pPr>
            <w:r>
              <w:rPr>
                <w:rFonts w:eastAsia="Times New Roman"/>
                <w:color w:val="000000"/>
                <w:sz w:val="22"/>
                <w:szCs w:val="22"/>
                <w:lang w:eastAsia="sk-SK"/>
              </w:rPr>
              <w:t>Trhovo</w:t>
            </w:r>
            <w:r w:rsidRPr="00880240">
              <w:rPr>
                <w:rFonts w:eastAsia="Times New Roman"/>
                <w:color w:val="000000"/>
                <w:sz w:val="22"/>
                <w:szCs w:val="22"/>
                <w:lang w:eastAsia="sk-SK"/>
              </w:rPr>
              <w:t>orientované výdavky</w:t>
            </w:r>
          </w:p>
        </w:tc>
        <w:tc>
          <w:tcPr>
            <w:tcW w:w="992" w:type="dxa"/>
            <w:tcBorders>
              <w:top w:val="single" w:sz="4" w:space="0" w:color="auto"/>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11,1</w:t>
            </w:r>
          </w:p>
        </w:tc>
        <w:tc>
          <w:tcPr>
            <w:tcW w:w="992" w:type="dxa"/>
            <w:tcBorders>
              <w:top w:val="single" w:sz="4" w:space="0" w:color="auto"/>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2,6</w:t>
            </w:r>
          </w:p>
        </w:tc>
        <w:tc>
          <w:tcPr>
            <w:tcW w:w="851" w:type="dxa"/>
            <w:tcBorders>
              <w:top w:val="single" w:sz="4" w:space="0" w:color="auto"/>
              <w:left w:val="nil"/>
              <w:bottom w:val="single" w:sz="8" w:space="0" w:color="auto"/>
              <w:right w:val="single" w:sz="8" w:space="0" w:color="auto"/>
            </w:tcBorders>
            <w:shd w:val="clear" w:color="000000" w:fill="FFFFFF"/>
            <w:noWrap/>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13,7</w:t>
            </w:r>
          </w:p>
        </w:tc>
        <w:tc>
          <w:tcPr>
            <w:tcW w:w="850" w:type="dxa"/>
            <w:tcBorders>
              <w:top w:val="single" w:sz="4" w:space="0" w:color="auto"/>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7,9</w:t>
            </w:r>
          </w:p>
        </w:tc>
        <w:tc>
          <w:tcPr>
            <w:tcW w:w="851" w:type="dxa"/>
            <w:tcBorders>
              <w:top w:val="single" w:sz="4" w:space="0" w:color="auto"/>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3,6</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11,5</w:t>
            </w:r>
          </w:p>
        </w:tc>
      </w:tr>
      <w:tr w:rsidR="00D209D6" w:rsidRPr="00880240" w:rsidTr="00D209D6">
        <w:trPr>
          <w:trHeight w:val="315"/>
        </w:trPr>
        <w:tc>
          <w:tcPr>
            <w:tcW w:w="3276" w:type="dxa"/>
            <w:tcBorders>
              <w:top w:val="nil"/>
              <w:left w:val="single" w:sz="8" w:space="0" w:color="auto"/>
              <w:bottom w:val="single" w:sz="8" w:space="0" w:color="auto"/>
              <w:right w:val="single" w:sz="8" w:space="0" w:color="auto"/>
            </w:tcBorders>
            <w:shd w:val="clear" w:color="000000" w:fill="FFFFFF"/>
            <w:hideMark/>
          </w:tcPr>
          <w:p w:rsidR="000F59CE" w:rsidRPr="00880240" w:rsidRDefault="000F59CE"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Priame platby*</w:t>
            </w:r>
          </w:p>
        </w:tc>
        <w:tc>
          <w:tcPr>
            <w:tcW w:w="992" w:type="dxa"/>
            <w:tcBorders>
              <w:top w:val="nil"/>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375,9</w:t>
            </w:r>
          </w:p>
        </w:tc>
        <w:tc>
          <w:tcPr>
            <w:tcW w:w="992" w:type="dxa"/>
            <w:tcBorders>
              <w:top w:val="nil"/>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9,1</w:t>
            </w:r>
          </w:p>
        </w:tc>
        <w:tc>
          <w:tcPr>
            <w:tcW w:w="851" w:type="dxa"/>
            <w:tcBorders>
              <w:top w:val="nil"/>
              <w:left w:val="nil"/>
              <w:bottom w:val="single" w:sz="8" w:space="0" w:color="auto"/>
              <w:right w:val="single" w:sz="8" w:space="0" w:color="auto"/>
            </w:tcBorders>
            <w:shd w:val="clear" w:color="000000" w:fill="FFFFFF"/>
            <w:noWrap/>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385,0</w:t>
            </w:r>
          </w:p>
        </w:tc>
        <w:tc>
          <w:tcPr>
            <w:tcW w:w="850" w:type="dxa"/>
            <w:tcBorders>
              <w:top w:val="nil"/>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399,2</w:t>
            </w:r>
          </w:p>
        </w:tc>
        <w:tc>
          <w:tcPr>
            <w:tcW w:w="851" w:type="dxa"/>
            <w:tcBorders>
              <w:top w:val="nil"/>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8,8</w:t>
            </w:r>
          </w:p>
        </w:tc>
        <w:tc>
          <w:tcPr>
            <w:tcW w:w="992" w:type="dxa"/>
            <w:tcBorders>
              <w:top w:val="nil"/>
              <w:left w:val="nil"/>
              <w:bottom w:val="single" w:sz="8" w:space="0" w:color="auto"/>
              <w:right w:val="single" w:sz="8" w:space="0" w:color="auto"/>
            </w:tcBorders>
            <w:shd w:val="clear" w:color="000000" w:fill="FFFFFF"/>
            <w:noWrap/>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408,0</w:t>
            </w:r>
          </w:p>
        </w:tc>
      </w:tr>
      <w:tr w:rsidR="00D209D6" w:rsidRPr="00880240" w:rsidTr="00D209D6">
        <w:trPr>
          <w:trHeight w:val="315"/>
        </w:trPr>
        <w:tc>
          <w:tcPr>
            <w:tcW w:w="3276" w:type="dxa"/>
            <w:tcBorders>
              <w:top w:val="nil"/>
              <w:left w:val="single" w:sz="8" w:space="0" w:color="auto"/>
              <w:bottom w:val="single" w:sz="8" w:space="0" w:color="auto"/>
              <w:right w:val="single" w:sz="8" w:space="0" w:color="auto"/>
            </w:tcBorders>
            <w:shd w:val="clear" w:color="000000" w:fill="FFFFFF"/>
            <w:hideMark/>
          </w:tcPr>
          <w:p w:rsidR="000F59CE" w:rsidRDefault="000F59CE"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 xml:space="preserve">Program rozvoja vidieka </w:t>
            </w:r>
            <w:r w:rsidR="0077356F">
              <w:rPr>
                <w:rFonts w:eastAsia="Times New Roman"/>
                <w:color w:val="000000"/>
                <w:sz w:val="22"/>
                <w:szCs w:val="22"/>
                <w:lang w:eastAsia="sk-SK"/>
              </w:rPr>
              <w:t>SR</w:t>
            </w:r>
          </w:p>
          <w:p w:rsidR="000F59CE" w:rsidRPr="00880240" w:rsidRDefault="000F59CE"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2007 - 2013</w:t>
            </w:r>
          </w:p>
        </w:tc>
        <w:tc>
          <w:tcPr>
            <w:tcW w:w="992" w:type="dxa"/>
            <w:tcBorders>
              <w:top w:val="nil"/>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236,5</w:t>
            </w:r>
          </w:p>
        </w:tc>
        <w:tc>
          <w:tcPr>
            <w:tcW w:w="992" w:type="dxa"/>
            <w:tcBorders>
              <w:top w:val="nil"/>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77,3</w:t>
            </w:r>
          </w:p>
        </w:tc>
        <w:tc>
          <w:tcPr>
            <w:tcW w:w="851" w:type="dxa"/>
            <w:tcBorders>
              <w:top w:val="nil"/>
              <w:left w:val="nil"/>
              <w:bottom w:val="single" w:sz="8" w:space="0" w:color="auto"/>
              <w:right w:val="single" w:sz="8" w:space="0" w:color="auto"/>
            </w:tcBorders>
            <w:shd w:val="clear" w:color="000000" w:fill="FFFFFF"/>
            <w:noWrap/>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313,8</w:t>
            </w:r>
          </w:p>
        </w:tc>
        <w:tc>
          <w:tcPr>
            <w:tcW w:w="850" w:type="dxa"/>
            <w:tcBorders>
              <w:top w:val="nil"/>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0,02</w:t>
            </w:r>
          </w:p>
        </w:tc>
        <w:tc>
          <w:tcPr>
            <w:tcW w:w="851" w:type="dxa"/>
            <w:tcBorders>
              <w:top w:val="nil"/>
              <w:left w:val="nil"/>
              <w:bottom w:val="single" w:sz="8" w:space="0" w:color="auto"/>
              <w:right w:val="single" w:sz="8" w:space="0" w:color="auto"/>
            </w:tcBorders>
            <w:shd w:val="clear" w:color="000000" w:fill="FFFFFF"/>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0</w:t>
            </w:r>
          </w:p>
        </w:tc>
        <w:tc>
          <w:tcPr>
            <w:tcW w:w="992" w:type="dxa"/>
            <w:tcBorders>
              <w:top w:val="nil"/>
              <w:left w:val="nil"/>
              <w:bottom w:val="single" w:sz="8" w:space="0" w:color="auto"/>
              <w:right w:val="single" w:sz="8" w:space="0" w:color="auto"/>
            </w:tcBorders>
            <w:shd w:val="clear" w:color="000000" w:fill="FFFFFF"/>
            <w:noWrap/>
            <w:vAlign w:val="bottom"/>
            <w:hideMark/>
          </w:tcPr>
          <w:p w:rsidR="000F59CE" w:rsidRPr="004347DD" w:rsidRDefault="000F59CE" w:rsidP="006A34F5">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0,02</w:t>
            </w:r>
          </w:p>
        </w:tc>
      </w:tr>
      <w:tr w:rsidR="00D209D6" w:rsidRPr="00880240" w:rsidTr="00D209D6">
        <w:trPr>
          <w:trHeight w:val="315"/>
        </w:trPr>
        <w:tc>
          <w:tcPr>
            <w:tcW w:w="3276" w:type="dxa"/>
            <w:tcBorders>
              <w:top w:val="nil"/>
              <w:left w:val="single" w:sz="8" w:space="0" w:color="auto"/>
              <w:bottom w:val="single" w:sz="8" w:space="0" w:color="auto"/>
              <w:right w:val="single" w:sz="8" w:space="0" w:color="auto"/>
            </w:tcBorders>
            <w:shd w:val="clear" w:color="000000" w:fill="FFFFFF"/>
            <w:hideMark/>
          </w:tcPr>
          <w:p w:rsidR="007A4CAB" w:rsidRDefault="007A4CAB"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 xml:space="preserve">Program rozvoja vidieka </w:t>
            </w:r>
            <w:r w:rsidR="0077356F">
              <w:rPr>
                <w:rFonts w:eastAsia="Times New Roman"/>
                <w:color w:val="000000"/>
                <w:sz w:val="22"/>
                <w:szCs w:val="22"/>
                <w:lang w:eastAsia="sk-SK"/>
              </w:rPr>
              <w:t>SR</w:t>
            </w:r>
          </w:p>
          <w:p w:rsidR="007A4CAB" w:rsidRPr="00880240" w:rsidRDefault="007A4CAB"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2014 - 2020</w:t>
            </w:r>
          </w:p>
        </w:tc>
        <w:tc>
          <w:tcPr>
            <w:tcW w:w="992" w:type="dxa"/>
            <w:tcBorders>
              <w:top w:val="nil"/>
              <w:left w:val="nil"/>
              <w:bottom w:val="single" w:sz="8" w:space="0" w:color="auto"/>
              <w:right w:val="single" w:sz="8" w:space="0" w:color="auto"/>
            </w:tcBorders>
            <w:shd w:val="clear" w:color="000000" w:fill="FFFFFF"/>
            <w:vAlign w:val="bottom"/>
            <w:hideMark/>
          </w:tcPr>
          <w:p w:rsidR="007A4CAB" w:rsidRPr="004347DD" w:rsidRDefault="007A4CAB" w:rsidP="00912D0E">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44,8</w:t>
            </w:r>
          </w:p>
        </w:tc>
        <w:tc>
          <w:tcPr>
            <w:tcW w:w="992" w:type="dxa"/>
            <w:tcBorders>
              <w:top w:val="nil"/>
              <w:left w:val="nil"/>
              <w:bottom w:val="single" w:sz="8" w:space="0" w:color="auto"/>
              <w:right w:val="single" w:sz="8" w:space="0" w:color="auto"/>
            </w:tcBorders>
            <w:shd w:val="clear" w:color="000000" w:fill="FFFFFF"/>
            <w:vAlign w:val="bottom"/>
            <w:hideMark/>
          </w:tcPr>
          <w:p w:rsidR="007A4CAB" w:rsidRPr="004347DD" w:rsidRDefault="007A4CAB" w:rsidP="00912D0E">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15,2</w:t>
            </w:r>
          </w:p>
        </w:tc>
        <w:tc>
          <w:tcPr>
            <w:tcW w:w="851" w:type="dxa"/>
            <w:tcBorders>
              <w:top w:val="nil"/>
              <w:left w:val="nil"/>
              <w:bottom w:val="single" w:sz="8" w:space="0" w:color="auto"/>
              <w:right w:val="single" w:sz="8" w:space="0" w:color="auto"/>
            </w:tcBorders>
            <w:shd w:val="clear" w:color="000000" w:fill="FFFFFF"/>
            <w:noWrap/>
            <w:vAlign w:val="bottom"/>
            <w:hideMark/>
          </w:tcPr>
          <w:p w:rsidR="007A4CAB" w:rsidRPr="004347DD" w:rsidRDefault="007A4CAB" w:rsidP="00912D0E">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60,0</w:t>
            </w:r>
          </w:p>
        </w:tc>
        <w:tc>
          <w:tcPr>
            <w:tcW w:w="850" w:type="dxa"/>
            <w:tcBorders>
              <w:top w:val="nil"/>
              <w:left w:val="nil"/>
              <w:bottom w:val="single" w:sz="8" w:space="0" w:color="auto"/>
              <w:right w:val="single" w:sz="8" w:space="0" w:color="auto"/>
            </w:tcBorders>
            <w:shd w:val="clear" w:color="000000" w:fill="FFFFFF"/>
            <w:vAlign w:val="bottom"/>
            <w:hideMark/>
          </w:tcPr>
          <w:p w:rsidR="007A4CAB" w:rsidRPr="004347DD" w:rsidRDefault="007A4CAB" w:rsidP="00912D0E">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121,1</w:t>
            </w:r>
          </w:p>
        </w:tc>
        <w:tc>
          <w:tcPr>
            <w:tcW w:w="851" w:type="dxa"/>
            <w:tcBorders>
              <w:top w:val="nil"/>
              <w:left w:val="nil"/>
              <w:bottom w:val="single" w:sz="8" w:space="0" w:color="auto"/>
              <w:right w:val="single" w:sz="8" w:space="0" w:color="auto"/>
            </w:tcBorders>
            <w:shd w:val="clear" w:color="000000" w:fill="FFFFFF"/>
            <w:vAlign w:val="bottom"/>
            <w:hideMark/>
          </w:tcPr>
          <w:p w:rsidR="007A4CAB" w:rsidRPr="004347DD" w:rsidRDefault="007A4CAB" w:rsidP="00912D0E">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41,3</w:t>
            </w:r>
          </w:p>
        </w:tc>
        <w:tc>
          <w:tcPr>
            <w:tcW w:w="992" w:type="dxa"/>
            <w:tcBorders>
              <w:top w:val="nil"/>
              <w:left w:val="nil"/>
              <w:bottom w:val="single" w:sz="8" w:space="0" w:color="auto"/>
              <w:right w:val="single" w:sz="8" w:space="0" w:color="auto"/>
            </w:tcBorders>
            <w:shd w:val="clear" w:color="000000" w:fill="FFFFFF"/>
            <w:noWrap/>
            <w:vAlign w:val="bottom"/>
            <w:hideMark/>
          </w:tcPr>
          <w:p w:rsidR="007A4CAB" w:rsidRPr="004347DD" w:rsidRDefault="007A4CAB" w:rsidP="00912D0E">
            <w:pPr>
              <w:spacing w:after="0" w:line="240" w:lineRule="auto"/>
              <w:ind w:firstLine="0"/>
              <w:jc w:val="right"/>
              <w:rPr>
                <w:rFonts w:eastAsia="Times New Roman"/>
                <w:color w:val="000000"/>
                <w:sz w:val="22"/>
                <w:szCs w:val="22"/>
                <w:lang w:eastAsia="sk-SK"/>
              </w:rPr>
            </w:pPr>
            <w:r w:rsidRPr="004347DD">
              <w:rPr>
                <w:rFonts w:eastAsia="Times New Roman"/>
                <w:color w:val="000000"/>
                <w:sz w:val="22"/>
                <w:szCs w:val="22"/>
                <w:lang w:eastAsia="sk-SK"/>
              </w:rPr>
              <w:t>162,4</w:t>
            </w:r>
          </w:p>
        </w:tc>
      </w:tr>
      <w:tr w:rsidR="00D209D6" w:rsidRPr="00880240" w:rsidTr="00D209D6">
        <w:trPr>
          <w:trHeight w:val="315"/>
        </w:trPr>
        <w:tc>
          <w:tcPr>
            <w:tcW w:w="3276" w:type="dxa"/>
            <w:tcBorders>
              <w:top w:val="nil"/>
              <w:left w:val="single" w:sz="8" w:space="0" w:color="auto"/>
              <w:bottom w:val="single" w:sz="8" w:space="0" w:color="auto"/>
              <w:right w:val="single" w:sz="8" w:space="0" w:color="auto"/>
            </w:tcBorders>
            <w:shd w:val="clear" w:color="000000" w:fill="FFFFFF"/>
            <w:hideMark/>
          </w:tcPr>
          <w:p w:rsidR="0022106A" w:rsidRPr="00880240" w:rsidRDefault="0022106A" w:rsidP="0022106A">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OP RH SR 2007 - 2013</w:t>
            </w:r>
          </w:p>
        </w:tc>
        <w:tc>
          <w:tcPr>
            <w:tcW w:w="992"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2</w:t>
            </w:r>
          </w:p>
        </w:tc>
        <w:tc>
          <w:tcPr>
            <w:tcW w:w="992"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0,6</w:t>
            </w:r>
          </w:p>
        </w:tc>
        <w:tc>
          <w:tcPr>
            <w:tcW w:w="851" w:type="dxa"/>
            <w:tcBorders>
              <w:top w:val="nil"/>
              <w:left w:val="nil"/>
              <w:bottom w:val="single" w:sz="8" w:space="0" w:color="auto"/>
              <w:right w:val="single" w:sz="8" w:space="0" w:color="auto"/>
            </w:tcBorders>
            <w:shd w:val="clear" w:color="000000" w:fill="FFFFFF"/>
            <w:noWrap/>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2,6</w:t>
            </w:r>
          </w:p>
        </w:tc>
        <w:tc>
          <w:tcPr>
            <w:tcW w:w="850"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0,3</w:t>
            </w:r>
          </w:p>
        </w:tc>
        <w:tc>
          <w:tcPr>
            <w:tcW w:w="851"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0,1</w:t>
            </w:r>
          </w:p>
        </w:tc>
        <w:tc>
          <w:tcPr>
            <w:tcW w:w="992" w:type="dxa"/>
            <w:tcBorders>
              <w:top w:val="nil"/>
              <w:left w:val="nil"/>
              <w:bottom w:val="single" w:sz="8" w:space="0" w:color="auto"/>
              <w:right w:val="single" w:sz="8" w:space="0" w:color="auto"/>
            </w:tcBorders>
            <w:shd w:val="clear" w:color="000000" w:fill="FFFFFF"/>
            <w:noWrap/>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0,4</w:t>
            </w:r>
          </w:p>
        </w:tc>
      </w:tr>
      <w:tr w:rsidR="00D209D6" w:rsidRPr="00880240" w:rsidTr="00D209D6">
        <w:trPr>
          <w:trHeight w:val="315"/>
        </w:trPr>
        <w:tc>
          <w:tcPr>
            <w:tcW w:w="3276" w:type="dxa"/>
            <w:tcBorders>
              <w:top w:val="nil"/>
              <w:left w:val="single" w:sz="8" w:space="0" w:color="auto"/>
              <w:bottom w:val="single" w:sz="8" w:space="0" w:color="auto"/>
              <w:right w:val="single" w:sz="8" w:space="0" w:color="auto"/>
            </w:tcBorders>
            <w:shd w:val="clear" w:color="000000" w:fill="FFFFFF"/>
            <w:hideMark/>
          </w:tcPr>
          <w:p w:rsidR="0022106A" w:rsidRPr="00880240" w:rsidRDefault="0022106A"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Štátna pomoc a národné podpory</w:t>
            </w:r>
          </w:p>
        </w:tc>
        <w:tc>
          <w:tcPr>
            <w:tcW w:w="992"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0</w:t>
            </w:r>
          </w:p>
        </w:tc>
        <w:tc>
          <w:tcPr>
            <w:tcW w:w="992"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6,1</w:t>
            </w:r>
          </w:p>
        </w:tc>
        <w:tc>
          <w:tcPr>
            <w:tcW w:w="851" w:type="dxa"/>
            <w:tcBorders>
              <w:top w:val="nil"/>
              <w:left w:val="nil"/>
              <w:bottom w:val="single" w:sz="8" w:space="0" w:color="auto"/>
              <w:right w:val="single" w:sz="8" w:space="0" w:color="auto"/>
            </w:tcBorders>
            <w:shd w:val="clear" w:color="000000" w:fill="FFFFFF"/>
            <w:noWrap/>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6,1</w:t>
            </w:r>
          </w:p>
        </w:tc>
        <w:tc>
          <w:tcPr>
            <w:tcW w:w="850"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0</w:t>
            </w:r>
          </w:p>
        </w:tc>
        <w:tc>
          <w:tcPr>
            <w:tcW w:w="851"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4,6</w:t>
            </w:r>
          </w:p>
        </w:tc>
        <w:tc>
          <w:tcPr>
            <w:tcW w:w="992" w:type="dxa"/>
            <w:tcBorders>
              <w:top w:val="nil"/>
              <w:left w:val="nil"/>
              <w:bottom w:val="single" w:sz="8" w:space="0" w:color="auto"/>
              <w:right w:val="single" w:sz="8" w:space="0" w:color="auto"/>
            </w:tcBorders>
            <w:shd w:val="clear" w:color="000000" w:fill="FFFFFF"/>
            <w:noWrap/>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4,6</w:t>
            </w:r>
          </w:p>
        </w:tc>
      </w:tr>
      <w:tr w:rsidR="00D209D6" w:rsidRPr="00880240" w:rsidTr="00D209D6">
        <w:trPr>
          <w:trHeight w:val="315"/>
        </w:trPr>
        <w:tc>
          <w:tcPr>
            <w:tcW w:w="3276" w:type="dxa"/>
            <w:tcBorders>
              <w:top w:val="nil"/>
              <w:left w:val="single" w:sz="8" w:space="0" w:color="auto"/>
              <w:bottom w:val="single" w:sz="8" w:space="0" w:color="auto"/>
              <w:right w:val="single" w:sz="8" w:space="0" w:color="auto"/>
            </w:tcBorders>
            <w:shd w:val="clear" w:color="000000" w:fill="FFFFFF"/>
            <w:hideMark/>
          </w:tcPr>
          <w:p w:rsidR="0022106A" w:rsidRPr="00880240" w:rsidRDefault="0022106A"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 xml:space="preserve">Všeobecné služby </w:t>
            </w:r>
          </w:p>
        </w:tc>
        <w:tc>
          <w:tcPr>
            <w:tcW w:w="992"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0</w:t>
            </w:r>
          </w:p>
        </w:tc>
        <w:tc>
          <w:tcPr>
            <w:tcW w:w="992"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89,4</w:t>
            </w:r>
          </w:p>
        </w:tc>
        <w:tc>
          <w:tcPr>
            <w:tcW w:w="851" w:type="dxa"/>
            <w:tcBorders>
              <w:top w:val="nil"/>
              <w:left w:val="nil"/>
              <w:bottom w:val="single" w:sz="8" w:space="0" w:color="auto"/>
              <w:right w:val="single" w:sz="8" w:space="0" w:color="auto"/>
            </w:tcBorders>
            <w:shd w:val="clear" w:color="000000" w:fill="FFFFFF"/>
            <w:noWrap/>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89,4</w:t>
            </w:r>
          </w:p>
        </w:tc>
        <w:tc>
          <w:tcPr>
            <w:tcW w:w="850"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0</w:t>
            </w:r>
          </w:p>
        </w:tc>
        <w:tc>
          <w:tcPr>
            <w:tcW w:w="851"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107,8</w:t>
            </w:r>
          </w:p>
        </w:tc>
        <w:tc>
          <w:tcPr>
            <w:tcW w:w="992" w:type="dxa"/>
            <w:tcBorders>
              <w:top w:val="nil"/>
              <w:left w:val="nil"/>
              <w:bottom w:val="single" w:sz="8" w:space="0" w:color="auto"/>
              <w:right w:val="single" w:sz="8" w:space="0" w:color="auto"/>
            </w:tcBorders>
            <w:shd w:val="clear" w:color="000000" w:fill="FFFFFF"/>
            <w:noWrap/>
            <w:vAlign w:val="bottom"/>
            <w:hideMark/>
          </w:tcPr>
          <w:p w:rsidR="0022106A" w:rsidRPr="0022106A" w:rsidRDefault="0022106A" w:rsidP="0022106A">
            <w:pPr>
              <w:spacing w:after="0" w:line="240" w:lineRule="auto"/>
              <w:ind w:firstLine="0"/>
              <w:jc w:val="right"/>
              <w:rPr>
                <w:rFonts w:eastAsia="Times New Roman"/>
                <w:color w:val="000000"/>
                <w:sz w:val="22"/>
                <w:szCs w:val="22"/>
                <w:lang w:eastAsia="sk-SK"/>
              </w:rPr>
            </w:pPr>
            <w:r w:rsidRPr="0022106A">
              <w:rPr>
                <w:rFonts w:eastAsia="Times New Roman"/>
                <w:color w:val="000000"/>
                <w:sz w:val="22"/>
                <w:szCs w:val="22"/>
                <w:lang w:eastAsia="sk-SK"/>
              </w:rPr>
              <w:t>107,8</w:t>
            </w:r>
          </w:p>
        </w:tc>
      </w:tr>
      <w:tr w:rsidR="00D209D6" w:rsidRPr="00880240" w:rsidTr="00D209D6">
        <w:trPr>
          <w:trHeight w:val="315"/>
        </w:trPr>
        <w:tc>
          <w:tcPr>
            <w:tcW w:w="3276" w:type="dxa"/>
            <w:tcBorders>
              <w:top w:val="nil"/>
              <w:left w:val="single" w:sz="8" w:space="0" w:color="auto"/>
              <w:bottom w:val="single" w:sz="8" w:space="0" w:color="auto"/>
              <w:right w:val="single" w:sz="8" w:space="0" w:color="auto"/>
            </w:tcBorders>
            <w:shd w:val="clear" w:color="000000" w:fill="FFFFFF"/>
            <w:hideMark/>
          </w:tcPr>
          <w:p w:rsidR="0022106A" w:rsidRPr="00880240" w:rsidRDefault="0022106A" w:rsidP="00880240">
            <w:pPr>
              <w:spacing w:after="0" w:line="240" w:lineRule="auto"/>
              <w:ind w:firstLine="0"/>
              <w:jc w:val="left"/>
              <w:rPr>
                <w:rFonts w:eastAsia="Times New Roman"/>
                <w:b/>
                <w:bCs/>
                <w:color w:val="000000"/>
                <w:sz w:val="22"/>
                <w:szCs w:val="22"/>
                <w:lang w:eastAsia="sk-SK"/>
              </w:rPr>
            </w:pPr>
            <w:r w:rsidRPr="00880240">
              <w:rPr>
                <w:rFonts w:eastAsia="Times New Roman"/>
                <w:b/>
                <w:bCs/>
                <w:color w:val="000000"/>
                <w:sz w:val="22"/>
                <w:szCs w:val="22"/>
                <w:lang w:eastAsia="sk-SK"/>
              </w:rPr>
              <w:t>Spolu</w:t>
            </w:r>
          </w:p>
        </w:tc>
        <w:tc>
          <w:tcPr>
            <w:tcW w:w="992"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b/>
                <w:color w:val="000000"/>
                <w:sz w:val="22"/>
                <w:szCs w:val="22"/>
                <w:lang w:eastAsia="sk-SK"/>
              </w:rPr>
            </w:pPr>
            <w:r w:rsidRPr="0022106A">
              <w:rPr>
                <w:rFonts w:eastAsia="Times New Roman"/>
                <w:b/>
                <w:color w:val="000000"/>
                <w:sz w:val="22"/>
                <w:szCs w:val="22"/>
                <w:lang w:eastAsia="sk-SK"/>
              </w:rPr>
              <w:t>670,3</w:t>
            </w:r>
          </w:p>
        </w:tc>
        <w:tc>
          <w:tcPr>
            <w:tcW w:w="992"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b/>
                <w:color w:val="000000"/>
                <w:sz w:val="22"/>
                <w:szCs w:val="22"/>
                <w:lang w:eastAsia="sk-SK"/>
              </w:rPr>
            </w:pPr>
            <w:r w:rsidRPr="0022106A">
              <w:rPr>
                <w:rFonts w:eastAsia="Times New Roman"/>
                <w:b/>
                <w:color w:val="000000"/>
                <w:sz w:val="22"/>
                <w:szCs w:val="22"/>
                <w:lang w:eastAsia="sk-SK"/>
              </w:rPr>
              <w:t>200,3</w:t>
            </w:r>
          </w:p>
        </w:tc>
        <w:tc>
          <w:tcPr>
            <w:tcW w:w="851" w:type="dxa"/>
            <w:tcBorders>
              <w:top w:val="nil"/>
              <w:left w:val="nil"/>
              <w:bottom w:val="single" w:sz="8" w:space="0" w:color="auto"/>
              <w:right w:val="single" w:sz="8" w:space="0" w:color="auto"/>
            </w:tcBorders>
            <w:shd w:val="clear" w:color="000000" w:fill="FFFFFF"/>
            <w:noWrap/>
            <w:vAlign w:val="bottom"/>
            <w:hideMark/>
          </w:tcPr>
          <w:p w:rsidR="0022106A" w:rsidRPr="0022106A" w:rsidRDefault="0022106A" w:rsidP="0022106A">
            <w:pPr>
              <w:spacing w:after="0" w:line="240" w:lineRule="auto"/>
              <w:ind w:firstLine="0"/>
              <w:jc w:val="right"/>
              <w:rPr>
                <w:rFonts w:eastAsia="Times New Roman"/>
                <w:b/>
                <w:color w:val="000000"/>
                <w:sz w:val="22"/>
                <w:szCs w:val="22"/>
                <w:lang w:eastAsia="sk-SK"/>
              </w:rPr>
            </w:pPr>
            <w:r w:rsidRPr="0022106A">
              <w:rPr>
                <w:rFonts w:eastAsia="Times New Roman"/>
                <w:b/>
                <w:color w:val="000000"/>
                <w:sz w:val="22"/>
                <w:szCs w:val="22"/>
                <w:lang w:eastAsia="sk-SK"/>
              </w:rPr>
              <w:t>870,6</w:t>
            </w:r>
          </w:p>
        </w:tc>
        <w:tc>
          <w:tcPr>
            <w:tcW w:w="850"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b/>
                <w:color w:val="000000"/>
                <w:sz w:val="22"/>
                <w:szCs w:val="22"/>
                <w:lang w:eastAsia="sk-SK"/>
              </w:rPr>
            </w:pPr>
            <w:r w:rsidRPr="0022106A">
              <w:rPr>
                <w:rFonts w:eastAsia="Times New Roman"/>
                <w:b/>
                <w:color w:val="000000"/>
                <w:sz w:val="22"/>
                <w:szCs w:val="22"/>
                <w:lang w:eastAsia="sk-SK"/>
              </w:rPr>
              <w:t>528,5</w:t>
            </w:r>
          </w:p>
        </w:tc>
        <w:tc>
          <w:tcPr>
            <w:tcW w:w="851" w:type="dxa"/>
            <w:tcBorders>
              <w:top w:val="nil"/>
              <w:left w:val="nil"/>
              <w:bottom w:val="single" w:sz="8" w:space="0" w:color="auto"/>
              <w:right w:val="single" w:sz="8" w:space="0" w:color="auto"/>
            </w:tcBorders>
            <w:shd w:val="clear" w:color="000000" w:fill="FFFFFF"/>
            <w:vAlign w:val="bottom"/>
            <w:hideMark/>
          </w:tcPr>
          <w:p w:rsidR="0022106A" w:rsidRPr="0022106A" w:rsidRDefault="0022106A" w:rsidP="0022106A">
            <w:pPr>
              <w:spacing w:after="0" w:line="240" w:lineRule="auto"/>
              <w:ind w:firstLine="0"/>
              <w:jc w:val="right"/>
              <w:rPr>
                <w:rFonts w:eastAsia="Times New Roman"/>
                <w:b/>
                <w:color w:val="000000"/>
                <w:sz w:val="22"/>
                <w:szCs w:val="22"/>
                <w:lang w:eastAsia="sk-SK"/>
              </w:rPr>
            </w:pPr>
            <w:r w:rsidRPr="0022106A">
              <w:rPr>
                <w:rFonts w:eastAsia="Times New Roman"/>
                <w:b/>
                <w:color w:val="000000"/>
                <w:sz w:val="22"/>
                <w:szCs w:val="22"/>
                <w:lang w:eastAsia="sk-SK"/>
              </w:rPr>
              <w:t>166,2</w:t>
            </w:r>
          </w:p>
        </w:tc>
        <w:tc>
          <w:tcPr>
            <w:tcW w:w="992" w:type="dxa"/>
            <w:tcBorders>
              <w:top w:val="nil"/>
              <w:left w:val="nil"/>
              <w:bottom w:val="single" w:sz="8" w:space="0" w:color="auto"/>
              <w:right w:val="single" w:sz="8" w:space="0" w:color="auto"/>
            </w:tcBorders>
            <w:shd w:val="clear" w:color="000000" w:fill="FFFFFF"/>
            <w:noWrap/>
            <w:vAlign w:val="bottom"/>
            <w:hideMark/>
          </w:tcPr>
          <w:p w:rsidR="0022106A" w:rsidRPr="0022106A" w:rsidRDefault="0022106A" w:rsidP="0022106A">
            <w:pPr>
              <w:spacing w:after="0" w:line="240" w:lineRule="auto"/>
              <w:ind w:firstLine="0"/>
              <w:jc w:val="right"/>
              <w:rPr>
                <w:rFonts w:eastAsia="Times New Roman"/>
                <w:b/>
                <w:color w:val="000000"/>
                <w:sz w:val="22"/>
                <w:szCs w:val="22"/>
                <w:lang w:eastAsia="sk-SK"/>
              </w:rPr>
            </w:pPr>
            <w:r w:rsidRPr="0022106A">
              <w:rPr>
                <w:rFonts w:eastAsia="Times New Roman"/>
                <w:b/>
                <w:color w:val="000000"/>
                <w:sz w:val="22"/>
                <w:szCs w:val="22"/>
                <w:lang w:eastAsia="sk-SK"/>
              </w:rPr>
              <w:t>694,7</w:t>
            </w:r>
          </w:p>
        </w:tc>
      </w:tr>
    </w:tbl>
    <w:p w:rsidR="00DA28A9" w:rsidRPr="00DE4251" w:rsidRDefault="00DA28A9" w:rsidP="000324AB">
      <w:pPr>
        <w:spacing w:after="0" w:line="240" w:lineRule="auto"/>
        <w:ind w:firstLine="0"/>
        <w:rPr>
          <w:sz w:val="20"/>
          <w:szCs w:val="20"/>
        </w:rPr>
      </w:pPr>
      <w:r w:rsidRPr="00DE4251">
        <w:rPr>
          <w:sz w:val="20"/>
          <w:szCs w:val="20"/>
        </w:rPr>
        <w:t>Prameň: MPRV SR PPA</w:t>
      </w:r>
      <w:r w:rsidR="00E26F2E" w:rsidRPr="00DE4251">
        <w:rPr>
          <w:sz w:val="20"/>
          <w:szCs w:val="20"/>
        </w:rPr>
        <w:t>, Ná</w:t>
      </w:r>
      <w:r w:rsidR="00093AE3">
        <w:rPr>
          <w:sz w:val="20"/>
          <w:szCs w:val="20"/>
        </w:rPr>
        <w:t>vrh záverečného účtu za rok 2014</w:t>
      </w:r>
      <w:r w:rsidR="00E26F2E" w:rsidRPr="00DE4251">
        <w:rPr>
          <w:sz w:val="20"/>
          <w:szCs w:val="20"/>
        </w:rPr>
        <w:t>, Ná</w:t>
      </w:r>
      <w:r w:rsidR="00093AE3">
        <w:rPr>
          <w:sz w:val="20"/>
          <w:szCs w:val="20"/>
        </w:rPr>
        <w:t>vrh záverečného účtu za rok 2015</w:t>
      </w:r>
    </w:p>
    <w:p w:rsidR="00EE65E0" w:rsidRDefault="000A0125" w:rsidP="000324AB">
      <w:pPr>
        <w:spacing w:after="0" w:line="240" w:lineRule="auto"/>
        <w:ind w:left="360" w:hanging="360"/>
        <w:rPr>
          <w:sz w:val="20"/>
          <w:szCs w:val="20"/>
        </w:rPr>
      </w:pPr>
      <w:r w:rsidRPr="00DE4251">
        <w:rPr>
          <w:sz w:val="20"/>
          <w:szCs w:val="20"/>
        </w:rPr>
        <w:t>* priame platby sú podrobne rozpísané v tabuľke č. 4</w:t>
      </w:r>
    </w:p>
    <w:p w:rsidR="00DA28A9" w:rsidRPr="00DE4251" w:rsidRDefault="003470BC" w:rsidP="000324AB">
      <w:pPr>
        <w:spacing w:after="0" w:line="240" w:lineRule="auto"/>
        <w:ind w:left="360" w:hanging="360"/>
        <w:rPr>
          <w:sz w:val="20"/>
          <w:szCs w:val="20"/>
        </w:rPr>
      </w:pPr>
      <w:r w:rsidRPr="00DE4251">
        <w:rPr>
          <w:sz w:val="20"/>
          <w:szCs w:val="20"/>
        </w:rPr>
        <w:t xml:space="preserve"> </w:t>
      </w:r>
      <w:r w:rsidR="00DA28A9" w:rsidRPr="00DE4251">
        <w:rPr>
          <w:sz w:val="20"/>
          <w:szCs w:val="20"/>
        </w:rPr>
        <w:t xml:space="preserve">Vypracoval: </w:t>
      </w:r>
      <w:r w:rsidR="001E4F6A" w:rsidRPr="00DE4251">
        <w:rPr>
          <w:sz w:val="20"/>
          <w:szCs w:val="20"/>
        </w:rPr>
        <w:t xml:space="preserve">NPPC - </w:t>
      </w:r>
      <w:r w:rsidR="00DA28A9" w:rsidRPr="00DE4251">
        <w:rPr>
          <w:sz w:val="20"/>
          <w:szCs w:val="20"/>
        </w:rPr>
        <w:t>VÚEPP</w:t>
      </w:r>
    </w:p>
    <w:p w:rsidR="008A2DCC" w:rsidRDefault="008A2DCC" w:rsidP="00802716">
      <w:pPr>
        <w:pStyle w:val="Odsekzoznamu"/>
        <w:spacing w:after="0"/>
        <w:ind w:left="0" w:firstLine="708"/>
        <w:rPr>
          <w:bCs/>
        </w:rPr>
      </w:pPr>
    </w:p>
    <w:p w:rsidR="00F67151" w:rsidRPr="008B6168" w:rsidRDefault="00F67151" w:rsidP="00F67151">
      <w:pPr>
        <w:pStyle w:val="Odsekzoznamu"/>
        <w:spacing w:after="0"/>
        <w:ind w:left="0" w:firstLine="708"/>
        <w:rPr>
          <w:bCs/>
        </w:rPr>
      </w:pPr>
      <w:r w:rsidRPr="00DE4251">
        <w:rPr>
          <w:bCs/>
        </w:rPr>
        <w:t>Výda</w:t>
      </w:r>
      <w:r>
        <w:rPr>
          <w:bCs/>
        </w:rPr>
        <w:t>vky</w:t>
      </w:r>
      <w:r w:rsidRPr="00DE4251">
        <w:rPr>
          <w:bCs/>
        </w:rPr>
        <w:t xml:space="preserve"> do slovenského</w:t>
      </w:r>
      <w:r>
        <w:rPr>
          <w:bCs/>
        </w:rPr>
        <w:t xml:space="preserve"> pôdohospodárstva sa v roku 2016 znížili</w:t>
      </w:r>
      <w:r w:rsidRPr="008B6168">
        <w:rPr>
          <w:bCs/>
        </w:rPr>
        <w:t xml:space="preserve"> oproti ro</w:t>
      </w:r>
      <w:r>
        <w:rPr>
          <w:bCs/>
        </w:rPr>
        <w:t>ku 2015</w:t>
      </w:r>
      <w:r w:rsidRPr="008B6168">
        <w:rPr>
          <w:bCs/>
        </w:rPr>
        <w:t xml:space="preserve"> z</w:t>
      </w:r>
      <w:r>
        <w:rPr>
          <w:bCs/>
        </w:rPr>
        <w:t> 870,6 mil. € na 694,7 mil. € (zníženie</w:t>
      </w:r>
      <w:r w:rsidRPr="008B6168">
        <w:rPr>
          <w:bCs/>
        </w:rPr>
        <w:t xml:space="preserve"> o 2</w:t>
      </w:r>
      <w:r>
        <w:rPr>
          <w:bCs/>
        </w:rPr>
        <w:t>0</w:t>
      </w:r>
      <w:r w:rsidRPr="008B6168">
        <w:rPr>
          <w:bCs/>
        </w:rPr>
        <w:t xml:space="preserve"> %). </w:t>
      </w:r>
    </w:p>
    <w:p w:rsidR="00F67151" w:rsidRPr="00F1363E" w:rsidRDefault="00F67151" w:rsidP="00F67151">
      <w:pPr>
        <w:pStyle w:val="Odsekzoznamu"/>
        <w:spacing w:after="0"/>
        <w:ind w:left="0" w:firstLine="708"/>
        <w:rPr>
          <w:sz w:val="20"/>
          <w:szCs w:val="20"/>
        </w:rPr>
      </w:pPr>
      <w:r>
        <w:rPr>
          <w:bCs/>
        </w:rPr>
        <w:t>Zníženie bolo najmä z dôvodu ukončenia financovania</w:t>
      </w:r>
      <w:r w:rsidRPr="008B6168">
        <w:rPr>
          <w:bCs/>
        </w:rPr>
        <w:t xml:space="preserve"> PRV SR 2007</w:t>
      </w:r>
      <w:r>
        <w:rPr>
          <w:bCs/>
        </w:rPr>
        <w:t xml:space="preserve"> – 2013.</w:t>
      </w:r>
      <w:r w:rsidRPr="008B6168">
        <w:rPr>
          <w:bCs/>
        </w:rPr>
        <w:t xml:space="preserve"> Najväčší podiel na celkových výda</w:t>
      </w:r>
      <w:r>
        <w:rPr>
          <w:bCs/>
        </w:rPr>
        <w:t>vkoch  (58,7</w:t>
      </w:r>
      <w:r w:rsidRPr="008B6168">
        <w:rPr>
          <w:bCs/>
        </w:rPr>
        <w:t xml:space="preserve"> %)</w:t>
      </w:r>
      <w:r w:rsidRPr="00F1363E">
        <w:rPr>
          <w:bCs/>
        </w:rPr>
        <w:t xml:space="preserve"> tvorili výda</w:t>
      </w:r>
      <w:r>
        <w:rPr>
          <w:bCs/>
        </w:rPr>
        <w:t>vky</w:t>
      </w:r>
      <w:r w:rsidRPr="00F1363E">
        <w:rPr>
          <w:bCs/>
        </w:rPr>
        <w:t xml:space="preserve"> na priame platby. Druhou skupinou podpôr, ktorá sa podieľa</w:t>
      </w:r>
      <w:r>
        <w:rPr>
          <w:bCs/>
        </w:rPr>
        <w:t xml:space="preserve">la 23,4 </w:t>
      </w:r>
      <w:r w:rsidRPr="00F1363E">
        <w:rPr>
          <w:bCs/>
        </w:rPr>
        <w:t xml:space="preserve">% na celkových výdajoch, boli prostriedky </w:t>
      </w:r>
      <w:r w:rsidR="00D209D6">
        <w:rPr>
          <w:bCs/>
        </w:rPr>
        <w:t> </w:t>
      </w:r>
      <w:r w:rsidR="00D209D6" w:rsidRPr="00F1363E">
        <w:rPr>
          <w:bCs/>
        </w:rPr>
        <w:t>z</w:t>
      </w:r>
      <w:r w:rsidR="00D209D6">
        <w:rPr>
          <w:bCs/>
        </w:rPr>
        <w:t> </w:t>
      </w:r>
      <w:r>
        <w:rPr>
          <w:bCs/>
        </w:rPr>
        <w:t>Programu rozvoja vidieka 2014 – 2020. Zostávajúcich 17,9</w:t>
      </w:r>
      <w:r w:rsidRPr="00F1363E">
        <w:rPr>
          <w:bCs/>
        </w:rPr>
        <w:t xml:space="preserve"> % tvorili výda</w:t>
      </w:r>
      <w:r>
        <w:rPr>
          <w:bCs/>
        </w:rPr>
        <w:t>vky</w:t>
      </w:r>
      <w:r w:rsidRPr="00F1363E">
        <w:rPr>
          <w:bCs/>
        </w:rPr>
        <w:t xml:space="preserve"> na všeobecné služby, TOV, OP RH, štátnu pomoc a</w:t>
      </w:r>
      <w:r>
        <w:rPr>
          <w:bCs/>
        </w:rPr>
        <w:t> </w:t>
      </w:r>
      <w:r w:rsidRPr="00F1363E">
        <w:rPr>
          <w:bCs/>
        </w:rPr>
        <w:t>národné opatrenia</w:t>
      </w:r>
      <w:r>
        <w:rPr>
          <w:bCs/>
        </w:rPr>
        <w:t>.</w:t>
      </w:r>
    </w:p>
    <w:p w:rsidR="00483C47" w:rsidRPr="00F1363E" w:rsidRDefault="00483C47" w:rsidP="00F67151">
      <w:pPr>
        <w:pStyle w:val="Odsekzoznamu"/>
        <w:spacing w:after="0"/>
        <w:ind w:left="0" w:firstLine="708"/>
        <w:rPr>
          <w:sz w:val="20"/>
          <w:szCs w:val="20"/>
        </w:rPr>
      </w:pPr>
    </w:p>
    <w:sectPr w:rsidR="00483C47" w:rsidRPr="00F1363E" w:rsidSect="000D2664">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F0" w:rsidRDefault="00F122F0" w:rsidP="001B396F">
      <w:pPr>
        <w:spacing w:after="0" w:line="240" w:lineRule="auto"/>
      </w:pPr>
      <w:r>
        <w:separator/>
      </w:r>
    </w:p>
  </w:endnote>
  <w:endnote w:type="continuationSeparator" w:id="0">
    <w:p w:rsidR="00F122F0" w:rsidRDefault="00F122F0" w:rsidP="001B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9A" w:rsidRDefault="00B2304B">
    <w:pPr>
      <w:pStyle w:val="Pta"/>
      <w:jc w:val="center"/>
    </w:pPr>
    <w:r>
      <w:fldChar w:fldCharType="begin"/>
    </w:r>
    <w:r>
      <w:instrText xml:space="preserve"> PAGE   \* MERGEFORMAT </w:instrText>
    </w:r>
    <w:r>
      <w:fldChar w:fldCharType="separate"/>
    </w:r>
    <w:r w:rsidR="00C80E35">
      <w:rPr>
        <w:noProof/>
      </w:rPr>
      <w:t>17</w:t>
    </w:r>
    <w:r>
      <w:rPr>
        <w:noProof/>
      </w:rPr>
      <w:fldChar w:fldCharType="end"/>
    </w:r>
  </w:p>
  <w:p w:rsidR="00906C9A" w:rsidRDefault="00906C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F0" w:rsidRDefault="00F122F0" w:rsidP="001B396F">
      <w:pPr>
        <w:spacing w:after="0" w:line="240" w:lineRule="auto"/>
      </w:pPr>
      <w:r>
        <w:separator/>
      </w:r>
    </w:p>
  </w:footnote>
  <w:footnote w:type="continuationSeparator" w:id="0">
    <w:p w:rsidR="00F122F0" w:rsidRDefault="00F122F0" w:rsidP="001B3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94D27A"/>
    <w:lvl w:ilvl="0">
      <w:start w:val="1"/>
      <w:numFmt w:val="decimal"/>
      <w:lvlText w:val="%1."/>
      <w:lvlJc w:val="left"/>
      <w:pPr>
        <w:tabs>
          <w:tab w:val="num" w:pos="1778"/>
        </w:tabs>
        <w:ind w:left="1778" w:hanging="360"/>
      </w:pPr>
    </w:lvl>
  </w:abstractNum>
  <w:abstractNum w:abstractNumId="1">
    <w:nsid w:val="03B43A75"/>
    <w:multiLevelType w:val="hybridMultilevel"/>
    <w:tmpl w:val="3DDC73CE"/>
    <w:lvl w:ilvl="0" w:tplc="CCFEEA3A">
      <w:start w:val="16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9C2DB7"/>
    <w:multiLevelType w:val="hybridMultilevel"/>
    <w:tmpl w:val="EF6ED9A4"/>
    <w:lvl w:ilvl="0" w:tplc="19D0BD04">
      <w:start w:val="5"/>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nsid w:val="06D30A13"/>
    <w:multiLevelType w:val="hybridMultilevel"/>
    <w:tmpl w:val="5AE8F1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76B4D9C"/>
    <w:multiLevelType w:val="hybridMultilevel"/>
    <w:tmpl w:val="2586C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443F2B"/>
    <w:multiLevelType w:val="hybridMultilevel"/>
    <w:tmpl w:val="07AE154C"/>
    <w:lvl w:ilvl="0" w:tplc="C054F9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1C6492"/>
    <w:multiLevelType w:val="hybridMultilevel"/>
    <w:tmpl w:val="C9F68FC8"/>
    <w:lvl w:ilvl="0" w:tplc="19D0BD0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B16E24"/>
    <w:multiLevelType w:val="hybridMultilevel"/>
    <w:tmpl w:val="4852E224"/>
    <w:lvl w:ilvl="0" w:tplc="59E08034">
      <w:numFmt w:val="bullet"/>
      <w:lvlText w:val="–"/>
      <w:lvlJc w:val="left"/>
      <w:pPr>
        <w:ind w:left="1425" w:hanging="705"/>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160A2BFB"/>
    <w:multiLevelType w:val="hybridMultilevel"/>
    <w:tmpl w:val="D0FE60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8633149"/>
    <w:multiLevelType w:val="hybridMultilevel"/>
    <w:tmpl w:val="D6EC9B28"/>
    <w:lvl w:ilvl="0" w:tplc="19D0BD04">
      <w:start w:val="5"/>
      <w:numFmt w:val="bullet"/>
      <w:lvlText w:val="-"/>
      <w:lvlJc w:val="left"/>
      <w:pPr>
        <w:tabs>
          <w:tab w:val="num" w:pos="397"/>
        </w:tabs>
        <w:ind w:left="397" w:hanging="397"/>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3B76B74"/>
    <w:multiLevelType w:val="hybridMultilevel"/>
    <w:tmpl w:val="3348B9CE"/>
    <w:lvl w:ilvl="0" w:tplc="3D427EC0">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nsid w:val="27B038C0"/>
    <w:multiLevelType w:val="hybridMultilevel"/>
    <w:tmpl w:val="B8A07FDE"/>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2">
    <w:nsid w:val="335E66E6"/>
    <w:multiLevelType w:val="hybridMultilevel"/>
    <w:tmpl w:val="BE9285F0"/>
    <w:lvl w:ilvl="0" w:tplc="627CAB00">
      <w:start w:val="6"/>
      <w:numFmt w:val="bullet"/>
      <w:lvlText w:val="-"/>
      <w:lvlJc w:val="left"/>
      <w:pPr>
        <w:ind w:left="1069" w:hanging="360"/>
      </w:pPr>
      <w:rPr>
        <w:rFonts w:ascii="Times New Roman" w:eastAsia="Calibr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3">
    <w:nsid w:val="33D40825"/>
    <w:multiLevelType w:val="hybridMultilevel"/>
    <w:tmpl w:val="567E700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3C4738B6"/>
    <w:multiLevelType w:val="hybridMultilevel"/>
    <w:tmpl w:val="980A57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BF253A"/>
    <w:multiLevelType w:val="hybridMultilevel"/>
    <w:tmpl w:val="88C0D012"/>
    <w:lvl w:ilvl="0" w:tplc="1DB88DF6">
      <w:start w:val="1"/>
      <w:numFmt w:val="bullet"/>
      <w:lvlText w:val="-"/>
      <w:lvlJc w:val="left"/>
      <w:pPr>
        <w:ind w:left="106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3CF3707F"/>
    <w:multiLevelType w:val="hybridMultilevel"/>
    <w:tmpl w:val="F8406FC6"/>
    <w:lvl w:ilvl="0" w:tplc="B3DC9CDE">
      <w:start w:val="1"/>
      <w:numFmt w:val="decimal"/>
      <w:pStyle w:val="Nadpis3"/>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FBC4B83"/>
    <w:multiLevelType w:val="hybridMultilevel"/>
    <w:tmpl w:val="703E8270"/>
    <w:lvl w:ilvl="0" w:tplc="19D0BD0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53D714F"/>
    <w:multiLevelType w:val="hybridMultilevel"/>
    <w:tmpl w:val="8E0022B4"/>
    <w:lvl w:ilvl="0" w:tplc="992487B4">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nsid w:val="478323E2"/>
    <w:multiLevelType w:val="hybridMultilevel"/>
    <w:tmpl w:val="66204122"/>
    <w:lvl w:ilvl="0" w:tplc="D88275DE">
      <w:start w:val="6"/>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8E428F3"/>
    <w:multiLevelType w:val="hybridMultilevel"/>
    <w:tmpl w:val="7A72CD28"/>
    <w:lvl w:ilvl="0" w:tplc="BA9C8DEE">
      <w:start w:val="9"/>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9EB1384"/>
    <w:multiLevelType w:val="hybridMultilevel"/>
    <w:tmpl w:val="CC881F06"/>
    <w:lvl w:ilvl="0" w:tplc="1FA07E04">
      <w:numFmt w:val="bullet"/>
      <w:lvlText w:val="-"/>
      <w:lvlJc w:val="left"/>
      <w:pPr>
        <w:ind w:left="720" w:hanging="360"/>
      </w:pPr>
      <w:rPr>
        <w:rFonts w:ascii="Times New Roman" w:eastAsia="Times New Roman" w:hAnsi="Times New Roman" w:cs="Times New Roman" w:hint="default"/>
        <w:b/>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B0D6458"/>
    <w:multiLevelType w:val="hybridMultilevel"/>
    <w:tmpl w:val="A904A7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CCD20AE"/>
    <w:multiLevelType w:val="hybridMultilevel"/>
    <w:tmpl w:val="DB14136E"/>
    <w:lvl w:ilvl="0" w:tplc="74E284AA">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54003D74"/>
    <w:multiLevelType w:val="hybridMultilevel"/>
    <w:tmpl w:val="AB5C93D2"/>
    <w:lvl w:ilvl="0" w:tplc="98C2E5AC">
      <w:start w:val="3"/>
      <w:numFmt w:val="bullet"/>
      <w:lvlText w:val="-"/>
      <w:lvlJc w:val="left"/>
      <w:pPr>
        <w:ind w:left="1080" w:hanging="360"/>
      </w:pPr>
      <w:rPr>
        <w:rFonts w:ascii="Calibri" w:eastAsia="Calibri" w:hAnsi="Calibri"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5">
    <w:nsid w:val="5A2756C5"/>
    <w:multiLevelType w:val="hybridMultilevel"/>
    <w:tmpl w:val="F394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92422"/>
    <w:multiLevelType w:val="hybridMultilevel"/>
    <w:tmpl w:val="E4DC8EC0"/>
    <w:lvl w:ilvl="0" w:tplc="74E284A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B8B095F"/>
    <w:multiLevelType w:val="hybridMultilevel"/>
    <w:tmpl w:val="CAAA7B34"/>
    <w:lvl w:ilvl="0" w:tplc="DD8267FC">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CC87F8F"/>
    <w:multiLevelType w:val="hybridMultilevel"/>
    <w:tmpl w:val="BA84093C"/>
    <w:lvl w:ilvl="0" w:tplc="74E284A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D16271D"/>
    <w:multiLevelType w:val="multilevel"/>
    <w:tmpl w:val="55E4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578A8"/>
    <w:multiLevelType w:val="hybridMultilevel"/>
    <w:tmpl w:val="1C38174E"/>
    <w:lvl w:ilvl="0" w:tplc="19D0BD04">
      <w:start w:val="5"/>
      <w:numFmt w:val="bullet"/>
      <w:lvlText w:val="-"/>
      <w:lvlJc w:val="left"/>
      <w:pPr>
        <w:tabs>
          <w:tab w:val="num" w:pos="397"/>
        </w:tabs>
        <w:ind w:left="397" w:hanging="397"/>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761D7FCF"/>
    <w:multiLevelType w:val="hybridMultilevel"/>
    <w:tmpl w:val="CDB2CA6E"/>
    <w:lvl w:ilvl="0" w:tplc="8E5E40C2">
      <w:start w:val="1"/>
      <w:numFmt w:val="decimal"/>
      <w:lvlText w:val="%1."/>
      <w:lvlJc w:val="left"/>
      <w:pPr>
        <w:ind w:left="2122" w:hanging="1305"/>
      </w:pPr>
      <w:rPr>
        <w:rFonts w:hint="default"/>
      </w:rPr>
    </w:lvl>
    <w:lvl w:ilvl="1" w:tplc="041B0019" w:tentative="1">
      <w:start w:val="1"/>
      <w:numFmt w:val="lowerLetter"/>
      <w:lvlText w:val="%2."/>
      <w:lvlJc w:val="left"/>
      <w:pPr>
        <w:ind w:left="1897" w:hanging="360"/>
      </w:pPr>
    </w:lvl>
    <w:lvl w:ilvl="2" w:tplc="041B001B" w:tentative="1">
      <w:start w:val="1"/>
      <w:numFmt w:val="lowerRoman"/>
      <w:lvlText w:val="%3."/>
      <w:lvlJc w:val="right"/>
      <w:pPr>
        <w:ind w:left="2617" w:hanging="180"/>
      </w:pPr>
    </w:lvl>
    <w:lvl w:ilvl="3" w:tplc="041B000F" w:tentative="1">
      <w:start w:val="1"/>
      <w:numFmt w:val="decimal"/>
      <w:lvlText w:val="%4."/>
      <w:lvlJc w:val="left"/>
      <w:pPr>
        <w:ind w:left="3337" w:hanging="360"/>
      </w:pPr>
    </w:lvl>
    <w:lvl w:ilvl="4" w:tplc="041B0019" w:tentative="1">
      <w:start w:val="1"/>
      <w:numFmt w:val="lowerLetter"/>
      <w:lvlText w:val="%5."/>
      <w:lvlJc w:val="left"/>
      <w:pPr>
        <w:ind w:left="4057" w:hanging="360"/>
      </w:pPr>
    </w:lvl>
    <w:lvl w:ilvl="5" w:tplc="041B001B" w:tentative="1">
      <w:start w:val="1"/>
      <w:numFmt w:val="lowerRoman"/>
      <w:lvlText w:val="%6."/>
      <w:lvlJc w:val="right"/>
      <w:pPr>
        <w:ind w:left="4777" w:hanging="180"/>
      </w:pPr>
    </w:lvl>
    <w:lvl w:ilvl="6" w:tplc="041B000F" w:tentative="1">
      <w:start w:val="1"/>
      <w:numFmt w:val="decimal"/>
      <w:lvlText w:val="%7."/>
      <w:lvlJc w:val="left"/>
      <w:pPr>
        <w:ind w:left="5497" w:hanging="360"/>
      </w:pPr>
    </w:lvl>
    <w:lvl w:ilvl="7" w:tplc="041B0019" w:tentative="1">
      <w:start w:val="1"/>
      <w:numFmt w:val="lowerLetter"/>
      <w:lvlText w:val="%8."/>
      <w:lvlJc w:val="left"/>
      <w:pPr>
        <w:ind w:left="6217" w:hanging="360"/>
      </w:pPr>
    </w:lvl>
    <w:lvl w:ilvl="8" w:tplc="041B001B" w:tentative="1">
      <w:start w:val="1"/>
      <w:numFmt w:val="lowerRoman"/>
      <w:lvlText w:val="%9."/>
      <w:lvlJc w:val="right"/>
      <w:pPr>
        <w:ind w:left="6937" w:hanging="180"/>
      </w:pPr>
    </w:lvl>
  </w:abstractNum>
  <w:abstractNum w:abstractNumId="32">
    <w:nsid w:val="78D27401"/>
    <w:multiLevelType w:val="hybridMultilevel"/>
    <w:tmpl w:val="DB1C5CF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7B066735"/>
    <w:multiLevelType w:val="hybridMultilevel"/>
    <w:tmpl w:val="B8EE0A46"/>
    <w:lvl w:ilvl="0" w:tplc="CD86382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nsid w:val="7B1515E3"/>
    <w:multiLevelType w:val="hybridMultilevel"/>
    <w:tmpl w:val="A80672F8"/>
    <w:lvl w:ilvl="0" w:tplc="CEF64114">
      <w:start w:val="1"/>
      <w:numFmt w:val="decimal"/>
      <w:pStyle w:val="Nadpis2"/>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2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9"/>
  </w:num>
  <w:num w:numId="8">
    <w:abstractNumId w:val="20"/>
  </w:num>
  <w:num w:numId="9">
    <w:abstractNumId w:val="32"/>
  </w:num>
  <w:num w:numId="10">
    <w:abstractNumId w:val="0"/>
  </w:num>
  <w:num w:numId="11">
    <w:abstractNumId w:val="33"/>
  </w:num>
  <w:num w:numId="12">
    <w:abstractNumId w:val="6"/>
  </w:num>
  <w:num w:numId="13">
    <w:abstractNumId w:val="2"/>
  </w:num>
  <w:num w:numId="14">
    <w:abstractNumId w:val="18"/>
  </w:num>
  <w:num w:numId="15">
    <w:abstractNumId w:val="34"/>
  </w:num>
  <w:num w:numId="16">
    <w:abstractNumId w:val="16"/>
  </w:num>
  <w:num w:numId="17">
    <w:abstractNumId w:val="27"/>
  </w:num>
  <w:num w:numId="18">
    <w:abstractNumId w:val="13"/>
  </w:num>
  <w:num w:numId="19">
    <w:abstractNumId w:val="8"/>
  </w:num>
  <w:num w:numId="20">
    <w:abstractNumId w:val="14"/>
  </w:num>
  <w:num w:numId="21">
    <w:abstractNumId w:val="28"/>
  </w:num>
  <w:num w:numId="22">
    <w:abstractNumId w:val="23"/>
  </w:num>
  <w:num w:numId="23">
    <w:abstractNumId w:val="3"/>
  </w:num>
  <w:num w:numId="24">
    <w:abstractNumId w:val="22"/>
  </w:num>
  <w:num w:numId="25">
    <w:abstractNumId w:val="19"/>
  </w:num>
  <w:num w:numId="26">
    <w:abstractNumId w:val="29"/>
  </w:num>
  <w:num w:numId="27">
    <w:abstractNumId w:val="17"/>
  </w:num>
  <w:num w:numId="28">
    <w:abstractNumId w:val="21"/>
  </w:num>
  <w:num w:numId="29">
    <w:abstractNumId w:val="11"/>
  </w:num>
  <w:num w:numId="30">
    <w:abstractNumId w:val="31"/>
  </w:num>
  <w:num w:numId="31">
    <w:abstractNumId w:val="24"/>
  </w:num>
  <w:num w:numId="32">
    <w:abstractNumId w:val="10"/>
  </w:num>
  <w:num w:numId="33">
    <w:abstractNumId w:val="25"/>
  </w:num>
  <w:num w:numId="34">
    <w:abstractNumId w:val="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BA"/>
    <w:rsid w:val="0000451F"/>
    <w:rsid w:val="0000500D"/>
    <w:rsid w:val="0000659F"/>
    <w:rsid w:val="0000771A"/>
    <w:rsid w:val="00011357"/>
    <w:rsid w:val="00012DE5"/>
    <w:rsid w:val="00013261"/>
    <w:rsid w:val="00013618"/>
    <w:rsid w:val="00017947"/>
    <w:rsid w:val="00022E87"/>
    <w:rsid w:val="0002541A"/>
    <w:rsid w:val="000260BC"/>
    <w:rsid w:val="000268C8"/>
    <w:rsid w:val="00030EE0"/>
    <w:rsid w:val="00031C49"/>
    <w:rsid w:val="000324AB"/>
    <w:rsid w:val="00032B99"/>
    <w:rsid w:val="00032E62"/>
    <w:rsid w:val="00035852"/>
    <w:rsid w:val="000371B5"/>
    <w:rsid w:val="00046C24"/>
    <w:rsid w:val="00047F72"/>
    <w:rsid w:val="000551E5"/>
    <w:rsid w:val="00057DE9"/>
    <w:rsid w:val="00061697"/>
    <w:rsid w:val="00063461"/>
    <w:rsid w:val="000639D0"/>
    <w:rsid w:val="00064ABA"/>
    <w:rsid w:val="00064D0C"/>
    <w:rsid w:val="00066698"/>
    <w:rsid w:val="0007108E"/>
    <w:rsid w:val="00071B5D"/>
    <w:rsid w:val="000778CB"/>
    <w:rsid w:val="00077913"/>
    <w:rsid w:val="000818E9"/>
    <w:rsid w:val="00083DDE"/>
    <w:rsid w:val="000856BE"/>
    <w:rsid w:val="00086AA6"/>
    <w:rsid w:val="0009064B"/>
    <w:rsid w:val="00093AE3"/>
    <w:rsid w:val="00094F19"/>
    <w:rsid w:val="000A0125"/>
    <w:rsid w:val="000A0B0E"/>
    <w:rsid w:val="000B5A99"/>
    <w:rsid w:val="000C115D"/>
    <w:rsid w:val="000C58BD"/>
    <w:rsid w:val="000C67A7"/>
    <w:rsid w:val="000C7434"/>
    <w:rsid w:val="000D0CC8"/>
    <w:rsid w:val="000D2664"/>
    <w:rsid w:val="000D3060"/>
    <w:rsid w:val="000D3E21"/>
    <w:rsid w:val="000E18B4"/>
    <w:rsid w:val="000E2054"/>
    <w:rsid w:val="000E3374"/>
    <w:rsid w:val="000E33E2"/>
    <w:rsid w:val="000E6027"/>
    <w:rsid w:val="000E6D42"/>
    <w:rsid w:val="000F0BF3"/>
    <w:rsid w:val="000F1D4D"/>
    <w:rsid w:val="000F2B49"/>
    <w:rsid w:val="000F2C0E"/>
    <w:rsid w:val="000F43D8"/>
    <w:rsid w:val="000F59CE"/>
    <w:rsid w:val="000F7262"/>
    <w:rsid w:val="00112B0D"/>
    <w:rsid w:val="00112C18"/>
    <w:rsid w:val="00114046"/>
    <w:rsid w:val="00115A9A"/>
    <w:rsid w:val="00120B13"/>
    <w:rsid w:val="00120F1A"/>
    <w:rsid w:val="001211E5"/>
    <w:rsid w:val="00121BC5"/>
    <w:rsid w:val="001223DB"/>
    <w:rsid w:val="001249B4"/>
    <w:rsid w:val="00124D54"/>
    <w:rsid w:val="00125728"/>
    <w:rsid w:val="0012619A"/>
    <w:rsid w:val="00131594"/>
    <w:rsid w:val="001343A8"/>
    <w:rsid w:val="001349E5"/>
    <w:rsid w:val="00134F93"/>
    <w:rsid w:val="001353AF"/>
    <w:rsid w:val="00135628"/>
    <w:rsid w:val="00135BAC"/>
    <w:rsid w:val="001427E8"/>
    <w:rsid w:val="001438ED"/>
    <w:rsid w:val="00145DC1"/>
    <w:rsid w:val="00147ECA"/>
    <w:rsid w:val="00153C80"/>
    <w:rsid w:val="00154ABA"/>
    <w:rsid w:val="0015661C"/>
    <w:rsid w:val="0016129D"/>
    <w:rsid w:val="00163B6A"/>
    <w:rsid w:val="001669D1"/>
    <w:rsid w:val="001672CF"/>
    <w:rsid w:val="0017096F"/>
    <w:rsid w:val="00170F76"/>
    <w:rsid w:val="001713CF"/>
    <w:rsid w:val="00175F7B"/>
    <w:rsid w:val="001808F1"/>
    <w:rsid w:val="00181312"/>
    <w:rsid w:val="00182AB9"/>
    <w:rsid w:val="0018479E"/>
    <w:rsid w:val="001862B8"/>
    <w:rsid w:val="001870B5"/>
    <w:rsid w:val="00187232"/>
    <w:rsid w:val="0019785E"/>
    <w:rsid w:val="00197F2D"/>
    <w:rsid w:val="001A00A4"/>
    <w:rsid w:val="001A5053"/>
    <w:rsid w:val="001B0206"/>
    <w:rsid w:val="001B153C"/>
    <w:rsid w:val="001B177D"/>
    <w:rsid w:val="001B2D38"/>
    <w:rsid w:val="001B396F"/>
    <w:rsid w:val="001B6720"/>
    <w:rsid w:val="001B67D5"/>
    <w:rsid w:val="001B7257"/>
    <w:rsid w:val="001C12CD"/>
    <w:rsid w:val="001C3A24"/>
    <w:rsid w:val="001D709A"/>
    <w:rsid w:val="001D726E"/>
    <w:rsid w:val="001E1CBF"/>
    <w:rsid w:val="001E4F6A"/>
    <w:rsid w:val="001F1730"/>
    <w:rsid w:val="001F366D"/>
    <w:rsid w:val="001F61A3"/>
    <w:rsid w:val="001F7D81"/>
    <w:rsid w:val="002009FE"/>
    <w:rsid w:val="00201E7F"/>
    <w:rsid w:val="00205C7F"/>
    <w:rsid w:val="00210A23"/>
    <w:rsid w:val="002154C4"/>
    <w:rsid w:val="00216556"/>
    <w:rsid w:val="002167C9"/>
    <w:rsid w:val="002205BA"/>
    <w:rsid w:val="0022106A"/>
    <w:rsid w:val="00222B00"/>
    <w:rsid w:val="002336A9"/>
    <w:rsid w:val="00235066"/>
    <w:rsid w:val="0023727C"/>
    <w:rsid w:val="00240E04"/>
    <w:rsid w:val="002415DD"/>
    <w:rsid w:val="00247232"/>
    <w:rsid w:val="00247610"/>
    <w:rsid w:val="00250FDA"/>
    <w:rsid w:val="00254518"/>
    <w:rsid w:val="002565F9"/>
    <w:rsid w:val="0025797C"/>
    <w:rsid w:val="00260422"/>
    <w:rsid w:val="00262B4C"/>
    <w:rsid w:val="00263D0A"/>
    <w:rsid w:val="00264E84"/>
    <w:rsid w:val="00265A36"/>
    <w:rsid w:val="00266530"/>
    <w:rsid w:val="002669B4"/>
    <w:rsid w:val="00267324"/>
    <w:rsid w:val="00267684"/>
    <w:rsid w:val="002700E3"/>
    <w:rsid w:val="00272D2C"/>
    <w:rsid w:val="002747DA"/>
    <w:rsid w:val="00275872"/>
    <w:rsid w:val="00276C0B"/>
    <w:rsid w:val="002813C6"/>
    <w:rsid w:val="0028334C"/>
    <w:rsid w:val="00284049"/>
    <w:rsid w:val="002854CF"/>
    <w:rsid w:val="00285BC9"/>
    <w:rsid w:val="0028771F"/>
    <w:rsid w:val="00287A93"/>
    <w:rsid w:val="002901C4"/>
    <w:rsid w:val="00290427"/>
    <w:rsid w:val="00292CF1"/>
    <w:rsid w:val="00293230"/>
    <w:rsid w:val="002935B7"/>
    <w:rsid w:val="00295765"/>
    <w:rsid w:val="002A09A2"/>
    <w:rsid w:val="002A21A7"/>
    <w:rsid w:val="002A2DD8"/>
    <w:rsid w:val="002B0B81"/>
    <w:rsid w:val="002B24CD"/>
    <w:rsid w:val="002B2E52"/>
    <w:rsid w:val="002B3A40"/>
    <w:rsid w:val="002B4EED"/>
    <w:rsid w:val="002B5334"/>
    <w:rsid w:val="002B7463"/>
    <w:rsid w:val="002C14D4"/>
    <w:rsid w:val="002C2583"/>
    <w:rsid w:val="002C3AE2"/>
    <w:rsid w:val="002C3BCB"/>
    <w:rsid w:val="002D2998"/>
    <w:rsid w:val="002D6C06"/>
    <w:rsid w:val="002D797F"/>
    <w:rsid w:val="002E278E"/>
    <w:rsid w:val="002E496B"/>
    <w:rsid w:val="002E4FE9"/>
    <w:rsid w:val="002E5774"/>
    <w:rsid w:val="002E75C6"/>
    <w:rsid w:val="002F1262"/>
    <w:rsid w:val="002F5B80"/>
    <w:rsid w:val="002F7C11"/>
    <w:rsid w:val="002F7E94"/>
    <w:rsid w:val="00301F30"/>
    <w:rsid w:val="00303D63"/>
    <w:rsid w:val="00306058"/>
    <w:rsid w:val="003075D4"/>
    <w:rsid w:val="003110FE"/>
    <w:rsid w:val="00312506"/>
    <w:rsid w:val="00313346"/>
    <w:rsid w:val="003153BC"/>
    <w:rsid w:val="0031543C"/>
    <w:rsid w:val="003156E3"/>
    <w:rsid w:val="00315D51"/>
    <w:rsid w:val="00317D35"/>
    <w:rsid w:val="00321193"/>
    <w:rsid w:val="00322D53"/>
    <w:rsid w:val="00323FF3"/>
    <w:rsid w:val="0032722F"/>
    <w:rsid w:val="00330CBA"/>
    <w:rsid w:val="0033129B"/>
    <w:rsid w:val="00332225"/>
    <w:rsid w:val="00336254"/>
    <w:rsid w:val="00336C32"/>
    <w:rsid w:val="00337EDB"/>
    <w:rsid w:val="00343335"/>
    <w:rsid w:val="00344DFD"/>
    <w:rsid w:val="003468BC"/>
    <w:rsid w:val="003470BC"/>
    <w:rsid w:val="00350DCD"/>
    <w:rsid w:val="003519AC"/>
    <w:rsid w:val="00352B6F"/>
    <w:rsid w:val="003578DA"/>
    <w:rsid w:val="003600E8"/>
    <w:rsid w:val="003601B7"/>
    <w:rsid w:val="003603CA"/>
    <w:rsid w:val="00363E03"/>
    <w:rsid w:val="00365648"/>
    <w:rsid w:val="00371C60"/>
    <w:rsid w:val="00373648"/>
    <w:rsid w:val="00373B1D"/>
    <w:rsid w:val="00373B4F"/>
    <w:rsid w:val="00373E04"/>
    <w:rsid w:val="003762D1"/>
    <w:rsid w:val="003764AD"/>
    <w:rsid w:val="00376D69"/>
    <w:rsid w:val="00377BF7"/>
    <w:rsid w:val="00380580"/>
    <w:rsid w:val="00381BE1"/>
    <w:rsid w:val="003825F3"/>
    <w:rsid w:val="00383532"/>
    <w:rsid w:val="003857F2"/>
    <w:rsid w:val="0039029F"/>
    <w:rsid w:val="0039477D"/>
    <w:rsid w:val="00396AF9"/>
    <w:rsid w:val="00397A45"/>
    <w:rsid w:val="003A47D8"/>
    <w:rsid w:val="003A7642"/>
    <w:rsid w:val="003A7C0E"/>
    <w:rsid w:val="003B1E44"/>
    <w:rsid w:val="003B3CA0"/>
    <w:rsid w:val="003B3D01"/>
    <w:rsid w:val="003B701F"/>
    <w:rsid w:val="003B747A"/>
    <w:rsid w:val="003C1C5B"/>
    <w:rsid w:val="003C2DB2"/>
    <w:rsid w:val="003C3973"/>
    <w:rsid w:val="003C4D23"/>
    <w:rsid w:val="003C7386"/>
    <w:rsid w:val="003C7A2D"/>
    <w:rsid w:val="003D2544"/>
    <w:rsid w:val="003D4E71"/>
    <w:rsid w:val="003D4F34"/>
    <w:rsid w:val="003D54D0"/>
    <w:rsid w:val="003E20A3"/>
    <w:rsid w:val="003E2B27"/>
    <w:rsid w:val="003E7708"/>
    <w:rsid w:val="003F2F1E"/>
    <w:rsid w:val="003F79B3"/>
    <w:rsid w:val="00400A6E"/>
    <w:rsid w:val="00402C8A"/>
    <w:rsid w:val="004058C4"/>
    <w:rsid w:val="00406413"/>
    <w:rsid w:val="004066C3"/>
    <w:rsid w:val="004075D5"/>
    <w:rsid w:val="00417BBA"/>
    <w:rsid w:val="00420A04"/>
    <w:rsid w:val="0042127E"/>
    <w:rsid w:val="00426251"/>
    <w:rsid w:val="004273DC"/>
    <w:rsid w:val="00430492"/>
    <w:rsid w:val="00432D1A"/>
    <w:rsid w:val="0043437F"/>
    <w:rsid w:val="0043539A"/>
    <w:rsid w:val="004403B3"/>
    <w:rsid w:val="00440418"/>
    <w:rsid w:val="004443D9"/>
    <w:rsid w:val="00444D62"/>
    <w:rsid w:val="004454EB"/>
    <w:rsid w:val="0044630C"/>
    <w:rsid w:val="004469A1"/>
    <w:rsid w:val="004513A5"/>
    <w:rsid w:val="004567B9"/>
    <w:rsid w:val="00456E17"/>
    <w:rsid w:val="00462736"/>
    <w:rsid w:val="00465A40"/>
    <w:rsid w:val="0047172F"/>
    <w:rsid w:val="00475990"/>
    <w:rsid w:val="004802EA"/>
    <w:rsid w:val="00481260"/>
    <w:rsid w:val="00482144"/>
    <w:rsid w:val="0048332A"/>
    <w:rsid w:val="00483C47"/>
    <w:rsid w:val="00484D35"/>
    <w:rsid w:val="004927B1"/>
    <w:rsid w:val="004972E3"/>
    <w:rsid w:val="004A0CFD"/>
    <w:rsid w:val="004A746A"/>
    <w:rsid w:val="004B0BF6"/>
    <w:rsid w:val="004B0D29"/>
    <w:rsid w:val="004B2AD0"/>
    <w:rsid w:val="004B3594"/>
    <w:rsid w:val="004B4454"/>
    <w:rsid w:val="004B4993"/>
    <w:rsid w:val="004B7FAD"/>
    <w:rsid w:val="004C2381"/>
    <w:rsid w:val="004C4282"/>
    <w:rsid w:val="004C516D"/>
    <w:rsid w:val="004D4B81"/>
    <w:rsid w:val="004D6961"/>
    <w:rsid w:val="004E052E"/>
    <w:rsid w:val="004E1EAB"/>
    <w:rsid w:val="004E2EEA"/>
    <w:rsid w:val="004E40A1"/>
    <w:rsid w:val="004E7E05"/>
    <w:rsid w:val="004F04FD"/>
    <w:rsid w:val="004F14B0"/>
    <w:rsid w:val="004F180B"/>
    <w:rsid w:val="004F44D3"/>
    <w:rsid w:val="004F57C0"/>
    <w:rsid w:val="00501759"/>
    <w:rsid w:val="005023D7"/>
    <w:rsid w:val="00502943"/>
    <w:rsid w:val="00504F5A"/>
    <w:rsid w:val="00505229"/>
    <w:rsid w:val="00507B91"/>
    <w:rsid w:val="005149C7"/>
    <w:rsid w:val="00515785"/>
    <w:rsid w:val="00517CC0"/>
    <w:rsid w:val="00520068"/>
    <w:rsid w:val="00520DE8"/>
    <w:rsid w:val="0052176E"/>
    <w:rsid w:val="00521947"/>
    <w:rsid w:val="0052297B"/>
    <w:rsid w:val="00522EB5"/>
    <w:rsid w:val="00523710"/>
    <w:rsid w:val="00524042"/>
    <w:rsid w:val="005242AD"/>
    <w:rsid w:val="005309CE"/>
    <w:rsid w:val="005310F0"/>
    <w:rsid w:val="0053392E"/>
    <w:rsid w:val="00533DD2"/>
    <w:rsid w:val="00535AD1"/>
    <w:rsid w:val="00536D1E"/>
    <w:rsid w:val="005425CF"/>
    <w:rsid w:val="00552A92"/>
    <w:rsid w:val="005539C4"/>
    <w:rsid w:val="00555103"/>
    <w:rsid w:val="00556587"/>
    <w:rsid w:val="005565EE"/>
    <w:rsid w:val="00556C6A"/>
    <w:rsid w:val="00557280"/>
    <w:rsid w:val="00557A68"/>
    <w:rsid w:val="00567BCB"/>
    <w:rsid w:val="0058198A"/>
    <w:rsid w:val="00584886"/>
    <w:rsid w:val="0059295D"/>
    <w:rsid w:val="00593C7E"/>
    <w:rsid w:val="005966DB"/>
    <w:rsid w:val="005A04D6"/>
    <w:rsid w:val="005A078F"/>
    <w:rsid w:val="005A1131"/>
    <w:rsid w:val="005A5843"/>
    <w:rsid w:val="005B79C6"/>
    <w:rsid w:val="005C1860"/>
    <w:rsid w:val="005C6FD3"/>
    <w:rsid w:val="005D630B"/>
    <w:rsid w:val="005D672F"/>
    <w:rsid w:val="005D6BF0"/>
    <w:rsid w:val="005E0371"/>
    <w:rsid w:val="005E0ED4"/>
    <w:rsid w:val="005E132B"/>
    <w:rsid w:val="005E6194"/>
    <w:rsid w:val="005F221B"/>
    <w:rsid w:val="005F3951"/>
    <w:rsid w:val="005F5828"/>
    <w:rsid w:val="00604BE1"/>
    <w:rsid w:val="00605BF4"/>
    <w:rsid w:val="00610A37"/>
    <w:rsid w:val="006148BF"/>
    <w:rsid w:val="00617183"/>
    <w:rsid w:val="006179FF"/>
    <w:rsid w:val="0062665F"/>
    <w:rsid w:val="00627341"/>
    <w:rsid w:val="00630852"/>
    <w:rsid w:val="0063090B"/>
    <w:rsid w:val="006316A9"/>
    <w:rsid w:val="0063505F"/>
    <w:rsid w:val="00635351"/>
    <w:rsid w:val="00635ADE"/>
    <w:rsid w:val="00635E6A"/>
    <w:rsid w:val="0063619E"/>
    <w:rsid w:val="00636B51"/>
    <w:rsid w:val="00640EF5"/>
    <w:rsid w:val="00641460"/>
    <w:rsid w:val="006463C5"/>
    <w:rsid w:val="0065111A"/>
    <w:rsid w:val="00651510"/>
    <w:rsid w:val="00654150"/>
    <w:rsid w:val="00654D2F"/>
    <w:rsid w:val="006575AE"/>
    <w:rsid w:val="0065795A"/>
    <w:rsid w:val="006618AA"/>
    <w:rsid w:val="006706B2"/>
    <w:rsid w:val="00671B8E"/>
    <w:rsid w:val="00672274"/>
    <w:rsid w:val="00673A2E"/>
    <w:rsid w:val="00674387"/>
    <w:rsid w:val="00675175"/>
    <w:rsid w:val="00677240"/>
    <w:rsid w:val="00677270"/>
    <w:rsid w:val="00681AC9"/>
    <w:rsid w:val="00681F6C"/>
    <w:rsid w:val="006823C9"/>
    <w:rsid w:val="0069008B"/>
    <w:rsid w:val="00690362"/>
    <w:rsid w:val="0069166C"/>
    <w:rsid w:val="0069359E"/>
    <w:rsid w:val="00693684"/>
    <w:rsid w:val="0069420A"/>
    <w:rsid w:val="00694535"/>
    <w:rsid w:val="00696878"/>
    <w:rsid w:val="006A2FC3"/>
    <w:rsid w:val="006A34F5"/>
    <w:rsid w:val="006A5671"/>
    <w:rsid w:val="006A6D91"/>
    <w:rsid w:val="006A723B"/>
    <w:rsid w:val="006B030C"/>
    <w:rsid w:val="006B3524"/>
    <w:rsid w:val="006B4371"/>
    <w:rsid w:val="006B6A34"/>
    <w:rsid w:val="006B7ED9"/>
    <w:rsid w:val="006C0E71"/>
    <w:rsid w:val="006C2489"/>
    <w:rsid w:val="006C3629"/>
    <w:rsid w:val="006C62F8"/>
    <w:rsid w:val="006C7976"/>
    <w:rsid w:val="006D0AC8"/>
    <w:rsid w:val="006D1276"/>
    <w:rsid w:val="006D1743"/>
    <w:rsid w:val="006D336C"/>
    <w:rsid w:val="006D5C7A"/>
    <w:rsid w:val="006D7CEC"/>
    <w:rsid w:val="006E25FF"/>
    <w:rsid w:val="006E31E4"/>
    <w:rsid w:val="006E397C"/>
    <w:rsid w:val="006E5217"/>
    <w:rsid w:val="006E5829"/>
    <w:rsid w:val="006E7714"/>
    <w:rsid w:val="006F00D2"/>
    <w:rsid w:val="006F2025"/>
    <w:rsid w:val="006F222F"/>
    <w:rsid w:val="006F4537"/>
    <w:rsid w:val="00704E22"/>
    <w:rsid w:val="007067BC"/>
    <w:rsid w:val="00711CE4"/>
    <w:rsid w:val="00720093"/>
    <w:rsid w:val="00724438"/>
    <w:rsid w:val="00724F20"/>
    <w:rsid w:val="007305A4"/>
    <w:rsid w:val="00730A8E"/>
    <w:rsid w:val="00732DD8"/>
    <w:rsid w:val="00734063"/>
    <w:rsid w:val="007343B5"/>
    <w:rsid w:val="007358DB"/>
    <w:rsid w:val="00736C47"/>
    <w:rsid w:val="00737D97"/>
    <w:rsid w:val="00742F89"/>
    <w:rsid w:val="00745B42"/>
    <w:rsid w:val="007470FC"/>
    <w:rsid w:val="00761E50"/>
    <w:rsid w:val="0076227A"/>
    <w:rsid w:val="00764BF8"/>
    <w:rsid w:val="00764CFD"/>
    <w:rsid w:val="00771A45"/>
    <w:rsid w:val="0077356F"/>
    <w:rsid w:val="007777C4"/>
    <w:rsid w:val="00780439"/>
    <w:rsid w:val="007806AA"/>
    <w:rsid w:val="00781020"/>
    <w:rsid w:val="0078282F"/>
    <w:rsid w:val="00782CFD"/>
    <w:rsid w:val="00784189"/>
    <w:rsid w:val="00786B28"/>
    <w:rsid w:val="007909D7"/>
    <w:rsid w:val="007919AE"/>
    <w:rsid w:val="007957FE"/>
    <w:rsid w:val="00795C39"/>
    <w:rsid w:val="007A013A"/>
    <w:rsid w:val="007A17EE"/>
    <w:rsid w:val="007A3174"/>
    <w:rsid w:val="007A4CAB"/>
    <w:rsid w:val="007A5D81"/>
    <w:rsid w:val="007B690A"/>
    <w:rsid w:val="007B6FC3"/>
    <w:rsid w:val="007B7070"/>
    <w:rsid w:val="007B7CEE"/>
    <w:rsid w:val="007C3735"/>
    <w:rsid w:val="007C3CCE"/>
    <w:rsid w:val="007C6411"/>
    <w:rsid w:val="007C7766"/>
    <w:rsid w:val="007D0399"/>
    <w:rsid w:val="007D0D57"/>
    <w:rsid w:val="007D364C"/>
    <w:rsid w:val="007D3D3A"/>
    <w:rsid w:val="007D6E25"/>
    <w:rsid w:val="007E0E2C"/>
    <w:rsid w:val="007E1EA9"/>
    <w:rsid w:val="007E29E9"/>
    <w:rsid w:val="007E32FE"/>
    <w:rsid w:val="007E47D0"/>
    <w:rsid w:val="007E5948"/>
    <w:rsid w:val="007E5BAA"/>
    <w:rsid w:val="007E7C64"/>
    <w:rsid w:val="007F0587"/>
    <w:rsid w:val="007F0C24"/>
    <w:rsid w:val="007F200B"/>
    <w:rsid w:val="007F2D11"/>
    <w:rsid w:val="007F31CF"/>
    <w:rsid w:val="007F77D1"/>
    <w:rsid w:val="00802203"/>
    <w:rsid w:val="00802716"/>
    <w:rsid w:val="00802EC9"/>
    <w:rsid w:val="00803DD8"/>
    <w:rsid w:val="00806ECC"/>
    <w:rsid w:val="00816888"/>
    <w:rsid w:val="008175C4"/>
    <w:rsid w:val="00821D10"/>
    <w:rsid w:val="008242EC"/>
    <w:rsid w:val="00824488"/>
    <w:rsid w:val="00824720"/>
    <w:rsid w:val="008261E8"/>
    <w:rsid w:val="0082683D"/>
    <w:rsid w:val="008278CE"/>
    <w:rsid w:val="0083062F"/>
    <w:rsid w:val="00830A22"/>
    <w:rsid w:val="008378AB"/>
    <w:rsid w:val="00844B8F"/>
    <w:rsid w:val="00846652"/>
    <w:rsid w:val="008473E3"/>
    <w:rsid w:val="00847FAC"/>
    <w:rsid w:val="00855D04"/>
    <w:rsid w:val="00862B46"/>
    <w:rsid w:val="008636DF"/>
    <w:rsid w:val="00865645"/>
    <w:rsid w:val="00866388"/>
    <w:rsid w:val="00866E4C"/>
    <w:rsid w:val="00866EDA"/>
    <w:rsid w:val="00867B67"/>
    <w:rsid w:val="00871DCA"/>
    <w:rsid w:val="008721F9"/>
    <w:rsid w:val="00872FBF"/>
    <w:rsid w:val="00875924"/>
    <w:rsid w:val="008766A5"/>
    <w:rsid w:val="008769DD"/>
    <w:rsid w:val="00880240"/>
    <w:rsid w:val="00880741"/>
    <w:rsid w:val="00880904"/>
    <w:rsid w:val="00880A2A"/>
    <w:rsid w:val="00882CE3"/>
    <w:rsid w:val="00883A53"/>
    <w:rsid w:val="00884568"/>
    <w:rsid w:val="008868E5"/>
    <w:rsid w:val="00890017"/>
    <w:rsid w:val="0089193E"/>
    <w:rsid w:val="00891A90"/>
    <w:rsid w:val="008A1C01"/>
    <w:rsid w:val="008A2DCC"/>
    <w:rsid w:val="008A3278"/>
    <w:rsid w:val="008A40AD"/>
    <w:rsid w:val="008B0923"/>
    <w:rsid w:val="008B15F7"/>
    <w:rsid w:val="008B1AF8"/>
    <w:rsid w:val="008B6168"/>
    <w:rsid w:val="008B695A"/>
    <w:rsid w:val="008B711E"/>
    <w:rsid w:val="008C05EC"/>
    <w:rsid w:val="008C12EF"/>
    <w:rsid w:val="008C1729"/>
    <w:rsid w:val="008C2B32"/>
    <w:rsid w:val="008C792D"/>
    <w:rsid w:val="008D2D74"/>
    <w:rsid w:val="008D41C8"/>
    <w:rsid w:val="008D4210"/>
    <w:rsid w:val="008D4A44"/>
    <w:rsid w:val="008E0657"/>
    <w:rsid w:val="008E31C3"/>
    <w:rsid w:val="008E3FFB"/>
    <w:rsid w:val="008E5761"/>
    <w:rsid w:val="008F1334"/>
    <w:rsid w:val="008F1A92"/>
    <w:rsid w:val="008F1EBD"/>
    <w:rsid w:val="008F3FD5"/>
    <w:rsid w:val="008F4328"/>
    <w:rsid w:val="008F5546"/>
    <w:rsid w:val="008F6EE5"/>
    <w:rsid w:val="0090009C"/>
    <w:rsid w:val="00900DFE"/>
    <w:rsid w:val="00901892"/>
    <w:rsid w:val="009020EF"/>
    <w:rsid w:val="00906250"/>
    <w:rsid w:val="00906C9A"/>
    <w:rsid w:val="00906F4F"/>
    <w:rsid w:val="00911ACB"/>
    <w:rsid w:val="00911FCB"/>
    <w:rsid w:val="009123B5"/>
    <w:rsid w:val="00912D0E"/>
    <w:rsid w:val="00913186"/>
    <w:rsid w:val="00913972"/>
    <w:rsid w:val="00913D5D"/>
    <w:rsid w:val="009172A9"/>
    <w:rsid w:val="0091776E"/>
    <w:rsid w:val="0092138A"/>
    <w:rsid w:val="009253BA"/>
    <w:rsid w:val="00937D0E"/>
    <w:rsid w:val="00940C08"/>
    <w:rsid w:val="00940CEF"/>
    <w:rsid w:val="0094220D"/>
    <w:rsid w:val="00945D94"/>
    <w:rsid w:val="00945DCA"/>
    <w:rsid w:val="00960723"/>
    <w:rsid w:val="009609F7"/>
    <w:rsid w:val="00961161"/>
    <w:rsid w:val="00965986"/>
    <w:rsid w:val="009678B7"/>
    <w:rsid w:val="009764E7"/>
    <w:rsid w:val="00976535"/>
    <w:rsid w:val="00980F5F"/>
    <w:rsid w:val="009823E7"/>
    <w:rsid w:val="00984CD5"/>
    <w:rsid w:val="00985007"/>
    <w:rsid w:val="00985405"/>
    <w:rsid w:val="00985D4C"/>
    <w:rsid w:val="00990B0C"/>
    <w:rsid w:val="00990E3E"/>
    <w:rsid w:val="00991D5B"/>
    <w:rsid w:val="009925CC"/>
    <w:rsid w:val="009929AE"/>
    <w:rsid w:val="00992C48"/>
    <w:rsid w:val="009943E8"/>
    <w:rsid w:val="00994A48"/>
    <w:rsid w:val="009959D9"/>
    <w:rsid w:val="009A078F"/>
    <w:rsid w:val="009A2355"/>
    <w:rsid w:val="009A6E8D"/>
    <w:rsid w:val="009B01EF"/>
    <w:rsid w:val="009B0BF8"/>
    <w:rsid w:val="009B2DE6"/>
    <w:rsid w:val="009B4461"/>
    <w:rsid w:val="009B486F"/>
    <w:rsid w:val="009B62C6"/>
    <w:rsid w:val="009B62D1"/>
    <w:rsid w:val="009B6CC6"/>
    <w:rsid w:val="009C0936"/>
    <w:rsid w:val="009C1E8C"/>
    <w:rsid w:val="009C3F7D"/>
    <w:rsid w:val="009C7488"/>
    <w:rsid w:val="009D09FA"/>
    <w:rsid w:val="009D1FB1"/>
    <w:rsid w:val="009E7A33"/>
    <w:rsid w:val="009F1501"/>
    <w:rsid w:val="009F239D"/>
    <w:rsid w:val="009F32A2"/>
    <w:rsid w:val="009F5601"/>
    <w:rsid w:val="009F5716"/>
    <w:rsid w:val="009F67DD"/>
    <w:rsid w:val="009F7A37"/>
    <w:rsid w:val="00A00E7E"/>
    <w:rsid w:val="00A02337"/>
    <w:rsid w:val="00A02560"/>
    <w:rsid w:val="00A02564"/>
    <w:rsid w:val="00A02807"/>
    <w:rsid w:val="00A03FF5"/>
    <w:rsid w:val="00A054EE"/>
    <w:rsid w:val="00A07EC8"/>
    <w:rsid w:val="00A10D2B"/>
    <w:rsid w:val="00A1382B"/>
    <w:rsid w:val="00A13949"/>
    <w:rsid w:val="00A13F8A"/>
    <w:rsid w:val="00A149C1"/>
    <w:rsid w:val="00A15469"/>
    <w:rsid w:val="00A17384"/>
    <w:rsid w:val="00A20544"/>
    <w:rsid w:val="00A20DA6"/>
    <w:rsid w:val="00A224D5"/>
    <w:rsid w:val="00A23181"/>
    <w:rsid w:val="00A242E2"/>
    <w:rsid w:val="00A24993"/>
    <w:rsid w:val="00A24D2F"/>
    <w:rsid w:val="00A25AFE"/>
    <w:rsid w:val="00A26C14"/>
    <w:rsid w:val="00A26CDB"/>
    <w:rsid w:val="00A304D6"/>
    <w:rsid w:val="00A329EC"/>
    <w:rsid w:val="00A34E8E"/>
    <w:rsid w:val="00A35D9F"/>
    <w:rsid w:val="00A35E97"/>
    <w:rsid w:val="00A35FE8"/>
    <w:rsid w:val="00A36096"/>
    <w:rsid w:val="00A37489"/>
    <w:rsid w:val="00A41F4F"/>
    <w:rsid w:val="00A43289"/>
    <w:rsid w:val="00A44220"/>
    <w:rsid w:val="00A45EC9"/>
    <w:rsid w:val="00A477DF"/>
    <w:rsid w:val="00A47B1A"/>
    <w:rsid w:val="00A47FE0"/>
    <w:rsid w:val="00A5017B"/>
    <w:rsid w:val="00A519D3"/>
    <w:rsid w:val="00A543DA"/>
    <w:rsid w:val="00A54E0D"/>
    <w:rsid w:val="00A617B8"/>
    <w:rsid w:val="00A63796"/>
    <w:rsid w:val="00A6407C"/>
    <w:rsid w:val="00A640EF"/>
    <w:rsid w:val="00A64C10"/>
    <w:rsid w:val="00A6651F"/>
    <w:rsid w:val="00A67DA2"/>
    <w:rsid w:val="00A7020F"/>
    <w:rsid w:val="00A71731"/>
    <w:rsid w:val="00A72973"/>
    <w:rsid w:val="00A74F92"/>
    <w:rsid w:val="00A76043"/>
    <w:rsid w:val="00A76776"/>
    <w:rsid w:val="00A76CAE"/>
    <w:rsid w:val="00A7710E"/>
    <w:rsid w:val="00A82189"/>
    <w:rsid w:val="00A82FAC"/>
    <w:rsid w:val="00A8467D"/>
    <w:rsid w:val="00A8478A"/>
    <w:rsid w:val="00A854B6"/>
    <w:rsid w:val="00A922A9"/>
    <w:rsid w:val="00A9327C"/>
    <w:rsid w:val="00A9733E"/>
    <w:rsid w:val="00AA0D26"/>
    <w:rsid w:val="00AA2C5B"/>
    <w:rsid w:val="00AA3F8D"/>
    <w:rsid w:val="00AA56FC"/>
    <w:rsid w:val="00AA6A0F"/>
    <w:rsid w:val="00AA7C82"/>
    <w:rsid w:val="00AA7D3B"/>
    <w:rsid w:val="00AB7AC1"/>
    <w:rsid w:val="00AC1DD0"/>
    <w:rsid w:val="00AC2427"/>
    <w:rsid w:val="00AC2876"/>
    <w:rsid w:val="00AC2AF4"/>
    <w:rsid w:val="00AC4F83"/>
    <w:rsid w:val="00AC5ECC"/>
    <w:rsid w:val="00AD0CAB"/>
    <w:rsid w:val="00AD14D1"/>
    <w:rsid w:val="00AD29F0"/>
    <w:rsid w:val="00AD5E1D"/>
    <w:rsid w:val="00AE1685"/>
    <w:rsid w:val="00AE1E89"/>
    <w:rsid w:val="00AE3225"/>
    <w:rsid w:val="00AE61B1"/>
    <w:rsid w:val="00AF0964"/>
    <w:rsid w:val="00AF1434"/>
    <w:rsid w:val="00AF5433"/>
    <w:rsid w:val="00AF54CB"/>
    <w:rsid w:val="00B06CC2"/>
    <w:rsid w:val="00B07865"/>
    <w:rsid w:val="00B101EE"/>
    <w:rsid w:val="00B125D0"/>
    <w:rsid w:val="00B134B2"/>
    <w:rsid w:val="00B13507"/>
    <w:rsid w:val="00B14FF1"/>
    <w:rsid w:val="00B15C2F"/>
    <w:rsid w:val="00B16BB1"/>
    <w:rsid w:val="00B201FE"/>
    <w:rsid w:val="00B2304B"/>
    <w:rsid w:val="00B2353F"/>
    <w:rsid w:val="00B241D7"/>
    <w:rsid w:val="00B244B9"/>
    <w:rsid w:val="00B253B3"/>
    <w:rsid w:val="00B336FF"/>
    <w:rsid w:val="00B33DC1"/>
    <w:rsid w:val="00B34613"/>
    <w:rsid w:val="00B35388"/>
    <w:rsid w:val="00B35CCC"/>
    <w:rsid w:val="00B37CC9"/>
    <w:rsid w:val="00B40E68"/>
    <w:rsid w:val="00B42B58"/>
    <w:rsid w:val="00B43A82"/>
    <w:rsid w:val="00B45B21"/>
    <w:rsid w:val="00B464E5"/>
    <w:rsid w:val="00B52B12"/>
    <w:rsid w:val="00B543B2"/>
    <w:rsid w:val="00B60D76"/>
    <w:rsid w:val="00B61349"/>
    <w:rsid w:val="00B627F6"/>
    <w:rsid w:val="00B62D98"/>
    <w:rsid w:val="00B63386"/>
    <w:rsid w:val="00B64C7C"/>
    <w:rsid w:val="00B67127"/>
    <w:rsid w:val="00B75357"/>
    <w:rsid w:val="00B76567"/>
    <w:rsid w:val="00B76B82"/>
    <w:rsid w:val="00B803E6"/>
    <w:rsid w:val="00B87E80"/>
    <w:rsid w:val="00B905F0"/>
    <w:rsid w:val="00B915AF"/>
    <w:rsid w:val="00B917CB"/>
    <w:rsid w:val="00B9430F"/>
    <w:rsid w:val="00B95A6A"/>
    <w:rsid w:val="00BA0C31"/>
    <w:rsid w:val="00BA2729"/>
    <w:rsid w:val="00BA7879"/>
    <w:rsid w:val="00BB0E17"/>
    <w:rsid w:val="00BB0EFF"/>
    <w:rsid w:val="00BB432C"/>
    <w:rsid w:val="00BC035D"/>
    <w:rsid w:val="00BC0816"/>
    <w:rsid w:val="00BC2255"/>
    <w:rsid w:val="00BC28B0"/>
    <w:rsid w:val="00BC3EF9"/>
    <w:rsid w:val="00BC4A4D"/>
    <w:rsid w:val="00BC5440"/>
    <w:rsid w:val="00BC6BE8"/>
    <w:rsid w:val="00BC7DBD"/>
    <w:rsid w:val="00BD08C0"/>
    <w:rsid w:val="00BD19E0"/>
    <w:rsid w:val="00BD1A79"/>
    <w:rsid w:val="00BD2E14"/>
    <w:rsid w:val="00BD44D5"/>
    <w:rsid w:val="00BD5FD3"/>
    <w:rsid w:val="00BD7F63"/>
    <w:rsid w:val="00BE2C9F"/>
    <w:rsid w:val="00BF221D"/>
    <w:rsid w:val="00BF2DFD"/>
    <w:rsid w:val="00BF5494"/>
    <w:rsid w:val="00BF5CA3"/>
    <w:rsid w:val="00BF6EF1"/>
    <w:rsid w:val="00C03F0A"/>
    <w:rsid w:val="00C05E60"/>
    <w:rsid w:val="00C1077B"/>
    <w:rsid w:val="00C11086"/>
    <w:rsid w:val="00C15732"/>
    <w:rsid w:val="00C17BF6"/>
    <w:rsid w:val="00C17E5E"/>
    <w:rsid w:val="00C22016"/>
    <w:rsid w:val="00C23C54"/>
    <w:rsid w:val="00C24840"/>
    <w:rsid w:val="00C26BEF"/>
    <w:rsid w:val="00C30AA2"/>
    <w:rsid w:val="00C3267D"/>
    <w:rsid w:val="00C33EF7"/>
    <w:rsid w:val="00C35B31"/>
    <w:rsid w:val="00C37BE4"/>
    <w:rsid w:val="00C426BF"/>
    <w:rsid w:val="00C467EE"/>
    <w:rsid w:val="00C50344"/>
    <w:rsid w:val="00C50DBB"/>
    <w:rsid w:val="00C52D0C"/>
    <w:rsid w:val="00C52E80"/>
    <w:rsid w:val="00C53A86"/>
    <w:rsid w:val="00C55C49"/>
    <w:rsid w:val="00C5604D"/>
    <w:rsid w:val="00C56730"/>
    <w:rsid w:val="00C577EA"/>
    <w:rsid w:val="00C610FE"/>
    <w:rsid w:val="00C630FB"/>
    <w:rsid w:val="00C665AD"/>
    <w:rsid w:val="00C70845"/>
    <w:rsid w:val="00C71BF3"/>
    <w:rsid w:val="00C728B1"/>
    <w:rsid w:val="00C75668"/>
    <w:rsid w:val="00C8081F"/>
    <w:rsid w:val="00C80E35"/>
    <w:rsid w:val="00C81184"/>
    <w:rsid w:val="00C81227"/>
    <w:rsid w:val="00C81D40"/>
    <w:rsid w:val="00C8232E"/>
    <w:rsid w:val="00C86A05"/>
    <w:rsid w:val="00C92CF2"/>
    <w:rsid w:val="00C94893"/>
    <w:rsid w:val="00CA053A"/>
    <w:rsid w:val="00CA1989"/>
    <w:rsid w:val="00CA29B9"/>
    <w:rsid w:val="00CA37F8"/>
    <w:rsid w:val="00CA4ADB"/>
    <w:rsid w:val="00CA5B83"/>
    <w:rsid w:val="00CB0E59"/>
    <w:rsid w:val="00CB1ABA"/>
    <w:rsid w:val="00CB30FB"/>
    <w:rsid w:val="00CB31E2"/>
    <w:rsid w:val="00CB3F83"/>
    <w:rsid w:val="00CB4E41"/>
    <w:rsid w:val="00CB6775"/>
    <w:rsid w:val="00CC049F"/>
    <w:rsid w:val="00CC0573"/>
    <w:rsid w:val="00CC0DBF"/>
    <w:rsid w:val="00CC1B51"/>
    <w:rsid w:val="00CC3104"/>
    <w:rsid w:val="00CC46F7"/>
    <w:rsid w:val="00CC4AD8"/>
    <w:rsid w:val="00CC5314"/>
    <w:rsid w:val="00CC79E8"/>
    <w:rsid w:val="00CD1021"/>
    <w:rsid w:val="00CD28A4"/>
    <w:rsid w:val="00CD4D3A"/>
    <w:rsid w:val="00CD5712"/>
    <w:rsid w:val="00CE29AE"/>
    <w:rsid w:val="00CE42B2"/>
    <w:rsid w:val="00CE6068"/>
    <w:rsid w:val="00CE7572"/>
    <w:rsid w:val="00CF020C"/>
    <w:rsid w:val="00CF03C3"/>
    <w:rsid w:val="00CF4694"/>
    <w:rsid w:val="00CF54CB"/>
    <w:rsid w:val="00CF5A60"/>
    <w:rsid w:val="00D0074C"/>
    <w:rsid w:val="00D00E44"/>
    <w:rsid w:val="00D0496C"/>
    <w:rsid w:val="00D05351"/>
    <w:rsid w:val="00D1480B"/>
    <w:rsid w:val="00D1624D"/>
    <w:rsid w:val="00D16821"/>
    <w:rsid w:val="00D209D6"/>
    <w:rsid w:val="00D220B4"/>
    <w:rsid w:val="00D22AF2"/>
    <w:rsid w:val="00D23DC5"/>
    <w:rsid w:val="00D240A8"/>
    <w:rsid w:val="00D2452F"/>
    <w:rsid w:val="00D25905"/>
    <w:rsid w:val="00D274D5"/>
    <w:rsid w:val="00D279C1"/>
    <w:rsid w:val="00D32236"/>
    <w:rsid w:val="00D35716"/>
    <w:rsid w:val="00D41B18"/>
    <w:rsid w:val="00D438DD"/>
    <w:rsid w:val="00D43B6D"/>
    <w:rsid w:val="00D46B43"/>
    <w:rsid w:val="00D471B6"/>
    <w:rsid w:val="00D47B18"/>
    <w:rsid w:val="00D50357"/>
    <w:rsid w:val="00D52727"/>
    <w:rsid w:val="00D564AB"/>
    <w:rsid w:val="00D5767E"/>
    <w:rsid w:val="00D600F9"/>
    <w:rsid w:val="00D61E01"/>
    <w:rsid w:val="00D62469"/>
    <w:rsid w:val="00D66C98"/>
    <w:rsid w:val="00D711FC"/>
    <w:rsid w:val="00D715F4"/>
    <w:rsid w:val="00D71A5E"/>
    <w:rsid w:val="00D71ED2"/>
    <w:rsid w:val="00D72001"/>
    <w:rsid w:val="00D73985"/>
    <w:rsid w:val="00D75179"/>
    <w:rsid w:val="00D75ECF"/>
    <w:rsid w:val="00D774C8"/>
    <w:rsid w:val="00D77614"/>
    <w:rsid w:val="00D815A4"/>
    <w:rsid w:val="00D8371C"/>
    <w:rsid w:val="00D85206"/>
    <w:rsid w:val="00D871BE"/>
    <w:rsid w:val="00D87F15"/>
    <w:rsid w:val="00D90690"/>
    <w:rsid w:val="00D9230E"/>
    <w:rsid w:val="00D979C0"/>
    <w:rsid w:val="00DA1091"/>
    <w:rsid w:val="00DA1416"/>
    <w:rsid w:val="00DA17A3"/>
    <w:rsid w:val="00DA28A9"/>
    <w:rsid w:val="00DA72AA"/>
    <w:rsid w:val="00DA76DE"/>
    <w:rsid w:val="00DA796E"/>
    <w:rsid w:val="00DB0539"/>
    <w:rsid w:val="00DB068F"/>
    <w:rsid w:val="00DB1C74"/>
    <w:rsid w:val="00DB2AFD"/>
    <w:rsid w:val="00DB4BC9"/>
    <w:rsid w:val="00DB5F2B"/>
    <w:rsid w:val="00DC093F"/>
    <w:rsid w:val="00DC46B8"/>
    <w:rsid w:val="00DC5D85"/>
    <w:rsid w:val="00DC613A"/>
    <w:rsid w:val="00DC7B2D"/>
    <w:rsid w:val="00DD38E8"/>
    <w:rsid w:val="00DD40F6"/>
    <w:rsid w:val="00DD4658"/>
    <w:rsid w:val="00DD4F0D"/>
    <w:rsid w:val="00DD63F3"/>
    <w:rsid w:val="00DD7B58"/>
    <w:rsid w:val="00DD7C29"/>
    <w:rsid w:val="00DE0E1F"/>
    <w:rsid w:val="00DE19C5"/>
    <w:rsid w:val="00DE350A"/>
    <w:rsid w:val="00DE385A"/>
    <w:rsid w:val="00DE4251"/>
    <w:rsid w:val="00DF12E8"/>
    <w:rsid w:val="00DF12FA"/>
    <w:rsid w:val="00DF1FA0"/>
    <w:rsid w:val="00DF2ADB"/>
    <w:rsid w:val="00DF5E29"/>
    <w:rsid w:val="00DF6C95"/>
    <w:rsid w:val="00E04598"/>
    <w:rsid w:val="00E06DA3"/>
    <w:rsid w:val="00E07738"/>
    <w:rsid w:val="00E07A5B"/>
    <w:rsid w:val="00E11414"/>
    <w:rsid w:val="00E14640"/>
    <w:rsid w:val="00E21CAC"/>
    <w:rsid w:val="00E26F2E"/>
    <w:rsid w:val="00E369DE"/>
    <w:rsid w:val="00E37B96"/>
    <w:rsid w:val="00E40137"/>
    <w:rsid w:val="00E42647"/>
    <w:rsid w:val="00E46B70"/>
    <w:rsid w:val="00E46BBD"/>
    <w:rsid w:val="00E479F6"/>
    <w:rsid w:val="00E51BA5"/>
    <w:rsid w:val="00E53A65"/>
    <w:rsid w:val="00E53F90"/>
    <w:rsid w:val="00E55138"/>
    <w:rsid w:val="00E575BF"/>
    <w:rsid w:val="00E57E0E"/>
    <w:rsid w:val="00E62008"/>
    <w:rsid w:val="00E62895"/>
    <w:rsid w:val="00E6291F"/>
    <w:rsid w:val="00E6774F"/>
    <w:rsid w:val="00E70634"/>
    <w:rsid w:val="00E740DA"/>
    <w:rsid w:val="00E750A3"/>
    <w:rsid w:val="00E751F9"/>
    <w:rsid w:val="00E75928"/>
    <w:rsid w:val="00E76B86"/>
    <w:rsid w:val="00E77E35"/>
    <w:rsid w:val="00E82FC2"/>
    <w:rsid w:val="00E851E1"/>
    <w:rsid w:val="00E85ED7"/>
    <w:rsid w:val="00E874C0"/>
    <w:rsid w:val="00E9223C"/>
    <w:rsid w:val="00E93695"/>
    <w:rsid w:val="00E94F49"/>
    <w:rsid w:val="00E952B2"/>
    <w:rsid w:val="00E95687"/>
    <w:rsid w:val="00EA1C8E"/>
    <w:rsid w:val="00EA2F17"/>
    <w:rsid w:val="00EA37DF"/>
    <w:rsid w:val="00EA40C8"/>
    <w:rsid w:val="00EA6AEF"/>
    <w:rsid w:val="00EA6EFC"/>
    <w:rsid w:val="00EA7A86"/>
    <w:rsid w:val="00EB0A30"/>
    <w:rsid w:val="00EB20C1"/>
    <w:rsid w:val="00EB4117"/>
    <w:rsid w:val="00EB4BD8"/>
    <w:rsid w:val="00EB5099"/>
    <w:rsid w:val="00EC22A5"/>
    <w:rsid w:val="00EC3189"/>
    <w:rsid w:val="00EC4B9E"/>
    <w:rsid w:val="00ED3084"/>
    <w:rsid w:val="00ED5790"/>
    <w:rsid w:val="00EE0BF2"/>
    <w:rsid w:val="00EE144A"/>
    <w:rsid w:val="00EE2982"/>
    <w:rsid w:val="00EE331B"/>
    <w:rsid w:val="00EE41C6"/>
    <w:rsid w:val="00EE65E0"/>
    <w:rsid w:val="00EE7A52"/>
    <w:rsid w:val="00EF066D"/>
    <w:rsid w:val="00EF06C9"/>
    <w:rsid w:val="00EF1499"/>
    <w:rsid w:val="00EF51B6"/>
    <w:rsid w:val="00EF598F"/>
    <w:rsid w:val="00EF6DA1"/>
    <w:rsid w:val="00F008DE"/>
    <w:rsid w:val="00F01A71"/>
    <w:rsid w:val="00F04B8A"/>
    <w:rsid w:val="00F051A2"/>
    <w:rsid w:val="00F122F0"/>
    <w:rsid w:val="00F12A61"/>
    <w:rsid w:val="00F1363E"/>
    <w:rsid w:val="00F1453B"/>
    <w:rsid w:val="00F173DF"/>
    <w:rsid w:val="00F205C7"/>
    <w:rsid w:val="00F20D66"/>
    <w:rsid w:val="00F225C7"/>
    <w:rsid w:val="00F23BA3"/>
    <w:rsid w:val="00F27EF5"/>
    <w:rsid w:val="00F316A0"/>
    <w:rsid w:val="00F364D1"/>
    <w:rsid w:val="00F36EBF"/>
    <w:rsid w:val="00F40642"/>
    <w:rsid w:val="00F40C19"/>
    <w:rsid w:val="00F42442"/>
    <w:rsid w:val="00F449B0"/>
    <w:rsid w:val="00F4531B"/>
    <w:rsid w:val="00F474D6"/>
    <w:rsid w:val="00F530F7"/>
    <w:rsid w:val="00F54C1B"/>
    <w:rsid w:val="00F552B9"/>
    <w:rsid w:val="00F636F8"/>
    <w:rsid w:val="00F64896"/>
    <w:rsid w:val="00F64B22"/>
    <w:rsid w:val="00F6506C"/>
    <w:rsid w:val="00F65976"/>
    <w:rsid w:val="00F65BF9"/>
    <w:rsid w:val="00F67151"/>
    <w:rsid w:val="00F7041D"/>
    <w:rsid w:val="00F70485"/>
    <w:rsid w:val="00F70ABA"/>
    <w:rsid w:val="00F75662"/>
    <w:rsid w:val="00F76447"/>
    <w:rsid w:val="00F7759E"/>
    <w:rsid w:val="00F83C8B"/>
    <w:rsid w:val="00F922FD"/>
    <w:rsid w:val="00F93785"/>
    <w:rsid w:val="00F95D43"/>
    <w:rsid w:val="00FA1725"/>
    <w:rsid w:val="00FA18E4"/>
    <w:rsid w:val="00FA7071"/>
    <w:rsid w:val="00FA7F1A"/>
    <w:rsid w:val="00FB0B30"/>
    <w:rsid w:val="00FB0E6F"/>
    <w:rsid w:val="00FB12B3"/>
    <w:rsid w:val="00FB6310"/>
    <w:rsid w:val="00FB7AC2"/>
    <w:rsid w:val="00FC0816"/>
    <w:rsid w:val="00FC0EDC"/>
    <w:rsid w:val="00FC17B5"/>
    <w:rsid w:val="00FC366D"/>
    <w:rsid w:val="00FC77B6"/>
    <w:rsid w:val="00FD1B62"/>
    <w:rsid w:val="00FD4B99"/>
    <w:rsid w:val="00FD631E"/>
    <w:rsid w:val="00FD7215"/>
    <w:rsid w:val="00FD7741"/>
    <w:rsid w:val="00FD7FF5"/>
    <w:rsid w:val="00FE1976"/>
    <w:rsid w:val="00FE1E0C"/>
    <w:rsid w:val="00FE3151"/>
    <w:rsid w:val="00FE5537"/>
    <w:rsid w:val="00FE7D3D"/>
    <w:rsid w:val="00FF14B1"/>
    <w:rsid w:val="00FF4328"/>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0A8"/>
    <w:pPr>
      <w:spacing w:after="60" w:line="320" w:lineRule="exact"/>
      <w:ind w:firstLine="709"/>
      <w:jc w:val="both"/>
    </w:pPr>
    <w:rPr>
      <w:rFonts w:ascii="Times New Roman" w:hAnsi="Times New Roman"/>
      <w:sz w:val="24"/>
      <w:szCs w:val="24"/>
      <w:lang w:eastAsia="en-US"/>
    </w:rPr>
  </w:style>
  <w:style w:type="paragraph" w:styleId="Nadpis1">
    <w:name w:val="heading 1"/>
    <w:basedOn w:val="Normlny"/>
    <w:next w:val="Normlny"/>
    <w:link w:val="Nadpis1Char"/>
    <w:uiPriority w:val="9"/>
    <w:qFormat/>
    <w:rsid w:val="009678B7"/>
    <w:pPr>
      <w:keepNext/>
      <w:keepLines/>
      <w:spacing w:before="120" w:after="120"/>
      <w:ind w:firstLine="0"/>
      <w:jc w:val="left"/>
      <w:outlineLvl w:val="0"/>
    </w:pPr>
    <w:rPr>
      <w:rFonts w:eastAsia="Times New Roman"/>
      <w:b/>
      <w:bCs/>
      <w:caps/>
    </w:rPr>
  </w:style>
  <w:style w:type="paragraph" w:styleId="Nadpis2">
    <w:name w:val="heading 2"/>
    <w:basedOn w:val="Normlny"/>
    <w:next w:val="Normlny"/>
    <w:link w:val="Nadpis2Char"/>
    <w:uiPriority w:val="9"/>
    <w:unhideWhenUsed/>
    <w:qFormat/>
    <w:rsid w:val="00E53A65"/>
    <w:pPr>
      <w:keepNext/>
      <w:keepLines/>
      <w:numPr>
        <w:numId w:val="15"/>
      </w:numPr>
      <w:spacing w:before="60" w:after="120"/>
      <w:ind w:left="714" w:hanging="357"/>
      <w:jc w:val="left"/>
      <w:outlineLvl w:val="1"/>
    </w:pPr>
    <w:rPr>
      <w:rFonts w:eastAsia="Times New Roman"/>
      <w:b/>
      <w:bCs/>
      <w:szCs w:val="26"/>
    </w:rPr>
  </w:style>
  <w:style w:type="paragraph" w:styleId="Nadpis3">
    <w:name w:val="heading 3"/>
    <w:basedOn w:val="Normlny"/>
    <w:next w:val="Normlny"/>
    <w:link w:val="Nadpis3Char"/>
    <w:uiPriority w:val="9"/>
    <w:unhideWhenUsed/>
    <w:qFormat/>
    <w:rsid w:val="0094220D"/>
    <w:pPr>
      <w:keepNext/>
      <w:numPr>
        <w:numId w:val="16"/>
      </w:numPr>
      <w:spacing w:after="120"/>
      <w:ind w:left="357" w:hanging="357"/>
      <w:jc w:val="left"/>
      <w:outlineLvl w:val="2"/>
    </w:pPr>
    <w:rPr>
      <w:rFonts w:eastAsia="Times New Roman"/>
      <w:b/>
      <w:bCs/>
      <w:szCs w:val="26"/>
    </w:rPr>
  </w:style>
  <w:style w:type="paragraph" w:styleId="Nadpis5">
    <w:name w:val="heading 5"/>
    <w:basedOn w:val="Normlny"/>
    <w:next w:val="Normlny"/>
    <w:link w:val="Nadpis5Char"/>
    <w:uiPriority w:val="9"/>
    <w:semiHidden/>
    <w:unhideWhenUsed/>
    <w:qFormat/>
    <w:rsid w:val="00CE6068"/>
    <w:pPr>
      <w:keepNext/>
      <w:keepLines/>
      <w:spacing w:before="200" w:after="0"/>
      <w:outlineLvl w:val="4"/>
    </w:pPr>
    <w:rPr>
      <w:rFonts w:ascii="Cambria" w:eastAsia="Times New Roman" w:hAnsi="Cambria"/>
      <w:color w:val="243F60"/>
    </w:rPr>
  </w:style>
  <w:style w:type="paragraph" w:styleId="Nadpis7">
    <w:name w:val="heading 7"/>
    <w:basedOn w:val="Normlny"/>
    <w:next w:val="Normlny"/>
    <w:link w:val="Nadpis7Char"/>
    <w:uiPriority w:val="9"/>
    <w:unhideWhenUsed/>
    <w:qFormat/>
    <w:rsid w:val="00350D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y"/>
    <w:next w:val="Normlny"/>
    <w:link w:val="Nadpis9Char"/>
    <w:uiPriority w:val="9"/>
    <w:semiHidden/>
    <w:unhideWhenUsed/>
    <w:qFormat/>
    <w:rsid w:val="00CE6068"/>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678B7"/>
    <w:rPr>
      <w:rFonts w:ascii="Times New Roman" w:eastAsia="Times New Roman" w:hAnsi="Times New Roman"/>
      <w:b/>
      <w:bCs/>
      <w:caps/>
      <w:sz w:val="24"/>
      <w:szCs w:val="24"/>
      <w:lang w:eastAsia="en-US"/>
    </w:rPr>
  </w:style>
  <w:style w:type="character" w:customStyle="1" w:styleId="Nadpis2Char">
    <w:name w:val="Nadpis 2 Char"/>
    <w:basedOn w:val="Predvolenpsmoodseku"/>
    <w:link w:val="Nadpis2"/>
    <w:uiPriority w:val="9"/>
    <w:rsid w:val="00E53A65"/>
    <w:rPr>
      <w:rFonts w:ascii="Times New Roman" w:eastAsia="Times New Roman" w:hAnsi="Times New Roman"/>
      <w:b/>
      <w:bCs/>
      <w:sz w:val="24"/>
      <w:szCs w:val="26"/>
      <w:lang w:eastAsia="en-US"/>
    </w:rPr>
  </w:style>
  <w:style w:type="character" w:customStyle="1" w:styleId="Nadpis5Char">
    <w:name w:val="Nadpis 5 Char"/>
    <w:basedOn w:val="Predvolenpsmoodseku"/>
    <w:link w:val="Nadpis5"/>
    <w:uiPriority w:val="9"/>
    <w:semiHidden/>
    <w:rsid w:val="00CE6068"/>
    <w:rPr>
      <w:rFonts w:ascii="Cambria" w:eastAsia="Times New Roman" w:hAnsi="Cambria" w:cs="Times New Roman"/>
      <w:color w:val="243F60"/>
      <w:sz w:val="24"/>
      <w:szCs w:val="24"/>
    </w:rPr>
  </w:style>
  <w:style w:type="character" w:customStyle="1" w:styleId="Nadpis9Char">
    <w:name w:val="Nadpis 9 Char"/>
    <w:basedOn w:val="Predvolenpsmoodseku"/>
    <w:link w:val="Nadpis9"/>
    <w:uiPriority w:val="9"/>
    <w:semiHidden/>
    <w:rsid w:val="00CE6068"/>
    <w:rPr>
      <w:rFonts w:ascii="Cambria" w:eastAsia="Times New Roman" w:hAnsi="Cambria" w:cs="Times New Roman"/>
      <w:i/>
      <w:iCs/>
      <w:color w:val="404040"/>
      <w:sz w:val="20"/>
      <w:szCs w:val="20"/>
    </w:rPr>
  </w:style>
  <w:style w:type="paragraph" w:styleId="Odsekzoznamu">
    <w:name w:val="List Paragraph"/>
    <w:basedOn w:val="Normlny"/>
    <w:uiPriority w:val="34"/>
    <w:qFormat/>
    <w:rsid w:val="00CE6068"/>
    <w:pPr>
      <w:ind w:left="720"/>
      <w:contextualSpacing/>
    </w:pPr>
  </w:style>
  <w:style w:type="character" w:styleId="Siln">
    <w:name w:val="Strong"/>
    <w:basedOn w:val="Predvolenpsmoodseku"/>
    <w:uiPriority w:val="22"/>
    <w:qFormat/>
    <w:rsid w:val="00CE6068"/>
    <w:rPr>
      <w:b/>
      <w:bCs/>
    </w:rPr>
  </w:style>
  <w:style w:type="paragraph" w:customStyle="1" w:styleId="Normln12">
    <w:name w:val="Normální 12"/>
    <w:basedOn w:val="Normlny"/>
    <w:rsid w:val="00CE6068"/>
    <w:pPr>
      <w:overflowPunct w:val="0"/>
      <w:autoSpaceDE w:val="0"/>
      <w:autoSpaceDN w:val="0"/>
      <w:adjustRightInd w:val="0"/>
      <w:spacing w:after="0"/>
      <w:ind w:firstLine="426"/>
      <w:textAlignment w:val="baseline"/>
    </w:pPr>
    <w:rPr>
      <w:rFonts w:eastAsia="Times New Roman"/>
      <w:szCs w:val="20"/>
      <w:lang w:val="cs-CZ" w:eastAsia="sk-SK"/>
    </w:rPr>
  </w:style>
  <w:style w:type="paragraph" w:customStyle="1" w:styleId="Nadpis4H4">
    <w:name w:val="Nadpis 4.H4"/>
    <w:basedOn w:val="Normlny"/>
    <w:next w:val="Normlny"/>
    <w:rsid w:val="00CE6068"/>
    <w:pPr>
      <w:keepNext/>
      <w:ind w:firstLine="0"/>
      <w:outlineLvl w:val="3"/>
    </w:pPr>
    <w:rPr>
      <w:rFonts w:eastAsia="Times New Roman"/>
      <w:b/>
      <w:lang w:eastAsia="cs-CZ"/>
    </w:rPr>
  </w:style>
  <w:style w:type="character" w:styleId="Textzstupnhosymbolu">
    <w:name w:val="Placeholder Text"/>
    <w:basedOn w:val="Predvolenpsmoodseku"/>
    <w:uiPriority w:val="99"/>
    <w:semiHidden/>
    <w:rsid w:val="00D23DC5"/>
    <w:rPr>
      <w:color w:val="808080"/>
    </w:rPr>
  </w:style>
  <w:style w:type="paragraph" w:styleId="Textbubliny">
    <w:name w:val="Balloon Text"/>
    <w:basedOn w:val="Normlny"/>
    <w:link w:val="TextbublinyChar"/>
    <w:uiPriority w:val="99"/>
    <w:semiHidden/>
    <w:unhideWhenUsed/>
    <w:rsid w:val="00D23D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3DC5"/>
    <w:rPr>
      <w:rFonts w:ascii="Tahoma" w:eastAsia="Calibri" w:hAnsi="Tahoma" w:cs="Tahoma"/>
      <w:sz w:val="16"/>
      <w:szCs w:val="16"/>
    </w:rPr>
  </w:style>
  <w:style w:type="paragraph" w:styleId="Pta">
    <w:name w:val="footer"/>
    <w:basedOn w:val="Normlny"/>
    <w:link w:val="PtaChar"/>
    <w:unhideWhenUsed/>
    <w:rsid w:val="003B1E44"/>
    <w:pPr>
      <w:tabs>
        <w:tab w:val="center" w:pos="4536"/>
        <w:tab w:val="right" w:pos="9072"/>
      </w:tabs>
      <w:spacing w:after="0" w:line="240" w:lineRule="auto"/>
      <w:ind w:firstLine="0"/>
      <w:jc w:val="left"/>
    </w:pPr>
    <w:rPr>
      <w:rFonts w:eastAsia="Times New Roman"/>
      <w:lang w:eastAsia="sk-SK"/>
    </w:rPr>
  </w:style>
  <w:style w:type="character" w:customStyle="1" w:styleId="PtaChar">
    <w:name w:val="Päta Char"/>
    <w:basedOn w:val="Predvolenpsmoodseku"/>
    <w:link w:val="Pta"/>
    <w:rsid w:val="003B1E44"/>
    <w:rPr>
      <w:rFonts w:ascii="Times New Roman" w:eastAsia="Times New Roman" w:hAnsi="Times New Roman" w:cs="Times New Roman"/>
      <w:sz w:val="24"/>
      <w:szCs w:val="24"/>
      <w:lang w:eastAsia="sk-SK"/>
    </w:rPr>
  </w:style>
  <w:style w:type="paragraph" w:styleId="Nzov">
    <w:name w:val="Title"/>
    <w:basedOn w:val="Normlny"/>
    <w:link w:val="NzovChar"/>
    <w:qFormat/>
    <w:rsid w:val="003B1E44"/>
    <w:pPr>
      <w:spacing w:after="0" w:line="240" w:lineRule="auto"/>
      <w:ind w:firstLine="0"/>
      <w:jc w:val="center"/>
    </w:pPr>
    <w:rPr>
      <w:rFonts w:eastAsia="Times New Roman"/>
      <w:b/>
      <w:bCs/>
      <w:sz w:val="28"/>
      <w:lang w:eastAsia="sk-SK"/>
    </w:rPr>
  </w:style>
  <w:style w:type="character" w:customStyle="1" w:styleId="NzovChar">
    <w:name w:val="Názov Char"/>
    <w:basedOn w:val="Predvolenpsmoodseku"/>
    <w:link w:val="Nzov"/>
    <w:rsid w:val="003B1E44"/>
    <w:rPr>
      <w:rFonts w:ascii="Times New Roman" w:eastAsia="Times New Roman" w:hAnsi="Times New Roman" w:cs="Times New Roman"/>
      <w:b/>
      <w:bCs/>
      <w:sz w:val="28"/>
      <w:szCs w:val="24"/>
      <w:lang w:eastAsia="sk-SK"/>
    </w:rPr>
  </w:style>
  <w:style w:type="paragraph" w:styleId="Zkladntext">
    <w:name w:val="Body Text"/>
    <w:aliases w:val="b,Body Text 1,bt,BT (body text),ICL Body Text,Quote"/>
    <w:basedOn w:val="Normlny"/>
    <w:link w:val="ZkladntextChar"/>
    <w:semiHidden/>
    <w:rsid w:val="00F922FD"/>
    <w:pPr>
      <w:spacing w:after="0" w:line="240" w:lineRule="auto"/>
      <w:ind w:firstLine="0"/>
    </w:pPr>
    <w:rPr>
      <w:rFonts w:eastAsia="Times New Roman"/>
      <w:sz w:val="28"/>
      <w:lang w:eastAsia="sk-SK"/>
    </w:rPr>
  </w:style>
  <w:style w:type="character" w:customStyle="1" w:styleId="ZkladntextChar">
    <w:name w:val="Základný text Char"/>
    <w:aliases w:val="b Char,Body Text 1 Char,bt Char,BT (body text) Char,ICL Body Text Char,Quote Char"/>
    <w:basedOn w:val="Predvolenpsmoodseku"/>
    <w:link w:val="Zkladntext"/>
    <w:semiHidden/>
    <w:rsid w:val="00F922FD"/>
    <w:rPr>
      <w:rFonts w:ascii="Times New Roman" w:eastAsia="Times New Roman" w:hAnsi="Times New Roman" w:cs="Times New Roman"/>
      <w:sz w:val="28"/>
      <w:szCs w:val="24"/>
      <w:lang w:eastAsia="sk-SK"/>
    </w:rPr>
  </w:style>
  <w:style w:type="table" w:styleId="Svetlmriekazvraznenie3">
    <w:name w:val="Light Grid Accent 3"/>
    <w:basedOn w:val="Normlnatabuka"/>
    <w:uiPriority w:val="62"/>
    <w:rsid w:val="008E3F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lavika">
    <w:name w:val="header"/>
    <w:basedOn w:val="Normlny"/>
    <w:link w:val="HlavikaChar"/>
    <w:uiPriority w:val="99"/>
    <w:unhideWhenUsed/>
    <w:rsid w:val="001B3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396F"/>
    <w:rPr>
      <w:rFonts w:ascii="Times New Roman" w:eastAsia="Calibri" w:hAnsi="Times New Roman" w:cs="Times New Roman"/>
      <w:sz w:val="24"/>
      <w:szCs w:val="24"/>
    </w:rPr>
  </w:style>
  <w:style w:type="paragraph" w:styleId="Normlnywebov">
    <w:name w:val="Normal (Web)"/>
    <w:basedOn w:val="Normlny"/>
    <w:uiPriority w:val="99"/>
    <w:semiHidden/>
    <w:rsid w:val="00AE3225"/>
    <w:pPr>
      <w:spacing w:before="100" w:beforeAutospacing="1" w:after="100" w:afterAutospacing="1" w:line="240" w:lineRule="auto"/>
      <w:ind w:firstLine="0"/>
      <w:jc w:val="left"/>
    </w:pPr>
    <w:rPr>
      <w:rFonts w:ascii="Arial Unicode MS" w:eastAsia="Arial Unicode MS" w:hAnsi="Arial Unicode MS" w:cs="Arial Unicode MS"/>
      <w:lang w:eastAsia="sk-SK"/>
    </w:rPr>
  </w:style>
  <w:style w:type="paragraph" w:customStyle="1" w:styleId="Default">
    <w:name w:val="Default"/>
    <w:rsid w:val="00F205C7"/>
    <w:pPr>
      <w:autoSpaceDE w:val="0"/>
      <w:autoSpaceDN w:val="0"/>
      <w:adjustRightInd w:val="0"/>
    </w:pPr>
    <w:rPr>
      <w:rFonts w:ascii="Times New Roman" w:eastAsia="Times New Roman" w:hAnsi="Times New Roman"/>
      <w:color w:val="000000"/>
      <w:sz w:val="24"/>
      <w:szCs w:val="24"/>
    </w:rPr>
  </w:style>
  <w:style w:type="character" w:customStyle="1" w:styleId="Nadpis3Char">
    <w:name w:val="Nadpis 3 Char"/>
    <w:basedOn w:val="Predvolenpsmoodseku"/>
    <w:link w:val="Nadpis3"/>
    <w:uiPriority w:val="9"/>
    <w:rsid w:val="0094220D"/>
    <w:rPr>
      <w:rFonts w:ascii="Times New Roman" w:eastAsia="Times New Roman" w:hAnsi="Times New Roman"/>
      <w:b/>
      <w:bCs/>
      <w:sz w:val="24"/>
      <w:szCs w:val="26"/>
      <w:lang w:eastAsia="en-US"/>
    </w:rPr>
  </w:style>
  <w:style w:type="paragraph" w:styleId="Obsah1">
    <w:name w:val="toc 1"/>
    <w:basedOn w:val="Normlny"/>
    <w:next w:val="Normlny"/>
    <w:autoRedefine/>
    <w:uiPriority w:val="39"/>
    <w:unhideWhenUsed/>
    <w:rsid w:val="005E0ED4"/>
    <w:pPr>
      <w:tabs>
        <w:tab w:val="left" w:pos="440"/>
        <w:tab w:val="right" w:leader="dot" w:pos="9062"/>
      </w:tabs>
      <w:spacing w:after="0"/>
      <w:ind w:firstLine="142"/>
    </w:pPr>
    <w:rPr>
      <w:noProof/>
    </w:rPr>
  </w:style>
  <w:style w:type="paragraph" w:styleId="Obsah2">
    <w:name w:val="toc 2"/>
    <w:basedOn w:val="Normlny"/>
    <w:next w:val="Normlny"/>
    <w:autoRedefine/>
    <w:uiPriority w:val="39"/>
    <w:unhideWhenUsed/>
    <w:rsid w:val="008261E8"/>
    <w:pPr>
      <w:tabs>
        <w:tab w:val="left" w:pos="426"/>
        <w:tab w:val="left" w:pos="1540"/>
        <w:tab w:val="right" w:leader="dot" w:pos="9062"/>
      </w:tabs>
      <w:ind w:left="142" w:firstLine="0"/>
    </w:pPr>
  </w:style>
  <w:style w:type="paragraph" w:styleId="Obsah3">
    <w:name w:val="toc 3"/>
    <w:basedOn w:val="Normlny"/>
    <w:next w:val="Normlny"/>
    <w:autoRedefine/>
    <w:uiPriority w:val="39"/>
    <w:unhideWhenUsed/>
    <w:rsid w:val="008261E8"/>
    <w:pPr>
      <w:tabs>
        <w:tab w:val="left" w:pos="1760"/>
        <w:tab w:val="right" w:leader="dot" w:pos="9062"/>
      </w:tabs>
      <w:ind w:left="480" w:firstLine="0"/>
    </w:pPr>
    <w:rPr>
      <w:i/>
      <w:noProof/>
    </w:rPr>
  </w:style>
  <w:style w:type="character" w:styleId="Hypertextovprepojenie">
    <w:name w:val="Hyperlink"/>
    <w:basedOn w:val="Predvolenpsmoodseku"/>
    <w:uiPriority w:val="99"/>
    <w:unhideWhenUsed/>
    <w:rsid w:val="008261E8"/>
    <w:rPr>
      <w:color w:val="0000FF"/>
      <w:u w:val="single"/>
    </w:rPr>
  </w:style>
  <w:style w:type="character" w:customStyle="1" w:styleId="nolink">
    <w:name w:val="nolink"/>
    <w:basedOn w:val="Predvolenpsmoodseku"/>
    <w:rsid w:val="00DF12FA"/>
  </w:style>
  <w:style w:type="character" w:styleId="Zvraznenie">
    <w:name w:val="Emphasis"/>
    <w:basedOn w:val="Predvolenpsmoodseku"/>
    <w:uiPriority w:val="20"/>
    <w:qFormat/>
    <w:rsid w:val="0047172F"/>
    <w:rPr>
      <w:i/>
      <w:iCs/>
    </w:rPr>
  </w:style>
  <w:style w:type="character" w:customStyle="1" w:styleId="Nadpis7Char">
    <w:name w:val="Nadpis 7 Char"/>
    <w:basedOn w:val="Predvolenpsmoodseku"/>
    <w:link w:val="Nadpis7"/>
    <w:uiPriority w:val="9"/>
    <w:rsid w:val="00350DCD"/>
    <w:rPr>
      <w:rFonts w:asciiTheme="majorHAnsi" w:eastAsiaTheme="majorEastAsia" w:hAnsiTheme="majorHAnsi" w:cstheme="majorBidi"/>
      <w:i/>
      <w:iCs/>
      <w:color w:val="404040" w:themeColor="text1" w:themeTint="BF"/>
      <w:sz w:val="24"/>
      <w:szCs w:val="24"/>
      <w:lang w:eastAsia="en-US"/>
    </w:rPr>
  </w:style>
  <w:style w:type="table" w:styleId="Mriekatabuky">
    <w:name w:val="Table Grid"/>
    <w:basedOn w:val="Normlnatabuka"/>
    <w:uiPriority w:val="59"/>
    <w:rsid w:val="005819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0A8"/>
    <w:pPr>
      <w:spacing w:after="60" w:line="320" w:lineRule="exact"/>
      <w:ind w:firstLine="709"/>
      <w:jc w:val="both"/>
    </w:pPr>
    <w:rPr>
      <w:rFonts w:ascii="Times New Roman" w:hAnsi="Times New Roman"/>
      <w:sz w:val="24"/>
      <w:szCs w:val="24"/>
      <w:lang w:eastAsia="en-US"/>
    </w:rPr>
  </w:style>
  <w:style w:type="paragraph" w:styleId="Nadpis1">
    <w:name w:val="heading 1"/>
    <w:basedOn w:val="Normlny"/>
    <w:next w:val="Normlny"/>
    <w:link w:val="Nadpis1Char"/>
    <w:uiPriority w:val="9"/>
    <w:qFormat/>
    <w:rsid w:val="009678B7"/>
    <w:pPr>
      <w:keepNext/>
      <w:keepLines/>
      <w:spacing w:before="120" w:after="120"/>
      <w:ind w:firstLine="0"/>
      <w:jc w:val="left"/>
      <w:outlineLvl w:val="0"/>
    </w:pPr>
    <w:rPr>
      <w:rFonts w:eastAsia="Times New Roman"/>
      <w:b/>
      <w:bCs/>
      <w:caps/>
    </w:rPr>
  </w:style>
  <w:style w:type="paragraph" w:styleId="Nadpis2">
    <w:name w:val="heading 2"/>
    <w:basedOn w:val="Normlny"/>
    <w:next w:val="Normlny"/>
    <w:link w:val="Nadpis2Char"/>
    <w:uiPriority w:val="9"/>
    <w:unhideWhenUsed/>
    <w:qFormat/>
    <w:rsid w:val="00E53A65"/>
    <w:pPr>
      <w:keepNext/>
      <w:keepLines/>
      <w:numPr>
        <w:numId w:val="15"/>
      </w:numPr>
      <w:spacing w:before="60" w:after="120"/>
      <w:ind w:left="714" w:hanging="357"/>
      <w:jc w:val="left"/>
      <w:outlineLvl w:val="1"/>
    </w:pPr>
    <w:rPr>
      <w:rFonts w:eastAsia="Times New Roman"/>
      <w:b/>
      <w:bCs/>
      <w:szCs w:val="26"/>
    </w:rPr>
  </w:style>
  <w:style w:type="paragraph" w:styleId="Nadpis3">
    <w:name w:val="heading 3"/>
    <w:basedOn w:val="Normlny"/>
    <w:next w:val="Normlny"/>
    <w:link w:val="Nadpis3Char"/>
    <w:uiPriority w:val="9"/>
    <w:unhideWhenUsed/>
    <w:qFormat/>
    <w:rsid w:val="0094220D"/>
    <w:pPr>
      <w:keepNext/>
      <w:numPr>
        <w:numId w:val="16"/>
      </w:numPr>
      <w:spacing w:after="120"/>
      <w:ind w:left="357" w:hanging="357"/>
      <w:jc w:val="left"/>
      <w:outlineLvl w:val="2"/>
    </w:pPr>
    <w:rPr>
      <w:rFonts w:eastAsia="Times New Roman"/>
      <w:b/>
      <w:bCs/>
      <w:szCs w:val="26"/>
    </w:rPr>
  </w:style>
  <w:style w:type="paragraph" w:styleId="Nadpis5">
    <w:name w:val="heading 5"/>
    <w:basedOn w:val="Normlny"/>
    <w:next w:val="Normlny"/>
    <w:link w:val="Nadpis5Char"/>
    <w:uiPriority w:val="9"/>
    <w:semiHidden/>
    <w:unhideWhenUsed/>
    <w:qFormat/>
    <w:rsid w:val="00CE6068"/>
    <w:pPr>
      <w:keepNext/>
      <w:keepLines/>
      <w:spacing w:before="200" w:after="0"/>
      <w:outlineLvl w:val="4"/>
    </w:pPr>
    <w:rPr>
      <w:rFonts w:ascii="Cambria" w:eastAsia="Times New Roman" w:hAnsi="Cambria"/>
      <w:color w:val="243F60"/>
    </w:rPr>
  </w:style>
  <w:style w:type="paragraph" w:styleId="Nadpis7">
    <w:name w:val="heading 7"/>
    <w:basedOn w:val="Normlny"/>
    <w:next w:val="Normlny"/>
    <w:link w:val="Nadpis7Char"/>
    <w:uiPriority w:val="9"/>
    <w:unhideWhenUsed/>
    <w:qFormat/>
    <w:rsid w:val="00350D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y"/>
    <w:next w:val="Normlny"/>
    <w:link w:val="Nadpis9Char"/>
    <w:uiPriority w:val="9"/>
    <w:semiHidden/>
    <w:unhideWhenUsed/>
    <w:qFormat/>
    <w:rsid w:val="00CE6068"/>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678B7"/>
    <w:rPr>
      <w:rFonts w:ascii="Times New Roman" w:eastAsia="Times New Roman" w:hAnsi="Times New Roman"/>
      <w:b/>
      <w:bCs/>
      <w:caps/>
      <w:sz w:val="24"/>
      <w:szCs w:val="24"/>
      <w:lang w:eastAsia="en-US"/>
    </w:rPr>
  </w:style>
  <w:style w:type="character" w:customStyle="1" w:styleId="Nadpis2Char">
    <w:name w:val="Nadpis 2 Char"/>
    <w:basedOn w:val="Predvolenpsmoodseku"/>
    <w:link w:val="Nadpis2"/>
    <w:uiPriority w:val="9"/>
    <w:rsid w:val="00E53A65"/>
    <w:rPr>
      <w:rFonts w:ascii="Times New Roman" w:eastAsia="Times New Roman" w:hAnsi="Times New Roman"/>
      <w:b/>
      <w:bCs/>
      <w:sz w:val="24"/>
      <w:szCs w:val="26"/>
      <w:lang w:eastAsia="en-US"/>
    </w:rPr>
  </w:style>
  <w:style w:type="character" w:customStyle="1" w:styleId="Nadpis5Char">
    <w:name w:val="Nadpis 5 Char"/>
    <w:basedOn w:val="Predvolenpsmoodseku"/>
    <w:link w:val="Nadpis5"/>
    <w:uiPriority w:val="9"/>
    <w:semiHidden/>
    <w:rsid w:val="00CE6068"/>
    <w:rPr>
      <w:rFonts w:ascii="Cambria" w:eastAsia="Times New Roman" w:hAnsi="Cambria" w:cs="Times New Roman"/>
      <w:color w:val="243F60"/>
      <w:sz w:val="24"/>
      <w:szCs w:val="24"/>
    </w:rPr>
  </w:style>
  <w:style w:type="character" w:customStyle="1" w:styleId="Nadpis9Char">
    <w:name w:val="Nadpis 9 Char"/>
    <w:basedOn w:val="Predvolenpsmoodseku"/>
    <w:link w:val="Nadpis9"/>
    <w:uiPriority w:val="9"/>
    <w:semiHidden/>
    <w:rsid w:val="00CE6068"/>
    <w:rPr>
      <w:rFonts w:ascii="Cambria" w:eastAsia="Times New Roman" w:hAnsi="Cambria" w:cs="Times New Roman"/>
      <w:i/>
      <w:iCs/>
      <w:color w:val="404040"/>
      <w:sz w:val="20"/>
      <w:szCs w:val="20"/>
    </w:rPr>
  </w:style>
  <w:style w:type="paragraph" w:styleId="Odsekzoznamu">
    <w:name w:val="List Paragraph"/>
    <w:basedOn w:val="Normlny"/>
    <w:uiPriority w:val="34"/>
    <w:qFormat/>
    <w:rsid w:val="00CE6068"/>
    <w:pPr>
      <w:ind w:left="720"/>
      <w:contextualSpacing/>
    </w:pPr>
  </w:style>
  <w:style w:type="character" w:styleId="Siln">
    <w:name w:val="Strong"/>
    <w:basedOn w:val="Predvolenpsmoodseku"/>
    <w:uiPriority w:val="22"/>
    <w:qFormat/>
    <w:rsid w:val="00CE6068"/>
    <w:rPr>
      <w:b/>
      <w:bCs/>
    </w:rPr>
  </w:style>
  <w:style w:type="paragraph" w:customStyle="1" w:styleId="Normln12">
    <w:name w:val="Normální 12"/>
    <w:basedOn w:val="Normlny"/>
    <w:rsid w:val="00CE6068"/>
    <w:pPr>
      <w:overflowPunct w:val="0"/>
      <w:autoSpaceDE w:val="0"/>
      <w:autoSpaceDN w:val="0"/>
      <w:adjustRightInd w:val="0"/>
      <w:spacing w:after="0"/>
      <w:ind w:firstLine="426"/>
      <w:textAlignment w:val="baseline"/>
    </w:pPr>
    <w:rPr>
      <w:rFonts w:eastAsia="Times New Roman"/>
      <w:szCs w:val="20"/>
      <w:lang w:val="cs-CZ" w:eastAsia="sk-SK"/>
    </w:rPr>
  </w:style>
  <w:style w:type="paragraph" w:customStyle="1" w:styleId="Nadpis4H4">
    <w:name w:val="Nadpis 4.H4"/>
    <w:basedOn w:val="Normlny"/>
    <w:next w:val="Normlny"/>
    <w:rsid w:val="00CE6068"/>
    <w:pPr>
      <w:keepNext/>
      <w:ind w:firstLine="0"/>
      <w:outlineLvl w:val="3"/>
    </w:pPr>
    <w:rPr>
      <w:rFonts w:eastAsia="Times New Roman"/>
      <w:b/>
      <w:lang w:eastAsia="cs-CZ"/>
    </w:rPr>
  </w:style>
  <w:style w:type="character" w:styleId="Textzstupnhosymbolu">
    <w:name w:val="Placeholder Text"/>
    <w:basedOn w:val="Predvolenpsmoodseku"/>
    <w:uiPriority w:val="99"/>
    <w:semiHidden/>
    <w:rsid w:val="00D23DC5"/>
    <w:rPr>
      <w:color w:val="808080"/>
    </w:rPr>
  </w:style>
  <w:style w:type="paragraph" w:styleId="Textbubliny">
    <w:name w:val="Balloon Text"/>
    <w:basedOn w:val="Normlny"/>
    <w:link w:val="TextbublinyChar"/>
    <w:uiPriority w:val="99"/>
    <w:semiHidden/>
    <w:unhideWhenUsed/>
    <w:rsid w:val="00D23D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3DC5"/>
    <w:rPr>
      <w:rFonts w:ascii="Tahoma" w:eastAsia="Calibri" w:hAnsi="Tahoma" w:cs="Tahoma"/>
      <w:sz w:val="16"/>
      <w:szCs w:val="16"/>
    </w:rPr>
  </w:style>
  <w:style w:type="paragraph" w:styleId="Pta">
    <w:name w:val="footer"/>
    <w:basedOn w:val="Normlny"/>
    <w:link w:val="PtaChar"/>
    <w:unhideWhenUsed/>
    <w:rsid w:val="003B1E44"/>
    <w:pPr>
      <w:tabs>
        <w:tab w:val="center" w:pos="4536"/>
        <w:tab w:val="right" w:pos="9072"/>
      </w:tabs>
      <w:spacing w:after="0" w:line="240" w:lineRule="auto"/>
      <w:ind w:firstLine="0"/>
      <w:jc w:val="left"/>
    </w:pPr>
    <w:rPr>
      <w:rFonts w:eastAsia="Times New Roman"/>
      <w:lang w:eastAsia="sk-SK"/>
    </w:rPr>
  </w:style>
  <w:style w:type="character" w:customStyle="1" w:styleId="PtaChar">
    <w:name w:val="Päta Char"/>
    <w:basedOn w:val="Predvolenpsmoodseku"/>
    <w:link w:val="Pta"/>
    <w:rsid w:val="003B1E44"/>
    <w:rPr>
      <w:rFonts w:ascii="Times New Roman" w:eastAsia="Times New Roman" w:hAnsi="Times New Roman" w:cs="Times New Roman"/>
      <w:sz w:val="24"/>
      <w:szCs w:val="24"/>
      <w:lang w:eastAsia="sk-SK"/>
    </w:rPr>
  </w:style>
  <w:style w:type="paragraph" w:styleId="Nzov">
    <w:name w:val="Title"/>
    <w:basedOn w:val="Normlny"/>
    <w:link w:val="NzovChar"/>
    <w:qFormat/>
    <w:rsid w:val="003B1E44"/>
    <w:pPr>
      <w:spacing w:after="0" w:line="240" w:lineRule="auto"/>
      <w:ind w:firstLine="0"/>
      <w:jc w:val="center"/>
    </w:pPr>
    <w:rPr>
      <w:rFonts w:eastAsia="Times New Roman"/>
      <w:b/>
      <w:bCs/>
      <w:sz w:val="28"/>
      <w:lang w:eastAsia="sk-SK"/>
    </w:rPr>
  </w:style>
  <w:style w:type="character" w:customStyle="1" w:styleId="NzovChar">
    <w:name w:val="Názov Char"/>
    <w:basedOn w:val="Predvolenpsmoodseku"/>
    <w:link w:val="Nzov"/>
    <w:rsid w:val="003B1E44"/>
    <w:rPr>
      <w:rFonts w:ascii="Times New Roman" w:eastAsia="Times New Roman" w:hAnsi="Times New Roman" w:cs="Times New Roman"/>
      <w:b/>
      <w:bCs/>
      <w:sz w:val="28"/>
      <w:szCs w:val="24"/>
      <w:lang w:eastAsia="sk-SK"/>
    </w:rPr>
  </w:style>
  <w:style w:type="paragraph" w:styleId="Zkladntext">
    <w:name w:val="Body Text"/>
    <w:aliases w:val="b,Body Text 1,bt,BT (body text),ICL Body Text,Quote"/>
    <w:basedOn w:val="Normlny"/>
    <w:link w:val="ZkladntextChar"/>
    <w:semiHidden/>
    <w:rsid w:val="00F922FD"/>
    <w:pPr>
      <w:spacing w:after="0" w:line="240" w:lineRule="auto"/>
      <w:ind w:firstLine="0"/>
    </w:pPr>
    <w:rPr>
      <w:rFonts w:eastAsia="Times New Roman"/>
      <w:sz w:val="28"/>
      <w:lang w:eastAsia="sk-SK"/>
    </w:rPr>
  </w:style>
  <w:style w:type="character" w:customStyle="1" w:styleId="ZkladntextChar">
    <w:name w:val="Základný text Char"/>
    <w:aliases w:val="b Char,Body Text 1 Char,bt Char,BT (body text) Char,ICL Body Text Char,Quote Char"/>
    <w:basedOn w:val="Predvolenpsmoodseku"/>
    <w:link w:val="Zkladntext"/>
    <w:semiHidden/>
    <w:rsid w:val="00F922FD"/>
    <w:rPr>
      <w:rFonts w:ascii="Times New Roman" w:eastAsia="Times New Roman" w:hAnsi="Times New Roman" w:cs="Times New Roman"/>
      <w:sz w:val="28"/>
      <w:szCs w:val="24"/>
      <w:lang w:eastAsia="sk-SK"/>
    </w:rPr>
  </w:style>
  <w:style w:type="table" w:styleId="Svetlmriekazvraznenie3">
    <w:name w:val="Light Grid Accent 3"/>
    <w:basedOn w:val="Normlnatabuka"/>
    <w:uiPriority w:val="62"/>
    <w:rsid w:val="008E3F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lavika">
    <w:name w:val="header"/>
    <w:basedOn w:val="Normlny"/>
    <w:link w:val="HlavikaChar"/>
    <w:uiPriority w:val="99"/>
    <w:unhideWhenUsed/>
    <w:rsid w:val="001B3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396F"/>
    <w:rPr>
      <w:rFonts w:ascii="Times New Roman" w:eastAsia="Calibri" w:hAnsi="Times New Roman" w:cs="Times New Roman"/>
      <w:sz w:val="24"/>
      <w:szCs w:val="24"/>
    </w:rPr>
  </w:style>
  <w:style w:type="paragraph" w:styleId="Normlnywebov">
    <w:name w:val="Normal (Web)"/>
    <w:basedOn w:val="Normlny"/>
    <w:uiPriority w:val="99"/>
    <w:semiHidden/>
    <w:rsid w:val="00AE3225"/>
    <w:pPr>
      <w:spacing w:before="100" w:beforeAutospacing="1" w:after="100" w:afterAutospacing="1" w:line="240" w:lineRule="auto"/>
      <w:ind w:firstLine="0"/>
      <w:jc w:val="left"/>
    </w:pPr>
    <w:rPr>
      <w:rFonts w:ascii="Arial Unicode MS" w:eastAsia="Arial Unicode MS" w:hAnsi="Arial Unicode MS" w:cs="Arial Unicode MS"/>
      <w:lang w:eastAsia="sk-SK"/>
    </w:rPr>
  </w:style>
  <w:style w:type="paragraph" w:customStyle="1" w:styleId="Default">
    <w:name w:val="Default"/>
    <w:rsid w:val="00F205C7"/>
    <w:pPr>
      <w:autoSpaceDE w:val="0"/>
      <w:autoSpaceDN w:val="0"/>
      <w:adjustRightInd w:val="0"/>
    </w:pPr>
    <w:rPr>
      <w:rFonts w:ascii="Times New Roman" w:eastAsia="Times New Roman" w:hAnsi="Times New Roman"/>
      <w:color w:val="000000"/>
      <w:sz w:val="24"/>
      <w:szCs w:val="24"/>
    </w:rPr>
  </w:style>
  <w:style w:type="character" w:customStyle="1" w:styleId="Nadpis3Char">
    <w:name w:val="Nadpis 3 Char"/>
    <w:basedOn w:val="Predvolenpsmoodseku"/>
    <w:link w:val="Nadpis3"/>
    <w:uiPriority w:val="9"/>
    <w:rsid w:val="0094220D"/>
    <w:rPr>
      <w:rFonts w:ascii="Times New Roman" w:eastAsia="Times New Roman" w:hAnsi="Times New Roman"/>
      <w:b/>
      <w:bCs/>
      <w:sz w:val="24"/>
      <w:szCs w:val="26"/>
      <w:lang w:eastAsia="en-US"/>
    </w:rPr>
  </w:style>
  <w:style w:type="paragraph" w:styleId="Obsah1">
    <w:name w:val="toc 1"/>
    <w:basedOn w:val="Normlny"/>
    <w:next w:val="Normlny"/>
    <w:autoRedefine/>
    <w:uiPriority w:val="39"/>
    <w:unhideWhenUsed/>
    <w:rsid w:val="005E0ED4"/>
    <w:pPr>
      <w:tabs>
        <w:tab w:val="left" w:pos="440"/>
        <w:tab w:val="right" w:leader="dot" w:pos="9062"/>
      </w:tabs>
      <w:spacing w:after="0"/>
      <w:ind w:firstLine="142"/>
    </w:pPr>
    <w:rPr>
      <w:noProof/>
    </w:rPr>
  </w:style>
  <w:style w:type="paragraph" w:styleId="Obsah2">
    <w:name w:val="toc 2"/>
    <w:basedOn w:val="Normlny"/>
    <w:next w:val="Normlny"/>
    <w:autoRedefine/>
    <w:uiPriority w:val="39"/>
    <w:unhideWhenUsed/>
    <w:rsid w:val="008261E8"/>
    <w:pPr>
      <w:tabs>
        <w:tab w:val="left" w:pos="426"/>
        <w:tab w:val="left" w:pos="1540"/>
        <w:tab w:val="right" w:leader="dot" w:pos="9062"/>
      </w:tabs>
      <w:ind w:left="142" w:firstLine="0"/>
    </w:pPr>
  </w:style>
  <w:style w:type="paragraph" w:styleId="Obsah3">
    <w:name w:val="toc 3"/>
    <w:basedOn w:val="Normlny"/>
    <w:next w:val="Normlny"/>
    <w:autoRedefine/>
    <w:uiPriority w:val="39"/>
    <w:unhideWhenUsed/>
    <w:rsid w:val="008261E8"/>
    <w:pPr>
      <w:tabs>
        <w:tab w:val="left" w:pos="1760"/>
        <w:tab w:val="right" w:leader="dot" w:pos="9062"/>
      </w:tabs>
      <w:ind w:left="480" w:firstLine="0"/>
    </w:pPr>
    <w:rPr>
      <w:i/>
      <w:noProof/>
    </w:rPr>
  </w:style>
  <w:style w:type="character" w:styleId="Hypertextovprepojenie">
    <w:name w:val="Hyperlink"/>
    <w:basedOn w:val="Predvolenpsmoodseku"/>
    <w:uiPriority w:val="99"/>
    <w:unhideWhenUsed/>
    <w:rsid w:val="008261E8"/>
    <w:rPr>
      <w:color w:val="0000FF"/>
      <w:u w:val="single"/>
    </w:rPr>
  </w:style>
  <w:style w:type="character" w:customStyle="1" w:styleId="nolink">
    <w:name w:val="nolink"/>
    <w:basedOn w:val="Predvolenpsmoodseku"/>
    <w:rsid w:val="00DF12FA"/>
  </w:style>
  <w:style w:type="character" w:styleId="Zvraznenie">
    <w:name w:val="Emphasis"/>
    <w:basedOn w:val="Predvolenpsmoodseku"/>
    <w:uiPriority w:val="20"/>
    <w:qFormat/>
    <w:rsid w:val="0047172F"/>
    <w:rPr>
      <w:i/>
      <w:iCs/>
    </w:rPr>
  </w:style>
  <w:style w:type="character" w:customStyle="1" w:styleId="Nadpis7Char">
    <w:name w:val="Nadpis 7 Char"/>
    <w:basedOn w:val="Predvolenpsmoodseku"/>
    <w:link w:val="Nadpis7"/>
    <w:uiPriority w:val="9"/>
    <w:rsid w:val="00350DCD"/>
    <w:rPr>
      <w:rFonts w:asciiTheme="majorHAnsi" w:eastAsiaTheme="majorEastAsia" w:hAnsiTheme="majorHAnsi" w:cstheme="majorBidi"/>
      <w:i/>
      <w:iCs/>
      <w:color w:val="404040" w:themeColor="text1" w:themeTint="BF"/>
      <w:sz w:val="24"/>
      <w:szCs w:val="24"/>
      <w:lang w:eastAsia="en-US"/>
    </w:rPr>
  </w:style>
  <w:style w:type="table" w:styleId="Mriekatabuky">
    <w:name w:val="Table Grid"/>
    <w:basedOn w:val="Normlnatabuka"/>
    <w:uiPriority w:val="59"/>
    <w:rsid w:val="005819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515">
      <w:bodyDiv w:val="1"/>
      <w:marLeft w:val="0"/>
      <w:marRight w:val="0"/>
      <w:marTop w:val="0"/>
      <w:marBottom w:val="0"/>
      <w:divBdr>
        <w:top w:val="none" w:sz="0" w:space="0" w:color="auto"/>
        <w:left w:val="none" w:sz="0" w:space="0" w:color="auto"/>
        <w:bottom w:val="none" w:sz="0" w:space="0" w:color="auto"/>
        <w:right w:val="none" w:sz="0" w:space="0" w:color="auto"/>
      </w:divBdr>
    </w:div>
    <w:div w:id="102499272">
      <w:bodyDiv w:val="1"/>
      <w:marLeft w:val="0"/>
      <w:marRight w:val="0"/>
      <w:marTop w:val="0"/>
      <w:marBottom w:val="0"/>
      <w:divBdr>
        <w:top w:val="none" w:sz="0" w:space="0" w:color="auto"/>
        <w:left w:val="none" w:sz="0" w:space="0" w:color="auto"/>
        <w:bottom w:val="none" w:sz="0" w:space="0" w:color="auto"/>
        <w:right w:val="none" w:sz="0" w:space="0" w:color="auto"/>
      </w:divBdr>
    </w:div>
    <w:div w:id="116068541">
      <w:bodyDiv w:val="1"/>
      <w:marLeft w:val="0"/>
      <w:marRight w:val="0"/>
      <w:marTop w:val="0"/>
      <w:marBottom w:val="0"/>
      <w:divBdr>
        <w:top w:val="none" w:sz="0" w:space="0" w:color="auto"/>
        <w:left w:val="none" w:sz="0" w:space="0" w:color="auto"/>
        <w:bottom w:val="none" w:sz="0" w:space="0" w:color="auto"/>
        <w:right w:val="none" w:sz="0" w:space="0" w:color="auto"/>
      </w:divBdr>
    </w:div>
    <w:div w:id="182911101">
      <w:bodyDiv w:val="1"/>
      <w:marLeft w:val="0"/>
      <w:marRight w:val="0"/>
      <w:marTop w:val="0"/>
      <w:marBottom w:val="0"/>
      <w:divBdr>
        <w:top w:val="none" w:sz="0" w:space="0" w:color="auto"/>
        <w:left w:val="none" w:sz="0" w:space="0" w:color="auto"/>
        <w:bottom w:val="none" w:sz="0" w:space="0" w:color="auto"/>
        <w:right w:val="none" w:sz="0" w:space="0" w:color="auto"/>
      </w:divBdr>
    </w:div>
    <w:div w:id="205337560">
      <w:bodyDiv w:val="1"/>
      <w:marLeft w:val="0"/>
      <w:marRight w:val="0"/>
      <w:marTop w:val="0"/>
      <w:marBottom w:val="0"/>
      <w:divBdr>
        <w:top w:val="none" w:sz="0" w:space="0" w:color="auto"/>
        <w:left w:val="none" w:sz="0" w:space="0" w:color="auto"/>
        <w:bottom w:val="none" w:sz="0" w:space="0" w:color="auto"/>
        <w:right w:val="none" w:sz="0" w:space="0" w:color="auto"/>
      </w:divBdr>
    </w:div>
    <w:div w:id="212041084">
      <w:bodyDiv w:val="1"/>
      <w:marLeft w:val="0"/>
      <w:marRight w:val="0"/>
      <w:marTop w:val="0"/>
      <w:marBottom w:val="0"/>
      <w:divBdr>
        <w:top w:val="none" w:sz="0" w:space="0" w:color="auto"/>
        <w:left w:val="none" w:sz="0" w:space="0" w:color="auto"/>
        <w:bottom w:val="none" w:sz="0" w:space="0" w:color="auto"/>
        <w:right w:val="none" w:sz="0" w:space="0" w:color="auto"/>
      </w:divBdr>
    </w:div>
    <w:div w:id="249892727">
      <w:bodyDiv w:val="1"/>
      <w:marLeft w:val="0"/>
      <w:marRight w:val="0"/>
      <w:marTop w:val="0"/>
      <w:marBottom w:val="0"/>
      <w:divBdr>
        <w:top w:val="none" w:sz="0" w:space="0" w:color="auto"/>
        <w:left w:val="none" w:sz="0" w:space="0" w:color="auto"/>
        <w:bottom w:val="none" w:sz="0" w:space="0" w:color="auto"/>
        <w:right w:val="none" w:sz="0" w:space="0" w:color="auto"/>
      </w:divBdr>
    </w:div>
    <w:div w:id="257250024">
      <w:bodyDiv w:val="1"/>
      <w:marLeft w:val="0"/>
      <w:marRight w:val="0"/>
      <w:marTop w:val="0"/>
      <w:marBottom w:val="0"/>
      <w:divBdr>
        <w:top w:val="none" w:sz="0" w:space="0" w:color="auto"/>
        <w:left w:val="none" w:sz="0" w:space="0" w:color="auto"/>
        <w:bottom w:val="none" w:sz="0" w:space="0" w:color="auto"/>
        <w:right w:val="none" w:sz="0" w:space="0" w:color="auto"/>
      </w:divBdr>
    </w:div>
    <w:div w:id="259149139">
      <w:bodyDiv w:val="1"/>
      <w:marLeft w:val="0"/>
      <w:marRight w:val="0"/>
      <w:marTop w:val="0"/>
      <w:marBottom w:val="0"/>
      <w:divBdr>
        <w:top w:val="none" w:sz="0" w:space="0" w:color="auto"/>
        <w:left w:val="none" w:sz="0" w:space="0" w:color="auto"/>
        <w:bottom w:val="none" w:sz="0" w:space="0" w:color="auto"/>
        <w:right w:val="none" w:sz="0" w:space="0" w:color="auto"/>
      </w:divBdr>
    </w:div>
    <w:div w:id="283197084">
      <w:bodyDiv w:val="1"/>
      <w:marLeft w:val="0"/>
      <w:marRight w:val="0"/>
      <w:marTop w:val="0"/>
      <w:marBottom w:val="0"/>
      <w:divBdr>
        <w:top w:val="none" w:sz="0" w:space="0" w:color="auto"/>
        <w:left w:val="none" w:sz="0" w:space="0" w:color="auto"/>
        <w:bottom w:val="none" w:sz="0" w:space="0" w:color="auto"/>
        <w:right w:val="none" w:sz="0" w:space="0" w:color="auto"/>
      </w:divBdr>
    </w:div>
    <w:div w:id="304623291">
      <w:bodyDiv w:val="1"/>
      <w:marLeft w:val="0"/>
      <w:marRight w:val="0"/>
      <w:marTop w:val="0"/>
      <w:marBottom w:val="0"/>
      <w:divBdr>
        <w:top w:val="none" w:sz="0" w:space="0" w:color="auto"/>
        <w:left w:val="none" w:sz="0" w:space="0" w:color="auto"/>
        <w:bottom w:val="none" w:sz="0" w:space="0" w:color="auto"/>
        <w:right w:val="none" w:sz="0" w:space="0" w:color="auto"/>
      </w:divBdr>
    </w:div>
    <w:div w:id="331567542">
      <w:bodyDiv w:val="1"/>
      <w:marLeft w:val="0"/>
      <w:marRight w:val="0"/>
      <w:marTop w:val="0"/>
      <w:marBottom w:val="0"/>
      <w:divBdr>
        <w:top w:val="none" w:sz="0" w:space="0" w:color="auto"/>
        <w:left w:val="none" w:sz="0" w:space="0" w:color="auto"/>
        <w:bottom w:val="none" w:sz="0" w:space="0" w:color="auto"/>
        <w:right w:val="none" w:sz="0" w:space="0" w:color="auto"/>
      </w:divBdr>
    </w:div>
    <w:div w:id="392047049">
      <w:bodyDiv w:val="1"/>
      <w:marLeft w:val="0"/>
      <w:marRight w:val="0"/>
      <w:marTop w:val="0"/>
      <w:marBottom w:val="0"/>
      <w:divBdr>
        <w:top w:val="none" w:sz="0" w:space="0" w:color="auto"/>
        <w:left w:val="none" w:sz="0" w:space="0" w:color="auto"/>
        <w:bottom w:val="none" w:sz="0" w:space="0" w:color="auto"/>
        <w:right w:val="none" w:sz="0" w:space="0" w:color="auto"/>
      </w:divBdr>
    </w:div>
    <w:div w:id="450394311">
      <w:bodyDiv w:val="1"/>
      <w:marLeft w:val="0"/>
      <w:marRight w:val="0"/>
      <w:marTop w:val="0"/>
      <w:marBottom w:val="0"/>
      <w:divBdr>
        <w:top w:val="none" w:sz="0" w:space="0" w:color="auto"/>
        <w:left w:val="none" w:sz="0" w:space="0" w:color="auto"/>
        <w:bottom w:val="none" w:sz="0" w:space="0" w:color="auto"/>
        <w:right w:val="none" w:sz="0" w:space="0" w:color="auto"/>
      </w:divBdr>
    </w:div>
    <w:div w:id="458305797">
      <w:bodyDiv w:val="1"/>
      <w:marLeft w:val="0"/>
      <w:marRight w:val="0"/>
      <w:marTop w:val="0"/>
      <w:marBottom w:val="0"/>
      <w:divBdr>
        <w:top w:val="none" w:sz="0" w:space="0" w:color="auto"/>
        <w:left w:val="none" w:sz="0" w:space="0" w:color="auto"/>
        <w:bottom w:val="none" w:sz="0" w:space="0" w:color="auto"/>
        <w:right w:val="none" w:sz="0" w:space="0" w:color="auto"/>
      </w:divBdr>
    </w:div>
    <w:div w:id="464811694">
      <w:bodyDiv w:val="1"/>
      <w:marLeft w:val="0"/>
      <w:marRight w:val="0"/>
      <w:marTop w:val="0"/>
      <w:marBottom w:val="0"/>
      <w:divBdr>
        <w:top w:val="none" w:sz="0" w:space="0" w:color="auto"/>
        <w:left w:val="none" w:sz="0" w:space="0" w:color="auto"/>
        <w:bottom w:val="none" w:sz="0" w:space="0" w:color="auto"/>
        <w:right w:val="none" w:sz="0" w:space="0" w:color="auto"/>
      </w:divBdr>
    </w:div>
    <w:div w:id="468910128">
      <w:bodyDiv w:val="1"/>
      <w:marLeft w:val="0"/>
      <w:marRight w:val="0"/>
      <w:marTop w:val="0"/>
      <w:marBottom w:val="0"/>
      <w:divBdr>
        <w:top w:val="none" w:sz="0" w:space="0" w:color="auto"/>
        <w:left w:val="none" w:sz="0" w:space="0" w:color="auto"/>
        <w:bottom w:val="none" w:sz="0" w:space="0" w:color="auto"/>
        <w:right w:val="none" w:sz="0" w:space="0" w:color="auto"/>
      </w:divBdr>
    </w:div>
    <w:div w:id="494955847">
      <w:bodyDiv w:val="1"/>
      <w:marLeft w:val="0"/>
      <w:marRight w:val="0"/>
      <w:marTop w:val="0"/>
      <w:marBottom w:val="0"/>
      <w:divBdr>
        <w:top w:val="none" w:sz="0" w:space="0" w:color="auto"/>
        <w:left w:val="none" w:sz="0" w:space="0" w:color="auto"/>
        <w:bottom w:val="none" w:sz="0" w:space="0" w:color="auto"/>
        <w:right w:val="none" w:sz="0" w:space="0" w:color="auto"/>
      </w:divBdr>
    </w:div>
    <w:div w:id="510920823">
      <w:bodyDiv w:val="1"/>
      <w:marLeft w:val="0"/>
      <w:marRight w:val="0"/>
      <w:marTop w:val="0"/>
      <w:marBottom w:val="0"/>
      <w:divBdr>
        <w:top w:val="none" w:sz="0" w:space="0" w:color="auto"/>
        <w:left w:val="none" w:sz="0" w:space="0" w:color="auto"/>
        <w:bottom w:val="none" w:sz="0" w:space="0" w:color="auto"/>
        <w:right w:val="none" w:sz="0" w:space="0" w:color="auto"/>
      </w:divBdr>
    </w:div>
    <w:div w:id="515924875">
      <w:bodyDiv w:val="1"/>
      <w:marLeft w:val="0"/>
      <w:marRight w:val="0"/>
      <w:marTop w:val="0"/>
      <w:marBottom w:val="0"/>
      <w:divBdr>
        <w:top w:val="none" w:sz="0" w:space="0" w:color="auto"/>
        <w:left w:val="none" w:sz="0" w:space="0" w:color="auto"/>
        <w:bottom w:val="none" w:sz="0" w:space="0" w:color="auto"/>
        <w:right w:val="none" w:sz="0" w:space="0" w:color="auto"/>
      </w:divBdr>
    </w:div>
    <w:div w:id="577861742">
      <w:bodyDiv w:val="1"/>
      <w:marLeft w:val="0"/>
      <w:marRight w:val="0"/>
      <w:marTop w:val="0"/>
      <w:marBottom w:val="0"/>
      <w:divBdr>
        <w:top w:val="none" w:sz="0" w:space="0" w:color="auto"/>
        <w:left w:val="none" w:sz="0" w:space="0" w:color="auto"/>
        <w:bottom w:val="none" w:sz="0" w:space="0" w:color="auto"/>
        <w:right w:val="none" w:sz="0" w:space="0" w:color="auto"/>
      </w:divBdr>
    </w:div>
    <w:div w:id="684675765">
      <w:bodyDiv w:val="1"/>
      <w:marLeft w:val="0"/>
      <w:marRight w:val="0"/>
      <w:marTop w:val="0"/>
      <w:marBottom w:val="0"/>
      <w:divBdr>
        <w:top w:val="none" w:sz="0" w:space="0" w:color="auto"/>
        <w:left w:val="none" w:sz="0" w:space="0" w:color="auto"/>
        <w:bottom w:val="none" w:sz="0" w:space="0" w:color="auto"/>
        <w:right w:val="none" w:sz="0" w:space="0" w:color="auto"/>
      </w:divBdr>
    </w:div>
    <w:div w:id="687945782">
      <w:bodyDiv w:val="1"/>
      <w:marLeft w:val="0"/>
      <w:marRight w:val="0"/>
      <w:marTop w:val="0"/>
      <w:marBottom w:val="0"/>
      <w:divBdr>
        <w:top w:val="none" w:sz="0" w:space="0" w:color="auto"/>
        <w:left w:val="none" w:sz="0" w:space="0" w:color="auto"/>
        <w:bottom w:val="none" w:sz="0" w:space="0" w:color="auto"/>
        <w:right w:val="none" w:sz="0" w:space="0" w:color="auto"/>
      </w:divBdr>
    </w:div>
    <w:div w:id="692071081">
      <w:bodyDiv w:val="1"/>
      <w:marLeft w:val="0"/>
      <w:marRight w:val="0"/>
      <w:marTop w:val="0"/>
      <w:marBottom w:val="0"/>
      <w:divBdr>
        <w:top w:val="none" w:sz="0" w:space="0" w:color="auto"/>
        <w:left w:val="none" w:sz="0" w:space="0" w:color="auto"/>
        <w:bottom w:val="none" w:sz="0" w:space="0" w:color="auto"/>
        <w:right w:val="none" w:sz="0" w:space="0" w:color="auto"/>
      </w:divBdr>
    </w:div>
    <w:div w:id="723873874">
      <w:bodyDiv w:val="1"/>
      <w:marLeft w:val="0"/>
      <w:marRight w:val="0"/>
      <w:marTop w:val="0"/>
      <w:marBottom w:val="0"/>
      <w:divBdr>
        <w:top w:val="none" w:sz="0" w:space="0" w:color="auto"/>
        <w:left w:val="none" w:sz="0" w:space="0" w:color="auto"/>
        <w:bottom w:val="none" w:sz="0" w:space="0" w:color="auto"/>
        <w:right w:val="none" w:sz="0" w:space="0" w:color="auto"/>
      </w:divBdr>
    </w:div>
    <w:div w:id="805583794">
      <w:bodyDiv w:val="1"/>
      <w:marLeft w:val="0"/>
      <w:marRight w:val="0"/>
      <w:marTop w:val="0"/>
      <w:marBottom w:val="0"/>
      <w:divBdr>
        <w:top w:val="none" w:sz="0" w:space="0" w:color="auto"/>
        <w:left w:val="none" w:sz="0" w:space="0" w:color="auto"/>
        <w:bottom w:val="none" w:sz="0" w:space="0" w:color="auto"/>
        <w:right w:val="none" w:sz="0" w:space="0" w:color="auto"/>
      </w:divBdr>
    </w:div>
    <w:div w:id="817377843">
      <w:bodyDiv w:val="1"/>
      <w:marLeft w:val="0"/>
      <w:marRight w:val="0"/>
      <w:marTop w:val="0"/>
      <w:marBottom w:val="0"/>
      <w:divBdr>
        <w:top w:val="none" w:sz="0" w:space="0" w:color="auto"/>
        <w:left w:val="none" w:sz="0" w:space="0" w:color="auto"/>
        <w:bottom w:val="none" w:sz="0" w:space="0" w:color="auto"/>
        <w:right w:val="none" w:sz="0" w:space="0" w:color="auto"/>
      </w:divBdr>
    </w:div>
    <w:div w:id="827866177">
      <w:bodyDiv w:val="1"/>
      <w:marLeft w:val="0"/>
      <w:marRight w:val="0"/>
      <w:marTop w:val="0"/>
      <w:marBottom w:val="0"/>
      <w:divBdr>
        <w:top w:val="none" w:sz="0" w:space="0" w:color="auto"/>
        <w:left w:val="none" w:sz="0" w:space="0" w:color="auto"/>
        <w:bottom w:val="none" w:sz="0" w:space="0" w:color="auto"/>
        <w:right w:val="none" w:sz="0" w:space="0" w:color="auto"/>
      </w:divBdr>
    </w:div>
    <w:div w:id="850488208">
      <w:bodyDiv w:val="1"/>
      <w:marLeft w:val="0"/>
      <w:marRight w:val="0"/>
      <w:marTop w:val="0"/>
      <w:marBottom w:val="0"/>
      <w:divBdr>
        <w:top w:val="none" w:sz="0" w:space="0" w:color="auto"/>
        <w:left w:val="none" w:sz="0" w:space="0" w:color="auto"/>
        <w:bottom w:val="none" w:sz="0" w:space="0" w:color="auto"/>
        <w:right w:val="none" w:sz="0" w:space="0" w:color="auto"/>
      </w:divBdr>
    </w:div>
    <w:div w:id="870458931">
      <w:bodyDiv w:val="1"/>
      <w:marLeft w:val="0"/>
      <w:marRight w:val="0"/>
      <w:marTop w:val="0"/>
      <w:marBottom w:val="0"/>
      <w:divBdr>
        <w:top w:val="none" w:sz="0" w:space="0" w:color="auto"/>
        <w:left w:val="none" w:sz="0" w:space="0" w:color="auto"/>
        <w:bottom w:val="none" w:sz="0" w:space="0" w:color="auto"/>
        <w:right w:val="none" w:sz="0" w:space="0" w:color="auto"/>
      </w:divBdr>
    </w:div>
    <w:div w:id="880559279">
      <w:bodyDiv w:val="1"/>
      <w:marLeft w:val="0"/>
      <w:marRight w:val="0"/>
      <w:marTop w:val="0"/>
      <w:marBottom w:val="0"/>
      <w:divBdr>
        <w:top w:val="none" w:sz="0" w:space="0" w:color="auto"/>
        <w:left w:val="none" w:sz="0" w:space="0" w:color="auto"/>
        <w:bottom w:val="none" w:sz="0" w:space="0" w:color="auto"/>
        <w:right w:val="none" w:sz="0" w:space="0" w:color="auto"/>
      </w:divBdr>
    </w:div>
    <w:div w:id="922032525">
      <w:bodyDiv w:val="1"/>
      <w:marLeft w:val="0"/>
      <w:marRight w:val="0"/>
      <w:marTop w:val="0"/>
      <w:marBottom w:val="0"/>
      <w:divBdr>
        <w:top w:val="none" w:sz="0" w:space="0" w:color="auto"/>
        <w:left w:val="none" w:sz="0" w:space="0" w:color="auto"/>
        <w:bottom w:val="none" w:sz="0" w:space="0" w:color="auto"/>
        <w:right w:val="none" w:sz="0" w:space="0" w:color="auto"/>
      </w:divBdr>
    </w:div>
    <w:div w:id="968514356">
      <w:bodyDiv w:val="1"/>
      <w:marLeft w:val="0"/>
      <w:marRight w:val="0"/>
      <w:marTop w:val="0"/>
      <w:marBottom w:val="0"/>
      <w:divBdr>
        <w:top w:val="none" w:sz="0" w:space="0" w:color="auto"/>
        <w:left w:val="none" w:sz="0" w:space="0" w:color="auto"/>
        <w:bottom w:val="none" w:sz="0" w:space="0" w:color="auto"/>
        <w:right w:val="none" w:sz="0" w:space="0" w:color="auto"/>
      </w:divBdr>
    </w:div>
    <w:div w:id="1011683857">
      <w:bodyDiv w:val="1"/>
      <w:marLeft w:val="0"/>
      <w:marRight w:val="0"/>
      <w:marTop w:val="0"/>
      <w:marBottom w:val="0"/>
      <w:divBdr>
        <w:top w:val="none" w:sz="0" w:space="0" w:color="auto"/>
        <w:left w:val="none" w:sz="0" w:space="0" w:color="auto"/>
        <w:bottom w:val="none" w:sz="0" w:space="0" w:color="auto"/>
        <w:right w:val="none" w:sz="0" w:space="0" w:color="auto"/>
      </w:divBdr>
    </w:div>
    <w:div w:id="1014529544">
      <w:bodyDiv w:val="1"/>
      <w:marLeft w:val="0"/>
      <w:marRight w:val="0"/>
      <w:marTop w:val="0"/>
      <w:marBottom w:val="0"/>
      <w:divBdr>
        <w:top w:val="none" w:sz="0" w:space="0" w:color="auto"/>
        <w:left w:val="none" w:sz="0" w:space="0" w:color="auto"/>
        <w:bottom w:val="none" w:sz="0" w:space="0" w:color="auto"/>
        <w:right w:val="none" w:sz="0" w:space="0" w:color="auto"/>
      </w:divBdr>
    </w:div>
    <w:div w:id="1016034148">
      <w:bodyDiv w:val="1"/>
      <w:marLeft w:val="0"/>
      <w:marRight w:val="0"/>
      <w:marTop w:val="0"/>
      <w:marBottom w:val="0"/>
      <w:divBdr>
        <w:top w:val="none" w:sz="0" w:space="0" w:color="auto"/>
        <w:left w:val="none" w:sz="0" w:space="0" w:color="auto"/>
        <w:bottom w:val="none" w:sz="0" w:space="0" w:color="auto"/>
        <w:right w:val="none" w:sz="0" w:space="0" w:color="auto"/>
      </w:divBdr>
    </w:div>
    <w:div w:id="1017388531">
      <w:bodyDiv w:val="1"/>
      <w:marLeft w:val="0"/>
      <w:marRight w:val="0"/>
      <w:marTop w:val="0"/>
      <w:marBottom w:val="0"/>
      <w:divBdr>
        <w:top w:val="none" w:sz="0" w:space="0" w:color="auto"/>
        <w:left w:val="none" w:sz="0" w:space="0" w:color="auto"/>
        <w:bottom w:val="none" w:sz="0" w:space="0" w:color="auto"/>
        <w:right w:val="none" w:sz="0" w:space="0" w:color="auto"/>
      </w:divBdr>
    </w:div>
    <w:div w:id="1040978758">
      <w:bodyDiv w:val="1"/>
      <w:marLeft w:val="0"/>
      <w:marRight w:val="0"/>
      <w:marTop w:val="0"/>
      <w:marBottom w:val="0"/>
      <w:divBdr>
        <w:top w:val="none" w:sz="0" w:space="0" w:color="auto"/>
        <w:left w:val="none" w:sz="0" w:space="0" w:color="auto"/>
        <w:bottom w:val="none" w:sz="0" w:space="0" w:color="auto"/>
        <w:right w:val="none" w:sz="0" w:space="0" w:color="auto"/>
      </w:divBdr>
    </w:div>
    <w:div w:id="1041787439">
      <w:bodyDiv w:val="1"/>
      <w:marLeft w:val="0"/>
      <w:marRight w:val="0"/>
      <w:marTop w:val="0"/>
      <w:marBottom w:val="0"/>
      <w:divBdr>
        <w:top w:val="none" w:sz="0" w:space="0" w:color="auto"/>
        <w:left w:val="none" w:sz="0" w:space="0" w:color="auto"/>
        <w:bottom w:val="none" w:sz="0" w:space="0" w:color="auto"/>
        <w:right w:val="none" w:sz="0" w:space="0" w:color="auto"/>
      </w:divBdr>
    </w:div>
    <w:div w:id="1062214199">
      <w:bodyDiv w:val="1"/>
      <w:marLeft w:val="0"/>
      <w:marRight w:val="0"/>
      <w:marTop w:val="0"/>
      <w:marBottom w:val="0"/>
      <w:divBdr>
        <w:top w:val="none" w:sz="0" w:space="0" w:color="auto"/>
        <w:left w:val="none" w:sz="0" w:space="0" w:color="auto"/>
        <w:bottom w:val="none" w:sz="0" w:space="0" w:color="auto"/>
        <w:right w:val="none" w:sz="0" w:space="0" w:color="auto"/>
      </w:divBdr>
    </w:div>
    <w:div w:id="1065183201">
      <w:bodyDiv w:val="1"/>
      <w:marLeft w:val="0"/>
      <w:marRight w:val="0"/>
      <w:marTop w:val="0"/>
      <w:marBottom w:val="0"/>
      <w:divBdr>
        <w:top w:val="none" w:sz="0" w:space="0" w:color="auto"/>
        <w:left w:val="none" w:sz="0" w:space="0" w:color="auto"/>
        <w:bottom w:val="none" w:sz="0" w:space="0" w:color="auto"/>
        <w:right w:val="none" w:sz="0" w:space="0" w:color="auto"/>
      </w:divBdr>
    </w:div>
    <w:div w:id="1098259093">
      <w:bodyDiv w:val="1"/>
      <w:marLeft w:val="0"/>
      <w:marRight w:val="0"/>
      <w:marTop w:val="0"/>
      <w:marBottom w:val="0"/>
      <w:divBdr>
        <w:top w:val="none" w:sz="0" w:space="0" w:color="auto"/>
        <w:left w:val="none" w:sz="0" w:space="0" w:color="auto"/>
        <w:bottom w:val="none" w:sz="0" w:space="0" w:color="auto"/>
        <w:right w:val="none" w:sz="0" w:space="0" w:color="auto"/>
      </w:divBdr>
    </w:div>
    <w:div w:id="1129664663">
      <w:bodyDiv w:val="1"/>
      <w:marLeft w:val="0"/>
      <w:marRight w:val="0"/>
      <w:marTop w:val="0"/>
      <w:marBottom w:val="0"/>
      <w:divBdr>
        <w:top w:val="none" w:sz="0" w:space="0" w:color="auto"/>
        <w:left w:val="none" w:sz="0" w:space="0" w:color="auto"/>
        <w:bottom w:val="none" w:sz="0" w:space="0" w:color="auto"/>
        <w:right w:val="none" w:sz="0" w:space="0" w:color="auto"/>
      </w:divBdr>
    </w:div>
    <w:div w:id="1299457107">
      <w:bodyDiv w:val="1"/>
      <w:marLeft w:val="0"/>
      <w:marRight w:val="0"/>
      <w:marTop w:val="0"/>
      <w:marBottom w:val="0"/>
      <w:divBdr>
        <w:top w:val="none" w:sz="0" w:space="0" w:color="auto"/>
        <w:left w:val="none" w:sz="0" w:space="0" w:color="auto"/>
        <w:bottom w:val="none" w:sz="0" w:space="0" w:color="auto"/>
        <w:right w:val="none" w:sz="0" w:space="0" w:color="auto"/>
      </w:divBdr>
    </w:div>
    <w:div w:id="1323656759">
      <w:bodyDiv w:val="1"/>
      <w:marLeft w:val="0"/>
      <w:marRight w:val="0"/>
      <w:marTop w:val="0"/>
      <w:marBottom w:val="0"/>
      <w:divBdr>
        <w:top w:val="none" w:sz="0" w:space="0" w:color="auto"/>
        <w:left w:val="none" w:sz="0" w:space="0" w:color="auto"/>
        <w:bottom w:val="none" w:sz="0" w:space="0" w:color="auto"/>
        <w:right w:val="none" w:sz="0" w:space="0" w:color="auto"/>
      </w:divBdr>
    </w:div>
    <w:div w:id="1347251611">
      <w:bodyDiv w:val="1"/>
      <w:marLeft w:val="0"/>
      <w:marRight w:val="0"/>
      <w:marTop w:val="0"/>
      <w:marBottom w:val="0"/>
      <w:divBdr>
        <w:top w:val="none" w:sz="0" w:space="0" w:color="auto"/>
        <w:left w:val="none" w:sz="0" w:space="0" w:color="auto"/>
        <w:bottom w:val="none" w:sz="0" w:space="0" w:color="auto"/>
        <w:right w:val="none" w:sz="0" w:space="0" w:color="auto"/>
      </w:divBdr>
    </w:div>
    <w:div w:id="1365903566">
      <w:bodyDiv w:val="1"/>
      <w:marLeft w:val="0"/>
      <w:marRight w:val="0"/>
      <w:marTop w:val="0"/>
      <w:marBottom w:val="0"/>
      <w:divBdr>
        <w:top w:val="none" w:sz="0" w:space="0" w:color="auto"/>
        <w:left w:val="none" w:sz="0" w:space="0" w:color="auto"/>
        <w:bottom w:val="none" w:sz="0" w:space="0" w:color="auto"/>
        <w:right w:val="none" w:sz="0" w:space="0" w:color="auto"/>
      </w:divBdr>
    </w:div>
    <w:div w:id="1400518827">
      <w:bodyDiv w:val="1"/>
      <w:marLeft w:val="0"/>
      <w:marRight w:val="0"/>
      <w:marTop w:val="0"/>
      <w:marBottom w:val="0"/>
      <w:divBdr>
        <w:top w:val="none" w:sz="0" w:space="0" w:color="auto"/>
        <w:left w:val="none" w:sz="0" w:space="0" w:color="auto"/>
        <w:bottom w:val="none" w:sz="0" w:space="0" w:color="auto"/>
        <w:right w:val="none" w:sz="0" w:space="0" w:color="auto"/>
      </w:divBdr>
    </w:div>
    <w:div w:id="1415391602">
      <w:bodyDiv w:val="1"/>
      <w:marLeft w:val="0"/>
      <w:marRight w:val="0"/>
      <w:marTop w:val="0"/>
      <w:marBottom w:val="0"/>
      <w:divBdr>
        <w:top w:val="none" w:sz="0" w:space="0" w:color="auto"/>
        <w:left w:val="none" w:sz="0" w:space="0" w:color="auto"/>
        <w:bottom w:val="none" w:sz="0" w:space="0" w:color="auto"/>
        <w:right w:val="none" w:sz="0" w:space="0" w:color="auto"/>
      </w:divBdr>
    </w:div>
    <w:div w:id="1432898851">
      <w:bodyDiv w:val="1"/>
      <w:marLeft w:val="0"/>
      <w:marRight w:val="0"/>
      <w:marTop w:val="0"/>
      <w:marBottom w:val="0"/>
      <w:divBdr>
        <w:top w:val="none" w:sz="0" w:space="0" w:color="auto"/>
        <w:left w:val="none" w:sz="0" w:space="0" w:color="auto"/>
        <w:bottom w:val="none" w:sz="0" w:space="0" w:color="auto"/>
        <w:right w:val="none" w:sz="0" w:space="0" w:color="auto"/>
      </w:divBdr>
    </w:div>
    <w:div w:id="1474329220">
      <w:bodyDiv w:val="1"/>
      <w:marLeft w:val="0"/>
      <w:marRight w:val="0"/>
      <w:marTop w:val="0"/>
      <w:marBottom w:val="0"/>
      <w:divBdr>
        <w:top w:val="none" w:sz="0" w:space="0" w:color="auto"/>
        <w:left w:val="none" w:sz="0" w:space="0" w:color="auto"/>
        <w:bottom w:val="none" w:sz="0" w:space="0" w:color="auto"/>
        <w:right w:val="none" w:sz="0" w:space="0" w:color="auto"/>
      </w:divBdr>
    </w:div>
    <w:div w:id="1551649617">
      <w:bodyDiv w:val="1"/>
      <w:marLeft w:val="0"/>
      <w:marRight w:val="0"/>
      <w:marTop w:val="0"/>
      <w:marBottom w:val="0"/>
      <w:divBdr>
        <w:top w:val="none" w:sz="0" w:space="0" w:color="auto"/>
        <w:left w:val="none" w:sz="0" w:space="0" w:color="auto"/>
        <w:bottom w:val="none" w:sz="0" w:space="0" w:color="auto"/>
        <w:right w:val="none" w:sz="0" w:space="0" w:color="auto"/>
      </w:divBdr>
    </w:div>
    <w:div w:id="1610317264">
      <w:bodyDiv w:val="1"/>
      <w:marLeft w:val="0"/>
      <w:marRight w:val="0"/>
      <w:marTop w:val="0"/>
      <w:marBottom w:val="0"/>
      <w:divBdr>
        <w:top w:val="none" w:sz="0" w:space="0" w:color="auto"/>
        <w:left w:val="none" w:sz="0" w:space="0" w:color="auto"/>
        <w:bottom w:val="none" w:sz="0" w:space="0" w:color="auto"/>
        <w:right w:val="none" w:sz="0" w:space="0" w:color="auto"/>
      </w:divBdr>
    </w:div>
    <w:div w:id="1639529327">
      <w:bodyDiv w:val="1"/>
      <w:marLeft w:val="0"/>
      <w:marRight w:val="0"/>
      <w:marTop w:val="0"/>
      <w:marBottom w:val="0"/>
      <w:divBdr>
        <w:top w:val="none" w:sz="0" w:space="0" w:color="auto"/>
        <w:left w:val="none" w:sz="0" w:space="0" w:color="auto"/>
        <w:bottom w:val="none" w:sz="0" w:space="0" w:color="auto"/>
        <w:right w:val="none" w:sz="0" w:space="0" w:color="auto"/>
      </w:divBdr>
    </w:div>
    <w:div w:id="1666935178">
      <w:bodyDiv w:val="1"/>
      <w:marLeft w:val="0"/>
      <w:marRight w:val="0"/>
      <w:marTop w:val="0"/>
      <w:marBottom w:val="0"/>
      <w:divBdr>
        <w:top w:val="none" w:sz="0" w:space="0" w:color="auto"/>
        <w:left w:val="none" w:sz="0" w:space="0" w:color="auto"/>
        <w:bottom w:val="none" w:sz="0" w:space="0" w:color="auto"/>
        <w:right w:val="none" w:sz="0" w:space="0" w:color="auto"/>
      </w:divBdr>
    </w:div>
    <w:div w:id="1708985828">
      <w:bodyDiv w:val="1"/>
      <w:marLeft w:val="0"/>
      <w:marRight w:val="0"/>
      <w:marTop w:val="0"/>
      <w:marBottom w:val="0"/>
      <w:divBdr>
        <w:top w:val="none" w:sz="0" w:space="0" w:color="auto"/>
        <w:left w:val="none" w:sz="0" w:space="0" w:color="auto"/>
        <w:bottom w:val="none" w:sz="0" w:space="0" w:color="auto"/>
        <w:right w:val="none" w:sz="0" w:space="0" w:color="auto"/>
      </w:divBdr>
    </w:div>
    <w:div w:id="1771899577">
      <w:bodyDiv w:val="1"/>
      <w:marLeft w:val="0"/>
      <w:marRight w:val="0"/>
      <w:marTop w:val="0"/>
      <w:marBottom w:val="0"/>
      <w:divBdr>
        <w:top w:val="none" w:sz="0" w:space="0" w:color="auto"/>
        <w:left w:val="none" w:sz="0" w:space="0" w:color="auto"/>
        <w:bottom w:val="none" w:sz="0" w:space="0" w:color="auto"/>
        <w:right w:val="none" w:sz="0" w:space="0" w:color="auto"/>
      </w:divBdr>
    </w:div>
    <w:div w:id="1835411291">
      <w:bodyDiv w:val="1"/>
      <w:marLeft w:val="0"/>
      <w:marRight w:val="0"/>
      <w:marTop w:val="0"/>
      <w:marBottom w:val="0"/>
      <w:divBdr>
        <w:top w:val="none" w:sz="0" w:space="0" w:color="auto"/>
        <w:left w:val="none" w:sz="0" w:space="0" w:color="auto"/>
        <w:bottom w:val="none" w:sz="0" w:space="0" w:color="auto"/>
        <w:right w:val="none" w:sz="0" w:space="0" w:color="auto"/>
      </w:divBdr>
    </w:div>
    <w:div w:id="1850370936">
      <w:bodyDiv w:val="1"/>
      <w:marLeft w:val="0"/>
      <w:marRight w:val="0"/>
      <w:marTop w:val="0"/>
      <w:marBottom w:val="0"/>
      <w:divBdr>
        <w:top w:val="none" w:sz="0" w:space="0" w:color="auto"/>
        <w:left w:val="none" w:sz="0" w:space="0" w:color="auto"/>
        <w:bottom w:val="none" w:sz="0" w:space="0" w:color="auto"/>
        <w:right w:val="none" w:sz="0" w:space="0" w:color="auto"/>
      </w:divBdr>
    </w:div>
    <w:div w:id="1915702837">
      <w:bodyDiv w:val="1"/>
      <w:marLeft w:val="0"/>
      <w:marRight w:val="0"/>
      <w:marTop w:val="0"/>
      <w:marBottom w:val="0"/>
      <w:divBdr>
        <w:top w:val="none" w:sz="0" w:space="0" w:color="auto"/>
        <w:left w:val="none" w:sz="0" w:space="0" w:color="auto"/>
        <w:bottom w:val="none" w:sz="0" w:space="0" w:color="auto"/>
        <w:right w:val="none" w:sz="0" w:space="0" w:color="auto"/>
      </w:divBdr>
    </w:div>
    <w:div w:id="1918902500">
      <w:bodyDiv w:val="1"/>
      <w:marLeft w:val="0"/>
      <w:marRight w:val="0"/>
      <w:marTop w:val="0"/>
      <w:marBottom w:val="0"/>
      <w:divBdr>
        <w:top w:val="none" w:sz="0" w:space="0" w:color="auto"/>
        <w:left w:val="none" w:sz="0" w:space="0" w:color="auto"/>
        <w:bottom w:val="none" w:sz="0" w:space="0" w:color="auto"/>
        <w:right w:val="none" w:sz="0" w:space="0" w:color="auto"/>
      </w:divBdr>
    </w:div>
    <w:div w:id="1941251621">
      <w:bodyDiv w:val="1"/>
      <w:marLeft w:val="0"/>
      <w:marRight w:val="0"/>
      <w:marTop w:val="0"/>
      <w:marBottom w:val="0"/>
      <w:divBdr>
        <w:top w:val="none" w:sz="0" w:space="0" w:color="auto"/>
        <w:left w:val="none" w:sz="0" w:space="0" w:color="auto"/>
        <w:bottom w:val="none" w:sz="0" w:space="0" w:color="auto"/>
        <w:right w:val="none" w:sz="0" w:space="0" w:color="auto"/>
      </w:divBdr>
    </w:div>
    <w:div w:id="1943226571">
      <w:bodyDiv w:val="1"/>
      <w:marLeft w:val="0"/>
      <w:marRight w:val="0"/>
      <w:marTop w:val="0"/>
      <w:marBottom w:val="0"/>
      <w:divBdr>
        <w:top w:val="none" w:sz="0" w:space="0" w:color="auto"/>
        <w:left w:val="none" w:sz="0" w:space="0" w:color="auto"/>
        <w:bottom w:val="none" w:sz="0" w:space="0" w:color="auto"/>
        <w:right w:val="none" w:sz="0" w:space="0" w:color="auto"/>
      </w:divBdr>
    </w:div>
    <w:div w:id="1954436033">
      <w:bodyDiv w:val="1"/>
      <w:marLeft w:val="0"/>
      <w:marRight w:val="0"/>
      <w:marTop w:val="0"/>
      <w:marBottom w:val="0"/>
      <w:divBdr>
        <w:top w:val="none" w:sz="0" w:space="0" w:color="auto"/>
        <w:left w:val="none" w:sz="0" w:space="0" w:color="auto"/>
        <w:bottom w:val="none" w:sz="0" w:space="0" w:color="auto"/>
        <w:right w:val="none" w:sz="0" w:space="0" w:color="auto"/>
      </w:divBdr>
    </w:div>
    <w:div w:id="2005431818">
      <w:bodyDiv w:val="1"/>
      <w:marLeft w:val="0"/>
      <w:marRight w:val="0"/>
      <w:marTop w:val="0"/>
      <w:marBottom w:val="0"/>
      <w:divBdr>
        <w:top w:val="none" w:sz="0" w:space="0" w:color="auto"/>
        <w:left w:val="none" w:sz="0" w:space="0" w:color="auto"/>
        <w:bottom w:val="none" w:sz="0" w:space="0" w:color="auto"/>
        <w:right w:val="none" w:sz="0" w:space="0" w:color="auto"/>
      </w:divBdr>
    </w:div>
    <w:div w:id="2042591457">
      <w:bodyDiv w:val="1"/>
      <w:marLeft w:val="0"/>
      <w:marRight w:val="0"/>
      <w:marTop w:val="0"/>
      <w:marBottom w:val="0"/>
      <w:divBdr>
        <w:top w:val="none" w:sz="0" w:space="0" w:color="auto"/>
        <w:left w:val="none" w:sz="0" w:space="0" w:color="auto"/>
        <w:bottom w:val="none" w:sz="0" w:space="0" w:color="auto"/>
        <w:right w:val="none" w:sz="0" w:space="0" w:color="auto"/>
      </w:divBdr>
    </w:div>
    <w:div w:id="2071035071">
      <w:bodyDiv w:val="1"/>
      <w:marLeft w:val="0"/>
      <w:marRight w:val="0"/>
      <w:marTop w:val="0"/>
      <w:marBottom w:val="0"/>
      <w:divBdr>
        <w:top w:val="none" w:sz="0" w:space="0" w:color="auto"/>
        <w:left w:val="none" w:sz="0" w:space="0" w:color="auto"/>
        <w:bottom w:val="none" w:sz="0" w:space="0" w:color="auto"/>
        <w:right w:val="none" w:sz="0" w:space="0" w:color="auto"/>
      </w:divBdr>
    </w:div>
    <w:div w:id="2071146626">
      <w:bodyDiv w:val="1"/>
      <w:marLeft w:val="0"/>
      <w:marRight w:val="0"/>
      <w:marTop w:val="0"/>
      <w:marBottom w:val="0"/>
      <w:divBdr>
        <w:top w:val="none" w:sz="0" w:space="0" w:color="auto"/>
        <w:left w:val="none" w:sz="0" w:space="0" w:color="auto"/>
        <w:bottom w:val="none" w:sz="0" w:space="0" w:color="auto"/>
        <w:right w:val="none" w:sz="0" w:space="0" w:color="auto"/>
      </w:divBdr>
    </w:div>
    <w:div w:id="21009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99230-ADFD-4F76-B011-F6933E9D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5769</Words>
  <Characters>32885</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duricova</dc:creator>
  <cp:lastModifiedBy>Kočanová Ivana</cp:lastModifiedBy>
  <cp:revision>2</cp:revision>
  <cp:lastPrinted>2017-05-24T11:20:00Z</cp:lastPrinted>
  <dcterms:created xsi:type="dcterms:W3CDTF">2017-07-26T10:17:00Z</dcterms:created>
  <dcterms:modified xsi:type="dcterms:W3CDTF">2017-07-26T10:17:00Z</dcterms:modified>
</cp:coreProperties>
</file>