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F3" w:rsidRDefault="004217F3" w:rsidP="00E5326B">
      <w:pPr>
        <w:pStyle w:val="Nadpis1"/>
        <w:spacing w:line="276" w:lineRule="auto"/>
        <w:rPr>
          <w:szCs w:val="24"/>
        </w:rPr>
      </w:pPr>
      <w:bookmarkStart w:id="0" w:name="_Toc450303819"/>
      <w:bookmarkStart w:id="1" w:name="_Toc419988548"/>
      <w:bookmarkStart w:id="2" w:name="_Toc419871756"/>
    </w:p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BB28F4" w:rsidRDefault="00BB28F4" w:rsidP="004217F3"/>
    <w:p w:rsidR="00BB28F4" w:rsidRDefault="00BB28F4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Pr="004217F3" w:rsidRDefault="004217F3" w:rsidP="004217F3">
      <w:pPr>
        <w:jc w:val="center"/>
        <w:rPr>
          <w:b/>
        </w:rPr>
      </w:pPr>
      <w:r w:rsidRPr="004217F3">
        <w:rPr>
          <w:b/>
        </w:rPr>
        <w:t>Informáci</w:t>
      </w:r>
      <w:r w:rsidR="00397549">
        <w:rPr>
          <w:b/>
        </w:rPr>
        <w:t>a</w:t>
      </w:r>
      <w:r w:rsidRPr="004217F3">
        <w:rPr>
          <w:b/>
        </w:rPr>
        <w:t xml:space="preserve"> o implementácii Národného akčného plánu pre zelené verejné obstarávanie v Slovenskej republike na roky 2016 – 2020 za rok 2016</w:t>
      </w:r>
    </w:p>
    <w:p w:rsidR="004217F3" w:rsidRDefault="004217F3" w:rsidP="004217F3">
      <w:pPr>
        <w:jc w:val="center"/>
      </w:pPr>
    </w:p>
    <w:p w:rsidR="004217F3" w:rsidRDefault="004217F3" w:rsidP="004217F3">
      <w:pPr>
        <w:jc w:val="center"/>
      </w:pPr>
    </w:p>
    <w:p w:rsidR="004217F3" w:rsidRDefault="004217F3" w:rsidP="004217F3">
      <w:pPr>
        <w:jc w:val="center"/>
      </w:pPr>
    </w:p>
    <w:p w:rsidR="004217F3" w:rsidRDefault="004217F3" w:rsidP="004217F3">
      <w:pPr>
        <w:jc w:val="center"/>
      </w:pPr>
    </w:p>
    <w:p w:rsidR="004217F3" w:rsidRDefault="004217F3" w:rsidP="004217F3">
      <w:pPr>
        <w:jc w:val="center"/>
      </w:pPr>
    </w:p>
    <w:p w:rsidR="004217F3" w:rsidRDefault="004217F3" w:rsidP="004217F3">
      <w:pPr>
        <w:jc w:val="center"/>
      </w:pPr>
    </w:p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4217F3" w:rsidRDefault="004217F3" w:rsidP="004217F3"/>
    <w:p w:rsidR="0062109D" w:rsidRDefault="00397549" w:rsidP="00397549">
      <w:pPr>
        <w:pStyle w:val="Nadpis1"/>
        <w:jc w:val="left"/>
      </w:pPr>
      <w:r>
        <w:lastRenderedPageBreak/>
        <w:t>Ú</w:t>
      </w:r>
      <w:r w:rsidR="0062109D" w:rsidRPr="0058036E">
        <w:t>vod</w:t>
      </w:r>
      <w:bookmarkEnd w:id="0"/>
      <w:bookmarkEnd w:id="1"/>
      <w:bookmarkEnd w:id="2"/>
    </w:p>
    <w:p w:rsidR="00E5326B" w:rsidRPr="00E5326B" w:rsidRDefault="00E5326B" w:rsidP="00E5326B"/>
    <w:p w:rsidR="0062109D" w:rsidRDefault="00E5326B" w:rsidP="00E5326B">
      <w:pPr>
        <w:spacing w:line="276" w:lineRule="auto"/>
        <w:jc w:val="both"/>
      </w:pPr>
      <w:r>
        <w:t>Z</w:t>
      </w:r>
      <w:r w:rsidRPr="00F73F02">
        <w:t>elené verejné obstarávanie</w:t>
      </w:r>
      <w:r>
        <w:t>, ktoré</w:t>
      </w:r>
      <w:r w:rsidRPr="00F73F02">
        <w:t xml:space="preserve"> vytvára dopyt po výrobkoch a službách, šetrných k životnému prostrediu, ekologickej výrobe produktov a ekotechnológiách, a tiež po dodávateľoch, realizujúcich svoju činnosť s ohľadom na životné prostredie a zároveň berie do úvahy celý životný cyklus výrobkov a s tým súvisiace náklady, predstavuje spôsob, ktorým možno prispievať k ochrane životného prostredia v rámci postupov verejného obstarávania</w:t>
      </w:r>
      <w:r w:rsidR="00234E72">
        <w:t xml:space="preserve"> najmä</w:t>
      </w:r>
      <w:r w:rsidRPr="00F73F02">
        <w:t xml:space="preserve"> pri vynakladaní verejných financií.</w:t>
      </w:r>
    </w:p>
    <w:p w:rsidR="00E5326B" w:rsidRDefault="00E5326B" w:rsidP="0062109D">
      <w:pPr>
        <w:spacing w:line="276" w:lineRule="auto"/>
        <w:jc w:val="both"/>
      </w:pPr>
    </w:p>
    <w:p w:rsidR="0062109D" w:rsidRDefault="0062109D" w:rsidP="0062109D">
      <w:pPr>
        <w:spacing w:line="276" w:lineRule="auto"/>
        <w:jc w:val="both"/>
      </w:pPr>
      <w:r>
        <w:t xml:space="preserve">Zelené verejné obstarávanie je definované v Oznámení Komisie Európskemu parlamentu, Rade, Európskemu a sociálnemu výboru a Výboru regiónov KOM(2008)400 s názvom Verejné obstarávanie pre lepšie životné prostredie. V súčasnosti Európska únia aktívne podporuje a presadzuje zelené verejné obstarávanie </w:t>
      </w:r>
      <w:r w:rsidR="00234E72">
        <w:t xml:space="preserve">prostredníctvom </w:t>
      </w:r>
      <w:r>
        <w:t xml:space="preserve">politiky </w:t>
      </w:r>
      <w:r w:rsidR="00DD1ED8" w:rsidRPr="00B02FAB">
        <w:t>obehového hospodárstva</w:t>
      </w:r>
      <w:r w:rsidR="00234E72">
        <w:t xml:space="preserve"> v kontexte politiky udržateľnej výroby a spotreby</w:t>
      </w:r>
      <w:r>
        <w:t xml:space="preserve">. Stratégia Európa 2020 identifikuje zelené verejné obstarávanie ako jeden z kľúčových nástrojov na dosahovanie inteligentného, udržateľného a inkluzívneho rastu. </w:t>
      </w:r>
    </w:p>
    <w:p w:rsidR="0062109D" w:rsidRDefault="0062109D" w:rsidP="0062109D">
      <w:pPr>
        <w:spacing w:line="276" w:lineRule="auto"/>
        <w:jc w:val="both"/>
      </w:pPr>
    </w:p>
    <w:p w:rsidR="0062109D" w:rsidRDefault="0062109D" w:rsidP="0062109D">
      <w:pPr>
        <w:spacing w:line="276" w:lineRule="auto"/>
        <w:jc w:val="both"/>
      </w:pPr>
      <w:r>
        <w:t>S cieľom podporiť tovary, služby, stavebné práce, výrobné postupy, ďalšie prevádzkové činnosti, ako aj postupy nakladania s odpadom, ktoré sú šetrné k životnému prostrediu a zároveň znižovať finančné náklady organizácie, zastáva politika zeleného verejného obstarávania čoraz významnejšiu úlohu. Úlohou verejných obstarávateľov je získať za finančné prostriedky</w:t>
      </w:r>
      <w:r w:rsidR="00E5326B">
        <w:t xml:space="preserve">, vynaložené </w:t>
      </w:r>
      <w:r>
        <w:t xml:space="preserve"> z verejných zdrojov</w:t>
      </w:r>
      <w:r w:rsidR="00E5326B">
        <w:t>,</w:t>
      </w:r>
      <w:r>
        <w:t xml:space="preserve"> čo najvyššiu úžitkovú hodn</w:t>
      </w:r>
      <w:r w:rsidR="00E5326B">
        <w:t xml:space="preserve">otu pri </w:t>
      </w:r>
      <w:r w:rsidR="00117036">
        <w:t>obstarávaných komoditách,</w:t>
      </w:r>
      <w:r w:rsidR="00F25BDE">
        <w:t xml:space="preserve"> </w:t>
      </w:r>
      <w:r>
        <w:t xml:space="preserve">teda dodržiavať zásadu hospodárnosti pri vynakladaní verejných financií. Získanie najvyššej úžitkovej hodnoty nemusí nevyhnutne znamenať orientáciu na najlacnejšiu ponuku.  Znamená to vybrať najlepšiu ponuku v rámci stanovených parametrov, ktorými môžu byť napríklad kvalita, účinnosť, efektívnosť, </w:t>
      </w:r>
      <w:r w:rsidR="00117036">
        <w:t xml:space="preserve">bezpečnosť, </w:t>
      </w:r>
      <w:r>
        <w:t>vhodnosť na daný účel</w:t>
      </w:r>
      <w:r w:rsidR="00234E72">
        <w:t xml:space="preserve"> a kvalita</w:t>
      </w:r>
      <w:r>
        <w:t xml:space="preserve"> aj </w:t>
      </w:r>
      <w:r w:rsidR="00234E72">
        <w:t>v oblasti ochrany</w:t>
      </w:r>
      <w:r>
        <w:t xml:space="preserve"> životného prostredia, ktorá sa môže posudzovať s ostatnými parametrami ako rovnocenný aspekt pri zadávaní zákazky. </w:t>
      </w:r>
    </w:p>
    <w:p w:rsidR="0062109D" w:rsidRDefault="0062109D" w:rsidP="0062109D">
      <w:pPr>
        <w:spacing w:line="276" w:lineRule="auto"/>
        <w:jc w:val="both"/>
      </w:pPr>
    </w:p>
    <w:p w:rsidR="0062109D" w:rsidRDefault="00F0278F" w:rsidP="0062109D">
      <w:pPr>
        <w:spacing w:line="276" w:lineRule="auto"/>
        <w:jc w:val="both"/>
      </w:pPr>
      <w:r w:rsidRPr="00117036">
        <w:t>Vychádzajúc z</w:t>
      </w:r>
      <w:r w:rsidR="00AF4C91" w:rsidRPr="00117036">
        <w:t> údajov, ktoré uvádzala Európska Komisia v roku 2015</w:t>
      </w:r>
      <w:r w:rsidR="007B1B19" w:rsidRPr="00117036">
        <w:t>,</w:t>
      </w:r>
      <w:r w:rsidR="00AF4C91" w:rsidRPr="00117036">
        <w:t xml:space="preserve"> na základe </w:t>
      </w:r>
      <w:r w:rsidRPr="00117036">
        <w:t>ukazovateľov verejného obstarávania</w:t>
      </w:r>
      <w:r w:rsidR="00AF4C91" w:rsidRPr="00117036">
        <w:t xml:space="preserve"> z roku 2013</w:t>
      </w:r>
      <w:r w:rsidR="0062109D" w:rsidRPr="00117036">
        <w:t xml:space="preserve">, </w:t>
      </w:r>
      <w:r w:rsidR="00AF4C91" w:rsidRPr="00117036">
        <w:t>verejná správa v Európe zodpovedá</w:t>
      </w:r>
      <w:r w:rsidR="0062109D" w:rsidRPr="00117036">
        <w:t xml:space="preserve"> každoročne za výdavky</w:t>
      </w:r>
      <w:r w:rsidR="00AF4C91" w:rsidRPr="00117036">
        <w:t xml:space="preserve"> na tovary, služby a práce</w:t>
      </w:r>
      <w:r w:rsidR="0062109D" w:rsidRPr="00117036">
        <w:t xml:space="preserve"> vo výške </w:t>
      </w:r>
      <w:r w:rsidR="00AF4C91" w:rsidRPr="00117036">
        <w:t>približne 1,8 bilióna</w:t>
      </w:r>
      <w:r w:rsidR="00F25BDE">
        <w:t xml:space="preserve"> </w:t>
      </w:r>
      <w:r w:rsidR="00AF4C91" w:rsidRPr="00117036">
        <w:t>EUR, čo predstavuje približne 14</w:t>
      </w:r>
      <w:r w:rsidR="0062109D" w:rsidRPr="00117036">
        <w:t xml:space="preserve"> % HDP Európskej únie</w:t>
      </w:r>
      <w:r w:rsidR="00AF4C91" w:rsidRPr="00117036">
        <w:t xml:space="preserve"> (bez zahrnutia výdavkov </w:t>
      </w:r>
      <w:r w:rsidR="007B1B19" w:rsidRPr="00117036">
        <w:t>verejnoprospešných spoločností</w:t>
      </w:r>
      <w:r w:rsidR="00AF4C91" w:rsidRPr="00117036">
        <w:t>)</w:t>
      </w:r>
      <w:r w:rsidR="0062109D" w:rsidRPr="00117036">
        <w:t>.</w:t>
      </w:r>
      <w:r w:rsidR="0062109D">
        <w:t xml:space="preserve"> Využitím takéhoto potenciálu kúpnej sily na výber tovarov, služieb a stavebných prác šetrných k životnému prostrediu, možno významne prispieť k dosahovaniu udržateľného hospodárstva, keďže zelené </w:t>
      </w:r>
      <w:r w:rsidR="00E5326B">
        <w:t xml:space="preserve">verejné </w:t>
      </w:r>
      <w:r w:rsidR="0062109D">
        <w:t xml:space="preserve">obstarávanie podporuje znižovanie spotreby energie, vody, surovín, znižovanie množstva nebezpečných látok vo výrobkoch, znižovanie tvorby znečisťujúcich látok, </w:t>
      </w:r>
      <w:r w:rsidR="00E5326B">
        <w:t xml:space="preserve">využívanie </w:t>
      </w:r>
      <w:r w:rsidR="00EA7A2E">
        <w:t>obnoviteľných zdrojov</w:t>
      </w:r>
      <w:r w:rsidR="0062109D">
        <w:t xml:space="preserve"> energie, </w:t>
      </w:r>
      <w:r w:rsidR="00EA7A2E">
        <w:t xml:space="preserve">nakupovanie </w:t>
      </w:r>
      <w:r w:rsidR="0062109D">
        <w:t>ekologick</w:t>
      </w:r>
      <w:r w:rsidR="00EA7A2E">
        <w:t>ých</w:t>
      </w:r>
      <w:r w:rsidR="0062109D">
        <w:t xml:space="preserve"> potrav</w:t>
      </w:r>
      <w:r w:rsidR="00EA7A2E">
        <w:t>í</w:t>
      </w:r>
      <w:r w:rsidR="0062109D">
        <w:t>n, redukciu odpadov a množstva obalov, environmentálne nakladanie s odpadmi, recykláciu, opätovné použitie, energetickú efektívnosť, ekodizajn výrobkov a tiež inovácie.</w:t>
      </w:r>
    </w:p>
    <w:p w:rsidR="0062109D" w:rsidRDefault="0062109D" w:rsidP="0062109D">
      <w:pPr>
        <w:spacing w:line="276" w:lineRule="auto"/>
        <w:jc w:val="both"/>
      </w:pPr>
    </w:p>
    <w:p w:rsidR="0062109D" w:rsidRDefault="0062109D" w:rsidP="0062109D">
      <w:pPr>
        <w:spacing w:line="276" w:lineRule="auto"/>
        <w:jc w:val="both"/>
      </w:pPr>
      <w:r>
        <w:t xml:space="preserve">Výhody zeleného verejného obstarávania </w:t>
      </w:r>
      <w:r w:rsidR="00E5326B">
        <w:t xml:space="preserve">sú zrejmé pri </w:t>
      </w:r>
      <w:r>
        <w:t xml:space="preserve"> plnení osobitných cieľov a úloh v oblasti životného prostredia (napr. energetická účinnosť, znižovanie emisií</w:t>
      </w:r>
      <w:r w:rsidR="00A74DC4">
        <w:rPr>
          <w:vertAlign w:val="subscript"/>
        </w:rPr>
        <w:t xml:space="preserve"> </w:t>
      </w:r>
      <w:r w:rsidR="00A74DC4">
        <w:t>skleníkových</w:t>
      </w:r>
      <w:r w:rsidR="00A74DC4" w:rsidRPr="00A74DC4">
        <w:rPr>
          <w:vertAlign w:val="subscript"/>
        </w:rPr>
        <w:t xml:space="preserve"> </w:t>
      </w:r>
      <w:r w:rsidR="00A74DC4" w:rsidRPr="00A74DC4">
        <w:t>plynov</w:t>
      </w:r>
      <w:r>
        <w:t xml:space="preserve">), v zlepšovaní sociálnych a zdravotných podmienok života (napr. zvyšovanie kvality </w:t>
      </w:r>
      <w:r>
        <w:lastRenderedPageBreak/>
        <w:t>života, ochrana zdravia), v úspore nákladov, v posilnení dôvery občanov, podnikov a spoločnosti smerom k verejnej správe, taktiež v presadzovaní inovácií a podpore vývoja konkurencieschop</w:t>
      </w:r>
      <w:r w:rsidR="007B1B19">
        <w:t>ných environmentálnych výrobkov</w:t>
      </w:r>
      <w:r>
        <w:t xml:space="preserve"> a</w:t>
      </w:r>
      <w:r w:rsidR="007B1B19">
        <w:t> služieb a ich</w:t>
      </w:r>
      <w:r>
        <w:t xml:space="preserve"> rozšírení</w:t>
      </w:r>
      <w:r w:rsidR="007B1B19">
        <w:t>m na</w:t>
      </w:r>
      <w:r>
        <w:t xml:space="preserve"> trhu.</w:t>
      </w:r>
    </w:p>
    <w:p w:rsidR="0062109D" w:rsidRDefault="0062109D" w:rsidP="00C46CDA">
      <w:pPr>
        <w:pStyle w:val="Nadpis1"/>
        <w:spacing w:line="276" w:lineRule="auto"/>
        <w:jc w:val="both"/>
        <w:rPr>
          <w:szCs w:val="24"/>
        </w:rPr>
      </w:pPr>
    </w:p>
    <w:p w:rsidR="0062109D" w:rsidRDefault="0062109D" w:rsidP="00397549">
      <w:pPr>
        <w:pStyle w:val="Nadpis1"/>
        <w:jc w:val="both"/>
      </w:pPr>
      <w:bookmarkStart w:id="3" w:name="_Toc450303820"/>
      <w:bookmarkStart w:id="4" w:name="_Toc419988549"/>
      <w:bookmarkStart w:id="5" w:name="_Toc419871757"/>
      <w:r w:rsidRPr="0058036E">
        <w:t>Národný</w:t>
      </w:r>
      <w:r>
        <w:t xml:space="preserve"> akčný plán pre zelené verejné obstarávanie v Slo</w:t>
      </w:r>
      <w:r w:rsidR="00E5326B">
        <w:t>venskej republike na</w:t>
      </w:r>
      <w:r w:rsidR="00BE6C96">
        <w:t xml:space="preserve"> roky 2016</w:t>
      </w:r>
      <w:r w:rsidR="00397549">
        <w:t xml:space="preserve"> -</w:t>
      </w:r>
      <w:r w:rsidR="00E5326B">
        <w:t xml:space="preserve"> </w:t>
      </w:r>
      <w:r>
        <w:t>20</w:t>
      </w:r>
      <w:bookmarkEnd w:id="3"/>
      <w:bookmarkEnd w:id="4"/>
      <w:bookmarkEnd w:id="5"/>
      <w:r w:rsidR="00BE6C96">
        <w:t>20</w:t>
      </w:r>
    </w:p>
    <w:p w:rsidR="0062109D" w:rsidRDefault="0062109D" w:rsidP="00E5326B">
      <w:pPr>
        <w:spacing w:line="276" w:lineRule="auto"/>
        <w:rPr>
          <w:b/>
        </w:rPr>
      </w:pPr>
    </w:p>
    <w:p w:rsidR="0062109D" w:rsidRDefault="0062109D" w:rsidP="0062109D">
      <w:pPr>
        <w:spacing w:line="276" w:lineRule="auto"/>
        <w:jc w:val="both"/>
      </w:pPr>
      <w:r>
        <w:t xml:space="preserve">Podpora uplatňovania politiky zeleného verejného obstarávania v Slovenskej republike je </w:t>
      </w:r>
      <w:r w:rsidR="00117036">
        <w:t xml:space="preserve">zastrešená </w:t>
      </w:r>
      <w:r>
        <w:t>prostredníctvom vládou schváleného Národného akčného plánu pre zelené verejné obstarávanie v</w:t>
      </w:r>
      <w:r w:rsidR="00EA7A2E">
        <w:t> </w:t>
      </w:r>
      <w:r>
        <w:t>S</w:t>
      </w:r>
      <w:r w:rsidR="00040CC2">
        <w:t>lovenskej republike</w:t>
      </w:r>
      <w:r w:rsidR="00BE6C96">
        <w:t xml:space="preserve"> na roky 2016 – 2020</w:t>
      </w:r>
      <w:r w:rsidR="007B1B19">
        <w:t>, ktorého</w:t>
      </w:r>
      <w:r>
        <w:t xml:space="preserve"> gestorom je Ministerstvo životného prostredia S</w:t>
      </w:r>
      <w:r w:rsidR="00EA7A2E">
        <w:t>lovenskej republiky</w:t>
      </w:r>
      <w:r w:rsidR="00BE6C96">
        <w:t xml:space="preserve">. </w:t>
      </w:r>
      <w:r w:rsidR="007B1B19">
        <w:t>Akčný plán schválený uznesením</w:t>
      </w:r>
      <w:r w:rsidR="00BE6C96">
        <w:t xml:space="preserve"> vlády č. 590/2016</w:t>
      </w:r>
      <w:r>
        <w:t xml:space="preserve"> ukladá ministrom a predsedom ústredných orgánov štátnej správy Slovenskej republiky uplatňovať princípy zeleného verejného obstarávania v rámci svojej pôsobnosti, predsedom samosprávnych krajov a predsedovi Združenia miest a obcí Slovenska je uplatňovanie zeleného verejného obstarávania v rámci pôsobnosti odporúčané. </w:t>
      </w:r>
    </w:p>
    <w:p w:rsidR="0062109D" w:rsidRDefault="0062109D" w:rsidP="0062109D">
      <w:pPr>
        <w:spacing w:line="276" w:lineRule="auto"/>
        <w:jc w:val="both"/>
      </w:pPr>
    </w:p>
    <w:p w:rsidR="00E5326B" w:rsidRDefault="0062109D" w:rsidP="0062109D">
      <w:pPr>
        <w:spacing w:line="276" w:lineRule="auto"/>
        <w:jc w:val="both"/>
      </w:pPr>
      <w:r>
        <w:t xml:space="preserve">Strategickým cieľom </w:t>
      </w:r>
      <w:r w:rsidR="00BE6C96">
        <w:t xml:space="preserve">Národného </w:t>
      </w:r>
      <w:r>
        <w:t xml:space="preserve">akčného plánu </w:t>
      </w:r>
      <w:r w:rsidR="00BE6C96">
        <w:t>pre zelené verejné obstarávanie v Slovenskej republike na roky 2016 – 2020 je dosiahnuť 50 %-ný</w:t>
      </w:r>
      <w:r>
        <w:t xml:space="preserve"> podiel </w:t>
      </w:r>
      <w:r w:rsidR="00BE6C96">
        <w:t>zrealizovaných zelených zákaziek orgánmi</w:t>
      </w:r>
      <w:r>
        <w:t xml:space="preserve"> štátnej správy</w:t>
      </w:r>
      <w:r w:rsidR="00BE6C96">
        <w:t xml:space="preserve"> z celkového objemu nimi uzatvorených zmlúv </w:t>
      </w:r>
      <w:r w:rsidR="00BB28F4">
        <w:t>pr</w:t>
      </w:r>
      <w:r w:rsidR="00040CC2">
        <w:t xml:space="preserve">e vybrané skupiny produktov. </w:t>
      </w:r>
      <w:r w:rsidR="00BE6C96">
        <w:t>Ú</w:t>
      </w:r>
      <w:r>
        <w:t>roveň uplatňovania zeleného verejného obstarávania sa hodnotí na základe dvoch kvantitatívnych indikátorov, a</w:t>
      </w:r>
      <w:r w:rsidR="00E5326B">
        <w:t> </w:t>
      </w:r>
      <w:r>
        <w:t>to</w:t>
      </w:r>
      <w:r w:rsidR="00E5326B">
        <w:t>:</w:t>
      </w:r>
    </w:p>
    <w:p w:rsidR="00E5326B" w:rsidRDefault="0062109D" w:rsidP="0062109D">
      <w:pPr>
        <w:spacing w:line="276" w:lineRule="auto"/>
        <w:jc w:val="both"/>
      </w:pPr>
      <w:r w:rsidRPr="00E5326B">
        <w:rPr>
          <w:i/>
        </w:rPr>
        <w:t>Indikátor 1</w:t>
      </w:r>
      <w:r>
        <w:t>: percentuálny podiel zeleného obstarávania z celkového verejného obstarávania vo väzbe na počet zákaziek (zmlúv, obj</w:t>
      </w:r>
      <w:r w:rsidR="00E5326B">
        <w:t>ednávok, nákupov) za kalendárny rok;</w:t>
      </w:r>
    </w:p>
    <w:p w:rsidR="0062109D" w:rsidRDefault="0062109D" w:rsidP="0062109D">
      <w:pPr>
        <w:spacing w:line="276" w:lineRule="auto"/>
        <w:jc w:val="both"/>
      </w:pPr>
      <w:r w:rsidRPr="00E5326B">
        <w:rPr>
          <w:i/>
        </w:rPr>
        <w:t>Indikátor 2</w:t>
      </w:r>
      <w:r>
        <w:t xml:space="preserve">: percentuálny podiel zeleného obstarávania z celkového verejného obstarávania vo väzbe na hodnotu uskutočnených zákaziek (zmlúv, objednávok, nákupov) za kalendárny rok. </w:t>
      </w:r>
    </w:p>
    <w:p w:rsidR="00B02FAB" w:rsidRDefault="00B02FAB" w:rsidP="0062109D">
      <w:pPr>
        <w:spacing w:line="276" w:lineRule="auto"/>
        <w:jc w:val="both"/>
      </w:pPr>
    </w:p>
    <w:p w:rsidR="00EA7A2E" w:rsidRDefault="00B02FAB" w:rsidP="0062109D">
      <w:pPr>
        <w:spacing w:line="276" w:lineRule="auto"/>
        <w:jc w:val="both"/>
      </w:pPr>
      <w:r>
        <w:t>Na dosiahnutie</w:t>
      </w:r>
      <w:r w:rsidR="00F25BDE">
        <w:t xml:space="preserve"> </w:t>
      </w:r>
      <w:r>
        <w:t xml:space="preserve">cieľov sú v rámci akčného plánu </w:t>
      </w:r>
      <w:r w:rsidR="00582693">
        <w:t>stanovené nasledovné hlavné opatrenia, ktorých plnenie sa realizuje prostredníctvom plánovaných aktivít</w:t>
      </w:r>
      <w:r w:rsidR="0062109D">
        <w:t xml:space="preserve">: </w:t>
      </w:r>
    </w:p>
    <w:p w:rsidR="00EA7A2E" w:rsidRDefault="00582693" w:rsidP="00EA7A2E">
      <w:pPr>
        <w:pStyle w:val="Odsekzoznamu"/>
        <w:numPr>
          <w:ilvl w:val="0"/>
          <w:numId w:val="7"/>
        </w:numPr>
        <w:spacing w:line="276" w:lineRule="auto"/>
        <w:jc w:val="both"/>
      </w:pPr>
      <w:r>
        <w:rPr>
          <w:i/>
        </w:rPr>
        <w:t>podpora verejných orgánov pri realizácií zeleného verejného obstarávania</w:t>
      </w:r>
      <w:r w:rsidR="006D5E64" w:rsidRPr="00EA7A2E">
        <w:rPr>
          <w:i/>
        </w:rPr>
        <w:t>;</w:t>
      </w:r>
    </w:p>
    <w:p w:rsidR="00EA7A2E" w:rsidRDefault="00582693" w:rsidP="00EA7A2E">
      <w:pPr>
        <w:pStyle w:val="Odsekzoznamu"/>
        <w:numPr>
          <w:ilvl w:val="0"/>
          <w:numId w:val="7"/>
        </w:numPr>
        <w:spacing w:line="276" w:lineRule="auto"/>
        <w:jc w:val="both"/>
      </w:pPr>
      <w:r>
        <w:rPr>
          <w:i/>
        </w:rPr>
        <w:t>sledovanie pokroku/vývoja zeleného verejného obstarávania;</w:t>
      </w:r>
    </w:p>
    <w:p w:rsidR="006D5E64" w:rsidRDefault="00582693" w:rsidP="00EA7A2E">
      <w:pPr>
        <w:pStyle w:val="Odsekzoznamu"/>
        <w:numPr>
          <w:ilvl w:val="0"/>
          <w:numId w:val="7"/>
        </w:numPr>
        <w:spacing w:line="276" w:lineRule="auto"/>
        <w:jc w:val="both"/>
      </w:pPr>
      <w:r>
        <w:rPr>
          <w:i/>
        </w:rPr>
        <w:t>spolupráca s relevantnými európskymi a národnými inštitúciami</w:t>
      </w:r>
      <w:r w:rsidR="0062109D" w:rsidRPr="00EA7A2E">
        <w:rPr>
          <w:i/>
        </w:rPr>
        <w:t>.</w:t>
      </w:r>
    </w:p>
    <w:p w:rsidR="006D5E64" w:rsidRDefault="006D5E64" w:rsidP="0062109D">
      <w:pPr>
        <w:spacing w:line="276" w:lineRule="auto"/>
        <w:jc w:val="both"/>
      </w:pPr>
    </w:p>
    <w:p w:rsidR="009F508A" w:rsidRDefault="0062109D" w:rsidP="0058036E">
      <w:pPr>
        <w:spacing w:line="276" w:lineRule="auto"/>
        <w:jc w:val="both"/>
      </w:pPr>
      <w:r>
        <w:t>Uznesenie vlády</w:t>
      </w:r>
      <w:r w:rsidR="00EA7A2E">
        <w:t xml:space="preserve"> Slovenskej re</w:t>
      </w:r>
      <w:r w:rsidR="00582693">
        <w:t>p</w:t>
      </w:r>
      <w:r w:rsidR="00EA7A2E">
        <w:t>ubliky</w:t>
      </w:r>
      <w:r w:rsidR="00582693">
        <w:t xml:space="preserve"> č. 590/2016</w:t>
      </w:r>
      <w:r>
        <w:t xml:space="preserve"> ukladá ministrovi životného prostredia S</w:t>
      </w:r>
      <w:r w:rsidR="00EA7A2E">
        <w:t>lovenskej republiky</w:t>
      </w:r>
      <w:r>
        <w:t xml:space="preserve">, v spolupráci s ostatnými ministrami a predsedami ústredných orgánov štátnej správy, predkladať na rokovanie vlády pravidelné </w:t>
      </w:r>
      <w:r w:rsidR="00582693">
        <w:t xml:space="preserve">informatívne materiály </w:t>
      </w:r>
      <w:r>
        <w:t xml:space="preserve">o implementácii zeleného verejného obstarávania za príslušný kalendárny rok. Monitorovanie úrovne </w:t>
      </w:r>
      <w:r w:rsidR="00117036">
        <w:t xml:space="preserve">uplatňovania </w:t>
      </w:r>
      <w:r>
        <w:t xml:space="preserve">zeleného verejného obstarávania v </w:t>
      </w:r>
      <w:r w:rsidR="00582693">
        <w:t>Slovenskej republike za rok 2016</w:t>
      </w:r>
      <w:r>
        <w:t xml:space="preserve"> bolo realizované</w:t>
      </w:r>
      <w:r w:rsidR="00117036">
        <w:t xml:space="preserve"> v spolupráci MŽP SR </w:t>
      </w:r>
      <w:r w:rsidR="007B1B19">
        <w:t>a</w:t>
      </w:r>
      <w:r w:rsidR="00F25BDE">
        <w:t> </w:t>
      </w:r>
      <w:r w:rsidR="007B1B19">
        <w:t>SAŽP</w:t>
      </w:r>
      <w:r w:rsidR="00F25BDE">
        <w:t xml:space="preserve"> </w:t>
      </w:r>
      <w:r w:rsidR="007B1B19">
        <w:t xml:space="preserve">prostredníctvom online formulára sprístupneného na </w:t>
      </w:r>
      <w:r>
        <w:t>linku:</w:t>
      </w:r>
      <w:r w:rsidR="00F25BDE">
        <w:t xml:space="preserve"> </w:t>
      </w:r>
      <w:hyperlink r:id="rId8" w:history="1">
        <w:r w:rsidR="007B1B19" w:rsidRPr="007B1B19">
          <w:rPr>
            <w:rStyle w:val="Hypertextovprepojenie"/>
            <w:color w:val="auto"/>
            <w:u w:val="none"/>
          </w:rPr>
          <w:t>http://gpp2016.sazp.sk</w:t>
        </w:r>
      </w:hyperlink>
      <w:r w:rsidR="007B1B19">
        <w:t>, po dobu monitorovania od 08.</w:t>
      </w:r>
      <w:r w:rsidR="00AB313A">
        <w:t xml:space="preserve"> </w:t>
      </w:r>
      <w:r w:rsidR="007B1B19">
        <w:t>03.</w:t>
      </w:r>
      <w:r w:rsidR="00AB313A">
        <w:t xml:space="preserve"> </w:t>
      </w:r>
      <w:r w:rsidR="007B1B19">
        <w:t>2017 do </w:t>
      </w:r>
      <w:r w:rsidR="00AB313A">
        <w:br/>
      </w:r>
      <w:r w:rsidR="007B1B19">
        <w:t>07.</w:t>
      </w:r>
      <w:r w:rsidR="00AB313A">
        <w:t xml:space="preserve"> </w:t>
      </w:r>
      <w:r w:rsidR="007B1B19">
        <w:t>04.</w:t>
      </w:r>
      <w:r w:rsidR="00AB313A">
        <w:t xml:space="preserve"> </w:t>
      </w:r>
      <w:r w:rsidR="007B1B19">
        <w:t xml:space="preserve">2017. </w:t>
      </w:r>
      <w:bookmarkStart w:id="6" w:name="_Toc419988550"/>
      <w:bookmarkStart w:id="7" w:name="_Toc419871758"/>
      <w:bookmarkStart w:id="8" w:name="_Toc450303821"/>
    </w:p>
    <w:p w:rsidR="009F508A" w:rsidRPr="009F508A" w:rsidRDefault="009F508A" w:rsidP="009F508A"/>
    <w:p w:rsidR="00397549" w:rsidRDefault="00397549" w:rsidP="00397549">
      <w:pPr>
        <w:pStyle w:val="Nadpis1"/>
        <w:jc w:val="left"/>
      </w:pPr>
    </w:p>
    <w:p w:rsidR="009557D8" w:rsidRDefault="009557D8" w:rsidP="00477839"/>
    <w:p w:rsidR="009557D8" w:rsidRPr="009557D8" w:rsidRDefault="009557D8" w:rsidP="00477839"/>
    <w:p w:rsidR="00C46CDA" w:rsidRDefault="00EA7A2E" w:rsidP="00397549">
      <w:pPr>
        <w:pStyle w:val="Nadpis1"/>
        <w:jc w:val="left"/>
      </w:pPr>
      <w:r>
        <w:lastRenderedPageBreak/>
        <w:t xml:space="preserve">Priemerná úroveň </w:t>
      </w:r>
      <w:r w:rsidR="0062109D">
        <w:t xml:space="preserve"> zeleného verejného </w:t>
      </w:r>
      <w:r w:rsidR="0062109D" w:rsidRPr="0058036E">
        <w:t>obstarávania</w:t>
      </w:r>
      <w:r w:rsidR="0062109D">
        <w:t xml:space="preserve"> v Slovenskej republike za rok 201</w:t>
      </w:r>
      <w:bookmarkEnd w:id="6"/>
      <w:bookmarkEnd w:id="7"/>
      <w:bookmarkEnd w:id="8"/>
      <w:r w:rsidR="00202870">
        <w:t>6</w:t>
      </w:r>
    </w:p>
    <w:p w:rsidR="00C46CDA" w:rsidRDefault="00C46CDA" w:rsidP="0058036E"/>
    <w:p w:rsidR="0062109D" w:rsidRDefault="0062109D" w:rsidP="0062109D">
      <w:pPr>
        <w:spacing w:line="276" w:lineRule="auto"/>
        <w:jc w:val="both"/>
      </w:pPr>
      <w:r>
        <w:t>V rámci monitorovania priemernej úrovne zeleného verejného obstarávania v</w:t>
      </w:r>
      <w:r w:rsidR="00EA7A2E">
        <w:t> </w:t>
      </w:r>
      <w:r>
        <w:t>S</w:t>
      </w:r>
      <w:r w:rsidR="00EA7A2E">
        <w:t>lovenskej republike</w:t>
      </w:r>
      <w:r w:rsidR="00CC66B3">
        <w:t xml:space="preserve"> za rok 2016</w:t>
      </w:r>
      <w:r>
        <w:t xml:space="preserve"> bolo elektronickou formou oslovených </w:t>
      </w:r>
      <w:r w:rsidR="00254D86">
        <w:t>1447</w:t>
      </w:r>
      <w:r>
        <w:t xml:space="preserve"> verejných inštitúcií S</w:t>
      </w:r>
      <w:r w:rsidR="00EA7A2E">
        <w:t>lovenskej republiky</w:t>
      </w:r>
      <w:r>
        <w:t xml:space="preserve"> (z toho </w:t>
      </w:r>
      <w:r w:rsidR="00254D86">
        <w:t>407</w:t>
      </w:r>
      <w:r>
        <w:t xml:space="preserve"> ústredných orgánov štátnej správy a im podriadených organizácií, </w:t>
      </w:r>
      <w:r w:rsidRPr="00254D86">
        <w:t>8</w:t>
      </w:r>
      <w:r>
        <w:t xml:space="preserve"> samosprávnych krajov a </w:t>
      </w:r>
      <w:r w:rsidR="00254D86">
        <w:t>852</w:t>
      </w:r>
      <w:r>
        <w:t xml:space="preserve"> verejných inštitúcií nimi zriadenými, </w:t>
      </w:r>
      <w:r w:rsidRPr="00254D86">
        <w:t>1</w:t>
      </w:r>
      <w:r w:rsidR="00254D86">
        <w:t>41</w:t>
      </w:r>
      <w:r w:rsidR="00EA7A2E">
        <w:t xml:space="preserve"> miest a </w:t>
      </w:r>
      <w:r w:rsidR="00EA7A2E" w:rsidRPr="00254D86">
        <w:t>39</w:t>
      </w:r>
      <w:r w:rsidR="00EA7A2E">
        <w:t xml:space="preserve"> mestských častí m</w:t>
      </w:r>
      <w:r w:rsidR="006D5E64">
        <w:t>ie</w:t>
      </w:r>
      <w:r>
        <w:t xml:space="preserve">st Bratislava a Košice). </w:t>
      </w:r>
    </w:p>
    <w:p w:rsidR="0062109D" w:rsidRDefault="0062109D" w:rsidP="0062109D">
      <w:pPr>
        <w:spacing w:line="276" w:lineRule="auto"/>
        <w:jc w:val="both"/>
      </w:pPr>
    </w:p>
    <w:p w:rsidR="0062109D" w:rsidRPr="006640CD" w:rsidRDefault="00202870" w:rsidP="0062109D">
      <w:pPr>
        <w:spacing w:line="276" w:lineRule="auto"/>
        <w:jc w:val="both"/>
        <w:rPr>
          <w:strike/>
        </w:rPr>
      </w:pPr>
      <w:r>
        <w:t>D</w:t>
      </w:r>
      <w:r w:rsidR="0062109D">
        <w:t xml:space="preserve">o dotazníkového prieskumu </w:t>
      </w:r>
      <w:r>
        <w:t xml:space="preserve">realizovaného prostredníctvom online formulára </w:t>
      </w:r>
      <w:r w:rsidR="0062109D">
        <w:t xml:space="preserve">sa zapojilo </w:t>
      </w:r>
      <w:r w:rsidR="006D5E64">
        <w:t xml:space="preserve">spolu </w:t>
      </w:r>
      <w:r w:rsidR="00273CAB">
        <w:t>524 subjektov</w:t>
      </w:r>
      <w:r w:rsidR="008C5368">
        <w:t>,</w:t>
      </w:r>
      <w:r w:rsidR="00273CAB">
        <w:t xml:space="preserve"> pričom</w:t>
      </w:r>
      <w:r w:rsidR="00F25BDE">
        <w:t xml:space="preserve"> </w:t>
      </w:r>
      <w:r w:rsidR="00273CAB">
        <w:t>c</w:t>
      </w:r>
      <w:r w:rsidR="0062109D">
        <w:t>elková n</w:t>
      </w:r>
      <w:r>
        <w:t>ávratnosť dotazníkov za rok 2016</w:t>
      </w:r>
      <w:r w:rsidR="0062109D">
        <w:t xml:space="preserve"> predstavuje </w:t>
      </w:r>
      <w:r w:rsidR="008A4481">
        <w:t>36,2</w:t>
      </w:r>
      <w:r w:rsidR="0062109D" w:rsidRPr="008A4481">
        <w:t xml:space="preserve"> %</w:t>
      </w:r>
      <w:r w:rsidR="0062109D">
        <w:t xml:space="preserve">. </w:t>
      </w:r>
    </w:p>
    <w:p w:rsidR="0062109D" w:rsidRDefault="0062109D" w:rsidP="0062109D">
      <w:pPr>
        <w:spacing w:line="276" w:lineRule="auto"/>
        <w:jc w:val="both"/>
      </w:pPr>
    </w:p>
    <w:p w:rsidR="0062109D" w:rsidRDefault="0062109D" w:rsidP="0062109D">
      <w:pPr>
        <w:spacing w:line="276" w:lineRule="auto"/>
        <w:jc w:val="both"/>
      </w:pPr>
      <w:r>
        <w:t xml:space="preserve">Do vyhodnotenia </w:t>
      </w:r>
      <w:r w:rsidR="009F508A">
        <w:t xml:space="preserve">sa zapojilo </w:t>
      </w:r>
      <w:r w:rsidR="00273CAB">
        <w:t>524</w:t>
      </w:r>
      <w:r>
        <w:t xml:space="preserve"> subjektov, z čoho bolo </w:t>
      </w:r>
      <w:r w:rsidR="00273CAB">
        <w:t>237</w:t>
      </w:r>
      <w:r>
        <w:t xml:space="preserve"> ústredných orgánov štátnej správy a im podriadených organizácií, </w:t>
      </w:r>
      <w:r w:rsidR="00273CAB" w:rsidRPr="00273CAB">
        <w:t>2</w:t>
      </w:r>
      <w:r>
        <w:t xml:space="preserve"> samosprávne kraje, </w:t>
      </w:r>
      <w:r w:rsidR="00273CAB">
        <w:t>262</w:t>
      </w:r>
      <w:r>
        <w:t xml:space="preserve"> inštitúcií zriadenými samosprávnymi krajmi, </w:t>
      </w:r>
      <w:r w:rsidR="00273CAB">
        <w:t>18 miest,</w:t>
      </w:r>
      <w:r w:rsidR="00AB313A">
        <w:t xml:space="preserve"> </w:t>
      </w:r>
      <w:r w:rsidR="00273CAB">
        <w:t>2</w:t>
      </w:r>
      <w:r>
        <w:t xml:space="preserve"> mestsk</w:t>
      </w:r>
      <w:r w:rsidR="006D5E64">
        <w:t>é</w:t>
      </w:r>
      <w:r>
        <w:t xml:space="preserve"> čast</w:t>
      </w:r>
      <w:r w:rsidR="006D5E64">
        <w:t>i</w:t>
      </w:r>
      <w:r>
        <w:t xml:space="preserve"> mesta Bratislava</w:t>
      </w:r>
      <w:r w:rsidR="00273CAB">
        <w:t xml:space="preserve"> a 3 mestské časti mesta Košice</w:t>
      </w:r>
      <w:r>
        <w:t xml:space="preserve">. </w:t>
      </w:r>
      <w:r w:rsidR="00202870">
        <w:t>V roku 2016</w:t>
      </w:r>
      <w:r w:rsidR="006D5E64">
        <w:t xml:space="preserve"> realizovalo zelené verejné obstarávanie spolu</w:t>
      </w:r>
      <w:r w:rsidR="00AB313A">
        <w:t xml:space="preserve"> </w:t>
      </w:r>
      <w:r w:rsidR="00273CAB">
        <w:t>341</w:t>
      </w:r>
      <w:r>
        <w:t xml:space="preserve"> organizácií, čo predstavuje </w:t>
      </w:r>
      <w:r w:rsidR="00273CAB">
        <w:t>65</w:t>
      </w:r>
      <w:r w:rsidRPr="00273CAB">
        <w:t>%</w:t>
      </w:r>
      <w:r>
        <w:t>-ný</w:t>
      </w:r>
      <w:r w:rsidR="008C5368">
        <w:t xml:space="preserve"> podiel</w:t>
      </w:r>
      <w:r w:rsidR="00117036">
        <w:t xml:space="preserve"> zo zapojených subjektov</w:t>
      </w:r>
      <w:r w:rsidR="008C5368">
        <w:t>, ako znázorňuje graf 1.</w:t>
      </w:r>
    </w:p>
    <w:p w:rsidR="0062109D" w:rsidRDefault="0062109D" w:rsidP="0062109D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62109D" w:rsidP="0062109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Graf 1 Percentuálny podiel inštitúcií zapojených do prieskumu, ktoré realizovali GPP</w:t>
      </w:r>
    </w:p>
    <w:p w:rsidR="00EA7A2E" w:rsidRDefault="00EA7A2E" w:rsidP="0062109D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736097" w:rsidP="0062109D">
      <w:pPr>
        <w:spacing w:line="276" w:lineRule="auto"/>
        <w:jc w:val="both"/>
      </w:pPr>
      <w:r>
        <w:rPr>
          <w:noProof/>
        </w:rPr>
        <w:drawing>
          <wp:inline distT="0" distB="0" distL="0" distR="0" wp14:anchorId="471DD7A1" wp14:editId="5EE60C42">
            <wp:extent cx="3729162" cy="1952300"/>
            <wp:effectExtent l="0" t="0" r="508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7" cy="1989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097" w:rsidRDefault="00736097" w:rsidP="0062109D">
      <w:pPr>
        <w:spacing w:line="276" w:lineRule="auto"/>
        <w:jc w:val="both"/>
      </w:pPr>
    </w:p>
    <w:p w:rsidR="0062109D" w:rsidRPr="009D1CA9" w:rsidRDefault="0062109D" w:rsidP="009D1CA9">
      <w:pPr>
        <w:spacing w:line="276" w:lineRule="auto"/>
        <w:jc w:val="both"/>
        <w:rPr>
          <w:strike/>
        </w:rPr>
      </w:pPr>
      <w:r>
        <w:t>Tabuľka 1 zobrazuje počet inštitúcií, ktoré boli oslovené v rámci dotazníkového prieskumu (</w:t>
      </w:r>
      <w:r w:rsidR="008A4481">
        <w:t>1447</w:t>
      </w:r>
      <w:r>
        <w:t>), a počet aktívne zapojených subjektov (</w:t>
      </w:r>
      <w:r w:rsidR="00736097" w:rsidRPr="00736097">
        <w:t>524</w:t>
      </w:r>
      <w:r>
        <w:t>), t.</w:t>
      </w:r>
      <w:r w:rsidR="00AB313A">
        <w:t xml:space="preserve"> </w:t>
      </w:r>
      <w:r>
        <w:t>j. subjektov, ktoré odpovedali na dotazníkový prieskum</w:t>
      </w:r>
      <w:r w:rsidR="00736097">
        <w:t xml:space="preserve"> a boli zaradené do vyhodnotenia.</w:t>
      </w:r>
    </w:p>
    <w:p w:rsidR="006D5E64" w:rsidRPr="009D1CA9" w:rsidRDefault="006D5E64" w:rsidP="0062109D">
      <w:pPr>
        <w:spacing w:line="276" w:lineRule="auto"/>
        <w:rPr>
          <w:sz w:val="20"/>
          <w:szCs w:val="20"/>
        </w:rPr>
      </w:pPr>
    </w:p>
    <w:p w:rsidR="0062109D" w:rsidRDefault="0062109D" w:rsidP="0062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Tabuľka 1 Prehľad počtu oslovených inštitúcií v</w:t>
      </w:r>
      <w:r w:rsidR="006640CD">
        <w:rPr>
          <w:i/>
          <w:sz w:val="20"/>
          <w:szCs w:val="20"/>
        </w:rPr>
        <w:t> rámci monitorovania za rok 2016</w:t>
      </w:r>
    </w:p>
    <w:p w:rsidR="00EA7A2E" w:rsidRDefault="00EA7A2E" w:rsidP="0062109D">
      <w:pPr>
        <w:spacing w:line="276" w:lineRule="auto"/>
        <w:rPr>
          <w:i/>
          <w:sz w:val="20"/>
          <w:szCs w:val="20"/>
        </w:rPr>
      </w:pPr>
    </w:p>
    <w:tbl>
      <w:tblPr>
        <w:tblW w:w="88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1074"/>
        <w:gridCol w:w="1527"/>
        <w:gridCol w:w="902"/>
      </w:tblGrid>
      <w:tr w:rsidR="0062109D" w:rsidTr="0062109D">
        <w:trPr>
          <w:trHeight w:val="255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09D" w:rsidRDefault="0062109D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Ústredné orgány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Samosprávne kraje a mestá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2109D" w:rsidTr="0062109D">
        <w:trPr>
          <w:trHeight w:val="255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</w:pPr>
            <w:r>
              <w:t>Počet oslovených subjektov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407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1040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1447</w:t>
            </w:r>
          </w:p>
        </w:tc>
      </w:tr>
      <w:tr w:rsidR="0062109D" w:rsidTr="0062109D">
        <w:trPr>
          <w:trHeight w:val="255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109D" w:rsidRDefault="0062109D">
            <w:pPr>
              <w:spacing w:line="276" w:lineRule="auto"/>
            </w:pPr>
            <w:r>
              <w:t xml:space="preserve">Počet subjektov </w:t>
            </w:r>
            <w:r w:rsidR="009F508A">
              <w:t>zapojených</w:t>
            </w:r>
            <w:r>
              <w:t xml:space="preserve"> do vyhodnotenia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09D" w:rsidRDefault="008A4481">
            <w:pPr>
              <w:spacing w:line="276" w:lineRule="auto"/>
              <w:jc w:val="right"/>
            </w:pPr>
            <w:r>
              <w:t>237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09D" w:rsidRDefault="008A4481">
            <w:pPr>
              <w:spacing w:line="276" w:lineRule="auto"/>
              <w:jc w:val="right"/>
            </w:pPr>
            <w:r>
              <w:t>287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109D" w:rsidRDefault="00736097">
            <w:pPr>
              <w:spacing w:line="276" w:lineRule="auto"/>
              <w:ind w:right="120"/>
              <w:jc w:val="right"/>
            </w:pPr>
            <w:r>
              <w:t>524</w:t>
            </w:r>
          </w:p>
        </w:tc>
      </w:tr>
    </w:tbl>
    <w:p w:rsidR="009D1CA9" w:rsidRDefault="009D1CA9" w:rsidP="0062109D">
      <w:pPr>
        <w:spacing w:line="276" w:lineRule="auto"/>
        <w:jc w:val="both"/>
      </w:pPr>
    </w:p>
    <w:p w:rsidR="00325B74" w:rsidRDefault="00325B74" w:rsidP="0062109D">
      <w:pPr>
        <w:spacing w:line="276" w:lineRule="auto"/>
        <w:jc w:val="both"/>
      </w:pPr>
    </w:p>
    <w:p w:rsidR="00325B74" w:rsidRDefault="00325B74" w:rsidP="0062109D">
      <w:pPr>
        <w:spacing w:line="276" w:lineRule="auto"/>
        <w:jc w:val="both"/>
      </w:pPr>
    </w:p>
    <w:p w:rsidR="00325B74" w:rsidRDefault="00325B74" w:rsidP="0062109D">
      <w:pPr>
        <w:spacing w:line="276" w:lineRule="auto"/>
        <w:jc w:val="both"/>
      </w:pPr>
    </w:p>
    <w:p w:rsidR="0062109D" w:rsidRDefault="0062109D" w:rsidP="0062109D">
      <w:pPr>
        <w:spacing w:line="276" w:lineRule="auto"/>
        <w:jc w:val="both"/>
      </w:pPr>
      <w:r>
        <w:lastRenderedPageBreak/>
        <w:t>Tabuľka 2 zobraz</w:t>
      </w:r>
      <w:r w:rsidR="009F508A">
        <w:t>uje počet oslovených inštitúcií</w:t>
      </w:r>
      <w:r>
        <w:t xml:space="preserve"> a počet odpovedí v členení na jednotlivé rezorty, samosprávne kraje a mestá S</w:t>
      </w:r>
      <w:r w:rsidR="00EA7A2E">
        <w:t>lovenskej republiky</w:t>
      </w:r>
      <w:r>
        <w:t>.</w:t>
      </w:r>
    </w:p>
    <w:p w:rsidR="0062109D" w:rsidRDefault="0062109D" w:rsidP="0062109D">
      <w:pPr>
        <w:spacing w:line="276" w:lineRule="auto"/>
        <w:jc w:val="both"/>
      </w:pPr>
    </w:p>
    <w:p w:rsidR="00231258" w:rsidRDefault="00231258" w:rsidP="0062109D">
      <w:pPr>
        <w:spacing w:line="276" w:lineRule="auto"/>
        <w:rPr>
          <w:i/>
          <w:sz w:val="20"/>
          <w:szCs w:val="20"/>
        </w:rPr>
      </w:pPr>
    </w:p>
    <w:p w:rsidR="0062109D" w:rsidRDefault="0062109D" w:rsidP="0062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Tabuľka 2  Prehľad počtu oslovených inštitúcií a počtu odpovedí</w:t>
      </w:r>
    </w:p>
    <w:p w:rsidR="00EA7A2E" w:rsidRDefault="00EA7A2E" w:rsidP="0062109D">
      <w:pPr>
        <w:spacing w:line="276" w:lineRule="auto"/>
        <w:rPr>
          <w:i/>
          <w:sz w:val="20"/>
          <w:szCs w:val="20"/>
        </w:rPr>
      </w:pP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1426"/>
        <w:gridCol w:w="1272"/>
      </w:tblGrid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Inštitúcie a im podriadené organizácie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 oslovených inštitúcií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 odpovedí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EA7A2E">
            <w:pPr>
              <w:spacing w:line="276" w:lineRule="auto"/>
            </w:pPr>
            <w:r>
              <w:t>Ministerstvo financií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4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 w:rsidP="00EA7A2E">
            <w:pPr>
              <w:spacing w:line="276" w:lineRule="auto"/>
            </w:pPr>
            <w:r>
              <w:t>Ministerstvo práce, sociálnych vecí a rodiny S</w:t>
            </w:r>
            <w:r w:rsidR="00EA7A2E">
              <w:t>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1D3619">
            <w:pPr>
              <w:spacing w:line="276" w:lineRule="auto"/>
              <w:jc w:val="right"/>
            </w:pPr>
            <w:r>
              <w:t>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EA7A2E" w:rsidRDefault="00736097">
            <w:pPr>
              <w:spacing w:line="276" w:lineRule="auto"/>
              <w:jc w:val="right"/>
            </w:pPr>
            <w:r>
              <w:t>46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 w:rsidP="00736097">
            <w:pPr>
              <w:spacing w:line="276" w:lineRule="auto"/>
            </w:pPr>
            <w:r>
              <w:t>Ministerstvo dopravy</w:t>
            </w:r>
            <w:r w:rsidR="00F25BDE">
              <w:t xml:space="preserve"> </w:t>
            </w:r>
            <w:r>
              <w:t xml:space="preserve">a </w:t>
            </w:r>
            <w:r w:rsidR="0062109D">
              <w:t>vý</w:t>
            </w:r>
            <w:r w:rsidR="00EA7A2E">
              <w:t>stavby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62109D">
            <w:pPr>
              <w:spacing w:line="276" w:lineRule="auto"/>
              <w:jc w:val="right"/>
            </w:pPr>
            <w:r w:rsidRPr="008A4481">
              <w:t>2</w:t>
            </w:r>
            <w:r w:rsidR="001D3619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6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 w:rsidP="00EA7A2E">
            <w:pPr>
              <w:spacing w:line="276" w:lineRule="auto"/>
            </w:pPr>
            <w:r>
              <w:t>Ministerstvo obrany S</w:t>
            </w:r>
            <w:r w:rsidR="00EA7A2E">
              <w:t>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EA7A2E">
            <w:pPr>
              <w:spacing w:line="276" w:lineRule="auto"/>
              <w:jc w:val="right"/>
            </w:pPr>
            <w:r w:rsidRPr="008A4481">
              <w:t>1</w:t>
            </w:r>
            <w:r w:rsidR="008A4481"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4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EA7A2E">
            <w:pPr>
              <w:spacing w:line="276" w:lineRule="auto"/>
            </w:pPr>
            <w:r>
              <w:t>Ministerstvo hospodárstva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8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Mini</w:t>
            </w:r>
            <w:r w:rsidR="00EA7A2E">
              <w:t>sterstvo životného prostredia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10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EA7A2E">
            <w:pPr>
              <w:spacing w:line="276" w:lineRule="auto"/>
            </w:pPr>
            <w:r>
              <w:t>Ministerstvo zdravotníctva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34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 w:rsidP="00EA7A2E">
            <w:pPr>
              <w:spacing w:line="276" w:lineRule="auto"/>
            </w:pPr>
            <w:r>
              <w:t>Ministerstvo zahraničných</w:t>
            </w:r>
            <w:r w:rsidR="00CF11E1">
              <w:t xml:space="preserve"> vecí a európskych záležitostí</w:t>
            </w:r>
            <w:r w:rsidR="00EA7A2E">
              <w:t> </w:t>
            </w:r>
            <w:r>
              <w:t>S</w:t>
            </w:r>
            <w:r w:rsidR="00EA7A2E">
              <w:t>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1D3619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right"/>
            </w:pPr>
            <w:r>
              <w:t>3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EA7A2E">
            <w:pPr>
              <w:spacing w:line="276" w:lineRule="auto"/>
            </w:pPr>
            <w:r>
              <w:t>Ministerstvo vnútra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right"/>
            </w:pPr>
            <w:r>
              <w:t>1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EA7A2E">
            <w:pPr>
              <w:spacing w:line="276" w:lineRule="auto"/>
            </w:pPr>
            <w:r>
              <w:t>Ministerst</w:t>
            </w:r>
            <w:r w:rsidR="00736097">
              <w:t>vo spravodlivosti Slovenskej re</w:t>
            </w:r>
            <w:r>
              <w:t>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68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Ministerstvo pôdoh</w:t>
            </w:r>
            <w:r w:rsidR="00EA7A2E">
              <w:t>ospodárstva a rozvoja vidieka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9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Ministerstvo ško</w:t>
            </w:r>
            <w:r w:rsidR="00EA7A2E">
              <w:t>lstva, vedy, výskumu a športu Slovenskej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14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 w:rsidP="00EA7A2E">
            <w:pPr>
              <w:spacing w:line="276" w:lineRule="auto"/>
            </w:pPr>
            <w:r>
              <w:t>Ministerstvo kultúry S</w:t>
            </w:r>
            <w:r w:rsidR="00EA7A2E">
              <w:t>lovenskej republiky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1D3619">
            <w:pPr>
              <w:spacing w:line="276" w:lineRule="auto"/>
              <w:jc w:val="right"/>
            </w:pPr>
            <w: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20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Ostatné</w:t>
            </w:r>
            <w:r w:rsidR="001D3619">
              <w:t xml:space="preserve"> orgány štátnej správy a ostatné</w:t>
            </w:r>
            <w:r>
              <w:t xml:space="preserve"> ústredné orgány</w:t>
            </w:r>
            <w:r w:rsidR="00EA7A2E">
              <w:t xml:space="preserve"> štátnej správy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</w:t>
            </w:r>
            <w:r w:rsidR="001D3619"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736097">
            <w:pPr>
              <w:spacing w:line="276" w:lineRule="auto"/>
              <w:jc w:val="right"/>
            </w:pPr>
            <w:r>
              <w:t>10</w:t>
            </w:r>
          </w:p>
        </w:tc>
      </w:tr>
      <w:tr w:rsidR="00DA7C3C" w:rsidRPr="00DA7C3C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 w:rsidP="00EA7A2E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 Ú</w:t>
            </w:r>
            <w:r w:rsidR="00EA7A2E">
              <w:rPr>
                <w:b/>
              </w:rPr>
              <w:t>stredné orgány štátnej správy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62109D" w:rsidP="00D10C82">
            <w:pPr>
              <w:spacing w:line="276" w:lineRule="auto"/>
              <w:jc w:val="right"/>
              <w:rPr>
                <w:b/>
              </w:rPr>
            </w:pPr>
            <w:r w:rsidRPr="008A4481">
              <w:rPr>
                <w:b/>
              </w:rPr>
              <w:t>4</w:t>
            </w:r>
            <w:r w:rsidR="008A4481">
              <w:rPr>
                <w:b/>
              </w:rPr>
              <w:t>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73609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237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Bratislavský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13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Banskobystrický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28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Košický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30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Nitriansky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31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Prešovský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42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Trenčiansky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33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Trnavský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D10C82">
            <w:pPr>
              <w:spacing w:line="276" w:lineRule="auto"/>
              <w:jc w:val="right"/>
            </w:pPr>
            <w:r w:rsidRPr="00D10C82">
              <w:t>3</w:t>
            </w:r>
            <w:r w:rsidR="00BE1B95">
              <w:t>6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</w:pPr>
            <w:r>
              <w:t>Žilinský samosprávny kraj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</w:pPr>
            <w:r>
              <w:t>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>
            <w:pPr>
              <w:spacing w:line="276" w:lineRule="auto"/>
              <w:jc w:val="right"/>
            </w:pPr>
            <w:r>
              <w:t>51</w:t>
            </w:r>
          </w:p>
        </w:tc>
      </w:tr>
      <w:tr w:rsidR="00D10C82" w:rsidRPr="00DA7C3C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2" w:rsidRPr="00D10C82" w:rsidRDefault="00D10C82">
            <w:pPr>
              <w:spacing w:line="276" w:lineRule="auto"/>
            </w:pPr>
            <w:r w:rsidRPr="00D10C82">
              <w:t>Mestá a mestské časti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2" w:rsidRPr="008A4481" w:rsidRDefault="008A4481">
            <w:pPr>
              <w:spacing w:line="276" w:lineRule="auto"/>
              <w:jc w:val="right"/>
            </w:pPr>
            <w: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82" w:rsidRPr="00BE1B95" w:rsidRDefault="00BE1B95">
            <w:pPr>
              <w:spacing w:line="276" w:lineRule="auto"/>
              <w:jc w:val="right"/>
            </w:pPr>
            <w:r w:rsidRPr="00BE1B95">
              <w:t>23</w:t>
            </w:r>
          </w:p>
        </w:tc>
      </w:tr>
      <w:tr w:rsidR="00DA7C3C" w:rsidRPr="00DA7C3C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EA7A2E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 územná samospráva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D10C82" w:rsidRDefault="00BE1B95" w:rsidP="00D10C8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287</w:t>
            </w:r>
          </w:p>
        </w:tc>
      </w:tr>
      <w:tr w:rsidR="0062109D" w:rsidTr="009D1CA9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Pr="008A4481" w:rsidRDefault="008A44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1447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BE1B9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524</w:t>
            </w:r>
          </w:p>
        </w:tc>
      </w:tr>
    </w:tbl>
    <w:p w:rsidR="009D1CA9" w:rsidRDefault="009D1CA9" w:rsidP="0062109D">
      <w:pPr>
        <w:spacing w:line="276" w:lineRule="auto"/>
        <w:jc w:val="both"/>
      </w:pPr>
    </w:p>
    <w:p w:rsidR="0062109D" w:rsidRDefault="006640CD" w:rsidP="0062109D">
      <w:pPr>
        <w:spacing w:line="276" w:lineRule="auto"/>
        <w:jc w:val="both"/>
      </w:pPr>
      <w:r>
        <w:lastRenderedPageBreak/>
        <w:t>V roku 2016</w:t>
      </w:r>
      <w:r w:rsidR="00AB313A">
        <w:t xml:space="preserve"> </w:t>
      </w:r>
      <w:r w:rsidR="009D1CA9">
        <w:t>realizovalo</w:t>
      </w:r>
      <w:r w:rsidR="00AB313A">
        <w:t xml:space="preserve"> </w:t>
      </w:r>
      <w:r w:rsidR="008E616B">
        <w:t>524</w:t>
      </w:r>
      <w:r w:rsidR="0062109D">
        <w:t xml:space="preserve"> subjektov</w:t>
      </w:r>
      <w:r w:rsidR="006D5E64">
        <w:t>,</w:t>
      </w:r>
      <w:r w:rsidR="00F25BDE">
        <w:t xml:space="preserve"> </w:t>
      </w:r>
      <w:r w:rsidR="0062109D" w:rsidRPr="009F508A">
        <w:t>za</w:t>
      </w:r>
      <w:r w:rsidR="009F508A">
        <w:t>pojených</w:t>
      </w:r>
      <w:r w:rsidR="0062109D">
        <w:t xml:space="preserve"> do vyhodnotenia</w:t>
      </w:r>
      <w:r w:rsidR="006D5E64">
        <w:t>,</w:t>
      </w:r>
      <w:r w:rsidR="00D10C82">
        <w:t xml:space="preserve"> spolu</w:t>
      </w:r>
      <w:r w:rsidR="00AB313A">
        <w:t xml:space="preserve"> </w:t>
      </w:r>
      <w:r w:rsidR="00185B80">
        <w:t>369</w:t>
      </w:r>
      <w:r w:rsidR="00AB313A">
        <w:t xml:space="preserve"> </w:t>
      </w:r>
      <w:r w:rsidR="00185B80">
        <w:t>041</w:t>
      </w:r>
      <w:r w:rsidR="0062109D">
        <w:t xml:space="preserve"> zákaziek, z čoho bolo </w:t>
      </w:r>
      <w:r w:rsidR="00185B80">
        <w:t>314</w:t>
      </w:r>
      <w:r w:rsidR="00AB313A">
        <w:t xml:space="preserve"> </w:t>
      </w:r>
      <w:r w:rsidR="00185B80">
        <w:t>726</w:t>
      </w:r>
      <w:r w:rsidR="0062109D">
        <w:t xml:space="preserve"> zákaziek na dodanie tovaru, </w:t>
      </w:r>
      <w:r w:rsidR="00185B80">
        <w:t>51</w:t>
      </w:r>
      <w:r w:rsidR="00AB313A">
        <w:t> </w:t>
      </w:r>
      <w:r w:rsidR="00185B80">
        <w:t>594</w:t>
      </w:r>
      <w:r w:rsidR="00AB313A">
        <w:t xml:space="preserve"> </w:t>
      </w:r>
      <w:r w:rsidR="009D1CA9">
        <w:t xml:space="preserve">zákaziek na poskytnutie služby a </w:t>
      </w:r>
      <w:r w:rsidR="00185B80">
        <w:t>2721</w:t>
      </w:r>
      <w:r w:rsidR="0062109D">
        <w:t xml:space="preserve"> zákaziek na uskutočnenie stavebných prác. Celková hodnota realizovaných zákaziek, vyhodnocovanými inštitúciami, bola  </w:t>
      </w:r>
      <w:r w:rsidR="00185B80">
        <w:t>920</w:t>
      </w:r>
      <w:r w:rsidR="00AB313A">
        <w:t xml:space="preserve"> </w:t>
      </w:r>
      <w:r w:rsidR="00185B80">
        <w:t>445</w:t>
      </w:r>
      <w:r w:rsidR="00AB313A">
        <w:t xml:space="preserve"> </w:t>
      </w:r>
      <w:r w:rsidR="00185B80">
        <w:t xml:space="preserve">513,33 </w:t>
      </w:r>
      <w:r w:rsidR="0062109D">
        <w:t>EUR, z čoho bolo</w:t>
      </w:r>
      <w:r w:rsidR="006D5E64">
        <w:t xml:space="preserve"> vynaložených na tovary</w:t>
      </w:r>
      <w:r w:rsidR="00AB313A">
        <w:t xml:space="preserve"> </w:t>
      </w:r>
      <w:r w:rsidR="00185B80">
        <w:t>221</w:t>
      </w:r>
      <w:r w:rsidR="00AB313A">
        <w:t xml:space="preserve"> </w:t>
      </w:r>
      <w:r w:rsidR="00185B80">
        <w:t>650</w:t>
      </w:r>
      <w:r w:rsidR="00AB313A">
        <w:t xml:space="preserve"> </w:t>
      </w:r>
      <w:r w:rsidR="00185B80">
        <w:t>731,65</w:t>
      </w:r>
      <w:r w:rsidR="0062109D">
        <w:t xml:space="preserve"> EUR, </w:t>
      </w:r>
      <w:r w:rsidR="00D10C82">
        <w:t xml:space="preserve">na služby </w:t>
      </w:r>
      <w:r w:rsidR="005E6FE8">
        <w:t>223</w:t>
      </w:r>
      <w:r w:rsidR="00AB313A">
        <w:t xml:space="preserve"> </w:t>
      </w:r>
      <w:r w:rsidR="005E6FE8">
        <w:t>000</w:t>
      </w:r>
      <w:r w:rsidR="00AB313A">
        <w:t xml:space="preserve"> </w:t>
      </w:r>
      <w:r w:rsidR="005E6FE8">
        <w:t>272,25</w:t>
      </w:r>
      <w:r w:rsidR="0062109D">
        <w:t xml:space="preserve"> EUR a</w:t>
      </w:r>
      <w:r w:rsidR="00AB313A">
        <w:t> </w:t>
      </w:r>
      <w:r w:rsidR="005E6FE8">
        <w:t>475</w:t>
      </w:r>
      <w:r w:rsidR="00AB313A">
        <w:t xml:space="preserve"> </w:t>
      </w:r>
      <w:r w:rsidR="005E6FE8">
        <w:t>794</w:t>
      </w:r>
      <w:r w:rsidR="00AB313A">
        <w:t xml:space="preserve"> </w:t>
      </w:r>
      <w:r w:rsidR="005E6FE8">
        <w:t>509,43</w:t>
      </w:r>
      <w:r w:rsidR="0062109D">
        <w:t xml:space="preserve"> EUR na stavebné práce, ako dokumentuje tabuľka 3.</w:t>
      </w:r>
    </w:p>
    <w:p w:rsidR="0062109D" w:rsidRDefault="0062109D" w:rsidP="0062109D">
      <w:pPr>
        <w:spacing w:line="276" w:lineRule="auto"/>
        <w:rPr>
          <w:b/>
        </w:rPr>
      </w:pPr>
    </w:p>
    <w:p w:rsidR="0062109D" w:rsidRDefault="0062109D" w:rsidP="0062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Tabuľka 3  Počet a hodnota zákaziek</w:t>
      </w:r>
      <w:r w:rsidR="00D10C82">
        <w:rPr>
          <w:i/>
          <w:sz w:val="20"/>
          <w:szCs w:val="20"/>
        </w:rPr>
        <w:t xml:space="preserve">, </w:t>
      </w:r>
      <w:r w:rsidR="006640CD">
        <w:rPr>
          <w:i/>
          <w:sz w:val="20"/>
          <w:szCs w:val="20"/>
        </w:rPr>
        <w:t xml:space="preserve"> realizovaných v roku 2016</w:t>
      </w:r>
    </w:p>
    <w:p w:rsidR="00D10C82" w:rsidRDefault="00D10C82" w:rsidP="0062109D">
      <w:pPr>
        <w:spacing w:line="276" w:lineRule="auto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134"/>
        <w:gridCol w:w="1843"/>
        <w:gridCol w:w="1846"/>
        <w:gridCol w:w="1716"/>
      </w:tblGrid>
      <w:tr w:rsidR="000E7DD6" w:rsidTr="004217F3">
        <w:trPr>
          <w:jc w:val="center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6" w:rsidRDefault="000E7DD6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6" w:rsidRDefault="000E7DD6">
            <w:pPr>
              <w:spacing w:line="276" w:lineRule="auto"/>
              <w:jc w:val="center"/>
            </w:pPr>
            <w:r>
              <w:rPr>
                <w:b/>
                <w:bCs/>
              </w:rPr>
              <w:t>Ústredné orgány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6" w:rsidRDefault="000E7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Samosprávne kraje a mestá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6" w:rsidRDefault="000E7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2109D" w:rsidTr="000E7DD6">
        <w:trPr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Celkový počet zákaziek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Tovary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57</w:t>
            </w:r>
            <w:r w:rsidR="00CE7CB8">
              <w:t xml:space="preserve"> </w:t>
            </w:r>
            <w:r>
              <w:t>691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257</w:t>
            </w:r>
            <w:r w:rsidR="00CE7CB8">
              <w:t xml:space="preserve"> </w:t>
            </w:r>
            <w:r>
              <w:t>035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  <w:bCs/>
              </w:rPr>
            </w:pPr>
            <w:r>
              <w:t>314</w:t>
            </w:r>
            <w:r w:rsidR="00CE7CB8">
              <w:t xml:space="preserve"> </w:t>
            </w:r>
            <w:r>
              <w:t>726</w:t>
            </w:r>
          </w:p>
        </w:tc>
      </w:tr>
      <w:tr w:rsidR="0062109D" w:rsidTr="000E7DD6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24</w:t>
            </w:r>
            <w:r w:rsidR="00CE7CB8">
              <w:t xml:space="preserve"> </w:t>
            </w:r>
            <w:r>
              <w:t>688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26</w:t>
            </w:r>
            <w:r w:rsidR="00CE7CB8">
              <w:t xml:space="preserve"> </w:t>
            </w:r>
            <w:r>
              <w:t>906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</w:rPr>
            </w:pPr>
            <w:r>
              <w:t>51</w:t>
            </w:r>
            <w:r w:rsidR="00CE7CB8">
              <w:t xml:space="preserve"> </w:t>
            </w:r>
            <w:r>
              <w:t>594</w:t>
            </w:r>
          </w:p>
        </w:tc>
      </w:tr>
      <w:tr w:rsidR="0062109D" w:rsidTr="000E7DD6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1</w:t>
            </w:r>
            <w:r w:rsidR="00CE7CB8">
              <w:t xml:space="preserve"> </w:t>
            </w:r>
            <w:r>
              <w:t>667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1</w:t>
            </w:r>
            <w:r w:rsidR="00CE7CB8">
              <w:t xml:space="preserve"> </w:t>
            </w:r>
            <w:r>
              <w:t>054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</w:rPr>
            </w:pPr>
            <w:r>
              <w:t>2</w:t>
            </w:r>
            <w:r w:rsidR="00CE7CB8">
              <w:t xml:space="preserve"> </w:t>
            </w:r>
            <w:r>
              <w:t>721</w:t>
            </w:r>
          </w:p>
        </w:tc>
      </w:tr>
      <w:tr w:rsidR="0062109D" w:rsidTr="000E7DD6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CE7CB8">
            <w:pPr>
              <w:spacing w:line="276" w:lineRule="auto"/>
              <w:ind w:right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3A7CFC">
              <w:rPr>
                <w:b/>
              </w:rPr>
              <w:t>84</w:t>
            </w:r>
            <w:r>
              <w:rPr>
                <w:b/>
              </w:rPr>
              <w:t xml:space="preserve"> </w:t>
            </w:r>
            <w:r w:rsidR="003A7CFC">
              <w:rPr>
                <w:b/>
              </w:rPr>
              <w:t>046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284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995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369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041</w:t>
            </w:r>
          </w:p>
        </w:tc>
      </w:tr>
      <w:tr w:rsidR="0062109D" w:rsidTr="000E7DD6">
        <w:trPr>
          <w:jc w:val="center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Celková hodnota zákaziek [EUR]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Tovary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187</w:t>
            </w:r>
            <w:r w:rsidR="00CE7CB8">
              <w:t xml:space="preserve"> </w:t>
            </w:r>
            <w:r>
              <w:t>580</w:t>
            </w:r>
            <w:r w:rsidR="00CE7CB8">
              <w:t xml:space="preserve"> </w:t>
            </w:r>
            <w:r>
              <w:t>182,45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47B20">
            <w:pPr>
              <w:spacing w:line="276" w:lineRule="auto"/>
              <w:jc w:val="right"/>
            </w:pPr>
            <w:r>
              <w:t>34</w:t>
            </w:r>
            <w:r w:rsidR="00CE7CB8">
              <w:t xml:space="preserve"> </w:t>
            </w:r>
            <w:r>
              <w:t>070</w:t>
            </w:r>
            <w:r w:rsidR="00CE7CB8">
              <w:t xml:space="preserve"> </w:t>
            </w:r>
            <w:r>
              <w:t>549,20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  <w:bCs/>
              </w:rPr>
            </w:pPr>
            <w:r>
              <w:t>221</w:t>
            </w:r>
            <w:r w:rsidR="00CE7CB8">
              <w:t xml:space="preserve"> </w:t>
            </w:r>
            <w:r>
              <w:t>650</w:t>
            </w:r>
            <w:r w:rsidR="00CE7CB8">
              <w:t xml:space="preserve"> </w:t>
            </w:r>
            <w:r>
              <w:t>731,65</w:t>
            </w:r>
          </w:p>
        </w:tc>
      </w:tr>
      <w:tr w:rsidR="0062109D" w:rsidTr="007F0BA1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179</w:t>
            </w:r>
            <w:r w:rsidR="00CE7CB8">
              <w:t xml:space="preserve"> </w:t>
            </w:r>
            <w:r>
              <w:t>165</w:t>
            </w:r>
            <w:r w:rsidR="00CE7CB8">
              <w:t xml:space="preserve"> </w:t>
            </w:r>
            <w:r>
              <w:t>665,42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47B20">
            <w:pPr>
              <w:spacing w:line="276" w:lineRule="auto"/>
              <w:jc w:val="right"/>
            </w:pPr>
            <w:r>
              <w:t>43</w:t>
            </w:r>
            <w:r w:rsidR="00CE7CB8">
              <w:t xml:space="preserve"> </w:t>
            </w:r>
            <w:r>
              <w:t>834</w:t>
            </w:r>
            <w:r w:rsidR="00CE7CB8">
              <w:t xml:space="preserve"> </w:t>
            </w:r>
            <w:r>
              <w:t>606,83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</w:rPr>
            </w:pPr>
            <w:r>
              <w:t>223</w:t>
            </w:r>
            <w:r w:rsidR="00CE7CB8">
              <w:t xml:space="preserve"> </w:t>
            </w:r>
            <w:r>
              <w:t>000</w:t>
            </w:r>
            <w:r w:rsidR="00CE7CB8">
              <w:t xml:space="preserve"> </w:t>
            </w:r>
            <w:r>
              <w:t>272,25</w:t>
            </w:r>
          </w:p>
        </w:tc>
      </w:tr>
      <w:tr w:rsidR="0062109D" w:rsidTr="007F0BA1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3A7CFC">
            <w:pPr>
              <w:spacing w:line="276" w:lineRule="auto"/>
              <w:jc w:val="right"/>
            </w:pPr>
            <w:r>
              <w:t>341</w:t>
            </w:r>
            <w:r w:rsidR="00CE7CB8">
              <w:t xml:space="preserve"> </w:t>
            </w:r>
            <w:r>
              <w:t>695</w:t>
            </w:r>
            <w:r w:rsidR="00CE7CB8">
              <w:t xml:space="preserve"> </w:t>
            </w:r>
            <w:r>
              <w:t>525,00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47B20">
            <w:pPr>
              <w:spacing w:line="276" w:lineRule="auto"/>
              <w:jc w:val="right"/>
            </w:pPr>
            <w:r>
              <w:t>134</w:t>
            </w:r>
            <w:r w:rsidR="00CE7CB8">
              <w:t xml:space="preserve"> </w:t>
            </w:r>
            <w:r>
              <w:t>098</w:t>
            </w:r>
            <w:r w:rsidR="00CE7CB8">
              <w:t xml:space="preserve"> </w:t>
            </w:r>
            <w:r>
              <w:t>984,43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</w:rPr>
            </w:pPr>
            <w:r>
              <w:t>475</w:t>
            </w:r>
            <w:r w:rsidR="00CE7CB8">
              <w:t xml:space="preserve"> </w:t>
            </w:r>
            <w:r>
              <w:t>794</w:t>
            </w:r>
            <w:r w:rsidR="00CE7CB8">
              <w:t xml:space="preserve"> </w:t>
            </w:r>
            <w:r>
              <w:t>509,43</w:t>
            </w:r>
          </w:p>
        </w:tc>
      </w:tr>
      <w:tr w:rsidR="0062109D" w:rsidTr="007F0BA1">
        <w:trPr>
          <w:jc w:val="center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47B20" w:rsidP="007F0BA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708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441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372,87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47B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212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004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140,46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8E4A2C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920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445</w:t>
            </w:r>
            <w:r w:rsidR="00CE7CB8">
              <w:rPr>
                <w:b/>
              </w:rPr>
              <w:t xml:space="preserve"> </w:t>
            </w:r>
            <w:r>
              <w:rPr>
                <w:b/>
              </w:rPr>
              <w:t>513,33</w:t>
            </w:r>
          </w:p>
        </w:tc>
      </w:tr>
    </w:tbl>
    <w:p w:rsidR="0062109D" w:rsidRDefault="0062109D" w:rsidP="0062109D">
      <w:pPr>
        <w:spacing w:line="276" w:lineRule="auto"/>
        <w:jc w:val="both"/>
      </w:pPr>
    </w:p>
    <w:p w:rsidR="0062109D" w:rsidRDefault="00117036" w:rsidP="0062109D">
      <w:pPr>
        <w:spacing w:line="276" w:lineRule="auto"/>
        <w:jc w:val="both"/>
      </w:pPr>
      <w:r>
        <w:t>Na účely monitorovania sa z</w:t>
      </w:r>
      <w:r w:rsidR="0062109D">
        <w:t>a zelenú zákazku</w:t>
      </w:r>
      <w:r w:rsidR="00F25BDE">
        <w:t xml:space="preserve"> </w:t>
      </w:r>
      <w:r>
        <w:t>považovala</w:t>
      </w:r>
      <w:r w:rsidR="0062109D">
        <w:t xml:space="preserve"> zákazka, uzatvorená zmluva, objednávka alebo zrealizovaný nákup, pri ktorom boli uplatnené environmentálne charakteristiky. Pri</w:t>
      </w:r>
      <w:r>
        <w:t>čo</w:t>
      </w:r>
      <w:r w:rsidR="0062109D">
        <w:t>m pod pojmom environmentálna charakteristika rozumie</w:t>
      </w:r>
      <w:r w:rsidR="002C13BF">
        <w:t>me</w:t>
      </w:r>
      <w:r w:rsidR="0062109D">
        <w:t xml:space="preserve"> technickú špecifikáciu, vlastnosť alebo úroveň environmentálneho profilu produktu (tovaru, služby alebo práce), ktorá znižuje jeho negatívny </w:t>
      </w:r>
      <w:r w:rsidR="002C13BF">
        <w:t>vplyv</w:t>
      </w:r>
      <w:r w:rsidR="0062109D">
        <w:t xml:space="preserve"> na životné prostredie, v porovnaní s produktom slúžiacim na rovnaký účel, ktorý by bol inak obstaraný. </w:t>
      </w:r>
    </w:p>
    <w:p w:rsidR="0062109D" w:rsidRPr="009D1CA9" w:rsidRDefault="0062109D" w:rsidP="0062109D">
      <w:pPr>
        <w:spacing w:line="276" w:lineRule="auto"/>
        <w:jc w:val="both"/>
        <w:rPr>
          <w:sz w:val="20"/>
          <w:szCs w:val="20"/>
        </w:rPr>
      </w:pPr>
    </w:p>
    <w:p w:rsidR="0062109D" w:rsidRDefault="0062109D" w:rsidP="0062109D">
      <w:pPr>
        <w:spacing w:line="276" w:lineRule="auto"/>
        <w:jc w:val="both"/>
      </w:pPr>
      <w:r>
        <w:t xml:space="preserve">Tabuľka 4 poskytuje informácie o počte a hodnote zrealizovaných zákaziek, nákupov, objednávok a zmlúv s uplatnením environmentálnych charakteristík </w:t>
      </w:r>
      <w:r w:rsidR="006640CD">
        <w:t>(zelených zákaziek). V roku 2016</w:t>
      </w:r>
      <w:r>
        <w:t xml:space="preserve"> uskutočnilo </w:t>
      </w:r>
      <w:r w:rsidR="00D14CCD">
        <w:t>341</w:t>
      </w:r>
      <w:r>
        <w:t xml:space="preserve"> subjektov </w:t>
      </w:r>
      <w:r w:rsidR="002C13BF">
        <w:t>spolu</w:t>
      </w:r>
      <w:r w:rsidR="008E4084">
        <w:t xml:space="preserve"> </w:t>
      </w:r>
      <w:r w:rsidR="005B0DF6">
        <w:t>12</w:t>
      </w:r>
      <w:r w:rsidR="008E4084">
        <w:t xml:space="preserve"> </w:t>
      </w:r>
      <w:r w:rsidR="005B0DF6">
        <w:t>804</w:t>
      </w:r>
      <w:r>
        <w:t xml:space="preserve"> zelených zákaziek, z čoho bolo </w:t>
      </w:r>
      <w:r w:rsidR="005B0DF6">
        <w:t>9</w:t>
      </w:r>
      <w:r w:rsidR="008E4084">
        <w:t xml:space="preserve"> </w:t>
      </w:r>
      <w:r w:rsidR="005B0DF6">
        <w:t>790</w:t>
      </w:r>
      <w:r>
        <w:t xml:space="preserve"> zákaziek na dodanie tovaru, </w:t>
      </w:r>
      <w:r w:rsidR="005B0DF6">
        <w:t>2</w:t>
      </w:r>
      <w:r w:rsidR="00CC221D">
        <w:t xml:space="preserve"> </w:t>
      </w:r>
      <w:r w:rsidR="005B0DF6">
        <w:t>746</w:t>
      </w:r>
      <w:r>
        <w:t xml:space="preserve"> zákaziek na poskytnutie služby </w:t>
      </w:r>
      <w:r w:rsidRPr="005B0DF6">
        <w:t>a</w:t>
      </w:r>
      <w:r w:rsidR="002C13BF" w:rsidRPr="005B0DF6">
        <w:t> </w:t>
      </w:r>
      <w:r w:rsidR="005B0DF6">
        <w:t>268</w:t>
      </w:r>
      <w:r>
        <w:t xml:space="preserve"> zákaziek na uskutočnenie stavebných prác. Celková hodnota</w:t>
      </w:r>
      <w:r w:rsidR="00D10C82">
        <w:t xml:space="preserve"> zelených zákaziek,</w:t>
      </w:r>
      <w:r>
        <w:t xml:space="preserve"> realizovaných</w:t>
      </w:r>
      <w:r w:rsidR="00F25BDE">
        <w:t xml:space="preserve"> </w:t>
      </w:r>
      <w:r>
        <w:t xml:space="preserve">vyhodnocovanými inštitúciami, bola </w:t>
      </w:r>
      <w:r w:rsidR="005B0DF6">
        <w:t>72</w:t>
      </w:r>
      <w:r w:rsidR="008E4084">
        <w:t xml:space="preserve"> </w:t>
      </w:r>
      <w:r w:rsidR="005B0DF6">
        <w:t>732</w:t>
      </w:r>
      <w:r w:rsidR="008E4084">
        <w:t xml:space="preserve"> </w:t>
      </w:r>
      <w:r w:rsidR="005B0DF6">
        <w:t>768,95</w:t>
      </w:r>
      <w:r>
        <w:t xml:space="preserve"> EUR, z čoho bolo </w:t>
      </w:r>
      <w:r w:rsidR="005B0DF6">
        <w:t>31</w:t>
      </w:r>
      <w:r w:rsidR="008E4084">
        <w:t xml:space="preserve"> </w:t>
      </w:r>
      <w:r w:rsidR="005B0DF6">
        <w:t>590</w:t>
      </w:r>
      <w:r w:rsidR="008E4084">
        <w:t xml:space="preserve"> </w:t>
      </w:r>
      <w:r w:rsidR="005B0DF6">
        <w:t>728,18</w:t>
      </w:r>
      <w:r>
        <w:t xml:space="preserve"> EUR vynaložených na tovary, </w:t>
      </w:r>
      <w:r w:rsidR="005B0DF6">
        <w:t>20</w:t>
      </w:r>
      <w:r w:rsidR="008E4084">
        <w:t xml:space="preserve"> </w:t>
      </w:r>
      <w:r w:rsidR="005B0DF6">
        <w:t>657</w:t>
      </w:r>
      <w:r w:rsidR="008E4084">
        <w:t xml:space="preserve"> </w:t>
      </w:r>
      <w:r w:rsidR="005B0DF6">
        <w:t>156,09</w:t>
      </w:r>
      <w:r>
        <w:t xml:space="preserve"> EUR na služby a</w:t>
      </w:r>
      <w:r w:rsidR="008E4084">
        <w:t> </w:t>
      </w:r>
      <w:r w:rsidR="005B0DF6">
        <w:t>20</w:t>
      </w:r>
      <w:r w:rsidR="008E4084">
        <w:t xml:space="preserve"> </w:t>
      </w:r>
      <w:r w:rsidR="005B0DF6">
        <w:t>484</w:t>
      </w:r>
      <w:r w:rsidR="008E4084">
        <w:t xml:space="preserve"> </w:t>
      </w:r>
      <w:r w:rsidR="005B0DF6">
        <w:t>884,68</w:t>
      </w:r>
      <w:r>
        <w:t xml:space="preserve"> EUR na stavebné práce.</w:t>
      </w:r>
    </w:p>
    <w:p w:rsidR="00397549" w:rsidRDefault="00397549" w:rsidP="0062109D">
      <w:pPr>
        <w:spacing w:line="276" w:lineRule="auto"/>
        <w:rPr>
          <w:i/>
          <w:sz w:val="20"/>
          <w:szCs w:val="20"/>
        </w:rPr>
      </w:pPr>
    </w:p>
    <w:p w:rsidR="00397549" w:rsidRDefault="00397549" w:rsidP="0062109D">
      <w:pPr>
        <w:spacing w:line="276" w:lineRule="auto"/>
        <w:rPr>
          <w:i/>
          <w:sz w:val="20"/>
          <w:szCs w:val="20"/>
        </w:rPr>
      </w:pPr>
    </w:p>
    <w:p w:rsidR="0062109D" w:rsidRDefault="0062109D" w:rsidP="0062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Tabuľka 4 Počet a hodnota zelených zákaziek</w:t>
      </w:r>
      <w:r w:rsidR="00D10C82">
        <w:rPr>
          <w:i/>
          <w:sz w:val="20"/>
          <w:szCs w:val="20"/>
        </w:rPr>
        <w:t>,</w:t>
      </w:r>
      <w:r w:rsidR="00445C4F">
        <w:rPr>
          <w:i/>
          <w:sz w:val="20"/>
          <w:szCs w:val="20"/>
        </w:rPr>
        <w:t xml:space="preserve"> realizovaných v roku 2016</w:t>
      </w:r>
    </w:p>
    <w:p w:rsidR="00D10C82" w:rsidRDefault="00D10C82" w:rsidP="0062109D">
      <w:pPr>
        <w:spacing w:line="276" w:lineRule="auto"/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430"/>
        <w:gridCol w:w="1616"/>
        <w:gridCol w:w="1603"/>
        <w:gridCol w:w="1616"/>
      </w:tblGrid>
      <w:tr w:rsidR="000E7DD6" w:rsidTr="004217F3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6" w:rsidRDefault="000E7DD6" w:rsidP="000E7DD6">
            <w:pPr>
              <w:spacing w:line="276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6" w:rsidRDefault="000E7DD6" w:rsidP="000E7DD6">
            <w:pPr>
              <w:spacing w:line="276" w:lineRule="auto"/>
              <w:jc w:val="center"/>
            </w:pPr>
            <w:r>
              <w:rPr>
                <w:b/>
                <w:bCs/>
              </w:rPr>
              <w:t>Ústredné orgány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6" w:rsidRDefault="000E7DD6" w:rsidP="000E7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Samosprávne kraje a mestá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D6" w:rsidRDefault="000E7DD6" w:rsidP="000E7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Celkový počet zelených zákaziek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Tovary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2F5B08">
            <w:pPr>
              <w:spacing w:line="276" w:lineRule="auto"/>
              <w:jc w:val="right"/>
            </w:pPr>
            <w:r>
              <w:t>4</w:t>
            </w:r>
            <w:r w:rsidR="00050270">
              <w:t xml:space="preserve"> </w:t>
            </w:r>
            <w:r>
              <w:t>907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2F5B08">
            <w:pPr>
              <w:spacing w:line="276" w:lineRule="auto"/>
              <w:jc w:val="right"/>
            </w:pPr>
            <w:r>
              <w:t>4</w:t>
            </w:r>
            <w:r w:rsidR="00050270">
              <w:t xml:space="preserve"> </w:t>
            </w:r>
            <w:r>
              <w:t>883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5E6FE8">
            <w:pPr>
              <w:spacing w:line="276" w:lineRule="auto"/>
              <w:jc w:val="right"/>
              <w:rPr>
                <w:b/>
                <w:bCs/>
              </w:rPr>
            </w:pPr>
            <w:r>
              <w:t>9</w:t>
            </w:r>
            <w:r w:rsidR="00050270">
              <w:t xml:space="preserve"> </w:t>
            </w:r>
            <w:r>
              <w:t>790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2F5B08">
            <w:pPr>
              <w:spacing w:line="276" w:lineRule="auto"/>
              <w:jc w:val="right"/>
            </w:pPr>
            <w:r>
              <w:t>1</w:t>
            </w:r>
            <w:r w:rsidR="00050270">
              <w:t xml:space="preserve"> </w:t>
            </w:r>
            <w:r>
              <w:t>037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2F5B08">
            <w:pPr>
              <w:spacing w:line="276" w:lineRule="auto"/>
              <w:jc w:val="right"/>
            </w:pPr>
            <w:r>
              <w:t>1709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5E6FE8">
            <w:pPr>
              <w:spacing w:line="276" w:lineRule="auto"/>
              <w:jc w:val="right"/>
              <w:rPr>
                <w:b/>
              </w:rPr>
            </w:pPr>
            <w:r>
              <w:t>2746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Práce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2F5B08">
            <w:pPr>
              <w:spacing w:line="276" w:lineRule="auto"/>
              <w:jc w:val="right"/>
            </w:pPr>
            <w:r>
              <w:t>109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2F5B08">
            <w:pPr>
              <w:spacing w:line="276" w:lineRule="auto"/>
              <w:jc w:val="right"/>
            </w:pPr>
            <w:r>
              <w:t>159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5E6FE8">
            <w:pPr>
              <w:spacing w:line="276" w:lineRule="auto"/>
              <w:jc w:val="right"/>
              <w:rPr>
                <w:b/>
              </w:rPr>
            </w:pPr>
            <w:r>
              <w:t>268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053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751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5E6FE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804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 w:rsidP="000E7DD6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lastRenderedPageBreak/>
              <w:t>Celková hodnota  zelených zákaziek [EUR]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Tovary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</w:pPr>
            <w:r>
              <w:t>28</w:t>
            </w:r>
            <w:r w:rsidR="00050270">
              <w:t xml:space="preserve"> </w:t>
            </w:r>
            <w:r>
              <w:t>807</w:t>
            </w:r>
            <w:r w:rsidR="00050270">
              <w:t xml:space="preserve"> </w:t>
            </w:r>
            <w:r>
              <w:t>579,39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</w:pPr>
            <w:r>
              <w:t>2</w:t>
            </w:r>
            <w:r w:rsidR="00050270">
              <w:t xml:space="preserve"> </w:t>
            </w:r>
            <w:r>
              <w:t>783</w:t>
            </w:r>
            <w:r w:rsidR="00050270">
              <w:t xml:space="preserve"> </w:t>
            </w:r>
            <w:r>
              <w:t>148,79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5E6FE8">
            <w:pPr>
              <w:spacing w:line="276" w:lineRule="auto"/>
              <w:jc w:val="center"/>
              <w:rPr>
                <w:b/>
                <w:bCs/>
              </w:rPr>
            </w:pPr>
            <w:r>
              <w:t>31</w:t>
            </w:r>
            <w:r w:rsidR="00050270">
              <w:t xml:space="preserve"> </w:t>
            </w:r>
            <w:r>
              <w:t>590</w:t>
            </w:r>
            <w:r w:rsidR="00050270">
              <w:t xml:space="preserve"> </w:t>
            </w:r>
            <w:r>
              <w:t>728,18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</w:pPr>
            <w:r>
              <w:t>15</w:t>
            </w:r>
            <w:r w:rsidR="00050270">
              <w:t xml:space="preserve"> </w:t>
            </w:r>
            <w:r>
              <w:t>321</w:t>
            </w:r>
            <w:r w:rsidR="00050270">
              <w:t xml:space="preserve"> </w:t>
            </w:r>
            <w:r>
              <w:t>084,11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</w:pPr>
            <w:r>
              <w:t>5336071,98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5E6FE8">
            <w:pPr>
              <w:spacing w:line="276" w:lineRule="auto"/>
              <w:jc w:val="right"/>
              <w:rPr>
                <w:b/>
              </w:rPr>
            </w:pPr>
            <w:r>
              <w:t>20</w:t>
            </w:r>
            <w:r w:rsidR="00050270">
              <w:t xml:space="preserve"> </w:t>
            </w:r>
            <w:r>
              <w:t>657</w:t>
            </w:r>
            <w:r w:rsidR="00050270">
              <w:t xml:space="preserve"> </w:t>
            </w:r>
            <w:r>
              <w:t>156,09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Práce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</w:pPr>
            <w:r>
              <w:t>15</w:t>
            </w:r>
            <w:r w:rsidR="00050270">
              <w:t xml:space="preserve"> </w:t>
            </w:r>
            <w:r>
              <w:t>525</w:t>
            </w:r>
            <w:r w:rsidR="00050270">
              <w:t xml:space="preserve"> </w:t>
            </w:r>
            <w:r>
              <w:t>022,92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>
            <w:pPr>
              <w:spacing w:line="276" w:lineRule="auto"/>
              <w:jc w:val="right"/>
            </w:pPr>
            <w:r>
              <w:t>4</w:t>
            </w:r>
            <w:r w:rsidR="00050270">
              <w:t xml:space="preserve"> </w:t>
            </w:r>
            <w:r>
              <w:t>959</w:t>
            </w:r>
            <w:r w:rsidR="00050270">
              <w:t xml:space="preserve"> </w:t>
            </w:r>
            <w:r>
              <w:t>861,76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5E6FE8">
            <w:pPr>
              <w:spacing w:line="276" w:lineRule="auto"/>
              <w:jc w:val="right"/>
              <w:rPr>
                <w:b/>
              </w:rPr>
            </w:pPr>
            <w:r>
              <w:t>20</w:t>
            </w:r>
            <w:r w:rsidR="00050270">
              <w:t xml:space="preserve"> </w:t>
            </w:r>
            <w:r>
              <w:t>484</w:t>
            </w:r>
            <w:r w:rsidR="00050270">
              <w:t xml:space="preserve"> </w:t>
            </w:r>
            <w:r>
              <w:t>884,68</w:t>
            </w:r>
          </w:p>
        </w:tc>
      </w:tr>
      <w:tr w:rsidR="0062109D" w:rsidTr="000E7DD6">
        <w:trPr>
          <w:jc w:val="center"/>
        </w:trPr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9D" w:rsidRDefault="0062109D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62109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 w:rsidP="00231258">
            <w:pPr>
              <w:spacing w:line="276" w:lineRule="auto"/>
              <w:rPr>
                <w:b/>
              </w:rPr>
            </w:pPr>
            <w:r>
              <w:rPr>
                <w:b/>
              </w:rPr>
              <w:t>59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653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686,42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AA1E31" w:rsidP="00231258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079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082,53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9D" w:rsidRDefault="005E6FE8" w:rsidP="00231258">
            <w:pPr>
              <w:spacing w:line="276" w:lineRule="auto"/>
              <w:rPr>
                <w:b/>
              </w:rPr>
            </w:pPr>
            <w:r>
              <w:rPr>
                <w:b/>
              </w:rPr>
              <w:t>72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732</w:t>
            </w:r>
            <w:r w:rsidR="00050270">
              <w:rPr>
                <w:b/>
              </w:rPr>
              <w:t xml:space="preserve"> </w:t>
            </w:r>
            <w:r>
              <w:rPr>
                <w:b/>
              </w:rPr>
              <w:t>768,95</w:t>
            </w:r>
          </w:p>
        </w:tc>
      </w:tr>
    </w:tbl>
    <w:p w:rsidR="00377939" w:rsidRDefault="00377939" w:rsidP="0058036E">
      <w:bookmarkStart w:id="9" w:name="_Toc450303822"/>
      <w:bookmarkStart w:id="10" w:name="_Toc419988551"/>
      <w:bookmarkStart w:id="11" w:name="_Toc388525481"/>
    </w:p>
    <w:p w:rsidR="0062109D" w:rsidRDefault="0062109D" w:rsidP="00397549">
      <w:pPr>
        <w:pStyle w:val="Nadpis1"/>
        <w:jc w:val="left"/>
      </w:pPr>
      <w:r>
        <w:t>Priemerná úroveň uplatňovania zeleného verejného obstaráva</w:t>
      </w:r>
      <w:r w:rsidR="00445C4F">
        <w:t>nia/nakupovania v SR za rok 2016</w:t>
      </w:r>
      <w:r>
        <w:t xml:space="preserve"> vo väzbe na indikátor 1</w:t>
      </w:r>
      <w:bookmarkEnd w:id="9"/>
      <w:bookmarkEnd w:id="10"/>
      <w:bookmarkEnd w:id="11"/>
    </w:p>
    <w:p w:rsidR="00D10C82" w:rsidRPr="009D1CA9" w:rsidRDefault="00D10C82" w:rsidP="0062109D">
      <w:pPr>
        <w:spacing w:line="276" w:lineRule="auto"/>
        <w:jc w:val="both"/>
      </w:pPr>
    </w:p>
    <w:p w:rsidR="0062109D" w:rsidRDefault="0062109D" w:rsidP="00397549">
      <w:pPr>
        <w:pStyle w:val="Nadpis2"/>
        <w:numPr>
          <w:ilvl w:val="0"/>
          <w:numId w:val="1"/>
        </w:numPr>
        <w:ind w:left="426" w:hanging="284"/>
        <w:jc w:val="both"/>
      </w:pPr>
      <w:bookmarkStart w:id="12" w:name="_Toc450303823"/>
      <w:bookmarkStart w:id="13" w:name="_Toc419988552"/>
      <w:r>
        <w:t xml:space="preserve">Priemerná úroveň uplatňovania </w:t>
      </w:r>
      <w:r w:rsidRPr="0058036E">
        <w:t>z</w:t>
      </w:r>
      <w:r w:rsidR="009D1CA9" w:rsidRPr="0058036E">
        <w:t>eleného</w:t>
      </w:r>
      <w:r w:rsidR="009D1CA9">
        <w:t xml:space="preserve"> verejného obstarávania/</w:t>
      </w:r>
      <w:r>
        <w:t>nakupovania v SR za rok</w:t>
      </w:r>
      <w:r w:rsidR="00445C4F">
        <w:t xml:space="preserve"> 2016</w:t>
      </w:r>
      <w:r>
        <w:t xml:space="preserve"> vo väzbe na indikátor 1 – ústredné orgány štátnej správy</w:t>
      </w:r>
      <w:bookmarkEnd w:id="12"/>
      <w:bookmarkEnd w:id="13"/>
    </w:p>
    <w:p w:rsidR="0062109D" w:rsidRDefault="0062109D" w:rsidP="0062109D">
      <w:pPr>
        <w:spacing w:line="276" w:lineRule="auto"/>
        <w:jc w:val="both"/>
      </w:pPr>
    </w:p>
    <w:p w:rsidR="00D10C82" w:rsidRPr="009D1CA9" w:rsidRDefault="00231258" w:rsidP="009D1CA9">
      <w:pPr>
        <w:spacing w:line="276" w:lineRule="auto"/>
        <w:jc w:val="both"/>
      </w:pPr>
      <w:r>
        <w:t>Graf 2</w:t>
      </w:r>
      <w:r w:rsidR="0062109D">
        <w:t xml:space="preserve"> porovnáva celkový počet všetkých zákaziek s počtom realizovaných zelených zákaziek/ná</w:t>
      </w:r>
      <w:r w:rsidR="00445C4F">
        <w:t>kupov, uskutočnených v roku 2016</w:t>
      </w:r>
      <w:r w:rsidR="0062109D">
        <w:t xml:space="preserve"> ústrednými orgánmi</w:t>
      </w:r>
      <w:r w:rsidR="002C13BF">
        <w:t xml:space="preserve"> štátnej správy </w:t>
      </w:r>
      <w:r w:rsidR="0062109D">
        <w:t>a</w:t>
      </w:r>
      <w:r w:rsidR="002C13BF">
        <w:t xml:space="preserve"> im</w:t>
      </w:r>
      <w:r w:rsidR="0062109D">
        <w:t xml:space="preserve"> podriadenými organizáciami, ktoré boli zapoj</w:t>
      </w:r>
      <w:r w:rsidR="002C13BF">
        <w:t>ené do monitorovania. V</w:t>
      </w:r>
      <w:r w:rsidR="00445C4F">
        <w:t> roku 2016</w:t>
      </w:r>
      <w:r w:rsidR="002C13BF">
        <w:t xml:space="preserve"> sa </w:t>
      </w:r>
      <w:r w:rsidR="0062109D">
        <w:t xml:space="preserve"> uskutočnilo</w:t>
      </w:r>
      <w:r w:rsidR="002C13BF">
        <w:t xml:space="preserve"> spolu </w:t>
      </w:r>
      <w:r w:rsidR="00B81145">
        <w:t>57</w:t>
      </w:r>
      <w:r w:rsidR="00CC221D">
        <w:t xml:space="preserve"> </w:t>
      </w:r>
      <w:r w:rsidR="00B81145">
        <w:t>691</w:t>
      </w:r>
      <w:r w:rsidR="0062109D">
        <w:t xml:space="preserve"> zákaziek/nákupov na dodanie tovaru, z čoho bolo </w:t>
      </w:r>
      <w:r w:rsidR="00B81145">
        <w:t>4</w:t>
      </w:r>
      <w:r w:rsidR="00CC221D">
        <w:t xml:space="preserve"> </w:t>
      </w:r>
      <w:r w:rsidR="00B81145">
        <w:t>907</w:t>
      </w:r>
      <w:r w:rsidR="0062109D">
        <w:t xml:space="preserve"> zákaziek s využitím environmentálnych charakteristík. Na p</w:t>
      </w:r>
      <w:r w:rsidR="00445C4F">
        <w:t>oskytnutie služby sa za rok 2016</w:t>
      </w:r>
      <w:r w:rsidR="0062109D">
        <w:t xml:space="preserve"> zrealizovalo </w:t>
      </w:r>
      <w:r w:rsidR="00B81145">
        <w:t>24</w:t>
      </w:r>
      <w:r w:rsidR="00CC221D">
        <w:t xml:space="preserve"> </w:t>
      </w:r>
      <w:r w:rsidR="00B81145">
        <w:t>688</w:t>
      </w:r>
      <w:r w:rsidR="0062109D">
        <w:t xml:space="preserve"> zákaziek, z čoho bolo </w:t>
      </w:r>
      <w:r w:rsidR="00B81145">
        <w:t>1</w:t>
      </w:r>
      <w:r w:rsidR="00CC221D">
        <w:t xml:space="preserve"> </w:t>
      </w:r>
      <w:r w:rsidR="00B81145">
        <w:t>037</w:t>
      </w:r>
      <w:r w:rsidR="0062109D">
        <w:t xml:space="preserve"> zelených zákaziek. Na uskutočnenie stavebných prác sa zrealizovalo </w:t>
      </w:r>
      <w:r w:rsidR="00B81145">
        <w:t>1</w:t>
      </w:r>
      <w:r w:rsidR="00CC221D">
        <w:t xml:space="preserve"> </w:t>
      </w:r>
      <w:r w:rsidR="00B81145">
        <w:t>667</w:t>
      </w:r>
      <w:r w:rsidR="0062109D">
        <w:t xml:space="preserve"> zákaziek, z toho pri </w:t>
      </w:r>
      <w:r w:rsidR="00B81145">
        <w:t>109</w:t>
      </w:r>
      <w:r w:rsidR="0062109D">
        <w:t xml:space="preserve"> z nich boli uplatnené e</w:t>
      </w:r>
      <w:r w:rsidR="009D1CA9">
        <w:t>nvironmentálne charakteristiky.</w:t>
      </w:r>
    </w:p>
    <w:p w:rsidR="00D10C82" w:rsidRPr="009D1CA9" w:rsidRDefault="00D10C82" w:rsidP="0062109D">
      <w:pPr>
        <w:spacing w:line="276" w:lineRule="auto"/>
        <w:rPr>
          <w:sz w:val="20"/>
          <w:szCs w:val="20"/>
        </w:rPr>
      </w:pPr>
    </w:p>
    <w:p w:rsidR="0062109D" w:rsidRDefault="00231258" w:rsidP="0062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Graf 2</w:t>
      </w:r>
      <w:r w:rsidR="0062109D">
        <w:rPr>
          <w:i/>
          <w:sz w:val="20"/>
          <w:szCs w:val="20"/>
        </w:rPr>
        <w:t xml:space="preserve">  Celkový počet zá</w:t>
      </w:r>
      <w:r w:rsidR="007A103B">
        <w:rPr>
          <w:i/>
          <w:sz w:val="20"/>
          <w:szCs w:val="20"/>
        </w:rPr>
        <w:t xml:space="preserve">kaziek a počet zelených zákaziek, </w:t>
      </w:r>
      <w:r w:rsidR="0062109D">
        <w:rPr>
          <w:i/>
          <w:sz w:val="20"/>
          <w:szCs w:val="20"/>
        </w:rPr>
        <w:t xml:space="preserve"> zrealizovaný ústrednými orgánmi </w:t>
      </w:r>
      <w:r w:rsidR="007A103B">
        <w:rPr>
          <w:i/>
          <w:sz w:val="20"/>
          <w:szCs w:val="20"/>
        </w:rPr>
        <w:t xml:space="preserve">štátnej správy </w:t>
      </w:r>
      <w:r w:rsidR="0062109D">
        <w:rPr>
          <w:i/>
          <w:sz w:val="20"/>
          <w:szCs w:val="20"/>
        </w:rPr>
        <w:t>a</w:t>
      </w:r>
      <w:r w:rsidR="007A103B">
        <w:rPr>
          <w:i/>
          <w:sz w:val="20"/>
          <w:szCs w:val="20"/>
        </w:rPr>
        <w:t xml:space="preserve"> im </w:t>
      </w:r>
      <w:r w:rsidR="0062109D">
        <w:rPr>
          <w:i/>
          <w:sz w:val="20"/>
          <w:szCs w:val="20"/>
        </w:rPr>
        <w:t>podriadenými organizáciami</w:t>
      </w:r>
    </w:p>
    <w:p w:rsidR="0062109D" w:rsidRDefault="0062109D" w:rsidP="0062109D">
      <w:pPr>
        <w:spacing w:line="276" w:lineRule="auto"/>
        <w:rPr>
          <w:rFonts w:ascii="Calibri" w:hAnsi="Calibri" w:cs="Arial"/>
          <w:sz w:val="18"/>
          <w:szCs w:val="18"/>
        </w:rPr>
      </w:pPr>
    </w:p>
    <w:p w:rsidR="0062109D" w:rsidRPr="009D1CA9" w:rsidRDefault="00B81145" w:rsidP="009D1CA9">
      <w:pPr>
        <w:spacing w:line="276" w:lineRule="auto"/>
        <w:rPr>
          <w:szCs w:val="20"/>
        </w:rPr>
      </w:pPr>
      <w:r>
        <w:rPr>
          <w:noProof/>
          <w:szCs w:val="20"/>
        </w:rPr>
        <w:drawing>
          <wp:inline distT="0" distB="0" distL="0" distR="0" wp14:anchorId="3A7138D6" wp14:editId="249E430F">
            <wp:extent cx="5152446" cy="2338070"/>
            <wp:effectExtent l="0" t="0" r="0" b="508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36" cy="236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9D" w:rsidRDefault="0062109D" w:rsidP="009D1CA9">
      <w:pPr>
        <w:spacing w:line="276" w:lineRule="auto"/>
      </w:pPr>
    </w:p>
    <w:p w:rsidR="0062109D" w:rsidRPr="002C13BF" w:rsidRDefault="0062109D" w:rsidP="0062109D">
      <w:pPr>
        <w:spacing w:line="276" w:lineRule="auto"/>
        <w:jc w:val="both"/>
        <w:rPr>
          <w:i/>
          <w:u w:val="single"/>
        </w:rPr>
      </w:pPr>
      <w:r w:rsidRPr="002C13BF">
        <w:rPr>
          <w:i/>
        </w:rPr>
        <w:t>Priemerná úroveň z</w:t>
      </w:r>
      <w:r w:rsidR="00445C4F">
        <w:rPr>
          <w:i/>
        </w:rPr>
        <w:t>eleného obstarávania za rok 2016</w:t>
      </w:r>
      <w:r w:rsidRPr="002C13BF">
        <w:rPr>
          <w:i/>
        </w:rPr>
        <w:t>, ktorú dosiahli ústredné orgány a podriadené organizácie,</w:t>
      </w:r>
      <w:r w:rsidR="002C13BF">
        <w:t xml:space="preserve"> ako dokumentuje </w:t>
      </w:r>
      <w:r w:rsidR="002C13BF" w:rsidRPr="009E2521">
        <w:t xml:space="preserve">príloha </w:t>
      </w:r>
      <w:r w:rsidR="007037E8" w:rsidRPr="009E2521">
        <w:t xml:space="preserve">č. </w:t>
      </w:r>
      <w:r w:rsidRPr="009E2521">
        <w:t>2</w:t>
      </w:r>
      <w:r w:rsidRPr="002C13BF">
        <w:rPr>
          <w:i/>
        </w:rPr>
        <w:t xml:space="preserve">, vo väzbe na indikátor 1 je </w:t>
      </w:r>
      <w:r w:rsidR="00B81145">
        <w:rPr>
          <w:b/>
          <w:i/>
        </w:rPr>
        <w:t>7,2</w:t>
      </w:r>
      <w:r w:rsidRPr="00B81145">
        <w:rPr>
          <w:b/>
          <w:i/>
        </w:rPr>
        <w:t>%.</w:t>
      </w:r>
    </w:p>
    <w:p w:rsidR="0062109D" w:rsidRDefault="0062109D" w:rsidP="0062109D">
      <w:pPr>
        <w:spacing w:line="276" w:lineRule="auto"/>
        <w:jc w:val="both"/>
        <w:rPr>
          <w:color w:val="FF0000"/>
        </w:rPr>
      </w:pPr>
    </w:p>
    <w:p w:rsidR="00325B74" w:rsidRDefault="00325B74" w:rsidP="0062109D">
      <w:pPr>
        <w:spacing w:line="276" w:lineRule="auto"/>
        <w:jc w:val="both"/>
        <w:rPr>
          <w:color w:val="FF0000"/>
        </w:rPr>
      </w:pPr>
    </w:p>
    <w:p w:rsidR="00325B74" w:rsidRDefault="00325B74" w:rsidP="0062109D">
      <w:pPr>
        <w:spacing w:line="276" w:lineRule="auto"/>
        <w:jc w:val="both"/>
        <w:rPr>
          <w:color w:val="FF0000"/>
        </w:rPr>
      </w:pPr>
    </w:p>
    <w:p w:rsidR="0062109D" w:rsidRDefault="0062109D" w:rsidP="00397549">
      <w:pPr>
        <w:pStyle w:val="Nadpis2"/>
        <w:numPr>
          <w:ilvl w:val="0"/>
          <w:numId w:val="1"/>
        </w:numPr>
        <w:ind w:left="426" w:hanging="284"/>
      </w:pPr>
      <w:bookmarkStart w:id="14" w:name="_Toc450303824"/>
      <w:bookmarkStart w:id="15" w:name="_Toc419988553"/>
      <w:r>
        <w:t>Priemerná úroveň uplatňovania zeleného verejného obstarávan</w:t>
      </w:r>
      <w:r w:rsidR="009D1CA9">
        <w:t>ia/</w:t>
      </w:r>
      <w:r w:rsidR="00445C4F">
        <w:t>nakupovania v SR za rok 2016</w:t>
      </w:r>
      <w:r>
        <w:t xml:space="preserve"> vo väzbe na indikátor 1 – samosprávne kraje a mestá</w:t>
      </w:r>
      <w:bookmarkEnd w:id="14"/>
      <w:bookmarkEnd w:id="15"/>
    </w:p>
    <w:p w:rsidR="0062109D" w:rsidRDefault="0062109D" w:rsidP="0062109D">
      <w:pPr>
        <w:spacing w:line="276" w:lineRule="auto"/>
        <w:jc w:val="both"/>
      </w:pPr>
    </w:p>
    <w:p w:rsidR="0062109D" w:rsidRDefault="009D1CA9" w:rsidP="0062109D">
      <w:pPr>
        <w:spacing w:line="276" w:lineRule="auto"/>
        <w:jc w:val="both"/>
      </w:pPr>
      <w:r>
        <w:lastRenderedPageBreak/>
        <w:t xml:space="preserve">Graf </w:t>
      </w:r>
      <w:r w:rsidR="00231258">
        <w:t>3</w:t>
      </w:r>
      <w:r w:rsidR="0062109D">
        <w:t xml:space="preserve"> zobrazuje celkový počet všetkých zákaziek a počet zrealizovaných zelených zákaziek/nákupov, uskutočnených v  roku</w:t>
      </w:r>
      <w:r w:rsidR="00445C4F">
        <w:t xml:space="preserve"> 2016</w:t>
      </w:r>
      <w:r w:rsidR="0062109D">
        <w:t xml:space="preserve"> samosprávnymi krajmi a mestskými úradmi, ktoré boli zapo</w:t>
      </w:r>
      <w:r w:rsidR="002C13BF">
        <w:t>jené do monitorovania. U</w:t>
      </w:r>
      <w:r w:rsidR="0062109D">
        <w:t>skutočnilo</w:t>
      </w:r>
      <w:r w:rsidR="002C13BF">
        <w:t xml:space="preserve"> sa spolu </w:t>
      </w:r>
      <w:r w:rsidR="00E74E07">
        <w:t>257</w:t>
      </w:r>
      <w:r w:rsidR="00CC221D">
        <w:t xml:space="preserve"> </w:t>
      </w:r>
      <w:r w:rsidR="00E74E07">
        <w:t>035</w:t>
      </w:r>
      <w:r w:rsidR="0062109D">
        <w:t xml:space="preserve"> zákaziek/nákupov na dodanie tovaru, z čoho bolo </w:t>
      </w:r>
      <w:r w:rsidR="00E74E07">
        <w:t>4</w:t>
      </w:r>
      <w:r w:rsidR="00CC221D">
        <w:t xml:space="preserve"> </w:t>
      </w:r>
      <w:r w:rsidR="00E74E07">
        <w:t>883</w:t>
      </w:r>
      <w:r w:rsidR="0062109D">
        <w:t xml:space="preserve"> zákaziek s využitím environmentálnych charakteristík. Na poskytnutie služby s</w:t>
      </w:r>
      <w:r w:rsidR="00445C4F">
        <w:t>a za rok 2016</w:t>
      </w:r>
      <w:r w:rsidR="0062109D">
        <w:t xml:space="preserve"> zrealizovalo  </w:t>
      </w:r>
      <w:r w:rsidR="00E74E07">
        <w:t>26</w:t>
      </w:r>
      <w:r w:rsidR="00CC221D">
        <w:t xml:space="preserve"> </w:t>
      </w:r>
      <w:r w:rsidR="00E74E07">
        <w:t>906</w:t>
      </w:r>
      <w:r w:rsidR="0062109D">
        <w:t xml:space="preserve"> zákaziek, z čoho bolo </w:t>
      </w:r>
      <w:r w:rsidR="00E74E07">
        <w:t>1</w:t>
      </w:r>
      <w:r w:rsidR="00CC221D">
        <w:t xml:space="preserve"> </w:t>
      </w:r>
      <w:r w:rsidR="00E74E07">
        <w:t>709</w:t>
      </w:r>
      <w:r w:rsidR="0062109D">
        <w:t xml:space="preserve"> zelených zákaziek.  A na uskutočnenie stavebných prác sa zrealizovalo </w:t>
      </w:r>
      <w:r w:rsidR="00E74E07">
        <w:t>1054</w:t>
      </w:r>
      <w:r w:rsidR="0062109D">
        <w:t xml:space="preserve"> zákaziek, pričom pri </w:t>
      </w:r>
      <w:r w:rsidR="00E74E07">
        <w:t>159</w:t>
      </w:r>
      <w:r w:rsidR="0062109D">
        <w:t xml:space="preserve"> z nich sa uplatnili environmentálne charakteristiky.</w:t>
      </w:r>
    </w:p>
    <w:p w:rsidR="009767E9" w:rsidRDefault="009767E9" w:rsidP="0062109D">
      <w:pPr>
        <w:spacing w:line="276" w:lineRule="auto"/>
        <w:rPr>
          <w:i/>
          <w:sz w:val="20"/>
          <w:szCs w:val="20"/>
        </w:rPr>
      </w:pPr>
    </w:p>
    <w:p w:rsidR="0062109D" w:rsidRDefault="00231258" w:rsidP="0062109D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Graf 3</w:t>
      </w:r>
      <w:r w:rsidR="0062109D">
        <w:rPr>
          <w:i/>
          <w:sz w:val="20"/>
          <w:szCs w:val="20"/>
        </w:rPr>
        <w:t xml:space="preserve"> Celkový počet zákaziek a počet zelených zákaziek, zrealizovaných  samosprávnymi krajmi a</w:t>
      </w:r>
      <w:r w:rsidR="007A103B">
        <w:rPr>
          <w:i/>
          <w:sz w:val="20"/>
          <w:szCs w:val="20"/>
        </w:rPr>
        <w:t> </w:t>
      </w:r>
      <w:r w:rsidR="0062109D">
        <w:rPr>
          <w:i/>
          <w:sz w:val="20"/>
          <w:szCs w:val="20"/>
        </w:rPr>
        <w:t>mestami</w:t>
      </w:r>
    </w:p>
    <w:p w:rsidR="007A103B" w:rsidRDefault="007A103B" w:rsidP="0062109D">
      <w:pPr>
        <w:spacing w:line="276" w:lineRule="auto"/>
        <w:rPr>
          <w:i/>
          <w:sz w:val="20"/>
          <w:szCs w:val="20"/>
        </w:rPr>
      </w:pPr>
    </w:p>
    <w:p w:rsidR="0062109D" w:rsidRDefault="00E74E07" w:rsidP="00E74E07">
      <w:pPr>
        <w:spacing w:line="276" w:lineRule="auto"/>
      </w:pPr>
      <w:r>
        <w:rPr>
          <w:noProof/>
        </w:rPr>
        <w:drawing>
          <wp:inline distT="0" distB="0" distL="0" distR="0" wp14:anchorId="667F5DB4" wp14:editId="3F3AB8A1">
            <wp:extent cx="4933950" cy="2191109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154" cy="22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9D" w:rsidRDefault="0062109D" w:rsidP="0062109D">
      <w:pPr>
        <w:spacing w:line="276" w:lineRule="auto"/>
      </w:pPr>
    </w:p>
    <w:p w:rsidR="0062109D" w:rsidRDefault="0062109D" w:rsidP="0062109D">
      <w:pPr>
        <w:spacing w:line="276" w:lineRule="auto"/>
        <w:jc w:val="both"/>
        <w:rPr>
          <w:i/>
        </w:rPr>
      </w:pPr>
      <w:r w:rsidRPr="002C13BF">
        <w:rPr>
          <w:i/>
        </w:rPr>
        <w:t>Priemerná úroveň zeleného verejného obst</w:t>
      </w:r>
      <w:r w:rsidR="00445C4F">
        <w:rPr>
          <w:i/>
        </w:rPr>
        <w:t>arávania/nakupovania za rok 2016</w:t>
      </w:r>
      <w:r w:rsidRPr="002C13BF">
        <w:rPr>
          <w:i/>
        </w:rPr>
        <w:t>, ktorú dosiahli samosprávne kraje a mestské úrady,</w:t>
      </w:r>
      <w:r w:rsidR="002C13BF">
        <w:t xml:space="preserve"> ako dokumentuje </w:t>
      </w:r>
      <w:r w:rsidR="002C13BF" w:rsidRPr="009F508A">
        <w:t xml:space="preserve">príloha </w:t>
      </w:r>
      <w:r w:rsidR="007037E8" w:rsidRPr="009F508A">
        <w:t xml:space="preserve">č. </w:t>
      </w:r>
      <w:r w:rsidRPr="009F508A">
        <w:t>2</w:t>
      </w:r>
      <w:r>
        <w:t>,</w:t>
      </w:r>
      <w:r w:rsidRPr="002C13BF">
        <w:rPr>
          <w:i/>
        </w:rPr>
        <w:t xml:space="preserve">vo väzbe na indikátor 1 je </w:t>
      </w:r>
      <w:r w:rsidRPr="00B81145">
        <w:rPr>
          <w:b/>
          <w:i/>
        </w:rPr>
        <w:t>2</w:t>
      </w:r>
      <w:r w:rsidR="00B81145">
        <w:rPr>
          <w:b/>
          <w:i/>
        </w:rPr>
        <w:t>,4</w:t>
      </w:r>
      <w:r w:rsidRPr="00B81145">
        <w:rPr>
          <w:b/>
          <w:i/>
        </w:rPr>
        <w:t>%.</w:t>
      </w:r>
    </w:p>
    <w:p w:rsidR="0052244C" w:rsidRPr="00231258" w:rsidRDefault="0052244C" w:rsidP="0062109D">
      <w:pPr>
        <w:spacing w:line="276" w:lineRule="auto"/>
        <w:jc w:val="both"/>
      </w:pPr>
    </w:p>
    <w:p w:rsidR="0052244C" w:rsidRDefault="0052244C" w:rsidP="0052244C">
      <w:pPr>
        <w:spacing w:line="276" w:lineRule="auto"/>
        <w:jc w:val="both"/>
      </w:pPr>
      <w:r>
        <w:t>Prehľad o celkovom počte realizovaných zákaziek</w:t>
      </w:r>
      <w:r w:rsidR="00231258">
        <w:t xml:space="preserve"> subjektov zapojených do vyhodnotenia</w:t>
      </w:r>
      <w:r>
        <w:t xml:space="preserve"> v členení na zákazky na dodanie tovaru, zákazky na poskytnutie služby a zákazky na uskutočnenie stavebných prác v pomere k počtu zelených zákaziek na tovary, služby a s</w:t>
      </w:r>
      <w:r w:rsidR="00231258">
        <w:t>tavebné práce, poskytuje graf 4</w:t>
      </w:r>
      <w:r>
        <w:t xml:space="preserve">. V roku 2016 sa realizovalo spolu 314 726 zákaziek/nákupov na dodanie tovaru, z čoho bolo 9 790 zákaziek s využitím environmentálnych charakteristík. Na poskytnutie služby sa za rok 2016 zrealizovalo spolu 51 594 zákaziek, z čoho bolo 2 746 zelených zákaziek.  Na uskutočnenie stavebných prác sa zrealizovalo </w:t>
      </w:r>
      <w:r w:rsidRPr="007A62C9">
        <w:t>2</w:t>
      </w:r>
      <w:r>
        <w:t xml:space="preserve"> 721 zákaziek, z čoho pri 268 z nich boli uplatnené environmentálne charakteristiky.</w:t>
      </w:r>
    </w:p>
    <w:p w:rsidR="0052244C" w:rsidRPr="009D1CA9" w:rsidRDefault="0052244C" w:rsidP="0052244C">
      <w:pPr>
        <w:spacing w:line="276" w:lineRule="auto"/>
        <w:jc w:val="both"/>
        <w:rPr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52244C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52244C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325B74" w:rsidP="0052244C">
      <w:pPr>
        <w:spacing w:line="276" w:lineRule="auto"/>
        <w:jc w:val="both"/>
        <w:rPr>
          <w:i/>
          <w:sz w:val="20"/>
          <w:szCs w:val="20"/>
        </w:rPr>
      </w:pPr>
    </w:p>
    <w:p w:rsidR="00325B74" w:rsidRDefault="00231258" w:rsidP="0052244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Graf 4</w:t>
      </w:r>
      <w:r w:rsidR="0052244C">
        <w:rPr>
          <w:i/>
          <w:sz w:val="20"/>
          <w:szCs w:val="20"/>
        </w:rPr>
        <w:t xml:space="preserve"> Celkový počet zákaziek a počet zelených zákaziek</w:t>
      </w:r>
    </w:p>
    <w:p w:rsidR="00477839" w:rsidRDefault="00477839" w:rsidP="0052244C">
      <w:pPr>
        <w:spacing w:line="276" w:lineRule="auto"/>
        <w:jc w:val="both"/>
        <w:rPr>
          <w:i/>
          <w:sz w:val="20"/>
          <w:szCs w:val="20"/>
        </w:rPr>
      </w:pPr>
    </w:p>
    <w:p w:rsidR="0052244C" w:rsidRDefault="0052244C" w:rsidP="0052244C">
      <w:pPr>
        <w:spacing w:line="276" w:lineRule="auto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 wp14:anchorId="4AC9C417" wp14:editId="39748AC3">
            <wp:extent cx="5132717" cy="2210358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55" cy="22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03C" w:rsidRDefault="00A7303C" w:rsidP="0052244C">
      <w:pPr>
        <w:spacing w:line="276" w:lineRule="auto"/>
        <w:jc w:val="both"/>
        <w:rPr>
          <w:szCs w:val="20"/>
        </w:rPr>
      </w:pPr>
    </w:p>
    <w:p w:rsidR="0052244C" w:rsidRPr="00555E59" w:rsidRDefault="0052244C" w:rsidP="0052244C">
      <w:pPr>
        <w:spacing w:line="276" w:lineRule="auto"/>
        <w:jc w:val="both"/>
        <w:rPr>
          <w:b/>
          <w:i/>
        </w:rPr>
      </w:pPr>
      <w:r>
        <w:t>Na základe údajov, získaných od verejných obstarávateľov</w:t>
      </w:r>
      <w:r w:rsidR="00231258">
        <w:t xml:space="preserve"> zapojených do vyhodnotenia</w:t>
      </w:r>
      <w:r>
        <w:t xml:space="preserve">, bola stanovená </w:t>
      </w:r>
      <w:r w:rsidRPr="002C13BF">
        <w:rPr>
          <w:b/>
          <w:i/>
        </w:rPr>
        <w:t>priemerná úroveň uplatňovania zeleného verejného obstaráva</w:t>
      </w:r>
      <w:r>
        <w:rPr>
          <w:b/>
          <w:i/>
        </w:rPr>
        <w:t>nie/nakupovania v SR za rok 2016</w:t>
      </w:r>
      <w:r w:rsidRPr="002C13BF">
        <w:rPr>
          <w:b/>
          <w:i/>
        </w:rPr>
        <w:t xml:space="preserve"> vo väzbe na indikátor 1</w:t>
      </w:r>
      <w:r>
        <w:t xml:space="preserve"> (percentuálny podiel zeleného verejného obstarávania z celkového verejného obstarávaniu vo väzbe na počet zákaziek, uzatvorených zmlúv, objednávok a nákupov): </w:t>
      </w:r>
      <w:r w:rsidRPr="00555E59">
        <w:rPr>
          <w:b/>
          <w:i/>
        </w:rPr>
        <w:t>3,5%.</w:t>
      </w:r>
    </w:p>
    <w:p w:rsidR="0062109D" w:rsidRDefault="0062109D" w:rsidP="00555E59">
      <w:pPr>
        <w:pStyle w:val="Nadpis1"/>
        <w:spacing w:line="276" w:lineRule="auto"/>
        <w:jc w:val="both"/>
      </w:pPr>
    </w:p>
    <w:p w:rsidR="0062109D" w:rsidRDefault="0062109D" w:rsidP="00397549">
      <w:pPr>
        <w:pStyle w:val="Nadpis1"/>
        <w:jc w:val="left"/>
      </w:pPr>
      <w:bookmarkStart w:id="16" w:name="_Toc450303825"/>
      <w:bookmarkStart w:id="17" w:name="_Toc419988554"/>
      <w:r>
        <w:t xml:space="preserve">Priemerná úroveň </w:t>
      </w:r>
      <w:r w:rsidRPr="0058036E">
        <w:t>uplatňovania</w:t>
      </w:r>
      <w:r>
        <w:t xml:space="preserve"> zeleného verejného obstarávania</w:t>
      </w:r>
      <w:r w:rsidR="00445C4F">
        <w:t>/nakupovania v SR za rok 2016</w:t>
      </w:r>
      <w:r>
        <w:t xml:space="preserve"> vo väzbe na indikátor 2</w:t>
      </w:r>
      <w:bookmarkEnd w:id="16"/>
      <w:bookmarkEnd w:id="17"/>
    </w:p>
    <w:p w:rsidR="0062109D" w:rsidRDefault="0062109D" w:rsidP="0062109D">
      <w:pPr>
        <w:spacing w:line="276" w:lineRule="auto"/>
        <w:jc w:val="both"/>
      </w:pPr>
    </w:p>
    <w:p w:rsidR="0062109D" w:rsidRDefault="0062109D" w:rsidP="00397549">
      <w:pPr>
        <w:pStyle w:val="Nadpis2"/>
        <w:numPr>
          <w:ilvl w:val="0"/>
          <w:numId w:val="2"/>
        </w:numPr>
        <w:ind w:hanging="218"/>
      </w:pPr>
      <w:bookmarkStart w:id="18" w:name="_Toc450303826"/>
      <w:bookmarkStart w:id="19" w:name="_Toc419988555"/>
      <w:r>
        <w:t>Priemerná úroveň uplatňovania zeleného verejného obstarávan</w:t>
      </w:r>
      <w:r w:rsidR="00445C4F">
        <w:t>ia/ nakupovania v SR za rok 2016</w:t>
      </w:r>
      <w:r>
        <w:t xml:space="preserve"> vo väzbe na indikátor 2 – </w:t>
      </w:r>
      <w:r w:rsidRPr="002E55D0">
        <w:t>ústredné</w:t>
      </w:r>
      <w:r>
        <w:t xml:space="preserve"> orgány štátnej správy</w:t>
      </w:r>
      <w:bookmarkEnd w:id="18"/>
      <w:bookmarkEnd w:id="19"/>
    </w:p>
    <w:p w:rsidR="00E10174" w:rsidRDefault="00E10174" w:rsidP="0062109D">
      <w:pPr>
        <w:spacing w:line="276" w:lineRule="auto"/>
        <w:jc w:val="both"/>
        <w:rPr>
          <w:color w:val="FF0000"/>
        </w:rPr>
      </w:pPr>
    </w:p>
    <w:p w:rsidR="0062109D" w:rsidRDefault="00E10174" w:rsidP="0062109D">
      <w:pPr>
        <w:spacing w:line="276" w:lineRule="auto"/>
        <w:jc w:val="both"/>
      </w:pPr>
      <w:r>
        <w:t xml:space="preserve">Graf </w:t>
      </w:r>
      <w:r w:rsidR="00231258">
        <w:t>5</w:t>
      </w:r>
      <w:r w:rsidR="00325B74">
        <w:t xml:space="preserve"> </w:t>
      </w:r>
      <w:r>
        <w:t xml:space="preserve">dokumentuje </w:t>
      </w:r>
      <w:r w:rsidR="0062109D">
        <w:t xml:space="preserve"> porovnanie celkovej hodnoty všetkých zákaziek (v EUR) s hodnotou zákaziek/nákupov s uplatnením environmentálnych charakterist</w:t>
      </w:r>
      <w:r w:rsidR="00445C4F">
        <w:t>ík, uskutočnených v  roku 2016</w:t>
      </w:r>
      <w:r w:rsidR="0062109D">
        <w:t xml:space="preserve"> ústrednými orgánmi štátnej správy a im podriadenými organizáciami, ktoré sa zapojili do monitorovania. Celkom sa zrealizovali nákupy v hodnote  </w:t>
      </w:r>
      <w:r w:rsidR="00750A47">
        <w:t>187</w:t>
      </w:r>
      <w:r w:rsidR="00CC221D">
        <w:t xml:space="preserve"> </w:t>
      </w:r>
      <w:r w:rsidR="00750A47">
        <w:t>580</w:t>
      </w:r>
      <w:r w:rsidR="00CC221D">
        <w:t xml:space="preserve"> </w:t>
      </w:r>
      <w:r w:rsidR="00750A47">
        <w:t>182,45</w:t>
      </w:r>
      <w:r w:rsidR="0062109D">
        <w:t xml:space="preserve"> E</w:t>
      </w:r>
      <w:r w:rsidR="00750A47">
        <w:t>UR na dodanie tovaru, z toho sa 28</w:t>
      </w:r>
      <w:r w:rsidR="00CC221D">
        <w:t xml:space="preserve"> </w:t>
      </w:r>
      <w:r w:rsidR="00750A47">
        <w:t>807</w:t>
      </w:r>
      <w:r w:rsidR="00CC221D">
        <w:t xml:space="preserve"> </w:t>
      </w:r>
      <w:r w:rsidR="00750A47">
        <w:t>579,39</w:t>
      </w:r>
      <w:r w:rsidR="0062109D">
        <w:t xml:space="preserve"> EUR vyčerpalo na nákup tovarov s využitím environmentálnych charakteristík. Na p</w:t>
      </w:r>
      <w:r w:rsidR="00445C4F">
        <w:t>oskytnutie služby sa za rok 2016</w:t>
      </w:r>
      <w:r w:rsidR="0062109D">
        <w:t xml:space="preserve"> celkom vyčerpalo  </w:t>
      </w:r>
      <w:r w:rsidR="00750A47">
        <w:t>179</w:t>
      </w:r>
      <w:r w:rsidR="00CC221D">
        <w:t xml:space="preserve"> </w:t>
      </w:r>
      <w:r w:rsidR="00750A47">
        <w:t>165</w:t>
      </w:r>
      <w:r w:rsidR="00CC221D">
        <w:t xml:space="preserve"> </w:t>
      </w:r>
      <w:r w:rsidR="00750A47">
        <w:t xml:space="preserve">665,42 </w:t>
      </w:r>
      <w:r w:rsidR="0062109D">
        <w:t>EUR, z</w:t>
      </w:r>
      <w:r w:rsidR="00750A47">
        <w:t> </w:t>
      </w:r>
      <w:r w:rsidR="0062109D">
        <w:t>toho</w:t>
      </w:r>
      <w:r w:rsidR="00750A47">
        <w:t xml:space="preserve"> 15</w:t>
      </w:r>
      <w:r w:rsidR="00CC221D">
        <w:t xml:space="preserve"> </w:t>
      </w:r>
      <w:r w:rsidR="00750A47">
        <w:t>321</w:t>
      </w:r>
      <w:r w:rsidR="00CC221D">
        <w:t xml:space="preserve"> </w:t>
      </w:r>
      <w:r w:rsidR="00750A47">
        <w:t>084,11EUR  na poskytnutie</w:t>
      </w:r>
      <w:r w:rsidR="0062109D">
        <w:t xml:space="preserve"> zelených služieb. Na realizáciu stavebných prác sa vynaložilo </w:t>
      </w:r>
      <w:r w:rsidR="00750A47">
        <w:t>341</w:t>
      </w:r>
      <w:r w:rsidR="00CC221D">
        <w:t xml:space="preserve"> </w:t>
      </w:r>
      <w:r w:rsidR="00750A47">
        <w:t>695</w:t>
      </w:r>
      <w:r w:rsidR="00CC221D">
        <w:t xml:space="preserve"> </w:t>
      </w:r>
      <w:r w:rsidR="00750A47">
        <w:t xml:space="preserve">525,00 </w:t>
      </w:r>
      <w:r w:rsidR="0062109D" w:rsidRPr="00750A47">
        <w:t>EUR,</w:t>
      </w:r>
      <w:r w:rsidR="00325B74">
        <w:t xml:space="preserve"> </w:t>
      </w:r>
      <w:r w:rsidR="0062109D" w:rsidRPr="00750A47">
        <w:t>pričom</w:t>
      </w:r>
      <w:r w:rsidR="00750A47">
        <w:t>15</w:t>
      </w:r>
      <w:r w:rsidR="00CC221D">
        <w:t xml:space="preserve"> </w:t>
      </w:r>
      <w:r w:rsidR="00750A47">
        <w:t>525</w:t>
      </w:r>
      <w:r w:rsidR="00CC221D">
        <w:t xml:space="preserve"> </w:t>
      </w:r>
      <w:r w:rsidR="00750A47">
        <w:t xml:space="preserve">022,92 </w:t>
      </w:r>
      <w:r w:rsidR="0062109D">
        <w:t>EUR predstavuje hodnotu zákaziek na environmentálne stavebné práce.</w:t>
      </w:r>
    </w:p>
    <w:p w:rsidR="00477839" w:rsidRDefault="00477839" w:rsidP="0062109D">
      <w:pPr>
        <w:spacing w:line="276" w:lineRule="auto"/>
        <w:jc w:val="both"/>
      </w:pPr>
    </w:p>
    <w:p w:rsidR="00477839" w:rsidRDefault="00477839" w:rsidP="0062109D">
      <w:pPr>
        <w:spacing w:line="276" w:lineRule="auto"/>
        <w:jc w:val="both"/>
      </w:pPr>
    </w:p>
    <w:p w:rsidR="00477839" w:rsidRDefault="00477839" w:rsidP="0062109D">
      <w:pPr>
        <w:spacing w:line="276" w:lineRule="auto"/>
        <w:jc w:val="both"/>
      </w:pPr>
    </w:p>
    <w:p w:rsidR="00477839" w:rsidRDefault="00477839" w:rsidP="0062109D">
      <w:pPr>
        <w:spacing w:line="276" w:lineRule="auto"/>
        <w:jc w:val="both"/>
      </w:pPr>
    </w:p>
    <w:p w:rsidR="00477839" w:rsidRDefault="00477839" w:rsidP="0062109D">
      <w:pPr>
        <w:spacing w:line="276" w:lineRule="auto"/>
        <w:jc w:val="both"/>
      </w:pPr>
    </w:p>
    <w:p w:rsidR="00477839" w:rsidRDefault="00477839" w:rsidP="0062109D">
      <w:pPr>
        <w:spacing w:line="276" w:lineRule="auto"/>
        <w:jc w:val="both"/>
      </w:pPr>
    </w:p>
    <w:p w:rsidR="00477839" w:rsidRDefault="00477839" w:rsidP="0062109D">
      <w:pPr>
        <w:spacing w:line="276" w:lineRule="auto"/>
        <w:jc w:val="both"/>
      </w:pPr>
    </w:p>
    <w:p w:rsidR="00377939" w:rsidRDefault="00377939" w:rsidP="007A103B">
      <w:pPr>
        <w:spacing w:line="276" w:lineRule="auto"/>
        <w:jc w:val="both"/>
        <w:rPr>
          <w:i/>
          <w:noProof/>
          <w:sz w:val="20"/>
          <w:szCs w:val="20"/>
        </w:rPr>
      </w:pPr>
    </w:p>
    <w:p w:rsidR="007A103B" w:rsidRDefault="00231258" w:rsidP="007A103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t>Graf 5</w:t>
      </w:r>
      <w:r w:rsidR="0062109D">
        <w:rPr>
          <w:i/>
          <w:noProof/>
          <w:sz w:val="20"/>
          <w:szCs w:val="20"/>
        </w:rPr>
        <w:t xml:space="preserve"> Celková hodnota zákaziek a hodnota zelených zákaziek</w:t>
      </w:r>
      <w:r w:rsidR="007A103B">
        <w:rPr>
          <w:i/>
          <w:noProof/>
          <w:sz w:val="20"/>
          <w:szCs w:val="20"/>
        </w:rPr>
        <w:t>,</w:t>
      </w:r>
      <w:r w:rsidR="0062109D">
        <w:rPr>
          <w:i/>
          <w:sz w:val="20"/>
          <w:szCs w:val="20"/>
        </w:rPr>
        <w:t>zrealizovaných ústrednými orgánmi a ich podriadenými organizáciami</w:t>
      </w:r>
    </w:p>
    <w:p w:rsidR="007A103B" w:rsidRDefault="007A103B" w:rsidP="007A103B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750A47" w:rsidP="007A103B">
      <w:pPr>
        <w:spacing w:line="276" w:lineRule="auto"/>
        <w:jc w:val="both"/>
      </w:pPr>
      <w:r>
        <w:rPr>
          <w:noProof/>
        </w:rPr>
        <w:drawing>
          <wp:inline distT="0" distB="0" distL="0" distR="0" wp14:anchorId="46FC1D9A" wp14:editId="510870B7">
            <wp:extent cx="4882551" cy="2103925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4" cy="2130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9D" w:rsidRPr="00555E59" w:rsidRDefault="0062109D" w:rsidP="0062109D">
      <w:pPr>
        <w:spacing w:line="276" w:lineRule="auto"/>
        <w:jc w:val="both"/>
      </w:pPr>
    </w:p>
    <w:p w:rsidR="007A103B" w:rsidRPr="00555E59" w:rsidRDefault="0062109D" w:rsidP="0062109D">
      <w:pPr>
        <w:spacing w:line="276" w:lineRule="auto"/>
        <w:jc w:val="both"/>
        <w:rPr>
          <w:b/>
          <w:i/>
        </w:rPr>
      </w:pPr>
      <w:r w:rsidRPr="00E10174">
        <w:rPr>
          <w:i/>
        </w:rPr>
        <w:t>Priemerná úroveň uplatňovania zeleného verejného obstaráva</w:t>
      </w:r>
      <w:r w:rsidR="00445C4F">
        <w:rPr>
          <w:i/>
        </w:rPr>
        <w:t>nia/nakupovania v SR za rok 2016</w:t>
      </w:r>
      <w:r w:rsidRPr="00E10174">
        <w:rPr>
          <w:i/>
        </w:rPr>
        <w:t xml:space="preserve">, ktorú dosiahli </w:t>
      </w:r>
      <w:r w:rsidR="00555E59">
        <w:rPr>
          <w:i/>
        </w:rPr>
        <w:t xml:space="preserve">ústredné orgány štátnej správy </w:t>
      </w:r>
      <w:r w:rsidRPr="00E10174">
        <w:rPr>
          <w:i/>
        </w:rPr>
        <w:t xml:space="preserve">a im podriadené organizácie, </w:t>
      </w:r>
      <w:r>
        <w:t xml:space="preserve">ako dokumentuje </w:t>
      </w:r>
      <w:r w:rsidRPr="00DD40EC">
        <w:t>príloha č. 2</w:t>
      </w:r>
      <w:r>
        <w:t xml:space="preserve">, </w:t>
      </w:r>
      <w:r w:rsidRPr="00E10174">
        <w:rPr>
          <w:i/>
        </w:rPr>
        <w:t xml:space="preserve">vo väzbe na indikátor 2 </w:t>
      </w:r>
      <w:r w:rsidRPr="004A4DB2">
        <w:rPr>
          <w:i/>
        </w:rPr>
        <w:t xml:space="preserve">je </w:t>
      </w:r>
      <w:r w:rsidR="004A4DB2">
        <w:rPr>
          <w:b/>
          <w:i/>
        </w:rPr>
        <w:t>8,4</w:t>
      </w:r>
      <w:r w:rsidRPr="004A4DB2">
        <w:rPr>
          <w:b/>
          <w:i/>
        </w:rPr>
        <w:t>%.</w:t>
      </w:r>
    </w:p>
    <w:p w:rsidR="0062109D" w:rsidRDefault="0062109D" w:rsidP="0062109D">
      <w:pPr>
        <w:spacing w:line="276" w:lineRule="auto"/>
        <w:jc w:val="both"/>
      </w:pPr>
    </w:p>
    <w:p w:rsidR="0062109D" w:rsidRDefault="0062109D" w:rsidP="00397549">
      <w:pPr>
        <w:pStyle w:val="Nadpis2"/>
        <w:numPr>
          <w:ilvl w:val="0"/>
          <w:numId w:val="2"/>
        </w:numPr>
        <w:ind w:left="426" w:hanging="284"/>
      </w:pPr>
      <w:bookmarkStart w:id="20" w:name="_Toc450303827"/>
      <w:bookmarkStart w:id="21" w:name="_Toc419988556"/>
      <w:r>
        <w:t>Priemerná úroveň uplatňovania zeleného verejného obstarávan</w:t>
      </w:r>
      <w:r w:rsidR="00555E59">
        <w:t>ia/</w:t>
      </w:r>
      <w:r w:rsidR="00445C4F">
        <w:t>nakupovania v SR za rok 2016</w:t>
      </w:r>
      <w:r>
        <w:t xml:space="preserve"> vo väzbe na indikátor 2 – samosprávne kraje a mestá</w:t>
      </w:r>
      <w:bookmarkEnd w:id="20"/>
      <w:bookmarkEnd w:id="21"/>
    </w:p>
    <w:p w:rsidR="0062109D" w:rsidRDefault="0062109D" w:rsidP="0062109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2109D" w:rsidRPr="00555E59" w:rsidRDefault="00E10174" w:rsidP="0062109D">
      <w:pPr>
        <w:spacing w:line="276" w:lineRule="auto"/>
        <w:jc w:val="both"/>
      </w:pPr>
      <w:r>
        <w:t>G</w:t>
      </w:r>
      <w:r w:rsidR="00231258">
        <w:t>raf 6</w:t>
      </w:r>
      <w:r w:rsidR="0062109D">
        <w:t xml:space="preserve"> zobraz</w:t>
      </w:r>
      <w:r>
        <w:t>uje</w:t>
      </w:r>
      <w:r w:rsidR="0062109D">
        <w:t xml:space="preserve"> porovnanie celkovej hodnoty všetkých zákaziek v EUR s hodnotou zákaziek/nákupov s uplatnením environmentálnych charakteri</w:t>
      </w:r>
      <w:r w:rsidR="00445C4F">
        <w:t>stík, uskutočnených v  roku 2016</w:t>
      </w:r>
      <w:r w:rsidR="0062109D">
        <w:t xml:space="preserve"> samosprávnymi krajmi a mestskými úradmi, ktoré sa zapojili do monitorovania. </w:t>
      </w:r>
      <w:r>
        <w:t>Spolu</w:t>
      </w:r>
      <w:r w:rsidR="0062109D">
        <w:t xml:space="preserve"> sa </w:t>
      </w:r>
      <w:r w:rsidR="004A4DB2">
        <w:t>zrealizovali zákazky v hodnote 34</w:t>
      </w:r>
      <w:r w:rsidR="00CC221D">
        <w:t xml:space="preserve"> </w:t>
      </w:r>
      <w:r w:rsidR="004A4DB2">
        <w:t>070</w:t>
      </w:r>
      <w:r w:rsidR="00CC221D">
        <w:t xml:space="preserve"> </w:t>
      </w:r>
      <w:r w:rsidR="004A4DB2">
        <w:t>549,20</w:t>
      </w:r>
      <w:r w:rsidR="0062109D">
        <w:t xml:space="preserve"> EUR na dodanie tovaru, z toho sa </w:t>
      </w:r>
      <w:r w:rsidR="004A4DB2">
        <w:t>2</w:t>
      </w:r>
      <w:r w:rsidR="00CC221D">
        <w:t xml:space="preserve"> </w:t>
      </w:r>
      <w:r w:rsidR="004A4DB2">
        <w:t>783</w:t>
      </w:r>
      <w:r w:rsidR="00CC221D">
        <w:t xml:space="preserve"> </w:t>
      </w:r>
      <w:r w:rsidR="004A4DB2">
        <w:t>148,79</w:t>
      </w:r>
      <w:r w:rsidR="0062109D">
        <w:t xml:space="preserve"> EUR vynaložilo na nákup tovarov s využitím environmentálnych charakteristík. Na poskytnutie služby </w:t>
      </w:r>
      <w:r>
        <w:t>sa</w:t>
      </w:r>
      <w:r w:rsidR="00445C4F">
        <w:t xml:space="preserve"> za rok 2016</w:t>
      </w:r>
      <w:r w:rsidR="004A4DB2">
        <w:t xml:space="preserve"> celkom vynaložilo 43</w:t>
      </w:r>
      <w:r w:rsidR="00CC221D">
        <w:t xml:space="preserve"> </w:t>
      </w:r>
      <w:r w:rsidR="004A4DB2">
        <w:t>834</w:t>
      </w:r>
      <w:r w:rsidR="00CC221D">
        <w:t xml:space="preserve"> </w:t>
      </w:r>
      <w:r w:rsidR="004A4DB2">
        <w:t>606,83</w:t>
      </w:r>
      <w:r w:rsidR="0062109D">
        <w:t xml:space="preserve"> EUR, z toho </w:t>
      </w:r>
      <w:r w:rsidR="004A4DB2">
        <w:t>5</w:t>
      </w:r>
      <w:r w:rsidR="00CC221D">
        <w:t xml:space="preserve"> </w:t>
      </w:r>
      <w:r w:rsidR="004A4DB2">
        <w:t>336</w:t>
      </w:r>
      <w:r w:rsidR="00CC221D">
        <w:t xml:space="preserve"> </w:t>
      </w:r>
      <w:r w:rsidR="004A4DB2">
        <w:t>071,98</w:t>
      </w:r>
      <w:r w:rsidR="0062109D">
        <w:t xml:space="preserve"> EUR  na </w:t>
      </w:r>
      <w:r w:rsidR="004A4DB2">
        <w:t xml:space="preserve">poskytnutie </w:t>
      </w:r>
      <w:r w:rsidR="0062109D">
        <w:t xml:space="preserve">zelených služieb. Na uskutočnenie stavebných prác sa  vynaložilo </w:t>
      </w:r>
      <w:r w:rsidR="004A4DB2">
        <w:t>134</w:t>
      </w:r>
      <w:r w:rsidR="00CC221D">
        <w:t xml:space="preserve"> </w:t>
      </w:r>
      <w:r w:rsidR="004A4DB2">
        <w:t>098</w:t>
      </w:r>
      <w:r w:rsidR="00CC221D">
        <w:t xml:space="preserve"> </w:t>
      </w:r>
      <w:r w:rsidR="004A4DB2">
        <w:t>984,43</w:t>
      </w:r>
      <w:r w:rsidR="0062109D">
        <w:t xml:space="preserve"> EUR, z toho </w:t>
      </w:r>
      <w:r w:rsidR="00324009">
        <w:t>4</w:t>
      </w:r>
      <w:r w:rsidR="00CC221D">
        <w:t xml:space="preserve"> </w:t>
      </w:r>
      <w:r w:rsidR="00324009">
        <w:t>959</w:t>
      </w:r>
      <w:r w:rsidR="00CC221D">
        <w:t xml:space="preserve"> </w:t>
      </w:r>
      <w:r w:rsidR="00324009">
        <w:t>861,76</w:t>
      </w:r>
      <w:r w:rsidR="0062109D">
        <w:t xml:space="preserve"> EUR predstavuje hodnotu zákaziek na </w:t>
      </w:r>
      <w:r w:rsidR="00555E59">
        <w:t>environmentálne stavebné práce.</w:t>
      </w:r>
    </w:p>
    <w:p w:rsidR="007A103B" w:rsidRPr="00555E59" w:rsidRDefault="007A103B" w:rsidP="0062109D">
      <w:pPr>
        <w:spacing w:line="276" w:lineRule="auto"/>
        <w:jc w:val="both"/>
        <w:rPr>
          <w:noProof/>
          <w:sz w:val="20"/>
          <w:szCs w:val="20"/>
        </w:rPr>
      </w:pPr>
    </w:p>
    <w:p w:rsidR="00377939" w:rsidRDefault="00231258" w:rsidP="0062109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t>Graf 6</w:t>
      </w:r>
      <w:r w:rsidR="0062109D">
        <w:rPr>
          <w:i/>
          <w:noProof/>
          <w:sz w:val="20"/>
          <w:szCs w:val="20"/>
        </w:rPr>
        <w:t xml:space="preserve"> Celková hodnota zákazie</w:t>
      </w:r>
      <w:r w:rsidR="00555E59">
        <w:rPr>
          <w:i/>
          <w:noProof/>
          <w:sz w:val="20"/>
          <w:szCs w:val="20"/>
        </w:rPr>
        <w:t xml:space="preserve">k a hodnota zelených zákaziek, </w:t>
      </w:r>
      <w:r w:rsidR="0062109D">
        <w:rPr>
          <w:i/>
          <w:sz w:val="20"/>
          <w:szCs w:val="20"/>
        </w:rPr>
        <w:t>zrealizovaných samosprávnymi krajmi a</w:t>
      </w:r>
      <w:r w:rsidR="00477839">
        <w:rPr>
          <w:i/>
          <w:sz w:val="20"/>
          <w:szCs w:val="20"/>
        </w:rPr>
        <w:t> </w:t>
      </w:r>
      <w:r w:rsidR="00377939">
        <w:rPr>
          <w:i/>
          <w:sz w:val="20"/>
          <w:szCs w:val="20"/>
        </w:rPr>
        <w:t>mestami</w:t>
      </w:r>
    </w:p>
    <w:p w:rsidR="00477839" w:rsidRDefault="00477839" w:rsidP="0062109D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4A4DB2" w:rsidP="00555E59">
      <w:pPr>
        <w:spacing w:line="276" w:lineRule="auto"/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BD8F92B" wp14:editId="5DDBB48C">
            <wp:extent cx="4875910" cy="2044460"/>
            <wp:effectExtent l="0" t="0" r="127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64" cy="211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9D" w:rsidRDefault="0062109D" w:rsidP="00555E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2109D" w:rsidRDefault="0062109D" w:rsidP="0062109D">
      <w:pPr>
        <w:spacing w:line="276" w:lineRule="auto"/>
        <w:jc w:val="both"/>
        <w:rPr>
          <w:b/>
          <w:i/>
        </w:rPr>
      </w:pPr>
      <w:r w:rsidRPr="00E10174">
        <w:rPr>
          <w:i/>
        </w:rPr>
        <w:t>Priemerná úroveň uplatňovania zeleného verejného obstaráva</w:t>
      </w:r>
      <w:r w:rsidR="00445C4F">
        <w:rPr>
          <w:i/>
        </w:rPr>
        <w:t>nia/nakupovania v SR za rok 2016</w:t>
      </w:r>
      <w:r w:rsidRPr="00E10174">
        <w:rPr>
          <w:i/>
        </w:rPr>
        <w:t>, ktorú dosiahli samosprávne kraje a mestské úrady</w:t>
      </w:r>
      <w:r>
        <w:t xml:space="preserve">, </w:t>
      </w:r>
      <w:r w:rsidRPr="00DD40EC">
        <w:t xml:space="preserve">ako dokumentuje príloha  </w:t>
      </w:r>
      <w:r w:rsidR="007F0BA1" w:rsidRPr="00DD40EC">
        <w:t xml:space="preserve">č. </w:t>
      </w:r>
      <w:r w:rsidRPr="00DD40EC">
        <w:t>2</w:t>
      </w:r>
      <w:r>
        <w:t xml:space="preserve">, </w:t>
      </w:r>
      <w:r w:rsidRPr="00E10174">
        <w:rPr>
          <w:i/>
        </w:rPr>
        <w:t xml:space="preserve">vo väzbe na indikátor 2 je </w:t>
      </w:r>
      <w:r w:rsidR="00324009">
        <w:rPr>
          <w:b/>
          <w:i/>
        </w:rPr>
        <w:t>6</w:t>
      </w:r>
      <w:r w:rsidRPr="00324009">
        <w:rPr>
          <w:b/>
          <w:i/>
        </w:rPr>
        <w:t>,2 %.</w:t>
      </w:r>
    </w:p>
    <w:p w:rsidR="00231258" w:rsidRDefault="00231258" w:rsidP="0062109D">
      <w:pPr>
        <w:spacing w:line="276" w:lineRule="auto"/>
        <w:jc w:val="both"/>
        <w:rPr>
          <w:b/>
          <w:i/>
        </w:rPr>
      </w:pPr>
    </w:p>
    <w:p w:rsidR="00231258" w:rsidRDefault="00231258" w:rsidP="00231258">
      <w:pPr>
        <w:spacing w:line="276" w:lineRule="auto"/>
        <w:jc w:val="both"/>
      </w:pPr>
      <w:r>
        <w:t xml:space="preserve">Prehľad o celkovej hodnote realizovaných zákaziek, subjektov zapojených do vyhodnotenia, v členení na zákazky na dodanie tovaru, zákazky na poskytnutie služby a zákazky na uskutočnenie stavebných prác v pomere k hodnote zelených zákaziek na tovary, služby a stavebné práce, poskytuje graf  7. Celkom sa vynaložilo 221 650 731,65 EUR na zákazky na dodanie tovaru, z čoho bolo 31 590 728,18 EUR využitých na nákup tovarov s uplatnením environmentálnych charakteristík. Na poskytnutie služby bolo za rok 2016 vynaložených </w:t>
      </w:r>
      <w:r w:rsidR="00CC221D">
        <w:br/>
      </w:r>
      <w:r>
        <w:t xml:space="preserve">223 000 272,25 EUR, z čoho 20 657 156,09 EUR bolo využitých na nákup zelených služieb.  Na uskutočnenie stavebných prác bolo vynaložených 475 794 509,43 EUR, pričom </w:t>
      </w:r>
      <w:r w:rsidR="00CC221D">
        <w:br/>
      </w:r>
      <w:r>
        <w:t>20 484 884,68 EUR predstavuje hodnotu zákaziek na environmentálne stavebné práce.</w:t>
      </w:r>
    </w:p>
    <w:p w:rsidR="00865791" w:rsidRDefault="00865791" w:rsidP="00231258">
      <w:pPr>
        <w:spacing w:line="276" w:lineRule="auto"/>
        <w:jc w:val="both"/>
      </w:pPr>
    </w:p>
    <w:p w:rsidR="00397549" w:rsidRDefault="00397549" w:rsidP="00231258">
      <w:pPr>
        <w:spacing w:line="276" w:lineRule="auto"/>
        <w:jc w:val="both"/>
      </w:pPr>
    </w:p>
    <w:p w:rsidR="00231258" w:rsidRDefault="00231258" w:rsidP="00231258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Graf 7 Celková hodnota zákaziek a hodnota zelených zákaziek</w:t>
      </w:r>
    </w:p>
    <w:p w:rsidR="00231258" w:rsidRDefault="00231258" w:rsidP="00231258">
      <w:pPr>
        <w:spacing w:line="276" w:lineRule="auto"/>
        <w:rPr>
          <w:i/>
          <w:sz w:val="20"/>
          <w:szCs w:val="20"/>
        </w:rPr>
      </w:pPr>
    </w:p>
    <w:p w:rsidR="00231258" w:rsidRDefault="00231258" w:rsidP="00231258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0AA351A" wp14:editId="2CC402E9">
            <wp:extent cx="5284331" cy="2260121"/>
            <wp:effectExtent l="0" t="0" r="0" b="6985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25" cy="226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258" w:rsidRDefault="00231258" w:rsidP="00231258">
      <w:pPr>
        <w:spacing w:line="276" w:lineRule="auto"/>
        <w:rPr>
          <w:rFonts w:ascii="Calibri" w:hAnsi="Calibri"/>
          <w:sz w:val="22"/>
          <w:szCs w:val="22"/>
        </w:rPr>
      </w:pPr>
    </w:p>
    <w:p w:rsidR="00231258" w:rsidRPr="00231258" w:rsidRDefault="00231258" w:rsidP="0062109D">
      <w:pPr>
        <w:spacing w:line="276" w:lineRule="auto"/>
        <w:jc w:val="both"/>
      </w:pPr>
      <w:r>
        <w:t xml:space="preserve">Na základe údajov, získaných od verejných obstarávateľov zapojených do vyhodnotenia, bola </w:t>
      </w:r>
      <w:r w:rsidRPr="00E10174">
        <w:t xml:space="preserve">stanovená </w:t>
      </w:r>
      <w:r w:rsidRPr="00E10174">
        <w:rPr>
          <w:b/>
          <w:i/>
        </w:rPr>
        <w:t>priemerná úroveň uplatňovania zeleného verejného obstaráva</w:t>
      </w:r>
      <w:r>
        <w:rPr>
          <w:b/>
          <w:i/>
        </w:rPr>
        <w:t>nia/nakupovania v SR za rok 2016</w:t>
      </w:r>
      <w:r w:rsidRPr="00E10174">
        <w:rPr>
          <w:b/>
          <w:i/>
        </w:rPr>
        <w:t xml:space="preserve"> vo väzbe na indikátor 2</w:t>
      </w:r>
      <w:r>
        <w:t xml:space="preserve"> (percentuálny podiel zeleného verejného obstarávania vzhľadom k celkovému verejnému obstarávaniu vo väzbe na finančnú hodnotu): </w:t>
      </w:r>
      <w:r>
        <w:rPr>
          <w:b/>
          <w:i/>
        </w:rPr>
        <w:t>7,9</w:t>
      </w:r>
      <w:r w:rsidRPr="00296A70">
        <w:rPr>
          <w:b/>
          <w:i/>
        </w:rPr>
        <w:t>%.</w:t>
      </w:r>
    </w:p>
    <w:p w:rsidR="0062109D" w:rsidRDefault="0062109D" w:rsidP="0062109D">
      <w:pPr>
        <w:spacing w:line="276" w:lineRule="auto"/>
        <w:jc w:val="both"/>
      </w:pPr>
    </w:p>
    <w:p w:rsidR="00E10174" w:rsidRDefault="00A7303C" w:rsidP="0062109D">
      <w:pPr>
        <w:spacing w:line="276" w:lineRule="auto"/>
        <w:jc w:val="both"/>
      </w:pPr>
      <w:r>
        <w:t xml:space="preserve">Grafické vyjadrenie priemernej úrovne </w:t>
      </w:r>
      <w:r w:rsidR="0062109D">
        <w:t>uplatňovania zeleného verejného obstarávania/nakupovania v</w:t>
      </w:r>
      <w:r w:rsidR="007A103B">
        <w:t> </w:t>
      </w:r>
      <w:r w:rsidR="0062109D">
        <w:t>S</w:t>
      </w:r>
      <w:r w:rsidR="007A103B">
        <w:t>lovenskej republike</w:t>
      </w:r>
      <w:r w:rsidR="00445C4F">
        <w:t xml:space="preserve"> za rok 2016</w:t>
      </w:r>
      <w:r>
        <w:t>, vyhodnotené</w:t>
      </w:r>
      <w:r w:rsidR="0062109D">
        <w:t xml:space="preserve"> na základe údajov</w:t>
      </w:r>
      <w:r w:rsidR="00E10174">
        <w:t xml:space="preserve"> získaných</w:t>
      </w:r>
      <w:r w:rsidR="0062109D">
        <w:t xml:space="preserve"> od </w:t>
      </w:r>
      <w:r>
        <w:t>subjektov zapojených do vyhodnotenia, v členení na ústredné orgány štátnej správy</w:t>
      </w:r>
      <w:r w:rsidR="0062109D">
        <w:t xml:space="preserve"> a</w:t>
      </w:r>
      <w:r>
        <w:t> jej podriadené organizácie</w:t>
      </w:r>
      <w:r w:rsidR="0062109D">
        <w:t xml:space="preserve"> a</w:t>
      </w:r>
      <w:r>
        <w:t> na samosprávne kraje a mestá prezentuje graf 8</w:t>
      </w:r>
      <w:r w:rsidR="0062109D">
        <w:t>.</w:t>
      </w:r>
    </w:p>
    <w:p w:rsidR="0062109D" w:rsidRPr="00555E59" w:rsidRDefault="0062109D" w:rsidP="0062109D">
      <w:pPr>
        <w:spacing w:line="276" w:lineRule="auto"/>
        <w:rPr>
          <w:sz w:val="20"/>
          <w:szCs w:val="20"/>
        </w:rPr>
      </w:pPr>
    </w:p>
    <w:p w:rsidR="00865791" w:rsidRDefault="00865791" w:rsidP="00C43D23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C43D23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C43D23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C43D23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C43D23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62109D" w:rsidP="00C43D23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Graf  8 Priemerná úroveň uplatňovania zeleného verejného obstarávania v</w:t>
      </w:r>
      <w:r w:rsidR="007A103B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S</w:t>
      </w:r>
      <w:r w:rsidR="007A103B">
        <w:rPr>
          <w:i/>
          <w:sz w:val="20"/>
          <w:szCs w:val="20"/>
        </w:rPr>
        <w:t xml:space="preserve">lovenskej republike </w:t>
      </w:r>
      <w:r w:rsidR="00445C4F">
        <w:rPr>
          <w:i/>
          <w:sz w:val="20"/>
          <w:szCs w:val="20"/>
        </w:rPr>
        <w:t>za rok 2016</w:t>
      </w:r>
    </w:p>
    <w:p w:rsidR="007A103B" w:rsidRDefault="007A103B" w:rsidP="0062109D">
      <w:pPr>
        <w:spacing w:line="276" w:lineRule="auto"/>
        <w:rPr>
          <w:i/>
          <w:sz w:val="20"/>
          <w:szCs w:val="20"/>
        </w:rPr>
      </w:pPr>
    </w:p>
    <w:p w:rsidR="0062109D" w:rsidRDefault="00C43D23" w:rsidP="00C43D23">
      <w:pPr>
        <w:spacing w:line="276" w:lineRule="auto"/>
        <w:rPr>
          <w:szCs w:val="22"/>
        </w:rPr>
      </w:pPr>
      <w:r>
        <w:rPr>
          <w:noProof/>
          <w:szCs w:val="22"/>
        </w:rPr>
        <w:drawing>
          <wp:inline distT="0" distB="0" distL="0" distR="0" wp14:anchorId="76B05DA9" wp14:editId="6706255D">
            <wp:extent cx="4309607" cy="235204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02" cy="237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03C" w:rsidRDefault="00A7303C" w:rsidP="00E10039">
      <w:pPr>
        <w:spacing w:line="276" w:lineRule="auto"/>
        <w:jc w:val="both"/>
        <w:rPr>
          <w:szCs w:val="22"/>
        </w:rPr>
      </w:pPr>
    </w:p>
    <w:p w:rsidR="00A7303C" w:rsidRDefault="00A7303C" w:rsidP="00E10039">
      <w:pPr>
        <w:spacing w:line="276" w:lineRule="auto"/>
        <w:jc w:val="both"/>
        <w:rPr>
          <w:szCs w:val="22"/>
        </w:rPr>
      </w:pPr>
      <w:r w:rsidRPr="00117036">
        <w:rPr>
          <w:szCs w:val="22"/>
        </w:rPr>
        <w:t xml:space="preserve">Ústredné orgány štátnej správy dosiahli v oboch indikátoroch </w:t>
      </w:r>
      <w:r w:rsidR="009427E2" w:rsidRPr="00117036">
        <w:rPr>
          <w:szCs w:val="22"/>
        </w:rPr>
        <w:t>vyššie hodnoty v porovnaní s</w:t>
      </w:r>
      <w:r w:rsidR="00993953" w:rsidRPr="00117036">
        <w:rPr>
          <w:szCs w:val="22"/>
        </w:rPr>
        <w:t> hodnotami, ktoré dosiahli samosprávne kraje</w:t>
      </w:r>
      <w:r w:rsidR="009427E2" w:rsidRPr="00117036">
        <w:rPr>
          <w:szCs w:val="22"/>
        </w:rPr>
        <w:t xml:space="preserve"> a </w:t>
      </w:r>
      <w:r w:rsidR="00993953" w:rsidRPr="00117036">
        <w:rPr>
          <w:szCs w:val="22"/>
        </w:rPr>
        <w:t>mestá</w:t>
      </w:r>
      <w:r w:rsidR="009427E2" w:rsidRPr="00117036">
        <w:rPr>
          <w:szCs w:val="22"/>
        </w:rPr>
        <w:t>. Výraznejší rozdiel hodnôt je viditeľný v rámci indikátora 1 (</w:t>
      </w:r>
      <w:r w:rsidR="009427E2" w:rsidRPr="00117036">
        <w:t>percentuálny podiel zeleného obstarávania z celkového verejného obstarávania vo väzbe na počet zákaziek</w:t>
      </w:r>
      <w:r w:rsidR="009427E2" w:rsidRPr="00117036">
        <w:rPr>
          <w:szCs w:val="22"/>
        </w:rPr>
        <w:t>), kde ústredné orgány štátnej správy dosiahli hodnotu 7,2% pričom samosprávne kraje a mestá hodnotu len 2,4%. V rámci indikátora 2 (</w:t>
      </w:r>
      <w:r w:rsidR="009427E2" w:rsidRPr="00117036">
        <w:t xml:space="preserve">percentuálny podiel zeleného obstarávania z celkového verejného obstarávania vo väzbe na hodnotu uskutočnených zákaziek) rozdiel nebol príliš veľký, ústredné orgány štátnej správy dosiahli úroveň 8,4% a samosprávne kraje a mestá 6,2%. </w:t>
      </w:r>
      <w:r w:rsidR="00993953" w:rsidRPr="00117036">
        <w:t>Dosiahnutá nízka úroveň uplatňovania zeleného verejného obstarávania v oboch indikátoroch na úrovni ústredných orgánov štátnej správy ako aj samosprávnych krajov a miest môže byť spôsobená nižšou návratnosťou</w:t>
      </w:r>
      <w:r w:rsidR="003E1975" w:rsidRPr="00117036">
        <w:t xml:space="preserve"> vyplnených dotazníkov, neúplnosťou údajov poskytnutých v dotazníkoch, technickými problémami IT zariadení ale </w:t>
      </w:r>
      <w:r w:rsidR="00DD40EC" w:rsidRPr="00117036">
        <w:t>tiež</w:t>
      </w:r>
      <w:r w:rsidR="003E1975" w:rsidRPr="00117036">
        <w:t xml:space="preserve"> odporúčacím charakterom pre realizáciu GPP na úrovni samosprávnych krajov a miest vyplývajúcim z daného uznesenia vlády.</w:t>
      </w:r>
    </w:p>
    <w:p w:rsidR="00555E59" w:rsidRDefault="00555E59" w:rsidP="00E10039">
      <w:pPr>
        <w:pStyle w:val="Nadpis1"/>
        <w:spacing w:line="276" w:lineRule="auto"/>
        <w:jc w:val="both"/>
        <w:rPr>
          <w:b w:val="0"/>
          <w:bCs w:val="0"/>
          <w:kern w:val="0"/>
          <w:szCs w:val="24"/>
        </w:rPr>
      </w:pPr>
      <w:bookmarkStart w:id="22" w:name="_Toc450303828"/>
      <w:bookmarkStart w:id="23" w:name="_Toc419988557"/>
      <w:bookmarkStart w:id="24" w:name="_Toc388525486"/>
      <w:bookmarkStart w:id="25" w:name="_Toc355000157"/>
      <w:bookmarkStart w:id="26" w:name="_Toc326050102"/>
      <w:bookmarkStart w:id="27" w:name="_Toc388525483"/>
    </w:p>
    <w:p w:rsidR="0062109D" w:rsidRDefault="0062109D" w:rsidP="002E55D0">
      <w:pPr>
        <w:pStyle w:val="Nadpis1"/>
      </w:pPr>
      <w:r>
        <w:t xml:space="preserve">Využívanie environmentálnych </w:t>
      </w:r>
      <w:r w:rsidRPr="0058036E">
        <w:t>charakteristík</w:t>
      </w:r>
      <w:bookmarkEnd w:id="22"/>
      <w:bookmarkEnd w:id="23"/>
      <w:bookmarkEnd w:id="24"/>
      <w:bookmarkEnd w:id="25"/>
      <w:bookmarkEnd w:id="26"/>
      <w:r w:rsidR="00F25BDE">
        <w:t xml:space="preserve"> </w:t>
      </w:r>
      <w:r w:rsidR="00E10039">
        <w:t xml:space="preserve">vo verejnom obstarávaní v SR za rok </w:t>
      </w:r>
      <w:r w:rsidR="00E10039" w:rsidRPr="002E55D0">
        <w:t>2016</w:t>
      </w:r>
    </w:p>
    <w:p w:rsidR="0062109D" w:rsidRDefault="0062109D" w:rsidP="00E10039">
      <w:pPr>
        <w:spacing w:line="276" w:lineRule="auto"/>
        <w:jc w:val="both"/>
      </w:pPr>
    </w:p>
    <w:p w:rsidR="0062109D" w:rsidRDefault="0062109D" w:rsidP="00E10039">
      <w:pPr>
        <w:spacing w:line="276" w:lineRule="auto"/>
        <w:jc w:val="both"/>
      </w:pPr>
      <w:r>
        <w:t xml:space="preserve">Európska komisia od roku 2008 vytvára a aktualizuje </w:t>
      </w:r>
      <w:r w:rsidR="00E10039">
        <w:t xml:space="preserve">verejne dostupné </w:t>
      </w:r>
      <w:r>
        <w:t xml:space="preserve">environmentálne charakteristiky </w:t>
      </w:r>
      <w:r w:rsidR="00E10039">
        <w:t xml:space="preserve">pre vybrané skupiny produktov na podporu a uľahčenie implementácie </w:t>
      </w:r>
      <w:r>
        <w:t>zelené</w:t>
      </w:r>
      <w:r w:rsidR="00E10039">
        <w:t>ho</w:t>
      </w:r>
      <w:r>
        <w:t xml:space="preserve"> verejné</w:t>
      </w:r>
      <w:r w:rsidR="00E10039">
        <w:t>ho obstarávania</w:t>
      </w:r>
      <w:r w:rsidR="005A10A4">
        <w:t xml:space="preserve"> („GPP“)</w:t>
      </w:r>
      <w:r w:rsidR="0029334B">
        <w:t xml:space="preserve"> </w:t>
      </w:r>
      <w:r w:rsidR="00E10039">
        <w:t>formou produktových listov na priame využitie v súťažných podkladoch procesu verejného obstarávania</w:t>
      </w:r>
      <w:r>
        <w:t>. Tieto environmentálne charakteristiky sú založené na údajovej základni, ktorá využíva dostupné vedecké informácie a údaje, prístup LCA (posudzovanie životného cyklu), existujúce kritériá environmentálneho označovania a</w:t>
      </w:r>
      <w:r w:rsidR="00C43D23">
        <w:t xml:space="preserve"> tiež sú založené </w:t>
      </w:r>
      <w:r w:rsidR="007A103B">
        <w:t xml:space="preserve">na </w:t>
      </w:r>
      <w:r>
        <w:t xml:space="preserve">informáciách od zainteresovaných strán z priemyslu, spoločností a členských štátov. Spoločné environmentálne charakteristiky pre </w:t>
      </w:r>
      <w:r w:rsidR="005A10A4">
        <w:t>GPP</w:t>
      </w:r>
      <w:r>
        <w:t xml:space="preserve"> boli vytvorené za účelom jednotnej a transparentnej realizácie GPP v celej E</w:t>
      </w:r>
      <w:r w:rsidR="007A103B">
        <w:t>urópskej únii</w:t>
      </w:r>
      <w:r w:rsidR="00E10039">
        <w:t xml:space="preserve"> a jednotného </w:t>
      </w:r>
      <w:r w:rsidR="00117036">
        <w:t xml:space="preserve">spôsobu </w:t>
      </w:r>
      <w:r w:rsidR="00E10039">
        <w:t>monitorovania</w:t>
      </w:r>
      <w:r>
        <w:t xml:space="preserve"> úrovne GPP v členských krajinách.</w:t>
      </w:r>
    </w:p>
    <w:p w:rsidR="0062109D" w:rsidRDefault="0062109D" w:rsidP="0062109D">
      <w:pPr>
        <w:spacing w:line="276" w:lineRule="auto"/>
      </w:pPr>
    </w:p>
    <w:p w:rsidR="0062109D" w:rsidRDefault="00914122" w:rsidP="0062109D">
      <w:pPr>
        <w:spacing w:line="276" w:lineRule="auto"/>
        <w:jc w:val="both"/>
      </w:pPr>
      <w:r w:rsidRPr="00117036">
        <w:t>V</w:t>
      </w:r>
      <w:r w:rsidR="00117036">
        <w:t>o väzbe na harmonizáciu procesov EÚ sú v podmienkach SR</w:t>
      </w:r>
      <w:r w:rsidRPr="00117036">
        <w:t xml:space="preserve"> v rámci akčného plánu pre zelené verejné obstarávanie </w:t>
      </w:r>
      <w:r w:rsidR="00117036">
        <w:t xml:space="preserve">do procesu monitorovania zahrnuté </w:t>
      </w:r>
      <w:r w:rsidRPr="00117036">
        <w:t xml:space="preserve">vybrané skupiny produktov </w:t>
      </w:r>
      <w:r w:rsidR="00117036">
        <w:lastRenderedPageBreak/>
        <w:t xml:space="preserve">odporúčané Európskou komisiou </w:t>
      </w:r>
      <w:r w:rsidR="006A7E92">
        <w:t xml:space="preserve">ako </w:t>
      </w:r>
      <w:r w:rsidR="00117036">
        <w:t>prioritné odvetvia</w:t>
      </w:r>
      <w:r w:rsidRPr="00117036">
        <w:t xml:space="preserve">. </w:t>
      </w:r>
      <w:r w:rsidR="006921B1" w:rsidRPr="00117036">
        <w:t>V rámci monitorovania GPP pre rok 2016 sa sledoval</w:t>
      </w:r>
      <w:r w:rsidR="00EA7B7C">
        <w:t>o 10</w:t>
      </w:r>
      <w:r w:rsidR="00865791">
        <w:t xml:space="preserve"> </w:t>
      </w:r>
      <w:r w:rsidR="00822C56">
        <w:t>prioritných</w:t>
      </w:r>
      <w:r w:rsidR="00865791">
        <w:t xml:space="preserve"> </w:t>
      </w:r>
      <w:r w:rsidR="00EA7B7C" w:rsidRPr="00117036">
        <w:t>skup</w:t>
      </w:r>
      <w:r w:rsidR="00EA7B7C">
        <w:t>ín</w:t>
      </w:r>
      <w:r w:rsidR="00865791">
        <w:t xml:space="preserve"> </w:t>
      </w:r>
      <w:r w:rsidR="006921B1" w:rsidRPr="00117036">
        <w:t>produktov GPP stanoven</w:t>
      </w:r>
      <w:r w:rsidR="00351F77">
        <w:t>ých</w:t>
      </w:r>
      <w:r w:rsidR="006921B1" w:rsidRPr="00117036">
        <w:t xml:space="preserve"> v NAP GPP II </w:t>
      </w:r>
      <w:r w:rsidR="00822C56">
        <w:t>vo väzbe na rozsah a možnosti</w:t>
      </w:r>
      <w:r w:rsidR="006921B1" w:rsidRPr="00117036">
        <w:t xml:space="preserve"> aktualizácie monitorovacieho systému. </w:t>
      </w:r>
    </w:p>
    <w:p w:rsidR="0062109D" w:rsidRDefault="00822C56" w:rsidP="0062109D">
      <w:pPr>
        <w:spacing w:line="276" w:lineRule="auto"/>
        <w:jc w:val="both"/>
      </w:pPr>
      <w:r>
        <w:t xml:space="preserve">Stav </w:t>
      </w:r>
      <w:r w:rsidR="0062109D">
        <w:t xml:space="preserve"> celkov</w:t>
      </w:r>
      <w:r>
        <w:t>ého</w:t>
      </w:r>
      <w:r w:rsidR="0062109D">
        <w:t xml:space="preserve"> počt</w:t>
      </w:r>
      <w:r>
        <w:t>u</w:t>
      </w:r>
      <w:r w:rsidR="00F25BDE">
        <w:t xml:space="preserve"> </w:t>
      </w:r>
      <w:r w:rsidR="001700BC">
        <w:t>a</w:t>
      </w:r>
      <w:r w:rsidR="00F25BDE">
        <w:t> </w:t>
      </w:r>
      <w:r w:rsidR="001700BC">
        <w:t>hodnot</w:t>
      </w:r>
      <w:r>
        <w:t>y</w:t>
      </w:r>
      <w:r w:rsidR="00F25BDE">
        <w:t xml:space="preserve"> </w:t>
      </w:r>
      <w:r w:rsidR="0062109D">
        <w:t>zákaziek</w:t>
      </w:r>
      <w:r>
        <w:t xml:space="preserve"> ako aj počtu a hodnoty zelených zákaziek v 10 prioritných skupinách produktov</w:t>
      </w:r>
      <w:r w:rsidR="0062109D">
        <w:t>, realizovaných ve</w:t>
      </w:r>
      <w:r w:rsidR="00445C4F">
        <w:t>rejnými inštitúciami za rok 2016</w:t>
      </w:r>
      <w:r>
        <w:t>, uvádza tabuľka 5.</w:t>
      </w:r>
      <w:r w:rsidR="006921B1">
        <w:t xml:space="preserve">v </w:t>
      </w:r>
      <w:r w:rsidR="0062109D">
        <w:t xml:space="preserve">. </w:t>
      </w:r>
    </w:p>
    <w:p w:rsidR="003B5BC8" w:rsidRDefault="003B5BC8" w:rsidP="0062109D">
      <w:pPr>
        <w:spacing w:line="276" w:lineRule="auto"/>
        <w:jc w:val="both"/>
      </w:pPr>
    </w:p>
    <w:p w:rsidR="0062109D" w:rsidRDefault="0062109D" w:rsidP="009767E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Tabuľka 5 Celkový počet </w:t>
      </w:r>
      <w:r w:rsidR="00E940D6">
        <w:rPr>
          <w:i/>
          <w:sz w:val="20"/>
          <w:szCs w:val="20"/>
        </w:rPr>
        <w:t xml:space="preserve">a hodnota </w:t>
      </w:r>
      <w:r>
        <w:rPr>
          <w:i/>
          <w:sz w:val="20"/>
          <w:szCs w:val="20"/>
        </w:rPr>
        <w:t xml:space="preserve">zákaziek </w:t>
      </w:r>
      <w:r w:rsidR="00E940D6" w:rsidRPr="00E940D6">
        <w:rPr>
          <w:i/>
          <w:sz w:val="20"/>
          <w:szCs w:val="20"/>
        </w:rPr>
        <w:t>a počet a hodnota zelených zákaziek</w:t>
      </w:r>
      <w:r w:rsidR="00F25B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pre</w:t>
      </w:r>
      <w:r w:rsidR="006921B1">
        <w:rPr>
          <w:i/>
          <w:sz w:val="20"/>
          <w:szCs w:val="20"/>
        </w:rPr>
        <w:t xml:space="preserve"> vybrané skupiny</w:t>
      </w:r>
      <w:r w:rsidR="00E940D6">
        <w:rPr>
          <w:i/>
          <w:sz w:val="20"/>
          <w:szCs w:val="20"/>
        </w:rPr>
        <w:t xml:space="preserve"> produktov</w:t>
      </w:r>
    </w:p>
    <w:p w:rsidR="0062109D" w:rsidRDefault="0062109D" w:rsidP="0062109D">
      <w:pPr>
        <w:spacing w:line="276" w:lineRule="auto"/>
        <w:ind w:firstLine="142"/>
        <w:jc w:val="both"/>
        <w:rPr>
          <w:i/>
          <w:sz w:val="20"/>
          <w:szCs w:val="20"/>
        </w:rPr>
      </w:pPr>
    </w:p>
    <w:tbl>
      <w:tblPr>
        <w:tblStyle w:val="Mriekatabuky"/>
        <w:tblW w:w="9339" w:type="dxa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992"/>
        <w:gridCol w:w="1559"/>
        <w:gridCol w:w="993"/>
        <w:gridCol w:w="1417"/>
        <w:gridCol w:w="709"/>
        <w:gridCol w:w="709"/>
      </w:tblGrid>
      <w:tr w:rsidR="000E7DD6" w:rsidRPr="00666757" w:rsidTr="00397549">
        <w:trPr>
          <w:jc w:val="center"/>
        </w:trPr>
        <w:tc>
          <w:tcPr>
            <w:tcW w:w="2960" w:type="dxa"/>
            <w:vMerge w:val="restart"/>
            <w:shd w:val="clear" w:color="auto" w:fill="auto"/>
            <w:vAlign w:val="center"/>
          </w:tcPr>
          <w:p w:rsidR="00666757" w:rsidRPr="00666757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6757">
              <w:rPr>
                <w:b/>
                <w:sz w:val="20"/>
                <w:szCs w:val="20"/>
              </w:rPr>
              <w:t>Skupina produktov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66757" w:rsidRPr="00666757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6757">
              <w:rPr>
                <w:b/>
                <w:sz w:val="20"/>
                <w:szCs w:val="20"/>
              </w:rPr>
              <w:t>Celkový počet zákaziek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6757" w:rsidRPr="00666757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6757">
              <w:rPr>
                <w:b/>
                <w:sz w:val="20"/>
                <w:szCs w:val="20"/>
              </w:rPr>
              <w:t>Celková hodnota zákaziek [EUR]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757" w:rsidRPr="00666757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6757">
              <w:rPr>
                <w:b/>
                <w:sz w:val="20"/>
                <w:szCs w:val="20"/>
              </w:rPr>
              <w:t>Uplatnenie GPP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6757" w:rsidRPr="00DD40EC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A7E92">
              <w:rPr>
                <w:b/>
                <w:sz w:val="20"/>
                <w:szCs w:val="20"/>
              </w:rPr>
              <w:t>Ind.1 [%]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66757" w:rsidRPr="00DD40EC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6A7E92">
              <w:rPr>
                <w:b/>
                <w:sz w:val="20"/>
                <w:szCs w:val="20"/>
              </w:rPr>
              <w:t>Ind.2[%]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  <w:vMerge/>
            <w:vAlign w:val="center"/>
          </w:tcPr>
          <w:p w:rsidR="00666757" w:rsidRPr="00666757" w:rsidRDefault="00666757" w:rsidP="006667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6757" w:rsidRPr="00666757" w:rsidRDefault="00666757" w:rsidP="006667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66757" w:rsidRPr="00666757" w:rsidRDefault="00666757" w:rsidP="006667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66757" w:rsidRPr="00666757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6757">
              <w:rPr>
                <w:b/>
                <w:sz w:val="20"/>
                <w:szCs w:val="20"/>
              </w:rPr>
              <w:t>Počet zákaziek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757" w:rsidRPr="00666757" w:rsidRDefault="00666757" w:rsidP="0066675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6757">
              <w:rPr>
                <w:b/>
                <w:sz w:val="20"/>
                <w:szCs w:val="20"/>
              </w:rPr>
              <w:t>Hodnota zákaziek [EUR]</w:t>
            </w:r>
          </w:p>
        </w:tc>
        <w:tc>
          <w:tcPr>
            <w:tcW w:w="709" w:type="dxa"/>
            <w:vMerge/>
            <w:vAlign w:val="center"/>
          </w:tcPr>
          <w:p w:rsidR="00666757" w:rsidRPr="00666757" w:rsidRDefault="00666757" w:rsidP="006667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66757" w:rsidRPr="00666757" w:rsidRDefault="00666757" w:rsidP="0066675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Čistiace prostriedky a služby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3 383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20 556 294,32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1 367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10 758 038,81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52,3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Dopravné prostriedky a služby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1 249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16 820 083,92</w:t>
            </w:r>
          </w:p>
        </w:tc>
        <w:tc>
          <w:tcPr>
            <w:tcW w:w="993" w:type="dxa"/>
          </w:tcPr>
          <w:p w:rsidR="00666757" w:rsidRPr="00666757" w:rsidRDefault="00BB28F4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66757" w:rsidRPr="0066675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6 015 825,79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17,9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35,8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Elektrická energia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2 128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26 845 362,62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667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1 469 812,54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31,3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5,5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Kancelárske IT zariadenia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2 185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17 851 637,97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722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11 636 274,56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65,2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Kopírovací a grafický papier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1 821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1 644 790,47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911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1 020 910,71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62,1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Nábytok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3 299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3 534 931,74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204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489 765,46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13,9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Stavebné práce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2 185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447 497 507,57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286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21 790 286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13,1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4,9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Nákup potravín a stravovacie služby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18 477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19 311 426,35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7 141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6 115 253,08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31,7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Textílie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1 784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20 167 328,04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12 651 681,66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62,7</w:t>
            </w:r>
          </w:p>
        </w:tc>
      </w:tr>
      <w:tr w:rsidR="00666757" w:rsidRPr="00666757" w:rsidTr="00397549">
        <w:trPr>
          <w:jc w:val="center"/>
        </w:trPr>
        <w:tc>
          <w:tcPr>
            <w:tcW w:w="2960" w:type="dxa"/>
          </w:tcPr>
          <w:p w:rsidR="00666757" w:rsidRPr="00666757" w:rsidRDefault="00666757" w:rsidP="006667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Záhradnícke produkty a služby</w:t>
            </w:r>
          </w:p>
        </w:tc>
        <w:tc>
          <w:tcPr>
            <w:tcW w:w="992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495</w:t>
            </w:r>
          </w:p>
        </w:tc>
        <w:tc>
          <w:tcPr>
            <w:tcW w:w="155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514 215,53</w:t>
            </w:r>
          </w:p>
        </w:tc>
        <w:tc>
          <w:tcPr>
            <w:tcW w:w="993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107 862,04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:rsidR="00666757" w:rsidRPr="00666757" w:rsidRDefault="00666757" w:rsidP="0066675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666757">
              <w:rPr>
                <w:sz w:val="20"/>
                <w:szCs w:val="20"/>
              </w:rPr>
              <w:t>21</w:t>
            </w:r>
          </w:p>
        </w:tc>
      </w:tr>
    </w:tbl>
    <w:p w:rsidR="006557DD" w:rsidRPr="006921B1" w:rsidRDefault="006557DD" w:rsidP="009767E9">
      <w:pPr>
        <w:spacing w:line="276" w:lineRule="auto"/>
        <w:jc w:val="both"/>
      </w:pPr>
    </w:p>
    <w:p w:rsidR="00865791" w:rsidRDefault="007A103B" w:rsidP="009767E9">
      <w:pPr>
        <w:spacing w:line="276" w:lineRule="auto"/>
        <w:jc w:val="both"/>
        <w:rPr>
          <w:i/>
          <w:sz w:val="20"/>
          <w:szCs w:val="20"/>
        </w:rPr>
      </w:pPr>
      <w:r>
        <w:t>G</w:t>
      </w:r>
      <w:r w:rsidR="009767E9">
        <w:t>raf 9</w:t>
      </w:r>
      <w:r w:rsidR="009557D8">
        <w:t xml:space="preserve"> </w:t>
      </w:r>
      <w:r w:rsidR="00822C56">
        <w:t xml:space="preserve">demonštruje </w:t>
      </w:r>
      <w:r w:rsidR="006557DD">
        <w:t>celkový počet zákaziek, realizovaných ve</w:t>
      </w:r>
      <w:r w:rsidR="00445C4F">
        <w:t>rejnými inštitúciami za rok 2016</w:t>
      </w:r>
      <w:r w:rsidR="006921B1">
        <w:t xml:space="preserve"> pre </w:t>
      </w:r>
      <w:r w:rsidR="00822C56">
        <w:t xml:space="preserve">prioritné </w:t>
      </w:r>
      <w:r w:rsidR="006921B1">
        <w:t>skupiny</w:t>
      </w:r>
      <w:r w:rsidR="006557DD">
        <w:t xml:space="preserve"> produktov s počtom zelených zákaziek. </w:t>
      </w:r>
      <w:r w:rsidR="00E522BB" w:rsidRPr="00E522BB">
        <w:t>Najväčší počet zákaziek (18 477) bol obstaraný v skupine produktov Nákup potravín a poskytovanie stravovacích služieb. Najmenej početnou skupinou produktov, s počtom realizovaných zákaziek 495, boli Záhradnícke produkty a služby.</w:t>
      </w:r>
      <w:r w:rsidR="00E522BB">
        <w:t xml:space="preserve"> Tie isté skupiny produktov dosiahli v počte zelených zákaziek rovnaké priečky, </w:t>
      </w:r>
      <w:r w:rsidR="00E522BB" w:rsidRPr="00E940D6">
        <w:t>Nákup potravín a poskytovanie stravovacích služieb</w:t>
      </w:r>
      <w:r w:rsidR="00E522BB">
        <w:t xml:space="preserve"> s počtom zelených zákaziek 7 141 a </w:t>
      </w:r>
      <w:r w:rsidR="00E522BB" w:rsidRPr="00E522BB">
        <w:t>Záhradnícke produkty a</w:t>
      </w:r>
      <w:r w:rsidR="00E522BB">
        <w:t> </w:t>
      </w:r>
      <w:r w:rsidR="00E522BB" w:rsidRPr="00E522BB">
        <w:t>služby</w:t>
      </w:r>
      <w:r w:rsidR="00E522BB">
        <w:t xml:space="preserve"> s počtom zelených zákaziek 98.</w:t>
      </w:r>
    </w:p>
    <w:p w:rsidR="00865791" w:rsidRDefault="00865791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9767E9" w:rsidP="009767E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Graf 9</w:t>
      </w:r>
      <w:r w:rsidR="0062109D">
        <w:rPr>
          <w:i/>
          <w:sz w:val="20"/>
          <w:szCs w:val="20"/>
        </w:rPr>
        <w:t xml:space="preserve"> Celkový počet zákaziek pre </w:t>
      </w:r>
      <w:r w:rsidR="00DB1827">
        <w:rPr>
          <w:i/>
          <w:sz w:val="20"/>
          <w:szCs w:val="20"/>
        </w:rPr>
        <w:t xml:space="preserve"> prioritné</w:t>
      </w:r>
      <w:r w:rsidR="006921B1">
        <w:rPr>
          <w:i/>
          <w:sz w:val="20"/>
          <w:szCs w:val="20"/>
        </w:rPr>
        <w:t xml:space="preserve"> skupiny</w:t>
      </w:r>
      <w:r w:rsidR="0062109D">
        <w:rPr>
          <w:i/>
          <w:sz w:val="20"/>
          <w:szCs w:val="20"/>
        </w:rPr>
        <w:t xml:space="preserve"> produktov a počet zelených zákaziek</w:t>
      </w:r>
    </w:p>
    <w:p w:rsidR="003B5BC8" w:rsidRDefault="003B5BC8" w:rsidP="0062109D">
      <w:pPr>
        <w:spacing w:line="276" w:lineRule="auto"/>
        <w:ind w:firstLine="142"/>
        <w:jc w:val="both"/>
        <w:rPr>
          <w:i/>
          <w:sz w:val="20"/>
          <w:szCs w:val="20"/>
        </w:rPr>
      </w:pPr>
    </w:p>
    <w:p w:rsidR="0062109D" w:rsidRDefault="00F458A2" w:rsidP="009767E9">
      <w:pPr>
        <w:spacing w:line="276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71D43C1F" wp14:editId="76135B35">
            <wp:extent cx="4968815" cy="2992755"/>
            <wp:effectExtent l="0" t="0" r="381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30" cy="30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9D" w:rsidRDefault="0062109D" w:rsidP="0062109D">
      <w:pPr>
        <w:spacing w:line="276" w:lineRule="auto"/>
        <w:jc w:val="both"/>
      </w:pPr>
    </w:p>
    <w:p w:rsidR="00477839" w:rsidRDefault="009767E9" w:rsidP="009767E9">
      <w:pPr>
        <w:spacing w:line="276" w:lineRule="auto"/>
        <w:jc w:val="both"/>
        <w:rPr>
          <w:rFonts w:eastAsia="Calibri"/>
          <w:lang w:eastAsia="en-US"/>
        </w:rPr>
      </w:pPr>
      <w:r>
        <w:t>Graf 10</w:t>
      </w:r>
      <w:r w:rsidR="009557D8">
        <w:t xml:space="preserve"> </w:t>
      </w:r>
      <w:r w:rsidR="00822C56">
        <w:t xml:space="preserve">demonštruje </w:t>
      </w:r>
      <w:r w:rsidR="0062109D">
        <w:t>celkovú hodnotu zákaziek, realizovaných ve</w:t>
      </w:r>
      <w:r w:rsidR="00445C4F">
        <w:t>rejnými inštitúciami za rok 2016</w:t>
      </w:r>
      <w:r w:rsidR="0062109D">
        <w:t xml:space="preserve"> pre </w:t>
      </w:r>
      <w:r w:rsidR="00822C56">
        <w:t xml:space="preserve">prioritné </w:t>
      </w:r>
      <w:r w:rsidR="006921B1">
        <w:t>skupiny</w:t>
      </w:r>
      <w:r w:rsidR="0062109D">
        <w:t xml:space="preserve"> produktov s hodnotou zelených zákaziek. </w:t>
      </w:r>
      <w:r w:rsidR="006A7E92">
        <w:t xml:space="preserve">Zákazky s najvyššou hodnotou </w:t>
      </w:r>
      <w:r w:rsidR="0062109D">
        <w:t>(</w:t>
      </w:r>
      <w:r w:rsidR="00E522BB">
        <w:t>447</w:t>
      </w:r>
      <w:r w:rsidR="00865791">
        <w:t> </w:t>
      </w:r>
      <w:r w:rsidR="00E522BB">
        <w:t>497</w:t>
      </w:r>
      <w:r w:rsidR="00865791">
        <w:t xml:space="preserve"> </w:t>
      </w:r>
      <w:r w:rsidR="00E522BB">
        <w:t>507,57</w:t>
      </w:r>
      <w:r w:rsidR="0062109D">
        <w:t xml:space="preserve"> EUR) </w:t>
      </w:r>
      <w:r w:rsidR="006A7E92">
        <w:t xml:space="preserve">sa realizovali v rámci skupiny produktov </w:t>
      </w:r>
      <w:r w:rsidR="0062109D" w:rsidRPr="00E522BB">
        <w:t>Stavebné práce</w:t>
      </w:r>
      <w:r w:rsidR="0062109D">
        <w:t>. Najmenej finančných prostriedkov (</w:t>
      </w:r>
      <w:r w:rsidR="00E522BB" w:rsidRPr="00E522BB">
        <w:rPr>
          <w:rFonts w:eastAsia="Calibri"/>
          <w:lang w:eastAsia="en-US"/>
        </w:rPr>
        <w:t>514 215,53</w:t>
      </w:r>
      <w:r w:rsidR="0062109D">
        <w:t xml:space="preserve">EUR) bolo vynaložených na obstaranie skupiny </w:t>
      </w:r>
      <w:r w:rsidR="006A7E92">
        <w:t xml:space="preserve">produktov </w:t>
      </w:r>
      <w:r w:rsidR="0062109D" w:rsidRPr="00E522BB">
        <w:t>Záhradnícke produkty a služby.</w:t>
      </w:r>
      <w:r w:rsidR="00F25BDE">
        <w:t xml:space="preserve"> </w:t>
      </w:r>
      <w:r w:rsidR="006A7E92">
        <w:t>Vo väzbe na</w:t>
      </w:r>
      <w:r w:rsidR="00E522BB">
        <w:t xml:space="preserve"> hodnoty zelených zákaziek dosiah</w:t>
      </w:r>
      <w:r w:rsidR="003C37FE">
        <w:t xml:space="preserve">li tie isté skupiny produktov rovnaké priečky, </w:t>
      </w:r>
      <w:r w:rsidR="003C37FE" w:rsidRPr="00E522BB">
        <w:t>Stavebné práce</w:t>
      </w:r>
      <w:r w:rsidR="003C37FE">
        <w:t xml:space="preserve"> s hodnotou zelených zákaziek </w:t>
      </w:r>
      <w:r w:rsidR="003C37FE" w:rsidRPr="003C37FE">
        <w:rPr>
          <w:rFonts w:eastAsia="Calibri"/>
          <w:lang w:eastAsia="en-US"/>
        </w:rPr>
        <w:t>21 790</w:t>
      </w:r>
      <w:r w:rsidR="003C37FE">
        <w:rPr>
          <w:rFonts w:eastAsia="Calibri"/>
          <w:lang w:eastAsia="en-US"/>
        </w:rPr>
        <w:t> </w:t>
      </w:r>
      <w:r w:rsidR="003C37FE" w:rsidRPr="003C37FE">
        <w:rPr>
          <w:rFonts w:eastAsia="Calibri"/>
          <w:lang w:eastAsia="en-US"/>
        </w:rPr>
        <w:t>286</w:t>
      </w:r>
      <w:r w:rsidR="003C37FE">
        <w:rPr>
          <w:rFonts w:eastAsia="Calibri"/>
          <w:lang w:eastAsia="en-US"/>
        </w:rPr>
        <w:t xml:space="preserve"> EUR a </w:t>
      </w:r>
      <w:r w:rsidR="003C37FE" w:rsidRPr="00E522BB">
        <w:t>Záhradnícke produkty a</w:t>
      </w:r>
      <w:r w:rsidR="003C37FE">
        <w:t> </w:t>
      </w:r>
      <w:r w:rsidR="003C37FE" w:rsidRPr="00E522BB">
        <w:t>služby</w:t>
      </w:r>
      <w:r w:rsidR="003C37FE" w:rsidRPr="003C37FE">
        <w:rPr>
          <w:rFonts w:eastAsia="Calibri"/>
          <w:lang w:eastAsia="en-US"/>
        </w:rPr>
        <w:t>107 862,04</w:t>
      </w:r>
      <w:r w:rsidR="003C37FE">
        <w:rPr>
          <w:rFonts w:eastAsia="Calibri"/>
          <w:lang w:eastAsia="en-US"/>
        </w:rPr>
        <w:t xml:space="preserve"> EUR.</w:t>
      </w:r>
    </w:p>
    <w:p w:rsidR="00477839" w:rsidRDefault="00477839" w:rsidP="009767E9">
      <w:pPr>
        <w:spacing w:line="276" w:lineRule="auto"/>
        <w:jc w:val="both"/>
        <w:rPr>
          <w:i/>
          <w:sz w:val="20"/>
          <w:szCs w:val="20"/>
        </w:rPr>
      </w:pPr>
    </w:p>
    <w:p w:rsidR="00377939" w:rsidRPr="00377939" w:rsidRDefault="00397549" w:rsidP="009767E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Gr</w:t>
      </w:r>
      <w:r w:rsidR="009767E9">
        <w:rPr>
          <w:i/>
          <w:sz w:val="20"/>
          <w:szCs w:val="20"/>
        </w:rPr>
        <w:t>af 10</w:t>
      </w:r>
      <w:r w:rsidR="0062109D">
        <w:rPr>
          <w:i/>
          <w:sz w:val="20"/>
          <w:szCs w:val="20"/>
        </w:rPr>
        <w:t xml:space="preserve"> Celková hodnota zákaziek pre </w:t>
      </w:r>
      <w:r w:rsidR="00DB1827">
        <w:rPr>
          <w:i/>
          <w:sz w:val="20"/>
          <w:szCs w:val="20"/>
        </w:rPr>
        <w:t xml:space="preserve"> prioritné</w:t>
      </w:r>
      <w:r w:rsidR="006921B1">
        <w:rPr>
          <w:i/>
          <w:sz w:val="20"/>
          <w:szCs w:val="20"/>
        </w:rPr>
        <w:t xml:space="preserve"> skupiny</w:t>
      </w:r>
      <w:r w:rsidR="0062109D">
        <w:rPr>
          <w:i/>
          <w:sz w:val="20"/>
          <w:szCs w:val="20"/>
        </w:rPr>
        <w:t xml:space="preserve"> produktov a hodnota zelených zákaziek</w:t>
      </w:r>
    </w:p>
    <w:p w:rsidR="0062109D" w:rsidRDefault="00F458A2" w:rsidP="009767E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 wp14:anchorId="5F9EFA76" wp14:editId="70FB6498">
            <wp:extent cx="5080959" cy="3528060"/>
            <wp:effectExtent l="0" t="0" r="571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25" cy="356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09D" w:rsidRDefault="0062109D" w:rsidP="0062109D">
      <w:pPr>
        <w:spacing w:line="276" w:lineRule="auto"/>
        <w:ind w:firstLine="142"/>
        <w:jc w:val="both"/>
      </w:pPr>
    </w:p>
    <w:p w:rsidR="0062109D" w:rsidRDefault="009767E9" w:rsidP="0062109D">
      <w:pPr>
        <w:spacing w:line="276" w:lineRule="auto"/>
        <w:jc w:val="both"/>
      </w:pPr>
      <w:r>
        <w:t>Graf 11</w:t>
      </w:r>
      <w:r w:rsidR="0062109D">
        <w:t xml:space="preserve"> zobrazuje percentuálny podiel počtu zelených zákaziek/nákupov na celkovom počte zákaziek/nákupov</w:t>
      </w:r>
      <w:r w:rsidR="006557DD">
        <w:t>,</w:t>
      </w:r>
      <w:r w:rsidR="0062109D">
        <w:t xml:space="preserve"> realizovanom v</w:t>
      </w:r>
      <w:r w:rsidR="00445C4F">
        <w:t>erejnými inštitúciami za rok 2016</w:t>
      </w:r>
      <w:r w:rsidR="0062109D">
        <w:t xml:space="preserve"> pre </w:t>
      </w:r>
      <w:r w:rsidR="00822C56">
        <w:t xml:space="preserve">prioritné </w:t>
      </w:r>
      <w:r w:rsidR="006921B1">
        <w:t>skupiny</w:t>
      </w:r>
      <w:r w:rsidR="0062109D">
        <w:t xml:space="preserve"> produktov. Najväčší podiel počtu zelených zákaziek vzhľadom k celkovému počtu zákaziek sa dosiahol v skupine </w:t>
      </w:r>
      <w:r w:rsidR="003C37FE">
        <w:t>Kopírovací a grafický papier, a to 50</w:t>
      </w:r>
      <w:r w:rsidR="006557DD" w:rsidRPr="003C37FE">
        <w:t xml:space="preserve"> %.</w:t>
      </w:r>
      <w:r w:rsidR="009557D8">
        <w:t xml:space="preserve"> </w:t>
      </w:r>
      <w:r w:rsidR="003C37FE">
        <w:t xml:space="preserve">Najnižší podiel dosiahla skupina produktov Nábytok s hodnotou 6,2 %. </w:t>
      </w:r>
    </w:p>
    <w:p w:rsidR="0062109D" w:rsidRDefault="0062109D" w:rsidP="0062109D">
      <w:pPr>
        <w:spacing w:line="276" w:lineRule="auto"/>
        <w:ind w:firstLine="142"/>
        <w:jc w:val="both"/>
        <w:rPr>
          <w:i/>
          <w:sz w:val="20"/>
          <w:szCs w:val="20"/>
        </w:rPr>
      </w:pPr>
    </w:p>
    <w:p w:rsidR="0062109D" w:rsidRDefault="009767E9" w:rsidP="009767E9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Graf 11</w:t>
      </w:r>
      <w:r w:rsidR="0062109D">
        <w:rPr>
          <w:i/>
          <w:sz w:val="20"/>
          <w:szCs w:val="20"/>
        </w:rPr>
        <w:t xml:space="preserve"> Indikátor 1 pre </w:t>
      </w:r>
      <w:r w:rsidR="00DB1827">
        <w:rPr>
          <w:i/>
          <w:sz w:val="20"/>
          <w:szCs w:val="20"/>
        </w:rPr>
        <w:t xml:space="preserve"> prioritné</w:t>
      </w:r>
      <w:r w:rsidR="006921B1">
        <w:rPr>
          <w:i/>
          <w:sz w:val="20"/>
          <w:szCs w:val="20"/>
        </w:rPr>
        <w:t xml:space="preserve"> skupiny</w:t>
      </w:r>
      <w:r w:rsidR="0062109D">
        <w:rPr>
          <w:i/>
          <w:sz w:val="20"/>
          <w:szCs w:val="20"/>
        </w:rPr>
        <w:t xml:space="preserve"> produktov</w:t>
      </w:r>
    </w:p>
    <w:p w:rsidR="008D0BFA" w:rsidRDefault="008D0BFA" w:rsidP="009767E9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7A2954" w:rsidP="009767E9">
      <w:pPr>
        <w:spacing w:line="276" w:lineRule="auto"/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74F125A" wp14:editId="2F7FFFB5">
            <wp:extent cx="4031312" cy="2909570"/>
            <wp:effectExtent l="0" t="0" r="7620" b="508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54" cy="299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1B1" w:rsidRDefault="006921B1" w:rsidP="003C37FE">
      <w:pPr>
        <w:spacing w:line="276" w:lineRule="auto"/>
        <w:jc w:val="both"/>
      </w:pPr>
    </w:p>
    <w:p w:rsidR="009767E9" w:rsidRDefault="009767E9" w:rsidP="003C37FE">
      <w:pPr>
        <w:spacing w:line="276" w:lineRule="auto"/>
        <w:jc w:val="both"/>
        <w:rPr>
          <w:i/>
          <w:sz w:val="20"/>
          <w:szCs w:val="20"/>
        </w:rPr>
      </w:pPr>
      <w:r>
        <w:t>Graf 12</w:t>
      </w:r>
      <w:r w:rsidR="0062109D">
        <w:t xml:space="preserve"> zobrazuje percentuálny podiel hodnoty zelených zákaziek/nákupov na celkovej hodnote zákaziek/nákupov</w:t>
      </w:r>
      <w:r w:rsidR="006557DD">
        <w:t>,</w:t>
      </w:r>
      <w:r w:rsidR="0062109D">
        <w:t xml:space="preserve"> realizovan</w:t>
      </w:r>
      <w:r w:rsidR="006557DD">
        <w:t>ých</w:t>
      </w:r>
      <w:r w:rsidR="0062109D">
        <w:t xml:space="preserve"> ve</w:t>
      </w:r>
      <w:r w:rsidR="009F25EB">
        <w:t>rejnými inštitúciami za rok 2016</w:t>
      </w:r>
      <w:r w:rsidR="0062109D">
        <w:t xml:space="preserve"> pre </w:t>
      </w:r>
      <w:r w:rsidR="00822C56">
        <w:t xml:space="preserve">prioritné </w:t>
      </w:r>
      <w:r w:rsidR="006921B1">
        <w:t>skupiny</w:t>
      </w:r>
      <w:r w:rsidR="0062109D">
        <w:t xml:space="preserve"> produktov. Najväčší podiel hodnoty zelených zákaziek vzhľadom </w:t>
      </w:r>
      <w:r w:rsidR="0062109D" w:rsidRPr="003C37FE">
        <w:t>k celkovej hodnote zákaziek sa dosiahol v skup</w:t>
      </w:r>
      <w:r w:rsidR="006557DD" w:rsidRPr="003C37FE">
        <w:t xml:space="preserve">ine </w:t>
      </w:r>
      <w:r w:rsidR="003C37FE" w:rsidRPr="003C37FE">
        <w:t>Kancelárske IT zariadenie</w:t>
      </w:r>
      <w:r w:rsidR="006557DD" w:rsidRPr="003C37FE">
        <w:t xml:space="preserve">, a to </w:t>
      </w:r>
      <w:r w:rsidR="003C37FE" w:rsidRPr="003C37FE">
        <w:t>65,2</w:t>
      </w:r>
      <w:r w:rsidR="006557DD" w:rsidRPr="003C37FE">
        <w:t xml:space="preserve"> %.</w:t>
      </w:r>
      <w:r w:rsidR="008132E1">
        <w:t xml:space="preserve"> O niečo nižšiu hodnotu </w:t>
      </w:r>
      <w:r w:rsidR="003C37FE" w:rsidRPr="003C37FE">
        <w:t>dosiahli ďalšie dve skupiny produktov Textílie (62,7 %) a Kopírovací a grafický papier (62,1 %)</w:t>
      </w:r>
      <w:r w:rsidR="003C37FE">
        <w:t>. Najnižší podiel dosiahla skupina produktov Stavebné práce s hodnotou 4,9 %.</w:t>
      </w:r>
    </w:p>
    <w:p w:rsidR="009767E9" w:rsidRPr="009767E9" w:rsidRDefault="009767E9" w:rsidP="003C37FE">
      <w:pPr>
        <w:spacing w:line="276" w:lineRule="auto"/>
        <w:jc w:val="both"/>
        <w:rPr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477839" w:rsidRDefault="00477839" w:rsidP="003C37FE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9767E9" w:rsidP="003C37FE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Graf 12</w:t>
      </w:r>
      <w:r w:rsidR="0062109D">
        <w:rPr>
          <w:i/>
          <w:sz w:val="20"/>
          <w:szCs w:val="20"/>
        </w:rPr>
        <w:t xml:space="preserve"> Indikátor 2 pre </w:t>
      </w:r>
      <w:r w:rsidR="00DB1827">
        <w:rPr>
          <w:i/>
          <w:sz w:val="20"/>
          <w:szCs w:val="20"/>
        </w:rPr>
        <w:t xml:space="preserve"> prioritné</w:t>
      </w:r>
      <w:r w:rsidR="006921B1">
        <w:rPr>
          <w:i/>
          <w:sz w:val="20"/>
          <w:szCs w:val="20"/>
        </w:rPr>
        <w:t xml:space="preserve"> skupiny</w:t>
      </w:r>
      <w:r w:rsidR="0062109D">
        <w:rPr>
          <w:i/>
          <w:sz w:val="20"/>
          <w:szCs w:val="20"/>
        </w:rPr>
        <w:t xml:space="preserve"> produktov</w:t>
      </w:r>
    </w:p>
    <w:p w:rsidR="008132E1" w:rsidRDefault="008132E1" w:rsidP="003C37FE">
      <w:pPr>
        <w:spacing w:line="276" w:lineRule="auto"/>
        <w:jc w:val="both"/>
        <w:rPr>
          <w:i/>
          <w:sz w:val="20"/>
          <w:szCs w:val="20"/>
        </w:rPr>
      </w:pPr>
    </w:p>
    <w:p w:rsidR="0062109D" w:rsidRDefault="007A2954" w:rsidP="008132E1">
      <w:pPr>
        <w:spacing w:line="276" w:lineRule="auto"/>
      </w:pPr>
      <w:r>
        <w:rPr>
          <w:noProof/>
        </w:rPr>
        <w:drawing>
          <wp:inline distT="0" distB="0" distL="0" distR="0" wp14:anchorId="5C8183B7" wp14:editId="6FA6EFD3">
            <wp:extent cx="3930591" cy="3093058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36" cy="311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F99" w:rsidRDefault="00C71F99" w:rsidP="00C71F99">
      <w:pPr>
        <w:spacing w:line="276" w:lineRule="auto"/>
        <w:jc w:val="both"/>
      </w:pPr>
    </w:p>
    <w:p w:rsidR="00DD40EC" w:rsidRPr="00377939" w:rsidRDefault="006A7E92" w:rsidP="00377939">
      <w:pPr>
        <w:spacing w:line="276" w:lineRule="auto"/>
        <w:jc w:val="both"/>
      </w:pPr>
      <w:r>
        <w:t>S</w:t>
      </w:r>
      <w:r w:rsidR="00C71F99" w:rsidRPr="006A7E92">
        <w:t>kupiny produktov Kopírovací a grafický papier, Kancelárske IT zariadenia</w:t>
      </w:r>
      <w:r>
        <w:t xml:space="preserve">, Dopravné prostriedky a služby dosiahli významný percentuálny podiel </w:t>
      </w:r>
      <w:r w:rsidR="00C71F99" w:rsidRPr="006A7E92">
        <w:t>či už v počte zelených zákaziek/nákupov na celkovom počte zákaziek/nákupov</w:t>
      </w:r>
      <w:r w:rsidR="00FA2FDD" w:rsidRPr="006A7E92">
        <w:t xml:space="preserve"> (Kopírovací a grafický papier 50%, Kancelárske IT zariadenia 33%, Dopravné prostriedky a služby 17,9%)</w:t>
      </w:r>
      <w:r w:rsidR="00C71F99" w:rsidRPr="006A7E92">
        <w:t xml:space="preserve"> ale aj v hodnote zelených zákaziek/nákupov na celkovej hodnote zákaziek/nákupov </w:t>
      </w:r>
      <w:r w:rsidR="00FA2FDD" w:rsidRPr="006A7E92">
        <w:t xml:space="preserve">(Kopírovací a grafický papier 62,1%, Kancelárske IT zariadenia 65,2%, Dopravné prostriedky a služby 35,8%) </w:t>
      </w:r>
      <w:r w:rsidR="00C71F99" w:rsidRPr="006A7E92">
        <w:t>realizovaných verejnými inštitúciami za rok 2016</w:t>
      </w:r>
      <w:r w:rsidR="00FA2FDD" w:rsidRPr="006A7E92">
        <w:t>.</w:t>
      </w:r>
      <w:r w:rsidR="0029334B">
        <w:t xml:space="preserve"> </w:t>
      </w:r>
      <w:r w:rsidRPr="00DB1827">
        <w:t>V akčnom pláne pre zelené verejné obstarávanie boli tieto zahrnuté medzi skupiny produktov, v ktorých sa zamýšľa, zohľadňujúc výsledky pripravovaného prieskumu trhu v SR, zavedenie povinného uplatňovania konkrétnych environmentálnych charakteristík.</w:t>
      </w:r>
      <w:bookmarkStart w:id="28" w:name="_Toc450303829"/>
      <w:bookmarkStart w:id="29" w:name="_Toc419988558"/>
    </w:p>
    <w:p w:rsidR="00DD40EC" w:rsidRDefault="00DD40EC" w:rsidP="00FA2FDD">
      <w:pPr>
        <w:rPr>
          <w:b/>
        </w:rPr>
      </w:pPr>
    </w:p>
    <w:p w:rsidR="00FA2FDD" w:rsidRDefault="00FA2FDD" w:rsidP="00397549">
      <w:pPr>
        <w:pStyle w:val="Nadpis1"/>
        <w:jc w:val="both"/>
      </w:pPr>
      <w:r w:rsidRPr="00FA2FDD">
        <w:t xml:space="preserve">Vyhodnotenie </w:t>
      </w:r>
      <w:r w:rsidR="006A7E92">
        <w:t xml:space="preserve">uplatňovania dobrovoľných schém a ďalších </w:t>
      </w:r>
      <w:r w:rsidRPr="00FA2FDD">
        <w:t>nástrojov v procese verejného obstarávania</w:t>
      </w:r>
    </w:p>
    <w:p w:rsidR="0062109D" w:rsidRPr="00DD40EC" w:rsidRDefault="0062109D" w:rsidP="002E55D0">
      <w:pPr>
        <w:pStyle w:val="Nadpis2"/>
      </w:pPr>
      <w:r w:rsidRPr="00DD40EC">
        <w:t>Obstarávanie produktov s environmentálnym označovaním typu I</w:t>
      </w:r>
      <w:bookmarkEnd w:id="28"/>
      <w:bookmarkEnd w:id="29"/>
    </w:p>
    <w:p w:rsidR="00DD40EC" w:rsidRDefault="00DD40EC" w:rsidP="0062109D">
      <w:pPr>
        <w:spacing w:line="276" w:lineRule="auto"/>
        <w:jc w:val="both"/>
      </w:pPr>
    </w:p>
    <w:p w:rsidR="008D0BFA" w:rsidRDefault="0062109D" w:rsidP="0062109D">
      <w:pPr>
        <w:spacing w:line="276" w:lineRule="auto"/>
        <w:jc w:val="both"/>
      </w:pPr>
      <w:r>
        <w:t>V rámci monitorovania zeleného verejného obstarávania v</w:t>
      </w:r>
      <w:r w:rsidR="008D0BFA">
        <w:t> </w:t>
      </w:r>
      <w:r>
        <w:t>S</w:t>
      </w:r>
      <w:r w:rsidR="008D0BFA">
        <w:t>lovenskej republike</w:t>
      </w:r>
      <w:r>
        <w:t xml:space="preserve"> sa sleduje </w:t>
      </w:r>
      <w:r w:rsidR="008132E1">
        <w:t xml:space="preserve">i </w:t>
      </w:r>
      <w:r>
        <w:t>využívanie</w:t>
      </w:r>
      <w:r w:rsidR="008D0BFA">
        <w:t>:</w:t>
      </w:r>
    </w:p>
    <w:p w:rsidR="008D0BFA" w:rsidRDefault="006A7E92" w:rsidP="008D0BFA">
      <w:pPr>
        <w:pStyle w:val="Odsekzoznamu"/>
        <w:numPr>
          <w:ilvl w:val="0"/>
          <w:numId w:val="8"/>
        </w:numPr>
        <w:spacing w:line="276" w:lineRule="auto"/>
        <w:jc w:val="both"/>
      </w:pPr>
      <w:r>
        <w:t>environmentálnych kritérií európskej schémy</w:t>
      </w:r>
      <w:r w:rsidR="0062109D">
        <w:t xml:space="preserve"> environmentálneho označovania (Environmentálna značka EÚ),</w:t>
      </w:r>
    </w:p>
    <w:p w:rsidR="008D0BFA" w:rsidRDefault="0062109D" w:rsidP="008D0BFA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osobitných podmienok na udelenie národnej značky podľa schémy environmentálneho označovania (Environmentálne vhodný produkt), a  </w:t>
      </w:r>
    </w:p>
    <w:p w:rsidR="0062109D" w:rsidRDefault="0062109D" w:rsidP="008D0BFA">
      <w:pPr>
        <w:pStyle w:val="Odsekzoznamu"/>
        <w:numPr>
          <w:ilvl w:val="0"/>
          <w:numId w:val="8"/>
        </w:numPr>
        <w:spacing w:line="276" w:lineRule="auto"/>
        <w:jc w:val="both"/>
      </w:pPr>
      <w:r>
        <w:t>environmentálnych krité</w:t>
      </w:r>
      <w:r w:rsidR="00740541">
        <w:t>rií z ďalších národných schém</w:t>
      </w:r>
      <w:r>
        <w:t xml:space="preserve"> environmentálneho označovania (Severská </w:t>
      </w:r>
      <w:r w:rsidR="00A9688E">
        <w:t>labuť, Modrý Anjel</w:t>
      </w:r>
      <w:r>
        <w:t>).</w:t>
      </w:r>
    </w:p>
    <w:p w:rsidR="0062109D" w:rsidRDefault="0062109D" w:rsidP="0062109D">
      <w:pPr>
        <w:spacing w:line="276" w:lineRule="auto"/>
        <w:jc w:val="both"/>
      </w:pPr>
    </w:p>
    <w:p w:rsidR="00E5020E" w:rsidRDefault="0062109D" w:rsidP="00377939">
      <w:pPr>
        <w:spacing w:line="276" w:lineRule="auto"/>
        <w:jc w:val="both"/>
      </w:pPr>
      <w:r>
        <w:lastRenderedPageBreak/>
        <w:t>Kritériá európskej schémy environmentálneho označovania (Environmentálna značka</w:t>
      </w:r>
      <w:r w:rsidR="00DD40EC">
        <w:t xml:space="preserve"> EÚ) </w:t>
      </w:r>
      <w:r>
        <w:t>verejní obstarávatel</w:t>
      </w:r>
      <w:r w:rsidR="008132E1">
        <w:t xml:space="preserve">ia a obstarávatelia </w:t>
      </w:r>
      <w:r w:rsidR="009F25EB">
        <w:t>v roku 2016</w:t>
      </w:r>
      <w:r w:rsidR="008132E1">
        <w:t xml:space="preserve"> uplatnili celkom v </w:t>
      </w:r>
      <w:r w:rsidR="003305D4">
        <w:t>954</w:t>
      </w:r>
      <w:r>
        <w:t xml:space="preserve"> zákazkách/nákupoch v celkovej hodnote </w:t>
      </w:r>
      <w:r w:rsidR="003305D4">
        <w:t>2 596 841,29</w:t>
      </w:r>
      <w:r w:rsidR="00FA2FDD" w:rsidRPr="003C00B1">
        <w:t>EUR z čoho ústredné orgány štátnej správy a im podriadené organizácie zrealizovali spolu 550 zákaziek/nákupov v celkovej hodnote 2 249 140,12 EUR a samosprávne kraje, nimi zriadené inštitúcie, mestá a mestské časti zrealizovali spolu 404 zákaziek/nákupov v celkovej hodnote 347 701,17 EUR</w:t>
      </w:r>
      <w:r w:rsidR="00FA2FDD">
        <w:t xml:space="preserve">. </w:t>
      </w:r>
    </w:p>
    <w:p w:rsidR="00E5020E" w:rsidRDefault="00740541" w:rsidP="00377939">
      <w:pPr>
        <w:spacing w:line="276" w:lineRule="auto"/>
        <w:jc w:val="both"/>
      </w:pPr>
      <w:r>
        <w:t>Plnenie osobitných podmienok</w:t>
      </w:r>
      <w:r w:rsidR="0062109D">
        <w:t xml:space="preserve"> na udelenie národnej značky (Environmentálne vhodný produkt) verejní obstarávate</w:t>
      </w:r>
      <w:r w:rsidR="008132E1">
        <w:t xml:space="preserve">lia </w:t>
      </w:r>
      <w:r w:rsidR="00C46CDA">
        <w:t xml:space="preserve">uplatnili </w:t>
      </w:r>
      <w:r w:rsidR="0062109D">
        <w:t>pri </w:t>
      </w:r>
      <w:r w:rsidR="003305D4">
        <w:t>214</w:t>
      </w:r>
      <w:r w:rsidR="0062109D">
        <w:t xml:space="preserve"> zákazkách v celkovej hodnote </w:t>
      </w:r>
      <w:r w:rsidR="003305D4">
        <w:t>295 464,94</w:t>
      </w:r>
      <w:r w:rsidR="0062109D">
        <w:t xml:space="preserve"> EUR</w:t>
      </w:r>
      <w:r w:rsidR="00F25BDE">
        <w:t xml:space="preserve"> </w:t>
      </w:r>
      <w:r w:rsidR="00FA2FDD" w:rsidRPr="003C00B1">
        <w:t xml:space="preserve">z čoho ústredné orgány štátnej správy a im podriadené organizácie zrealizovali spolu </w:t>
      </w:r>
      <w:r w:rsidR="00C46CDA" w:rsidRPr="003C00B1">
        <w:t>133</w:t>
      </w:r>
      <w:r w:rsidR="00FA2FDD" w:rsidRPr="003C00B1">
        <w:t xml:space="preserve"> zákaziek/nákupov v celkovej hodnote </w:t>
      </w:r>
      <w:r w:rsidR="00C46CDA" w:rsidRPr="003C00B1">
        <w:t xml:space="preserve">233 918,08 </w:t>
      </w:r>
      <w:r w:rsidR="00FA2FDD" w:rsidRPr="003C00B1">
        <w:t xml:space="preserve">EUR a samosprávne kraje, nimi zriadené inštitúcie, mestá a mestské časti zrealizovali spolu </w:t>
      </w:r>
      <w:r w:rsidR="00C46CDA" w:rsidRPr="003C00B1">
        <w:t>81</w:t>
      </w:r>
      <w:r w:rsidR="00FA2FDD" w:rsidRPr="003C00B1">
        <w:t xml:space="preserve"> zákaziek/nákupov v celkovej hodnote </w:t>
      </w:r>
      <w:r w:rsidR="00C46CDA" w:rsidRPr="003C00B1">
        <w:t xml:space="preserve">61 546,86 </w:t>
      </w:r>
      <w:r w:rsidR="00FA2FDD" w:rsidRPr="003C00B1">
        <w:t>EUR</w:t>
      </w:r>
      <w:r w:rsidR="0062109D">
        <w:t xml:space="preserve">. </w:t>
      </w:r>
    </w:p>
    <w:p w:rsidR="00865791" w:rsidRDefault="00865791" w:rsidP="00377939">
      <w:pPr>
        <w:spacing w:line="276" w:lineRule="auto"/>
        <w:jc w:val="both"/>
      </w:pPr>
    </w:p>
    <w:p w:rsidR="00377939" w:rsidRDefault="0062109D" w:rsidP="00377939">
      <w:pPr>
        <w:spacing w:line="276" w:lineRule="auto"/>
        <w:jc w:val="both"/>
      </w:pPr>
      <w:r>
        <w:t xml:space="preserve">V rámci zeleného verejného obstarávania sa využili aj </w:t>
      </w:r>
      <w:r w:rsidR="00740541">
        <w:t>kritériá iných národných schém</w:t>
      </w:r>
      <w:r>
        <w:t xml:space="preserve"> pre environmentálne označovanie, a to Modrý anjel (počet zákaziek </w:t>
      </w:r>
      <w:r w:rsidR="003305D4">
        <w:t>120</w:t>
      </w:r>
      <w:r>
        <w:t xml:space="preserve"> v hodnote </w:t>
      </w:r>
      <w:r w:rsidR="003305D4">
        <w:t xml:space="preserve">127 963,76 </w:t>
      </w:r>
      <w:r>
        <w:t>EUR</w:t>
      </w:r>
      <w:r w:rsidR="00F25BDE">
        <w:t xml:space="preserve"> </w:t>
      </w:r>
      <w:r w:rsidR="00C46CDA" w:rsidRPr="003C00B1">
        <w:t>z čoho ústredné orgány štátnej správy a im podriadené organizácie zrealizovali spolu 74 zákaziek/nákupov v celkovej hodnote 118 509,79 EUR a samosprávne kraje, nimi zriadené inštitúcie, mestá a mestské časti zrealizovali spolu 46 zákaziek/nákupov v celkovej hodnote 9 453,97 EUR</w:t>
      </w:r>
      <w:r>
        <w:t>), Ška</w:t>
      </w:r>
      <w:r w:rsidR="006557DD">
        <w:t>ndinávska labuť (počet zákaziek</w:t>
      </w:r>
      <w:r w:rsidR="003305D4">
        <w:t>140</w:t>
      </w:r>
      <w:r>
        <w:t xml:space="preserve"> v hodnote </w:t>
      </w:r>
      <w:r w:rsidR="003305D4">
        <w:t>94 659,49 EUR</w:t>
      </w:r>
      <w:r w:rsidR="00F25BDE">
        <w:t xml:space="preserve"> </w:t>
      </w:r>
      <w:r w:rsidR="00C46CDA" w:rsidRPr="003C00B1">
        <w:t>z čoho ústredné orgány štátnej správy a im podriadené organizácie zrealizovali spolu 120 zákaziek/nákupov v celkovej hodnote 88 596,63 EUR a samosprávne kraje, nimi zriadené inštitúcie, mestá a mestské časti zrealizovali spolu 20 zákaziek/nákupov v celkovej hodnote 6 062,86 EUR</w:t>
      </w:r>
      <w:r w:rsidR="003305D4">
        <w:t>)</w:t>
      </w:r>
      <w:r w:rsidR="006557DD">
        <w:t xml:space="preserve">, ako dokumentuje </w:t>
      </w:r>
      <w:r w:rsidR="006557DD" w:rsidRPr="00DD40EC">
        <w:t xml:space="preserve">príloha </w:t>
      </w:r>
      <w:r w:rsidR="007037E8" w:rsidRPr="00DD40EC">
        <w:t xml:space="preserve">č. </w:t>
      </w:r>
      <w:r w:rsidR="003913E7" w:rsidRPr="00DD40EC">
        <w:t>3</w:t>
      </w:r>
      <w:bookmarkStart w:id="30" w:name="_Toc388525485"/>
      <w:bookmarkStart w:id="31" w:name="_Toc355000158"/>
      <w:bookmarkStart w:id="32" w:name="_Toc326050103"/>
      <w:r w:rsidR="00377939">
        <w:t>.</w:t>
      </w:r>
    </w:p>
    <w:p w:rsidR="0062109D" w:rsidRDefault="00C46CDA" w:rsidP="002E55D0">
      <w:pPr>
        <w:pStyle w:val="Nadpis2"/>
      </w:pPr>
      <w:bookmarkStart w:id="33" w:name="_Toc450303830"/>
      <w:bookmarkStart w:id="34" w:name="_Toc419988559"/>
      <w:r>
        <w:t>Energetické</w:t>
      </w:r>
      <w:r w:rsidR="0062109D">
        <w:t xml:space="preserve"> štítkovani</w:t>
      </w:r>
      <w:bookmarkEnd w:id="30"/>
      <w:bookmarkEnd w:id="31"/>
      <w:bookmarkEnd w:id="32"/>
      <w:r>
        <w:t>e</w:t>
      </w:r>
      <w:bookmarkEnd w:id="33"/>
      <w:bookmarkEnd w:id="34"/>
    </w:p>
    <w:p w:rsidR="0062109D" w:rsidRDefault="0062109D" w:rsidP="0062109D">
      <w:pPr>
        <w:spacing w:line="276" w:lineRule="auto"/>
      </w:pPr>
    </w:p>
    <w:p w:rsidR="00C46CDA" w:rsidRDefault="00740541" w:rsidP="0062109D">
      <w:pPr>
        <w:spacing w:line="276" w:lineRule="auto"/>
        <w:jc w:val="both"/>
      </w:pPr>
      <w:r>
        <w:t xml:space="preserve">V rámci monitorovania úrovne zeleného verejného obstarávania sa hodnotila aj úroveň uplatnenia požiadavky na energetickú efektívnosť, prostredníctvom sledovania požiadavky na nákup/obstarávanie tovaru v energetickej </w:t>
      </w:r>
      <w:r w:rsidRPr="00DB1827">
        <w:t>triede min. A</w:t>
      </w:r>
      <w:r>
        <w:t xml:space="preserve">. Obstarávanie v tejto energetickej triede sa </w:t>
      </w:r>
      <w:r w:rsidR="009F25EB">
        <w:t>v roku 2016</w:t>
      </w:r>
      <w:r w:rsidR="006557DD">
        <w:t xml:space="preserve"> uplatnilo </w:t>
      </w:r>
      <w:r w:rsidR="0062109D">
        <w:t xml:space="preserve">pri </w:t>
      </w:r>
      <w:r w:rsidR="003305D4">
        <w:t>1 053</w:t>
      </w:r>
      <w:r w:rsidR="0062109D">
        <w:t xml:space="preserve"> zákazkách/nákupoch verejných obstarávateľov v celkovej hodnote </w:t>
      </w:r>
      <w:r w:rsidR="003305D4">
        <w:t xml:space="preserve">3 403 957,13 </w:t>
      </w:r>
      <w:r w:rsidR="0062109D">
        <w:t xml:space="preserve">EUR. Ústredné orgány štátnej správy a im podriadené </w:t>
      </w:r>
      <w:r w:rsidR="008132E1">
        <w:t xml:space="preserve">organizácie zrealizovali spolu </w:t>
      </w:r>
      <w:r w:rsidR="003305D4">
        <w:t>658</w:t>
      </w:r>
      <w:r w:rsidR="0062109D">
        <w:t xml:space="preserve">zákaziek/nákupov v celkovej hodnote </w:t>
      </w:r>
      <w:r w:rsidR="003305D4">
        <w:t>2 981 677,42</w:t>
      </w:r>
      <w:r w:rsidR="0062109D">
        <w:t xml:space="preserve"> EUR s uplatnením </w:t>
      </w:r>
      <w:r>
        <w:t xml:space="preserve">tohto aspektu </w:t>
      </w:r>
      <w:r w:rsidR="0062109D">
        <w:t xml:space="preserve">a samosprávne kraje, nimi zriadené inštitúcie, mestá a mestské časti zrealizovali </w:t>
      </w:r>
      <w:r w:rsidR="006557DD">
        <w:t xml:space="preserve">spolu </w:t>
      </w:r>
      <w:r w:rsidR="003305D4">
        <w:t>395</w:t>
      </w:r>
      <w:r w:rsidR="0062109D">
        <w:t xml:space="preserve"> zákaziek/nákupov v celkovej hodnote </w:t>
      </w:r>
      <w:r w:rsidR="003305D4">
        <w:t>422 279,71</w:t>
      </w:r>
      <w:r w:rsidR="0062109D">
        <w:t xml:space="preserve"> EUR</w:t>
      </w:r>
      <w:r w:rsidR="006557DD">
        <w:t xml:space="preserve">, ako dokumentuje </w:t>
      </w:r>
      <w:r w:rsidR="006557DD" w:rsidRPr="00DD40EC">
        <w:t xml:space="preserve">príloha </w:t>
      </w:r>
      <w:r w:rsidR="007037E8" w:rsidRPr="00DD40EC">
        <w:t>č.</w:t>
      </w:r>
      <w:r w:rsidR="003913E7" w:rsidRPr="00DD40EC">
        <w:t>3</w:t>
      </w:r>
      <w:r w:rsidR="0062109D" w:rsidRPr="00DD40EC">
        <w:t>.</w:t>
      </w:r>
    </w:p>
    <w:p w:rsidR="00F25BDE" w:rsidRDefault="00F25BDE" w:rsidP="0062109D">
      <w:pPr>
        <w:spacing w:line="276" w:lineRule="auto"/>
        <w:jc w:val="both"/>
      </w:pPr>
    </w:p>
    <w:p w:rsidR="00C46CDA" w:rsidRPr="00C46CDA" w:rsidRDefault="00C46CDA" w:rsidP="002E55D0">
      <w:pPr>
        <w:pStyle w:val="Nadpis2"/>
      </w:pPr>
      <w:r w:rsidRPr="00C46CDA">
        <w:t>Systémy manažérstva environmentu</w:t>
      </w:r>
    </w:p>
    <w:p w:rsidR="00397549" w:rsidRDefault="00397549" w:rsidP="0062109D">
      <w:pPr>
        <w:spacing w:line="276" w:lineRule="auto"/>
        <w:jc w:val="both"/>
      </w:pPr>
    </w:p>
    <w:p w:rsidR="0062109D" w:rsidRDefault="0062109D" w:rsidP="0062109D">
      <w:pPr>
        <w:spacing w:line="276" w:lineRule="auto"/>
        <w:jc w:val="both"/>
      </w:pPr>
      <w:r>
        <w:t xml:space="preserve">V rámci </w:t>
      </w:r>
      <w:r w:rsidR="006557DD">
        <w:t>GPP</w:t>
      </w:r>
      <w:r>
        <w:t xml:space="preserve"> sa </w:t>
      </w:r>
      <w:r w:rsidR="00740541">
        <w:t>tak</w:t>
      </w:r>
      <w:r>
        <w:t xml:space="preserve">tiež sleduje </w:t>
      </w:r>
      <w:r w:rsidR="006557DD">
        <w:t xml:space="preserve">či boli </w:t>
      </w:r>
      <w:r w:rsidR="00740541">
        <w:t xml:space="preserve">v rámci procesu verejného obstarávania </w:t>
      </w:r>
      <w:r w:rsidR="006557DD">
        <w:t xml:space="preserve">uplatnené </w:t>
      </w:r>
      <w:r>
        <w:t xml:space="preserve"> opa</w:t>
      </w:r>
      <w:r w:rsidR="008D0BFA">
        <w:t>trenia</w:t>
      </w:r>
      <w:r w:rsidR="006557DD">
        <w:t xml:space="preserve"> environmentálneho riadenia. </w:t>
      </w:r>
      <w:r w:rsidR="00397549">
        <w:t xml:space="preserve">Požiadavky na </w:t>
      </w:r>
      <w:r w:rsidR="00740541">
        <w:t>s</w:t>
      </w:r>
      <w:r>
        <w:t xml:space="preserve">ystém manažérstva </w:t>
      </w:r>
      <w:r w:rsidR="00E5020E">
        <w:t>environmentu</w:t>
      </w:r>
      <w:r w:rsidR="00FE753D">
        <w:t xml:space="preserve"> </w:t>
      </w:r>
      <w:r>
        <w:t>podľa normy ISO 14001 sa uplatnil</w:t>
      </w:r>
      <w:r w:rsidR="00740541">
        <w:t>i</w:t>
      </w:r>
      <w:r>
        <w:t xml:space="preserve"> v</w:t>
      </w:r>
      <w:r w:rsidR="003305D4">
        <w:t> 1 434</w:t>
      </w:r>
      <w:r>
        <w:t xml:space="preserve"> zákazkách v celkovej hodnote </w:t>
      </w:r>
      <w:r w:rsidR="003305D4">
        <w:t>45 178 898,05</w:t>
      </w:r>
      <w:r>
        <w:t xml:space="preserve"> EUR. Ústredné orgány štátnej správy a im podriadené organizácie zrealizovali </w:t>
      </w:r>
      <w:r w:rsidR="006557DD">
        <w:t>spolu</w:t>
      </w:r>
      <w:r w:rsidR="003305D4">
        <w:t>1103</w:t>
      </w:r>
      <w:r>
        <w:t xml:space="preserve"> zákaziek/nákupov v celkovej hodnote </w:t>
      </w:r>
      <w:r w:rsidR="003305D4">
        <w:t xml:space="preserve">36 449 016,50 </w:t>
      </w:r>
      <w:r>
        <w:t xml:space="preserve">EUR s uplatnením dôkazu systému </w:t>
      </w:r>
      <w:r>
        <w:lastRenderedPageBreak/>
        <w:t xml:space="preserve">environmentálneho manažérstva a samosprávne kraje, nimi zriadené inštitúcie, mestá a mestské časti zrealizovali </w:t>
      </w:r>
      <w:r w:rsidR="003305D4">
        <w:t>331</w:t>
      </w:r>
      <w:r>
        <w:t xml:space="preserve"> zákaziek/nákupov v celkovej hodnote </w:t>
      </w:r>
      <w:r w:rsidR="003305D4">
        <w:t xml:space="preserve">8 729 881,55 </w:t>
      </w:r>
      <w:r>
        <w:t>EUR</w:t>
      </w:r>
      <w:r w:rsidR="003305D4">
        <w:t>,</w:t>
      </w:r>
      <w:r w:rsidR="00FE753D">
        <w:t xml:space="preserve"> </w:t>
      </w:r>
      <w:r w:rsidR="006557DD">
        <w:t xml:space="preserve">pri ktorých vyžadovali </w:t>
      </w:r>
      <w:r>
        <w:t>dôkaz</w:t>
      </w:r>
      <w:r w:rsidR="006557DD">
        <w:t xml:space="preserve"> o uplatnení</w:t>
      </w:r>
      <w:r>
        <w:t xml:space="preserve"> systému manažérstva</w:t>
      </w:r>
      <w:r w:rsidR="00F25BDE">
        <w:t xml:space="preserve"> </w:t>
      </w:r>
      <w:r w:rsidR="00E5020E">
        <w:t>environmentu</w:t>
      </w:r>
      <w:r>
        <w:t>.</w:t>
      </w:r>
    </w:p>
    <w:bookmarkEnd w:id="27"/>
    <w:p w:rsidR="0062109D" w:rsidRDefault="0062109D" w:rsidP="0062109D">
      <w:pPr>
        <w:spacing w:line="276" w:lineRule="auto"/>
        <w:jc w:val="both"/>
      </w:pPr>
    </w:p>
    <w:p w:rsidR="0062109D" w:rsidRDefault="0062109D" w:rsidP="00397549">
      <w:pPr>
        <w:pStyle w:val="Nadpis1"/>
        <w:jc w:val="left"/>
      </w:pPr>
      <w:bookmarkStart w:id="35" w:name="_Toc450303831"/>
      <w:bookmarkStart w:id="36" w:name="_Toc419988561"/>
      <w:r w:rsidRPr="002E55D0">
        <w:t>Záver</w:t>
      </w:r>
      <w:bookmarkEnd w:id="35"/>
      <w:bookmarkEnd w:id="36"/>
    </w:p>
    <w:p w:rsidR="0062109D" w:rsidRDefault="0062109D" w:rsidP="0062109D">
      <w:pPr>
        <w:spacing w:line="276" w:lineRule="auto"/>
        <w:jc w:val="both"/>
      </w:pPr>
    </w:p>
    <w:p w:rsidR="00372295" w:rsidRDefault="00740541" w:rsidP="00D22A4C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Strategický cieľ stanovený v Národnom akčnom pláne pre zelené verejné obstarávanie na roky 2016 </w:t>
      </w:r>
      <w:r w:rsidR="00BE64C8">
        <w:t>–</w:t>
      </w:r>
      <w:r>
        <w:t xml:space="preserve"> 2020</w:t>
      </w:r>
      <w:r w:rsidR="00BE64C8">
        <w:t xml:space="preserve"> je stanovený v podiele 50% zelených zákaziek na všetkých zákazkách realizovaných vo verejnom obstarávaní</w:t>
      </w:r>
      <w:r w:rsidR="000726FD" w:rsidRPr="000726FD">
        <w:t>.</w:t>
      </w:r>
      <w:r w:rsidR="00BE64C8">
        <w:t xml:space="preserve"> Vyhodnotením získaných údajov od zapojených subjektov sa stanovený cieľ v roku 2016 nepodarilo dosiahnuť.</w:t>
      </w:r>
      <w:r w:rsidR="00F25BDE">
        <w:t xml:space="preserve"> </w:t>
      </w:r>
      <w:r w:rsidR="00D5131A">
        <w:t>O</w:t>
      </w:r>
      <w:r w:rsidR="00372295" w:rsidRPr="000726FD">
        <w:t>ba</w:t>
      </w:r>
      <w:r w:rsidR="00BE64C8">
        <w:t xml:space="preserve"> hodnotené</w:t>
      </w:r>
      <w:r w:rsidR="00372295" w:rsidRPr="000726FD">
        <w:t xml:space="preserve"> indikátory </w:t>
      </w:r>
      <w:r w:rsidR="00BE64C8">
        <w:t>po</w:t>
      </w:r>
      <w:r w:rsidR="00D5131A">
        <w:t xml:space="preserve">klesli </w:t>
      </w:r>
      <w:r w:rsidR="00372295" w:rsidRPr="000726FD">
        <w:t>ako v sumárnych údajoch, tak aj za samostatné skupiny (ústredné orgány štátnej správy a im podriadené organizácie; samosprávne kraje a im podriadené organizácie a mestá a mestské časti Bratislavy a Košíc).</w:t>
      </w:r>
    </w:p>
    <w:p w:rsidR="0062109D" w:rsidRDefault="00372295" w:rsidP="00372295">
      <w:pPr>
        <w:autoSpaceDE w:val="0"/>
        <w:autoSpaceDN w:val="0"/>
        <w:adjustRightInd w:val="0"/>
        <w:spacing w:after="120" w:line="276" w:lineRule="auto"/>
        <w:jc w:val="both"/>
      </w:pPr>
      <w:r w:rsidRPr="00D5131A">
        <w:t>Indikátor 1 (podiel počtu zelených zákaziek na všetkých zákazkách v</w:t>
      </w:r>
      <w:r w:rsidR="00D5131A">
        <w:t>o verejnom obstarávaní) klesol  medziročne o 17,2</w:t>
      </w:r>
      <w:r w:rsidRPr="00D5131A">
        <w:t xml:space="preserve"> percentuálneho bodu  </w:t>
      </w:r>
      <w:r w:rsidR="005D1EBD">
        <w:t>(</w:t>
      </w:r>
      <w:r w:rsidRPr="00D5131A">
        <w:t>„p.b.“),  prič</w:t>
      </w:r>
      <w:r w:rsidR="00D5131A">
        <w:t>om za ústredné orgány bol pokles o 10,5</w:t>
      </w:r>
      <w:r w:rsidRPr="00D5131A">
        <w:t xml:space="preserve"> p. b. a za </w:t>
      </w:r>
      <w:r w:rsidR="00D5131A">
        <w:t xml:space="preserve">samosprávne kraje a mestá </w:t>
      </w:r>
      <w:r w:rsidR="00C232A9">
        <w:t xml:space="preserve">bol </w:t>
      </w:r>
      <w:r w:rsidR="00D5131A">
        <w:t>pokles o 24,4</w:t>
      </w:r>
      <w:r w:rsidRPr="00D5131A">
        <w:t xml:space="preserve"> p. b.  Indikátor 2 (podiel hodnoty zelených </w:t>
      </w:r>
      <w:r w:rsidR="00325A47">
        <w:t xml:space="preserve">zákaziek na </w:t>
      </w:r>
      <w:r w:rsidRPr="00D5131A">
        <w:t>všetkých zákazkách vo verejnom obstarávaní) me</w:t>
      </w:r>
      <w:r w:rsidR="008D0BFA" w:rsidRPr="00D5131A">
        <w:t>d</w:t>
      </w:r>
      <w:r w:rsidR="00D5131A">
        <w:t>ziročne klesol o 17,9</w:t>
      </w:r>
      <w:r w:rsidRPr="00D5131A">
        <w:t xml:space="preserve"> p. b, </w:t>
      </w:r>
      <w:r w:rsidR="00D5131A">
        <w:t xml:space="preserve">pričom za ústredné orgány bol pokles o 16,3 p. b. a za mestá a samosprávne kraje bol pokles </w:t>
      </w:r>
      <w:r w:rsidR="00325A47">
        <w:t>o 27 p. b.</w:t>
      </w:r>
    </w:p>
    <w:p w:rsidR="00372295" w:rsidRDefault="00BE64C8" w:rsidP="00372295">
      <w:pPr>
        <w:autoSpaceDE w:val="0"/>
        <w:autoSpaceDN w:val="0"/>
        <w:adjustRightInd w:val="0"/>
        <w:spacing w:after="120" w:line="276" w:lineRule="auto"/>
        <w:jc w:val="both"/>
      </w:pPr>
      <w:r>
        <w:t>Dosiahnutý výsledok monitorovania hodnotíme ako dôsledok nižšie uvedených objektívnych skutočností</w:t>
      </w:r>
      <w:r w:rsidR="00372295">
        <w:t>:</w:t>
      </w:r>
    </w:p>
    <w:p w:rsidR="00841279" w:rsidRDefault="00372295" w:rsidP="00372295">
      <w:pPr>
        <w:pStyle w:val="Odsekzoznamu"/>
        <w:numPr>
          <w:ilvl w:val="0"/>
          <w:numId w:val="6"/>
        </w:numPr>
        <w:spacing w:line="276" w:lineRule="auto"/>
        <w:ind w:left="426" w:hanging="426"/>
        <w:jc w:val="both"/>
      </w:pPr>
      <w:r>
        <w:t>finančné obmedzenia</w:t>
      </w:r>
      <w:r w:rsidR="00841279" w:rsidRPr="00372295">
        <w:t xml:space="preserve"> vo verejnej správe, ktoré vedú k tomu, že sa </w:t>
      </w:r>
      <w:r w:rsidR="007E20C4">
        <w:t xml:space="preserve">pri nákupoch </w:t>
      </w:r>
      <w:r w:rsidR="00841279" w:rsidRPr="00372295">
        <w:t>uprednostňujú environmentálne necertifikované výrobky a služby, ktoré sú stále</w:t>
      </w:r>
      <w:r>
        <w:t xml:space="preserve"> cenovo</w:t>
      </w:r>
      <w:r w:rsidR="00841279" w:rsidRPr="00372295">
        <w:t xml:space="preserve"> dostupnejšie a držia s</w:t>
      </w:r>
      <w:r w:rsidR="008D0BFA">
        <w:t xml:space="preserve">i </w:t>
      </w:r>
      <w:r w:rsidR="00BE64C8">
        <w:t xml:space="preserve">stabilnú </w:t>
      </w:r>
      <w:r w:rsidR="008D0BFA">
        <w:t xml:space="preserve">pozíciu </w:t>
      </w:r>
      <w:r>
        <w:t>na trhu najmä vďaka nízkej cene;</w:t>
      </w:r>
    </w:p>
    <w:p w:rsidR="00325A47" w:rsidRDefault="00325A47" w:rsidP="00372295">
      <w:pPr>
        <w:pStyle w:val="Odsekzoznamu"/>
        <w:numPr>
          <w:ilvl w:val="0"/>
          <w:numId w:val="6"/>
        </w:numPr>
        <w:spacing w:line="276" w:lineRule="auto"/>
        <w:ind w:left="426" w:hanging="426"/>
        <w:jc w:val="both"/>
      </w:pPr>
      <w:r>
        <w:t>jednou z príčin môže byť i administratívne zaťaženie</w:t>
      </w:r>
      <w:r w:rsidR="00392824">
        <w:t xml:space="preserve"> spôsobené </w:t>
      </w:r>
      <w:r w:rsidR="00BF1E85">
        <w:t>získavaním údajov potrebných na vyplnenie dotazníka</w:t>
      </w:r>
      <w:r>
        <w:t xml:space="preserve">, ktoré je </w:t>
      </w:r>
      <w:r w:rsidR="00C232A9">
        <w:t xml:space="preserve">možno </w:t>
      </w:r>
      <w:r>
        <w:t xml:space="preserve">z pohľadu </w:t>
      </w:r>
      <w:r w:rsidR="00C232A9">
        <w:t>zamestnancov zodpovedných za vyplnenie dotazníka časovo náročnejšie</w:t>
      </w:r>
      <w:r w:rsidR="00392824">
        <w:t>. Ovplyvňuje to nie len návratnosť dotazníkov ale i neúplnosť poskytnutia údajov v dotazníkoch alebo poskytnutie údajov na základe odhadov</w:t>
      </w:r>
      <w:r w:rsidR="00C232A9">
        <w:t>;</w:t>
      </w:r>
    </w:p>
    <w:p w:rsidR="00BE64C8" w:rsidRDefault="00BE64C8" w:rsidP="00372295">
      <w:pPr>
        <w:pStyle w:val="Odsekzoznamu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nestabilita personálnych zdrojov, </w:t>
      </w:r>
      <w:r w:rsidR="00351F77">
        <w:t xml:space="preserve">častá </w:t>
      </w:r>
      <w:r>
        <w:t>fluktuácia</w:t>
      </w:r>
      <w:r w:rsidR="00841279">
        <w:t xml:space="preserve"> pracovníkov</w:t>
      </w:r>
      <w:r w:rsidR="00325A47">
        <w:t xml:space="preserve"> vo verejnej správe</w:t>
      </w:r>
      <w:r w:rsidR="00841279">
        <w:t>, zodpovedných za oblasť verejného obstarávania, pričom noví pracovníci</w:t>
      </w:r>
      <w:r w:rsidR="00F25BDE">
        <w:t xml:space="preserve"> </w:t>
      </w:r>
      <w:r w:rsidR="00841279">
        <w:t xml:space="preserve">nedisponujú vedomosťami o zelenom verejnom obstarávaní </w:t>
      </w:r>
      <w:r>
        <w:t xml:space="preserve">a odovzdanou agendou </w:t>
      </w:r>
      <w:r w:rsidR="00325A47">
        <w:t xml:space="preserve">od predchádzajúceho zamestnanca </w:t>
      </w:r>
      <w:r w:rsidR="00841279">
        <w:t xml:space="preserve">a tak </w:t>
      </w:r>
      <w:r w:rsidR="007E20C4">
        <w:t>nielen nemajú záujem uplatňovať environmentálne charakteristiky vo verejnom obstarávaní, ale</w:t>
      </w:r>
      <w:r w:rsidR="004443E9">
        <w:t xml:space="preserve"> navyše </w:t>
      </w:r>
      <w:r w:rsidR="00841279">
        <w:t>nie sú scho</w:t>
      </w:r>
      <w:r w:rsidR="004443E9">
        <w:t xml:space="preserve">pní poskytnúť relevantné údaje. </w:t>
      </w:r>
      <w:r>
        <w:t>Z týchto dôvodov sa do monitorovania nezapájajú, čím sa v konečnom dôsledku znižuje návratnosť dotazníkov;</w:t>
      </w:r>
    </w:p>
    <w:p w:rsidR="00325A47" w:rsidRDefault="00C232A9" w:rsidP="00372295">
      <w:pPr>
        <w:pStyle w:val="Odsekzoznamu"/>
        <w:numPr>
          <w:ilvl w:val="0"/>
          <w:numId w:val="6"/>
        </w:numPr>
        <w:spacing w:line="276" w:lineRule="auto"/>
        <w:ind w:left="426" w:hanging="426"/>
        <w:jc w:val="both"/>
      </w:pPr>
      <w:r>
        <w:t xml:space="preserve">pokles hodnôt oboch indikátorov môže </w:t>
      </w:r>
      <w:r w:rsidR="00BE64C8">
        <w:t xml:space="preserve">paradoxne </w:t>
      </w:r>
      <w:r>
        <w:t>na druhej strane súvisieť aj so zvýšeným povedomím/vedomosťami pracovníkov zodpovedných za oblasť verej</w:t>
      </w:r>
      <w:r w:rsidR="00BE64C8">
        <w:t>ného obstarávania vzhľadom na schopnosť posúdiť</w:t>
      </w:r>
      <w:r>
        <w:t xml:space="preserve">, ktoré zákazky/nákupy </w:t>
      </w:r>
      <w:r w:rsidR="00BE64C8">
        <w:t xml:space="preserve">možno </w:t>
      </w:r>
      <w:r>
        <w:t>zahrnúť medzi tie s environmentálnymi charakteristikami</w:t>
      </w:r>
      <w:r w:rsidR="00392824">
        <w:t>, teda za „zelené“,</w:t>
      </w:r>
      <w:r>
        <w:t xml:space="preserve"> a ktoré nie;</w:t>
      </w:r>
    </w:p>
    <w:p w:rsidR="00C9158A" w:rsidRDefault="007E20C4" w:rsidP="00841279">
      <w:pPr>
        <w:pStyle w:val="Odsekzoznamu"/>
        <w:numPr>
          <w:ilvl w:val="0"/>
          <w:numId w:val="6"/>
        </w:numPr>
        <w:spacing w:line="276" w:lineRule="auto"/>
        <w:ind w:left="426" w:hanging="426"/>
        <w:jc w:val="both"/>
      </w:pPr>
      <w:r>
        <w:t>povinnosť realizovať GPP je na úrovni samosprávnych krajov a miest a mestských častí Bratislavy a Košíc uznesením vlády iba odporúčaná, preto</w:t>
      </w:r>
      <w:r w:rsidR="008D0BFA">
        <w:t xml:space="preserve"> mestá a</w:t>
      </w:r>
      <w:r>
        <w:t xml:space="preserve"> najmä organi</w:t>
      </w:r>
      <w:r w:rsidR="004443E9">
        <w:t>zácie, podriadené samosprávnym</w:t>
      </w:r>
      <w:r>
        <w:t xml:space="preserve"> kraj</w:t>
      </w:r>
      <w:r w:rsidR="004443E9">
        <w:t>o</w:t>
      </w:r>
      <w:r>
        <w:t>m, nemajú záujem sa do monitorovania zapojiť.</w:t>
      </w:r>
    </w:p>
    <w:p w:rsidR="00841279" w:rsidRDefault="00841279" w:rsidP="00841279">
      <w:pPr>
        <w:spacing w:line="276" w:lineRule="auto"/>
        <w:jc w:val="both"/>
      </w:pPr>
    </w:p>
    <w:p w:rsidR="00C9158A" w:rsidRDefault="00C9158A" w:rsidP="00C9158A">
      <w:pPr>
        <w:spacing w:after="120" w:line="276" w:lineRule="auto"/>
        <w:jc w:val="both"/>
      </w:pPr>
      <w:r w:rsidRPr="00BF52B1">
        <w:t xml:space="preserve">Zlepšenie existujúceho stavu </w:t>
      </w:r>
      <w:r w:rsidR="00DB1827">
        <w:t xml:space="preserve">v </w:t>
      </w:r>
      <w:r w:rsidRPr="00BF52B1">
        <w:t>uplatňovan</w:t>
      </w:r>
      <w:r w:rsidR="00DB1827">
        <w:t>í</w:t>
      </w:r>
      <w:r w:rsidRPr="00BF52B1">
        <w:t xml:space="preserve"> environmentálnych aspektov vo verejnom obstarávaní možno uskutočniť najmä prostredníctvom </w:t>
      </w:r>
      <w:r w:rsidR="00351F77">
        <w:rPr>
          <w:i/>
        </w:rPr>
        <w:t xml:space="preserve"> kontinuálneho</w:t>
      </w:r>
      <w:r w:rsidRPr="00BF52B1">
        <w:rPr>
          <w:i/>
        </w:rPr>
        <w:t xml:space="preserve"> vzdelávania a zvyšovania informovanosti</w:t>
      </w:r>
      <w:r w:rsidRPr="00BF52B1">
        <w:t xml:space="preserve"> verejných obstarávateľov a obstarávateľov o GPP. </w:t>
      </w:r>
      <w:r w:rsidR="00B921F9">
        <w:t>V priebehu pl</w:t>
      </w:r>
      <w:r w:rsidR="00BE64C8">
        <w:t>atnosti NAP GPP II</w:t>
      </w:r>
      <w:r w:rsidR="00B921F9">
        <w:t xml:space="preserve"> (2011-2015) sme uskutočnili spolu 24 seminárov pre zelené verejné obstarávanie, kde sme celkovo vyškolili </w:t>
      </w:r>
      <w:r w:rsidR="00BC229E">
        <w:t>580 pracovníkov zodpovedných za verejné obstarávanie v rámci 333 inštitúcií</w:t>
      </w:r>
      <w:r w:rsidR="00972BB5">
        <w:t>,</w:t>
      </w:r>
      <w:r w:rsidR="00BC229E">
        <w:t xml:space="preserve"> ako dokumentuje </w:t>
      </w:r>
      <w:r w:rsidR="003913E7" w:rsidRPr="00DD40EC">
        <w:t>príloha č. 4</w:t>
      </w:r>
      <w:r w:rsidR="00BC229E">
        <w:t xml:space="preserve">. </w:t>
      </w:r>
      <w:r w:rsidRPr="00BF52B1">
        <w:t>Ak  pochopia všetci účastníci procesu verejného obstarávania, aké výhody im GPP prinesie, aké sú možnosti uplatňovania environmentálnych charakteristík</w:t>
      </w:r>
      <w:r w:rsidR="00124403">
        <w:t>,</w:t>
      </w:r>
      <w:r w:rsidRPr="00BF52B1">
        <w:t xml:space="preserve"> akým spôsobom ich majú vo verejnom obstarávaní </w:t>
      </w:r>
      <w:r w:rsidR="009004E0">
        <w:t xml:space="preserve">správnym spôsobom </w:t>
      </w:r>
      <w:r w:rsidRPr="00BF52B1">
        <w:t>aplikovať, prispeje to k významnému zlepšeniu životného prostredia (i v dôsledku vysokých objemov nákupov, ktoré subjekty verejnej správy realizujú prostredníctvom v</w:t>
      </w:r>
      <w:r w:rsidR="00BE64C8">
        <w:t>erejného obstarávania). A</w:t>
      </w:r>
      <w:r w:rsidRPr="00BF52B1">
        <w:t xml:space="preserve">k sa pri obstarávaní okrem ceny a kvality výrobkov a služieb zohľadňuje aj ich vplyv na životné prostredie, tak GPP predstavuje spôsob, ktorým možno </w:t>
      </w:r>
      <w:r w:rsidR="009004E0">
        <w:t xml:space="preserve">významne </w:t>
      </w:r>
      <w:r w:rsidRPr="00BF52B1">
        <w:t>prispievať k ochrane životného prostredia v rámci postupov verejného obstarávania</w:t>
      </w:r>
      <w:r>
        <w:t>. Keďže dopyt organizácií, financovaných z verejných zdrojov, predstavuje významný podiel na trhu, ich environmentálne správanie sa je možné usmerňovať prostredníctvom implementácie tohto dobrovoľného nástroja environmentálnej politiky.</w:t>
      </w:r>
      <w:r w:rsidR="00F25BDE">
        <w:t xml:space="preserve"> </w:t>
      </w:r>
      <w:r w:rsidR="00972BB5">
        <w:t>Preto sa aj naďalej budeme snažiť o zapojenie vyššieho počtu relevantných subjektov do aktivít zameraných na zvýšenie povedomia o zelenom verejnom obstarávaní predovšetkým prostredníctvom účasti týchto subjektov na plánovaných seminároch pre zelené verejné obstarávanie vo vybraných krajských mestách SR</w:t>
      </w:r>
      <w:r w:rsidR="00BE64C8">
        <w:t>,</w:t>
      </w:r>
      <w:r w:rsidR="00972BB5">
        <w:t xml:space="preserve"> ako i </w:t>
      </w:r>
      <w:r w:rsidR="00BE64C8">
        <w:t>distribúciou</w:t>
      </w:r>
      <w:r w:rsidR="00972BB5">
        <w:t xml:space="preserve"> vzdelávacích materiálov a</w:t>
      </w:r>
      <w:r w:rsidR="00BE64C8">
        <w:t xml:space="preserve"> realizáciou </w:t>
      </w:r>
      <w:r w:rsidR="00972BB5">
        <w:t xml:space="preserve">ďalších aktivít zameraných na zelené verejné obstarávanie. </w:t>
      </w:r>
    </w:p>
    <w:p w:rsidR="0099084F" w:rsidRDefault="0099084F" w:rsidP="0099084F">
      <w:pPr>
        <w:spacing w:after="120" w:line="276" w:lineRule="auto"/>
        <w:jc w:val="both"/>
      </w:pPr>
      <w:r>
        <w:t>Prostredníctvom nadstavených opatrení a aktivít v NAP GPP III, v súvislosti s návrhom konkrétnych</w:t>
      </w:r>
      <w:r w:rsidRPr="00B02FAB">
        <w:t xml:space="preserve"> cieľov pre zelené verejné obstarávanie v rámci vybraných skupín produktov</w:t>
      </w:r>
      <w:r>
        <w:t xml:space="preserve"> je snahou zaviesť povinné uplatňovanie konkrétnych environmentálnych charakteristík týchto</w:t>
      </w:r>
      <w:r w:rsidR="00F25BDE">
        <w:t xml:space="preserve"> </w:t>
      </w:r>
      <w:r>
        <w:t xml:space="preserve">vybraných skupín produktov, ktoré budú </w:t>
      </w:r>
      <w:r w:rsidRPr="00B02FAB">
        <w:t xml:space="preserve">stanovené </w:t>
      </w:r>
      <w:r>
        <w:t xml:space="preserve">na základe výsledkov </w:t>
      </w:r>
      <w:r w:rsidRPr="00B02FAB">
        <w:t>analýzy trhu SR ako i nastavení monitorovacieho systému GPP</w:t>
      </w:r>
      <w:r>
        <w:t>, najskôr však od roku 2018</w:t>
      </w:r>
      <w:r w:rsidRPr="00B02FAB">
        <w:t>.</w:t>
      </w:r>
      <w:r>
        <w:t xml:space="preserve"> Predpokladom týchto krokov je získať prehľad o </w:t>
      </w:r>
      <w:r w:rsidR="009E2521">
        <w:t xml:space="preserve">„zelených“ </w:t>
      </w:r>
      <w:r>
        <w:t>výrobkoch a</w:t>
      </w:r>
      <w:r w:rsidR="009E2521">
        <w:t xml:space="preserve"> službách dostupných na trhu SR, čo ocenia i verejní obstarávatelia a tiež podkladový materiál, na základe ktorého je možné podstúpiť ďalšie kroky a smerovanie v oblasti zeleného verejného obstarávania. </w:t>
      </w:r>
    </w:p>
    <w:p w:rsidR="00603D06" w:rsidRDefault="00972BB5" w:rsidP="00C9158A">
      <w:pPr>
        <w:spacing w:after="120" w:line="276" w:lineRule="auto"/>
        <w:jc w:val="both"/>
      </w:pPr>
      <w:r>
        <w:t>Ďalšou</w:t>
      </w:r>
      <w:r w:rsidR="009E2521">
        <w:t xml:space="preserve"> z ciest, ako</w:t>
      </w:r>
      <w:r w:rsidR="00BC4443">
        <w:t xml:space="preserve"> možno dosiahnuť</w:t>
      </w:r>
      <w:r w:rsidR="009E2521">
        <w:t xml:space="preserve"> zlepšenie</w:t>
      </w:r>
      <w:r w:rsidR="00BE64C8">
        <w:t xml:space="preserve"> súčasného stavu</w:t>
      </w:r>
      <w:r w:rsidR="00BC4443">
        <w:t>, je</w:t>
      </w:r>
      <w:r w:rsidR="004443E9" w:rsidRPr="00F70C7D">
        <w:rPr>
          <w:i/>
        </w:rPr>
        <w:t> spolupráca s</w:t>
      </w:r>
      <w:r w:rsidR="00BC4443" w:rsidRPr="00F70C7D">
        <w:rPr>
          <w:i/>
        </w:rPr>
        <w:t> rele</w:t>
      </w:r>
      <w:r w:rsidR="00603D06" w:rsidRPr="00F70C7D">
        <w:rPr>
          <w:i/>
        </w:rPr>
        <w:t>vantnými inštitúciami v oblasti verejného obstarávania</w:t>
      </w:r>
      <w:r w:rsidR="00603D06">
        <w:t xml:space="preserve"> a to predovšetkým s Úradom pre verejné obstarávanie a tiež s </w:t>
      </w:r>
      <w:r w:rsidR="004443E9" w:rsidRPr="00BC4443">
        <w:t>M</w:t>
      </w:r>
      <w:r w:rsidR="008D0BFA" w:rsidRPr="00BC4443">
        <w:t>inisterstvom vnútra Slov</w:t>
      </w:r>
      <w:r w:rsidR="00BC1CCB" w:rsidRPr="00BC4443">
        <w:t>e</w:t>
      </w:r>
      <w:r w:rsidR="008D0BFA" w:rsidRPr="00BC4443">
        <w:t>nskej republiky</w:t>
      </w:r>
      <w:r w:rsidR="00603D06">
        <w:t>.</w:t>
      </w:r>
      <w:r w:rsidR="00F25BDE">
        <w:t xml:space="preserve"> </w:t>
      </w:r>
      <w:r w:rsidR="003C00B1">
        <w:t>Ťažisko budúcej komunikácie s týmito inštitúciami by malo byť zamerané</w:t>
      </w:r>
      <w:r w:rsidR="00603D06">
        <w:t xml:space="preserve"> práve na oblasť monitorovania zeleného verejného obstarávania, </w:t>
      </w:r>
      <w:r w:rsidR="003C00B1">
        <w:t>za účelom získania dôveryhodnejších</w:t>
      </w:r>
      <w:r w:rsidR="00F25BDE">
        <w:t xml:space="preserve"> </w:t>
      </w:r>
      <w:r w:rsidR="003C00B1">
        <w:t xml:space="preserve">a presnejších </w:t>
      </w:r>
      <w:r w:rsidR="00603D06">
        <w:t>výsledkov</w:t>
      </w:r>
      <w:r w:rsidR="003C00B1">
        <w:t>,</w:t>
      </w:r>
      <w:r w:rsidR="00603D06">
        <w:t xml:space="preserve"> ako aj možných príkladov dobrej praxe. </w:t>
      </w:r>
    </w:p>
    <w:p w:rsidR="0062109D" w:rsidRDefault="004443E9" w:rsidP="00D83C3E">
      <w:pPr>
        <w:autoSpaceDE w:val="0"/>
        <w:autoSpaceDN w:val="0"/>
        <w:adjustRightInd w:val="0"/>
        <w:spacing w:after="120" w:line="276" w:lineRule="auto"/>
        <w:jc w:val="both"/>
      </w:pPr>
      <w:r>
        <w:t>Sme si vedomí skutočnosti, že r</w:t>
      </w:r>
      <w:r w:rsidRPr="00BF52B1">
        <w:t xml:space="preserve">ealizácia GPP </w:t>
      </w:r>
      <w:r>
        <w:t xml:space="preserve"> je </w:t>
      </w:r>
      <w:r w:rsidRPr="00BF52B1">
        <w:t xml:space="preserve"> proces pomerne zložitý a špecifický. Presadzovanie myšlienky GPP sa v súčasnosti javí o</w:t>
      </w:r>
      <w:r>
        <w:t>veľa</w:t>
      </w:r>
      <w:r w:rsidRPr="00BF52B1">
        <w:t xml:space="preserve"> jednoduchšie v podmienkach verejných inštitúcií a orgánov, ako v súkromnom sektore, hoci GPP môže byť prínosom pre obstarávateľa v podobe zvýšenia jeho kred</w:t>
      </w:r>
      <w:r w:rsidR="00AD7CF7">
        <w:t>itu medzi kooperujúcimi subjekt</w:t>
      </w:r>
      <w:r w:rsidRPr="00BF52B1">
        <w:t>mi, konkurenciou i v očiach verejnosti.</w:t>
      </w:r>
      <w:r w:rsidR="00F25BDE">
        <w:t xml:space="preserve"> </w:t>
      </w:r>
      <w:r w:rsidR="00BF1E85">
        <w:t xml:space="preserve">V našom záujme je smerovať zelené verejné obstarávanie v podmienkach SR takým spôsobom, aby </w:t>
      </w:r>
      <w:r w:rsidR="003C00B1">
        <w:t>ho verejní obstarávatelia</w:t>
      </w:r>
      <w:r w:rsidR="00F25BDE">
        <w:t xml:space="preserve"> </w:t>
      </w:r>
      <w:r w:rsidR="003C00B1">
        <w:t xml:space="preserve">vnímali ako dostupný a </w:t>
      </w:r>
      <w:r w:rsidR="00BF1E85">
        <w:t xml:space="preserve">ľahko </w:t>
      </w:r>
      <w:r w:rsidR="003C00B1">
        <w:t>aplikovateľný nástroj, ktorý poskytne</w:t>
      </w:r>
      <w:r w:rsidR="00BF1E85">
        <w:t xml:space="preserve"> verejným obstarávateľom </w:t>
      </w:r>
      <w:r w:rsidR="003C00B1">
        <w:t xml:space="preserve">významné </w:t>
      </w:r>
      <w:r w:rsidR="00BF1E85">
        <w:t>benefity</w:t>
      </w:r>
      <w:r w:rsidR="003C00B1">
        <w:t>.</w:t>
      </w:r>
      <w:bookmarkStart w:id="37" w:name="_GoBack"/>
      <w:bookmarkEnd w:id="37"/>
    </w:p>
    <w:sectPr w:rsidR="0062109D" w:rsidSect="002E55D0"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81" w:rsidRDefault="00C35381" w:rsidP="00D22A4C">
      <w:r>
        <w:separator/>
      </w:r>
    </w:p>
  </w:endnote>
  <w:endnote w:type="continuationSeparator" w:id="0">
    <w:p w:rsidR="00C35381" w:rsidRDefault="00C35381" w:rsidP="00D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72888"/>
      <w:docPartObj>
        <w:docPartGallery w:val="Page Numbers (Bottom of Page)"/>
        <w:docPartUnique/>
      </w:docPartObj>
    </w:sdtPr>
    <w:sdtEndPr/>
    <w:sdtContent>
      <w:p w:rsidR="00325B74" w:rsidRDefault="00325B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3E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81" w:rsidRDefault="00C35381" w:rsidP="00D22A4C">
      <w:r>
        <w:separator/>
      </w:r>
    </w:p>
  </w:footnote>
  <w:footnote w:type="continuationSeparator" w:id="0">
    <w:p w:rsidR="00C35381" w:rsidRDefault="00C35381" w:rsidP="00D2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74" w:rsidRDefault="00325B7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3165475</wp:posOffset>
              </wp:positionH>
              <wp:positionV relativeFrom="paragraph">
                <wp:posOffset>-78740</wp:posOffset>
              </wp:positionV>
              <wp:extent cx="3200400" cy="133731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33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B74" w:rsidRPr="00397549" w:rsidRDefault="00325B74" w:rsidP="0039754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249.25pt;margin-top:-6.2pt;width:252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" filled="f" stroked="f">
              <v:textbox>
                <w:txbxContent>
                  <w:p w:rsidR="00822C56" w:rsidRPr="00397549" w:rsidRDefault="00822C56" w:rsidP="0039754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D9"/>
    <w:multiLevelType w:val="hybridMultilevel"/>
    <w:tmpl w:val="24CC0A96"/>
    <w:lvl w:ilvl="0" w:tplc="53E28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814"/>
    <w:multiLevelType w:val="hybridMultilevel"/>
    <w:tmpl w:val="16D2B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D57"/>
    <w:multiLevelType w:val="hybridMultilevel"/>
    <w:tmpl w:val="DCEE34D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AD25B5"/>
    <w:multiLevelType w:val="hybridMultilevel"/>
    <w:tmpl w:val="0CEE80C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110ED"/>
    <w:multiLevelType w:val="hybridMultilevel"/>
    <w:tmpl w:val="11F41B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1024B"/>
    <w:multiLevelType w:val="hybridMultilevel"/>
    <w:tmpl w:val="EBA0EDA6"/>
    <w:lvl w:ilvl="0" w:tplc="2B5CE2A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AB1E6C"/>
    <w:multiLevelType w:val="hybridMultilevel"/>
    <w:tmpl w:val="106C6FAC"/>
    <w:lvl w:ilvl="0" w:tplc="BCCED61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F"/>
    <w:rsid w:val="00013C0C"/>
    <w:rsid w:val="000151A9"/>
    <w:rsid w:val="000306D5"/>
    <w:rsid w:val="00040CC2"/>
    <w:rsid w:val="00047696"/>
    <w:rsid w:val="00050270"/>
    <w:rsid w:val="000726FD"/>
    <w:rsid w:val="00075F9F"/>
    <w:rsid w:val="00085CFC"/>
    <w:rsid w:val="000B2141"/>
    <w:rsid w:val="000B497E"/>
    <w:rsid w:val="000C0026"/>
    <w:rsid w:val="000E7DD6"/>
    <w:rsid w:val="00117036"/>
    <w:rsid w:val="00122FB5"/>
    <w:rsid w:val="00124403"/>
    <w:rsid w:val="00163D9B"/>
    <w:rsid w:val="001700BC"/>
    <w:rsid w:val="00185B80"/>
    <w:rsid w:val="0018641B"/>
    <w:rsid w:val="001B5E35"/>
    <w:rsid w:val="001C79F6"/>
    <w:rsid w:val="001D22DC"/>
    <w:rsid w:val="001D3619"/>
    <w:rsid w:val="001D6F65"/>
    <w:rsid w:val="00202870"/>
    <w:rsid w:val="00230703"/>
    <w:rsid w:val="00231258"/>
    <w:rsid w:val="00234E72"/>
    <w:rsid w:val="00254D86"/>
    <w:rsid w:val="002674FE"/>
    <w:rsid w:val="00273CAB"/>
    <w:rsid w:val="00284D3D"/>
    <w:rsid w:val="00291416"/>
    <w:rsid w:val="0029334B"/>
    <w:rsid w:val="00296A70"/>
    <w:rsid w:val="002B1283"/>
    <w:rsid w:val="002C13BF"/>
    <w:rsid w:val="002E55D0"/>
    <w:rsid w:val="002E68CC"/>
    <w:rsid w:val="002F5B08"/>
    <w:rsid w:val="00324009"/>
    <w:rsid w:val="00325A47"/>
    <w:rsid w:val="00325B74"/>
    <w:rsid w:val="003305D4"/>
    <w:rsid w:val="00351F77"/>
    <w:rsid w:val="003536C1"/>
    <w:rsid w:val="003661F2"/>
    <w:rsid w:val="00372295"/>
    <w:rsid w:val="00377939"/>
    <w:rsid w:val="003913E7"/>
    <w:rsid w:val="00392824"/>
    <w:rsid w:val="00397549"/>
    <w:rsid w:val="003A7CFC"/>
    <w:rsid w:val="003B5BC8"/>
    <w:rsid w:val="003C00B1"/>
    <w:rsid w:val="003C37FE"/>
    <w:rsid w:val="003E1975"/>
    <w:rsid w:val="003E3E52"/>
    <w:rsid w:val="003F196C"/>
    <w:rsid w:val="0040791F"/>
    <w:rsid w:val="004217F3"/>
    <w:rsid w:val="00426CD7"/>
    <w:rsid w:val="004443E9"/>
    <w:rsid w:val="00445C4F"/>
    <w:rsid w:val="00446550"/>
    <w:rsid w:val="0046570F"/>
    <w:rsid w:val="00477839"/>
    <w:rsid w:val="004A4DB2"/>
    <w:rsid w:val="005018A5"/>
    <w:rsid w:val="0052244C"/>
    <w:rsid w:val="005427F9"/>
    <w:rsid w:val="0055537F"/>
    <w:rsid w:val="00555E59"/>
    <w:rsid w:val="0056143F"/>
    <w:rsid w:val="0058036E"/>
    <w:rsid w:val="00582693"/>
    <w:rsid w:val="005A10A4"/>
    <w:rsid w:val="005B0DF6"/>
    <w:rsid w:val="005B42F2"/>
    <w:rsid w:val="005D1EBD"/>
    <w:rsid w:val="005E6FE8"/>
    <w:rsid w:val="00603D06"/>
    <w:rsid w:val="0062109D"/>
    <w:rsid w:val="006273F6"/>
    <w:rsid w:val="00646082"/>
    <w:rsid w:val="00647B20"/>
    <w:rsid w:val="006557DD"/>
    <w:rsid w:val="006640CD"/>
    <w:rsid w:val="00666757"/>
    <w:rsid w:val="006921B1"/>
    <w:rsid w:val="006A43C8"/>
    <w:rsid w:val="006A7E92"/>
    <w:rsid w:val="006B4C20"/>
    <w:rsid w:val="006D5E64"/>
    <w:rsid w:val="007037E8"/>
    <w:rsid w:val="00714C44"/>
    <w:rsid w:val="00736097"/>
    <w:rsid w:val="00740541"/>
    <w:rsid w:val="007418D5"/>
    <w:rsid w:val="00750A47"/>
    <w:rsid w:val="007A103B"/>
    <w:rsid w:val="007A2954"/>
    <w:rsid w:val="007A48CE"/>
    <w:rsid w:val="007A62C9"/>
    <w:rsid w:val="007B1B19"/>
    <w:rsid w:val="007E20C4"/>
    <w:rsid w:val="007F0BA1"/>
    <w:rsid w:val="008132E1"/>
    <w:rsid w:val="00822C56"/>
    <w:rsid w:val="00841279"/>
    <w:rsid w:val="008552BB"/>
    <w:rsid w:val="00865791"/>
    <w:rsid w:val="008A4481"/>
    <w:rsid w:val="008C4BCE"/>
    <w:rsid w:val="008C5368"/>
    <w:rsid w:val="008D0BFA"/>
    <w:rsid w:val="008E4084"/>
    <w:rsid w:val="008E4A2C"/>
    <w:rsid w:val="008E616B"/>
    <w:rsid w:val="009004E0"/>
    <w:rsid w:val="00906D92"/>
    <w:rsid w:val="00914122"/>
    <w:rsid w:val="0092751D"/>
    <w:rsid w:val="009427E2"/>
    <w:rsid w:val="009557D8"/>
    <w:rsid w:val="00972BB5"/>
    <w:rsid w:val="009767E9"/>
    <w:rsid w:val="0098014F"/>
    <w:rsid w:val="0099084F"/>
    <w:rsid w:val="00993953"/>
    <w:rsid w:val="009D1CA9"/>
    <w:rsid w:val="009D2FD7"/>
    <w:rsid w:val="009E2521"/>
    <w:rsid w:val="009F25EB"/>
    <w:rsid w:val="009F508A"/>
    <w:rsid w:val="00A7303C"/>
    <w:rsid w:val="00A74DC4"/>
    <w:rsid w:val="00A7512B"/>
    <w:rsid w:val="00A94742"/>
    <w:rsid w:val="00A9688E"/>
    <w:rsid w:val="00AA1E31"/>
    <w:rsid w:val="00AB313A"/>
    <w:rsid w:val="00AD7CF7"/>
    <w:rsid w:val="00AF4C91"/>
    <w:rsid w:val="00B02FAB"/>
    <w:rsid w:val="00B81145"/>
    <w:rsid w:val="00B921F9"/>
    <w:rsid w:val="00BB28F4"/>
    <w:rsid w:val="00BC1CCB"/>
    <w:rsid w:val="00BC229E"/>
    <w:rsid w:val="00BC41AB"/>
    <w:rsid w:val="00BC4443"/>
    <w:rsid w:val="00BD5231"/>
    <w:rsid w:val="00BE1B95"/>
    <w:rsid w:val="00BE2146"/>
    <w:rsid w:val="00BE64C8"/>
    <w:rsid w:val="00BE6C96"/>
    <w:rsid w:val="00BF1E85"/>
    <w:rsid w:val="00C232A9"/>
    <w:rsid w:val="00C233E1"/>
    <w:rsid w:val="00C35381"/>
    <w:rsid w:val="00C3703F"/>
    <w:rsid w:val="00C41602"/>
    <w:rsid w:val="00C43B79"/>
    <w:rsid w:val="00C43D23"/>
    <w:rsid w:val="00C46CDA"/>
    <w:rsid w:val="00C530D5"/>
    <w:rsid w:val="00C56F92"/>
    <w:rsid w:val="00C57AF5"/>
    <w:rsid w:val="00C675FB"/>
    <w:rsid w:val="00C71F99"/>
    <w:rsid w:val="00C9158A"/>
    <w:rsid w:val="00CC04C8"/>
    <w:rsid w:val="00CC221D"/>
    <w:rsid w:val="00CC66B3"/>
    <w:rsid w:val="00CD6DC3"/>
    <w:rsid w:val="00CE7CB8"/>
    <w:rsid w:val="00CF11E1"/>
    <w:rsid w:val="00D03D1A"/>
    <w:rsid w:val="00D040D2"/>
    <w:rsid w:val="00D10C82"/>
    <w:rsid w:val="00D12477"/>
    <w:rsid w:val="00D14CCD"/>
    <w:rsid w:val="00D22A4C"/>
    <w:rsid w:val="00D24029"/>
    <w:rsid w:val="00D5131A"/>
    <w:rsid w:val="00D51D71"/>
    <w:rsid w:val="00D83C3E"/>
    <w:rsid w:val="00DA7C3C"/>
    <w:rsid w:val="00DB1827"/>
    <w:rsid w:val="00DD02E5"/>
    <w:rsid w:val="00DD1ED8"/>
    <w:rsid w:val="00DD40EC"/>
    <w:rsid w:val="00E016AD"/>
    <w:rsid w:val="00E10039"/>
    <w:rsid w:val="00E10174"/>
    <w:rsid w:val="00E2034F"/>
    <w:rsid w:val="00E5020E"/>
    <w:rsid w:val="00E522BB"/>
    <w:rsid w:val="00E5326B"/>
    <w:rsid w:val="00E74E07"/>
    <w:rsid w:val="00E81B47"/>
    <w:rsid w:val="00E940D6"/>
    <w:rsid w:val="00E943D6"/>
    <w:rsid w:val="00EA7A2E"/>
    <w:rsid w:val="00EA7B7C"/>
    <w:rsid w:val="00EE6429"/>
    <w:rsid w:val="00EF299C"/>
    <w:rsid w:val="00F0278F"/>
    <w:rsid w:val="00F11E85"/>
    <w:rsid w:val="00F25BDE"/>
    <w:rsid w:val="00F458A2"/>
    <w:rsid w:val="00F465AF"/>
    <w:rsid w:val="00F70C7D"/>
    <w:rsid w:val="00F77F51"/>
    <w:rsid w:val="00F96DC3"/>
    <w:rsid w:val="00FA2FDD"/>
    <w:rsid w:val="00FC430D"/>
    <w:rsid w:val="00FE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2281E-BA21-4770-BF95-3D23C7B3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036E"/>
    <w:pPr>
      <w:keepNext/>
      <w:jc w:val="center"/>
      <w:outlineLvl w:val="0"/>
    </w:pPr>
    <w:rPr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58036E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036E"/>
    <w:rPr>
      <w:rFonts w:ascii="Times New Roman" w:eastAsia="Times New Roman" w:hAnsi="Times New Roman" w:cs="Times New Roman"/>
      <w:b/>
      <w:bCs/>
      <w:kern w:val="32"/>
      <w:sz w:val="24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8036E"/>
    <w:rPr>
      <w:rFonts w:ascii="Times New Roman" w:eastAsia="Times New Roman" w:hAnsi="Times New Roman" w:cs="Times New Roman"/>
      <w:b/>
      <w:bCs/>
      <w:iCs/>
      <w:sz w:val="24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109D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1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109D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2A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2A4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2A4C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D22A4C"/>
    <w:pPr>
      <w:spacing w:before="100" w:beforeAutospacing="1" w:after="100" w:afterAutospacing="1"/>
    </w:pPr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E53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2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32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2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72295"/>
    <w:pPr>
      <w:ind w:left="720"/>
      <w:contextualSpacing/>
    </w:pPr>
  </w:style>
  <w:style w:type="table" w:styleId="Mriekatabuky">
    <w:name w:val="Table Grid"/>
    <w:basedOn w:val="Normlnatabuka"/>
    <w:uiPriority w:val="39"/>
    <w:rsid w:val="007A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2E55D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2E55D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2E55D0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39754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p2016.sazp.s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2276-B650-4792-993A-C6EC19C6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Šurina Ondrej</cp:lastModifiedBy>
  <cp:revision>8</cp:revision>
  <cp:lastPrinted>2016-05-11T13:54:00Z</cp:lastPrinted>
  <dcterms:created xsi:type="dcterms:W3CDTF">2017-05-18T12:16:00Z</dcterms:created>
  <dcterms:modified xsi:type="dcterms:W3CDTF">2017-06-05T06:34:00Z</dcterms:modified>
</cp:coreProperties>
</file>