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D0" w:rsidRPr="00DB7B13" w:rsidRDefault="00FD25D0" w:rsidP="00FD25D0">
      <w:pPr>
        <w:spacing w:before="0"/>
        <w:jc w:val="right"/>
        <w:rPr>
          <w:i/>
          <w:iCs/>
        </w:rPr>
      </w:pPr>
      <w:bookmarkStart w:id="0" w:name="_GoBack"/>
      <w:bookmarkEnd w:id="0"/>
      <w:r w:rsidRPr="00DB7B13">
        <w:rPr>
          <w:i/>
          <w:iCs/>
        </w:rPr>
        <w:t>Príloha C</w:t>
      </w:r>
    </w:p>
    <w:p w:rsidR="00FD25D0" w:rsidRPr="00DB7B13" w:rsidRDefault="00FD25D0" w:rsidP="00FD25D0">
      <w:pPr>
        <w:autoSpaceDE w:val="0"/>
        <w:autoSpaceDN w:val="0"/>
        <w:ind w:firstLin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jc w:val="center"/>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240" w:after="60"/>
        <w:outlineLvl w:val="6"/>
        <w:rPr>
          <w:i/>
          <w:iCs/>
        </w:rPr>
      </w:pPr>
    </w:p>
    <w:p w:rsidR="00FD25D0" w:rsidRPr="00DB7B13" w:rsidRDefault="00FD25D0" w:rsidP="00FD25D0">
      <w:pPr>
        <w:spacing w:before="240" w:after="60"/>
        <w:outlineLvl w:val="6"/>
        <w:rPr>
          <w:i/>
          <w:iCs/>
        </w:rPr>
      </w:pPr>
    </w:p>
    <w:p w:rsidR="00FD25D0" w:rsidRPr="00DB7B13" w:rsidRDefault="00FD25D0" w:rsidP="00FD25D0">
      <w:pPr>
        <w:spacing w:before="240" w:after="60"/>
        <w:ind w:firstLine="0"/>
        <w:outlineLvl w:val="6"/>
        <w:rPr>
          <w:i/>
          <w:iCs/>
        </w:rPr>
      </w:pPr>
    </w:p>
    <w:p w:rsidR="00FD25D0" w:rsidRPr="00DB7B13" w:rsidRDefault="00FD25D0" w:rsidP="00FD25D0">
      <w:pPr>
        <w:spacing w:before="240" w:after="60"/>
        <w:jc w:val="center"/>
        <w:outlineLvl w:val="6"/>
        <w:rPr>
          <w:b/>
          <w:i/>
          <w:iCs/>
          <w:sz w:val="36"/>
          <w:szCs w:val="36"/>
        </w:rPr>
      </w:pPr>
      <w:r w:rsidRPr="00DB7B13">
        <w:rPr>
          <w:b/>
          <w:i/>
          <w:iCs/>
          <w:sz w:val="36"/>
          <w:szCs w:val="36"/>
        </w:rPr>
        <w:t>Štátna banská správa</w:t>
      </w:r>
    </w:p>
    <w:p w:rsidR="00FD25D0" w:rsidRPr="00DB7B13" w:rsidRDefault="00FD25D0" w:rsidP="00FD25D0">
      <w:pPr>
        <w:spacing w:before="0"/>
        <w:jc w:val="center"/>
        <w:rPr>
          <w:i/>
          <w:iCs/>
        </w:rPr>
      </w:pPr>
      <w:r w:rsidRPr="00DB7B13">
        <w:rPr>
          <w:i/>
          <w:iCs/>
        </w:rPr>
        <w:t>(MH SR)</w:t>
      </w:r>
    </w:p>
    <w:p w:rsidR="00FD25D0" w:rsidRPr="00DB7B13" w:rsidRDefault="00FD25D0" w:rsidP="00FD25D0">
      <w:pPr>
        <w:spacing w:before="0"/>
        <w:jc w:val="center"/>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FD25D0" w:rsidRPr="00DB7B13" w:rsidRDefault="00FD25D0" w:rsidP="00FD25D0">
      <w:pPr>
        <w:spacing w:before="0"/>
      </w:pPr>
    </w:p>
    <w:p w:rsidR="00DF03F0" w:rsidRPr="00DB7B13" w:rsidRDefault="00DF03F0" w:rsidP="00FD25D0">
      <w:pPr>
        <w:spacing w:before="0"/>
      </w:pPr>
    </w:p>
    <w:p w:rsidR="00DF03F0" w:rsidRPr="00DB7B13" w:rsidRDefault="00DF03F0" w:rsidP="00FD25D0">
      <w:pPr>
        <w:spacing w:before="0"/>
      </w:pPr>
    </w:p>
    <w:p w:rsidR="00FD25D0" w:rsidRPr="00DB7B13" w:rsidRDefault="00FD25D0" w:rsidP="000678B1">
      <w:pPr>
        <w:spacing w:before="0"/>
        <w:ind w:firstLine="0"/>
      </w:pPr>
      <w:r w:rsidRPr="00DB7B13">
        <w:rPr>
          <w:i/>
          <w:iCs/>
        </w:rPr>
        <w:t>Zdroj údajov: Hlavný banský úrad</w:t>
      </w:r>
      <w:r w:rsidRPr="00DB7B13">
        <w:t xml:space="preserve"> </w:t>
      </w:r>
    </w:p>
    <w:p w:rsidR="00FD25D0" w:rsidRPr="00DB7B13" w:rsidRDefault="00FD25D0" w:rsidP="00FD25D0">
      <w:pPr>
        <w:spacing w:before="0" w:line="300" w:lineRule="auto"/>
        <w:jc w:val="center"/>
        <w:rPr>
          <w:b/>
          <w:bCs/>
          <w:spacing w:val="20"/>
        </w:rPr>
      </w:pPr>
      <w:r w:rsidRPr="00DB7B13">
        <w:rPr>
          <w:b/>
          <w:bCs/>
          <w:spacing w:val="20"/>
        </w:rPr>
        <w:lastRenderedPageBreak/>
        <w:t>Informácia</w:t>
      </w:r>
    </w:p>
    <w:p w:rsidR="00FD25D0" w:rsidRPr="00DB7B13" w:rsidRDefault="00FD25D0" w:rsidP="00FD25D0">
      <w:pPr>
        <w:spacing w:before="0"/>
        <w:jc w:val="center"/>
        <w:rPr>
          <w:b/>
          <w:bCs/>
        </w:rPr>
      </w:pPr>
      <w:r w:rsidRPr="00DB7B13">
        <w:rPr>
          <w:b/>
          <w:bCs/>
        </w:rPr>
        <w:t xml:space="preserve">o stave bezpečnosti a ochrany zdravia pri práci, vývoji pracovnej úrazovosti, chorôb z povolania a iných poškodení zdravia z práce v SR za oblasť hlavného </w:t>
      </w:r>
    </w:p>
    <w:p w:rsidR="00FD25D0" w:rsidRPr="00DB7B13" w:rsidRDefault="00FD25D0" w:rsidP="00FD25D0">
      <w:pPr>
        <w:spacing w:before="0"/>
        <w:jc w:val="center"/>
        <w:rPr>
          <w:b/>
          <w:spacing w:val="20"/>
        </w:rPr>
      </w:pPr>
      <w:r w:rsidRPr="00DB7B13">
        <w:rPr>
          <w:b/>
          <w:bCs/>
        </w:rPr>
        <w:t>doz</w:t>
      </w:r>
      <w:r w:rsidRPr="00DB7B13">
        <w:rPr>
          <w:b/>
          <w:bCs/>
        </w:rPr>
        <w:t>o</w:t>
      </w:r>
      <w:r w:rsidRPr="00DB7B13">
        <w:rPr>
          <w:b/>
          <w:bCs/>
        </w:rPr>
        <w:t xml:space="preserve">ru štátnej banskej správy SR za rok </w:t>
      </w:r>
      <w:r w:rsidRPr="00DB7B13">
        <w:rPr>
          <w:b/>
          <w:spacing w:val="20"/>
        </w:rPr>
        <w:t>2016</w:t>
      </w:r>
    </w:p>
    <w:p w:rsidR="00B21D3E" w:rsidRPr="00DB7B13" w:rsidRDefault="00B21D3E" w:rsidP="00FD25D0">
      <w:pPr>
        <w:ind w:firstLine="0"/>
      </w:pPr>
    </w:p>
    <w:p w:rsidR="0025642D" w:rsidRPr="00DB7B13" w:rsidRDefault="00B751C0" w:rsidP="002B23A9">
      <w:pPr>
        <w:keepNext/>
        <w:numPr>
          <w:ilvl w:val="0"/>
          <w:numId w:val="5"/>
        </w:numPr>
        <w:tabs>
          <w:tab w:val="left" w:pos="567"/>
        </w:tabs>
        <w:suppressAutoHyphens/>
        <w:spacing w:after="120"/>
        <w:ind w:hanging="567"/>
        <w:jc w:val="left"/>
        <w:outlineLvl w:val="0"/>
        <w:rPr>
          <w:b/>
          <w:bCs/>
          <w:kern w:val="32"/>
        </w:rPr>
      </w:pPr>
      <w:r w:rsidRPr="00DB7B13">
        <w:rPr>
          <w:b/>
          <w:bCs/>
          <w:kern w:val="32"/>
        </w:rPr>
        <w:t>Úvod</w:t>
      </w:r>
    </w:p>
    <w:p w:rsidR="0025642D" w:rsidRPr="00DB7B13" w:rsidRDefault="007A0845" w:rsidP="00255B4C">
      <w:r w:rsidRPr="00DB7B13">
        <w:t xml:space="preserve">V súlade s  </w:t>
      </w:r>
      <w:r w:rsidR="0025642D" w:rsidRPr="00DB7B13">
        <w:t>bod</w:t>
      </w:r>
      <w:r w:rsidR="004D67F9" w:rsidRPr="00DB7B13">
        <w:t>om</w:t>
      </w:r>
      <w:r w:rsidR="0025642D" w:rsidRPr="00DB7B13">
        <w:t xml:space="preserve"> B.</w:t>
      </w:r>
      <w:r w:rsidR="00B46F71" w:rsidRPr="00DB7B13">
        <w:t>4 a B.5</w:t>
      </w:r>
      <w:r w:rsidR="0025642D" w:rsidRPr="00DB7B13">
        <w:t xml:space="preserve"> uznesenia </w:t>
      </w:r>
      <w:r w:rsidRPr="00DB7B13">
        <w:t xml:space="preserve">vlády SR č. 475/2003 predkladá minister  </w:t>
      </w:r>
      <w:r w:rsidR="00B46F71" w:rsidRPr="00DB7B13">
        <w:t xml:space="preserve">práce, sociálnych vecí a rodiny </w:t>
      </w:r>
      <w:r w:rsidRPr="00DB7B13">
        <w:t>v lehote podľa bodu B.</w:t>
      </w:r>
      <w:r w:rsidR="00B46F71" w:rsidRPr="00DB7B13">
        <w:t>1</w:t>
      </w:r>
      <w:r w:rsidRPr="00DB7B13">
        <w:t xml:space="preserve"> uznesenia vlá</w:t>
      </w:r>
      <w:r w:rsidR="00B751C0" w:rsidRPr="00DB7B13">
        <w:t>dy SR č. 624/2009</w:t>
      </w:r>
      <w:r w:rsidRPr="00DB7B13">
        <w:t xml:space="preserve"> každoročne do 3</w:t>
      </w:r>
      <w:r w:rsidR="00B46F71" w:rsidRPr="00DB7B13">
        <w:t>0</w:t>
      </w:r>
      <w:r w:rsidRPr="00DB7B13">
        <w:t xml:space="preserve">. </w:t>
      </w:r>
      <w:r w:rsidR="00525753" w:rsidRPr="00DB7B13">
        <w:t>j</w:t>
      </w:r>
      <w:r w:rsidR="00B46F71" w:rsidRPr="00DB7B13">
        <w:t>úna</w:t>
      </w:r>
      <w:r w:rsidR="00525753" w:rsidRPr="00DB7B13">
        <w:t xml:space="preserve"> na rokovanie vlády</w:t>
      </w:r>
      <w:r w:rsidRPr="00DB7B13">
        <w:t xml:space="preserve"> </w:t>
      </w:r>
      <w:r w:rsidR="00525753" w:rsidRPr="00DB7B13">
        <w:t>„Informatívnu s</w:t>
      </w:r>
      <w:r w:rsidR="00B751C0" w:rsidRPr="00DB7B13">
        <w:t>právu o stave ochrany práce a o </w:t>
      </w:r>
      <w:r w:rsidR="00525753" w:rsidRPr="00DB7B13">
        <w:t xml:space="preserve">činnosti orgánov štátnej správy v oblasti inšpekcie práce“ za predchádzajúci rok. </w:t>
      </w:r>
      <w:r w:rsidR="00AC1E23">
        <w:t>Podľa </w:t>
      </w:r>
      <w:r w:rsidR="000F22F1" w:rsidRPr="00DB7B13">
        <w:t xml:space="preserve">usmernenia </w:t>
      </w:r>
      <w:r w:rsidRPr="00DB7B13">
        <w:t xml:space="preserve">Ministerstva práce, sociálnych vecí a rodiny Slovenskej republiky </w:t>
      </w:r>
      <w:r w:rsidR="001F528B">
        <w:t xml:space="preserve">(ďalej len „MPSVR SR“) </w:t>
      </w:r>
      <w:r w:rsidR="000F22F1" w:rsidRPr="00DB7B13">
        <w:t xml:space="preserve">č. z.: </w:t>
      </w:r>
      <w:r w:rsidR="004D67F9" w:rsidRPr="00DB7B13">
        <w:t>4693/</w:t>
      </w:r>
      <w:r w:rsidR="000F22F1" w:rsidRPr="00DB7B13">
        <w:t>201</w:t>
      </w:r>
      <w:r w:rsidR="004D67F9" w:rsidRPr="00DB7B13">
        <w:t>7</w:t>
      </w:r>
      <w:r w:rsidR="000F22F1" w:rsidRPr="00DB7B13">
        <w:t>, č. s.</w:t>
      </w:r>
      <w:r w:rsidRPr="00DB7B13">
        <w:t> </w:t>
      </w:r>
      <w:r w:rsidR="004D67F9" w:rsidRPr="00DB7B13">
        <w:t>8834</w:t>
      </w:r>
      <w:r w:rsidR="000F22F1" w:rsidRPr="00DB7B13">
        <w:t>/201</w:t>
      </w:r>
      <w:r w:rsidR="004D67F9" w:rsidRPr="00DB7B13">
        <w:t>7</w:t>
      </w:r>
      <w:r w:rsidR="000F22F1" w:rsidRPr="00DB7B13">
        <w:t>-M_OOP z</w:t>
      </w:r>
      <w:r w:rsidR="004D67F9" w:rsidRPr="00DB7B13">
        <w:t> </w:t>
      </w:r>
      <w:r w:rsidR="000F22F1" w:rsidRPr="00DB7B13">
        <w:t>2</w:t>
      </w:r>
      <w:r w:rsidR="004D67F9" w:rsidRPr="00DB7B13">
        <w:t>.</w:t>
      </w:r>
      <w:r w:rsidR="000F22F1" w:rsidRPr="00DB7B13">
        <w:t> 0</w:t>
      </w:r>
      <w:r w:rsidR="004D67F9" w:rsidRPr="00DB7B13">
        <w:t>2</w:t>
      </w:r>
      <w:r w:rsidR="000F22F1" w:rsidRPr="00DB7B13">
        <w:t>. 201</w:t>
      </w:r>
      <w:r w:rsidR="004D67F9" w:rsidRPr="00DB7B13">
        <w:t xml:space="preserve">7, </w:t>
      </w:r>
      <w:r w:rsidR="000F22F1" w:rsidRPr="00DB7B13">
        <w:t xml:space="preserve"> </w:t>
      </w:r>
      <w:r w:rsidR="0025642D" w:rsidRPr="00DB7B13">
        <w:t xml:space="preserve">Hlavný banský úrad </w:t>
      </w:r>
      <w:r w:rsidR="001F528B">
        <w:t xml:space="preserve">(ďalej len „HBÚ“) </w:t>
      </w:r>
      <w:r w:rsidR="0025642D" w:rsidRPr="00DB7B13">
        <w:t>vypracoval správu</w:t>
      </w:r>
      <w:r w:rsidR="004D67F9" w:rsidRPr="00DB7B13">
        <w:t xml:space="preserve"> o stave bezpečnosti a ochrany zdravia pri práci, vývoji pracovnej úrazovosti, chorôb z povolania a iných poškodení zdravia z práce v SR za oblasť hlavného dozoru štátnej ba</w:t>
      </w:r>
      <w:r w:rsidR="004D67F9" w:rsidRPr="00DB7B13">
        <w:t>n</w:t>
      </w:r>
      <w:r w:rsidR="004D67F9" w:rsidRPr="00DB7B13">
        <w:t>skej správy SR za rok 2016.</w:t>
      </w:r>
    </w:p>
    <w:p w:rsidR="00255B4C" w:rsidRPr="00DB7B13" w:rsidRDefault="00255B4C" w:rsidP="00255B4C"/>
    <w:p w:rsidR="0025642D" w:rsidRPr="00DB7B13" w:rsidRDefault="0025642D" w:rsidP="002B23A9">
      <w:pPr>
        <w:keepNext/>
        <w:numPr>
          <w:ilvl w:val="0"/>
          <w:numId w:val="5"/>
        </w:numPr>
        <w:tabs>
          <w:tab w:val="left" w:pos="567"/>
        </w:tabs>
        <w:suppressAutoHyphens/>
        <w:spacing w:after="120"/>
        <w:ind w:hanging="567"/>
        <w:jc w:val="left"/>
        <w:outlineLvl w:val="0"/>
        <w:rPr>
          <w:b/>
        </w:rPr>
      </w:pPr>
      <w:r w:rsidRPr="00DB7B13">
        <w:rPr>
          <w:b/>
          <w:bCs/>
          <w:kern w:val="32"/>
        </w:rPr>
        <w:t>Orgány</w:t>
      </w:r>
      <w:r w:rsidRPr="00DB7B13">
        <w:rPr>
          <w:b/>
        </w:rPr>
        <w:t xml:space="preserve"> dozoru</w:t>
      </w:r>
    </w:p>
    <w:p w:rsidR="0025642D" w:rsidRPr="00DB7B13" w:rsidRDefault="003C097C" w:rsidP="00B751C0">
      <w:r w:rsidRPr="00DB7B13">
        <w:t xml:space="preserve">Orgánmi dozoru sú </w:t>
      </w:r>
      <w:r w:rsidR="001F528B">
        <w:t>HBÚ</w:t>
      </w:r>
      <w:r w:rsidR="00FB52AF" w:rsidRPr="00DB7B13">
        <w:t xml:space="preserve"> </w:t>
      </w:r>
      <w:r w:rsidR="0025642D" w:rsidRPr="00DB7B13">
        <w:t xml:space="preserve"> a obvodné banské úrady</w:t>
      </w:r>
      <w:r w:rsidRPr="00DB7B13">
        <w:t>, ktoré</w:t>
      </w:r>
      <w:r w:rsidR="0025642D" w:rsidRPr="00DB7B13">
        <w:t xml:space="preserve"> vykonávali hlavný dozor pri </w:t>
      </w:r>
      <w:r w:rsidR="00EC6BEB" w:rsidRPr="00DB7B13">
        <w:t>činnostiach upravených zákonom SNR č. 51/1988 Zb. o banskej činnosti, výbušninách a o štátnej banskej správe v znení neskorších predpisov (ďalej len „zákon č. 51/1988 Zb.“),  pri činnosti podľa zákona č. 58/2014 Z. z. o výbušninách, výbušných predmetoch a munícii a o zmene a doplnení niektorých zákonov v znení neskorších predp</w:t>
      </w:r>
      <w:r w:rsidR="00EC6BEB" w:rsidRPr="00DB7B13">
        <w:t>i</w:t>
      </w:r>
      <w:r w:rsidR="00EC6BEB" w:rsidRPr="00DB7B13">
        <w:t>sov (ďalej len „zákon č. 58/2014 Z. z.“)</w:t>
      </w:r>
      <w:r w:rsidR="009E3E57" w:rsidRPr="00DB7B13">
        <w:t xml:space="preserve">. </w:t>
      </w:r>
      <w:r w:rsidR="00EC6BEB" w:rsidRPr="00DB7B13">
        <w:t xml:space="preserve"> K</w:t>
      </w:r>
      <w:r w:rsidR="0025642D" w:rsidRPr="00DB7B13">
        <w:t xml:space="preserve">ompetencie sú podrobne </w:t>
      </w:r>
      <w:r w:rsidR="009E3E57" w:rsidRPr="00DB7B13">
        <w:t>ustanovené</w:t>
      </w:r>
      <w:r w:rsidR="00B751C0" w:rsidRPr="00DB7B13">
        <w:t xml:space="preserve"> v § 39, § </w:t>
      </w:r>
      <w:r w:rsidR="0025642D" w:rsidRPr="00DB7B13">
        <w:t>40 a</w:t>
      </w:r>
      <w:r w:rsidR="009E3E57" w:rsidRPr="00DB7B13">
        <w:t xml:space="preserve"> v </w:t>
      </w:r>
      <w:r w:rsidR="0025642D" w:rsidRPr="00DB7B13">
        <w:t>§ 41 zákona č. 51/1988 Zb., v </w:t>
      </w:r>
      <w:r w:rsidR="009E3E57" w:rsidRPr="00DB7B13">
        <w:t xml:space="preserve">§ 69 a 70 </w:t>
      </w:r>
      <w:r w:rsidR="0025642D" w:rsidRPr="00DB7B13">
        <w:t>zákon</w:t>
      </w:r>
      <w:r w:rsidR="009E3E57" w:rsidRPr="00DB7B13">
        <w:t>a</w:t>
      </w:r>
      <w:r w:rsidR="000678B1">
        <w:t xml:space="preserve"> č. </w:t>
      </w:r>
      <w:r w:rsidR="0025642D" w:rsidRPr="00DB7B13">
        <w:t>58/2014 Z.</w:t>
      </w:r>
      <w:r w:rsidR="009E3E57" w:rsidRPr="00DB7B13">
        <w:t> </w:t>
      </w:r>
      <w:r w:rsidR="0025642D" w:rsidRPr="00DB7B13">
        <w:t xml:space="preserve">z., ako aj </w:t>
      </w:r>
      <w:r w:rsidR="009E3E57" w:rsidRPr="00DB7B13">
        <w:t xml:space="preserve">v </w:t>
      </w:r>
      <w:r w:rsidR="00B751C0" w:rsidRPr="00DB7B13">
        <w:t>zákone č. </w:t>
      </w:r>
      <w:r w:rsidR="00AC1E23">
        <w:t>124/2006 Z. z. o </w:t>
      </w:r>
      <w:r w:rsidR="0025642D" w:rsidRPr="00DB7B13">
        <w:t>be</w:t>
      </w:r>
      <w:r w:rsidR="000678B1">
        <w:t>zpečnosti a ochrane zdravia pri </w:t>
      </w:r>
      <w:r w:rsidR="0025642D" w:rsidRPr="00DB7B13">
        <w:t>práci a o zmene a doplnení niekt</w:t>
      </w:r>
      <w:r w:rsidR="0025642D" w:rsidRPr="00DB7B13">
        <w:t>o</w:t>
      </w:r>
      <w:r w:rsidR="0025642D" w:rsidRPr="00DB7B13">
        <w:t>rých zákonov v znení neskorších predpisov (ďalej len „zákon č. 124/2006 Z. z.“).</w:t>
      </w:r>
      <w:r w:rsidR="001707D2" w:rsidRPr="00DB7B13">
        <w:t xml:space="preserve"> Miestna príslušnosť obvodných banských úradov je vymedzená v § 1 vyhlášky Ministerstva hosp</w:t>
      </w:r>
      <w:r w:rsidR="001707D2" w:rsidRPr="00DB7B13">
        <w:t>o</w:t>
      </w:r>
      <w:r w:rsidR="00AC1E23">
        <w:t>dárstva SR č. </w:t>
      </w:r>
      <w:r w:rsidR="001707D2" w:rsidRPr="00DB7B13">
        <w:t>333/1996 Z. z., ktorou sa ustanovujú obvody pôsobnosti jednotlivých obvo</w:t>
      </w:r>
      <w:r w:rsidR="001707D2" w:rsidRPr="00DB7B13">
        <w:t>d</w:t>
      </w:r>
      <w:r w:rsidR="001707D2" w:rsidRPr="00DB7B13">
        <w:t>ných banských úradov.</w:t>
      </w:r>
    </w:p>
    <w:p w:rsidR="00D16E2E" w:rsidRPr="00DB7B13" w:rsidRDefault="003C097C" w:rsidP="00255B4C">
      <w:r w:rsidRPr="00DB7B13">
        <w:t xml:space="preserve">Ústredným orgánom štátnej banskej správy je </w:t>
      </w:r>
      <w:r w:rsidR="00255B4C" w:rsidRPr="00DB7B13">
        <w:t xml:space="preserve">podľa § 38 ods. 1 písm. a) zákona č. 51/1988 Zb. </w:t>
      </w:r>
      <w:r w:rsidR="0025642D" w:rsidRPr="00DB7B13">
        <w:t>Ministerstvo hospod</w:t>
      </w:r>
      <w:r w:rsidRPr="00DB7B13">
        <w:t>árstva Slovenskej republiky</w:t>
      </w:r>
      <w:r w:rsidR="00255B4C" w:rsidRPr="00DB7B13">
        <w:t xml:space="preserve"> (ďalej len „MH SR“).</w:t>
      </w:r>
      <w:r w:rsidR="0025642D" w:rsidRPr="00DB7B13">
        <w:t xml:space="preserve"> </w:t>
      </w:r>
      <w:r w:rsidR="000678B1">
        <w:t>Je aj</w:t>
      </w:r>
      <w:r w:rsidR="002B2527" w:rsidRPr="00DB7B13">
        <w:t> orgán</w:t>
      </w:r>
      <w:r w:rsidR="00E27C31" w:rsidRPr="00DB7B13">
        <w:t>om</w:t>
      </w:r>
      <w:r w:rsidR="002B2527" w:rsidRPr="00DB7B13">
        <w:t xml:space="preserve"> štá</w:t>
      </w:r>
      <w:r w:rsidR="002B2527" w:rsidRPr="00DB7B13">
        <w:t>t</w:t>
      </w:r>
      <w:r w:rsidR="002B2527" w:rsidRPr="00DB7B13">
        <w:t>nej správy na úseku výbušnín, výbušn</w:t>
      </w:r>
      <w:r w:rsidR="000678B1">
        <w:t>ých predmetov a munície podľa § </w:t>
      </w:r>
      <w:r w:rsidR="002B2527" w:rsidRPr="00DB7B13">
        <w:t>67 písm. a) zákona č. 58/2014 Z. z.</w:t>
      </w:r>
      <w:r w:rsidR="00E27C31" w:rsidRPr="00DB7B13">
        <w:t>, pričom</w:t>
      </w:r>
      <w:r w:rsidR="002B2527" w:rsidRPr="00DB7B13">
        <w:t xml:space="preserve"> </w:t>
      </w:r>
      <w:r w:rsidR="0025642D" w:rsidRPr="00DB7B13">
        <w:t xml:space="preserve"> riadi výkon štátnej banskej správy,</w:t>
      </w:r>
      <w:r w:rsidR="002B2527" w:rsidRPr="00DB7B13">
        <w:t xml:space="preserve"> výkon štátnej správy na úseku výbušnín, výbušných predmetov a munície,</w:t>
      </w:r>
      <w:r w:rsidR="0025642D" w:rsidRPr="00DB7B13">
        <w:t xml:space="preserve"> zabezpečuje a koordinuje, v súčinnosti s ostatnými ústrednými orgánmi Slovenskej republiky, úlohy medzinárodnej spolupráce v oblasti pôsobnosti štátnej banskej správy, rozhoduje o odvolaniach vo veciach, v ktorých v </w:t>
      </w:r>
      <w:r w:rsidR="00FB52AF" w:rsidRPr="00DB7B13">
        <w:t>prvom stupni rozhodol HBÚ</w:t>
      </w:r>
      <w:r w:rsidR="000678B1">
        <w:t xml:space="preserve"> a rozhoduje pri </w:t>
      </w:r>
      <w:r w:rsidR="002B2527" w:rsidRPr="00DB7B13">
        <w:t>pochybno</w:t>
      </w:r>
      <w:r w:rsidR="002B2527" w:rsidRPr="00DB7B13">
        <w:t>s</w:t>
      </w:r>
      <w:r w:rsidR="002B2527" w:rsidRPr="00DB7B13">
        <w:t>tiach o hlavnom dozore.</w:t>
      </w:r>
    </w:p>
    <w:p w:rsidR="00255B4C" w:rsidRPr="00DB7B13" w:rsidRDefault="00255B4C" w:rsidP="00255B4C"/>
    <w:p w:rsidR="0025642D" w:rsidRPr="00DB7B13" w:rsidRDefault="0025642D" w:rsidP="002B23A9">
      <w:pPr>
        <w:keepNext/>
        <w:numPr>
          <w:ilvl w:val="0"/>
          <w:numId w:val="5"/>
        </w:numPr>
        <w:tabs>
          <w:tab w:val="left" w:pos="567"/>
        </w:tabs>
        <w:suppressAutoHyphens/>
        <w:spacing w:after="120"/>
        <w:ind w:hanging="567"/>
        <w:jc w:val="left"/>
        <w:outlineLvl w:val="0"/>
        <w:rPr>
          <w:b/>
        </w:rPr>
      </w:pPr>
      <w:r w:rsidRPr="00DB7B13">
        <w:rPr>
          <w:b/>
        </w:rPr>
        <w:t>Ciele a priority dozor</w:t>
      </w:r>
      <w:r w:rsidR="00C46D94" w:rsidRPr="00DB7B13">
        <w:rPr>
          <w:b/>
        </w:rPr>
        <w:t>ného orgánu v roku 201</w:t>
      </w:r>
      <w:r w:rsidR="001707D2" w:rsidRPr="00DB7B13">
        <w:rPr>
          <w:b/>
        </w:rPr>
        <w:t>6</w:t>
      </w:r>
    </w:p>
    <w:p w:rsidR="00EC6BEB" w:rsidRPr="00DB7B13" w:rsidRDefault="00956C85" w:rsidP="00D7554E">
      <w:r w:rsidRPr="00DB7B13">
        <w:t>Prvoradou úlohou všetkých orgánov štátnej banskej správy   je zabezpečovanie dod</w:t>
      </w:r>
      <w:r w:rsidRPr="00DB7B13">
        <w:t>r</w:t>
      </w:r>
      <w:r w:rsidRPr="00DB7B13">
        <w:t>žiavania platných právnych predpisov zamestnancami a zamestnávateľmi s cieľom zniž</w:t>
      </w:r>
      <w:r w:rsidRPr="00DB7B13">
        <w:t>o</w:t>
      </w:r>
      <w:r w:rsidRPr="00DB7B13">
        <w:t xml:space="preserve">vania počtu pracovných úrazov. </w:t>
      </w:r>
      <w:r w:rsidR="005320C8" w:rsidRPr="00DB7B13">
        <w:t>Prioritou je zabezpečenie podmienok výkonu činností bez zaznamenania smrteľných pracovných úrazov</w:t>
      </w:r>
      <w:r w:rsidR="001C57C8" w:rsidRPr="00DB7B13">
        <w:t xml:space="preserve"> (ďalej len „SPÚ“)</w:t>
      </w:r>
      <w:r w:rsidR="005320C8" w:rsidRPr="00DB7B13">
        <w:t xml:space="preserve">, </w:t>
      </w:r>
      <w:r w:rsidR="005320C8" w:rsidRPr="00DB7B13">
        <w:lastRenderedPageBreak/>
        <w:t>maximálneho možného zníženia závažných pracovných úrazov</w:t>
      </w:r>
      <w:r w:rsidR="001C57C8" w:rsidRPr="00DB7B13">
        <w:t xml:space="preserve"> (ďalej len „ZPÚ“)</w:t>
      </w:r>
      <w:r w:rsidR="005320C8" w:rsidRPr="00DB7B13">
        <w:t xml:space="preserve"> a mimoriadnych udalostí.</w:t>
      </w:r>
    </w:p>
    <w:p w:rsidR="00B751C0" w:rsidRPr="00DB7B13" w:rsidRDefault="00B751C0" w:rsidP="00D7554E"/>
    <w:p w:rsidR="0025642D" w:rsidRPr="00DB7B13" w:rsidRDefault="0025642D" w:rsidP="002B23A9">
      <w:pPr>
        <w:keepNext/>
        <w:numPr>
          <w:ilvl w:val="0"/>
          <w:numId w:val="5"/>
        </w:numPr>
        <w:tabs>
          <w:tab w:val="left" w:pos="567"/>
        </w:tabs>
        <w:suppressAutoHyphens/>
        <w:spacing w:after="120"/>
        <w:ind w:hanging="567"/>
        <w:jc w:val="left"/>
        <w:outlineLvl w:val="0"/>
        <w:rPr>
          <w:b/>
        </w:rPr>
      </w:pPr>
      <w:r w:rsidRPr="00DB7B13">
        <w:rPr>
          <w:b/>
        </w:rPr>
        <w:t>Prehľad dozorovaných subjektov</w:t>
      </w:r>
    </w:p>
    <w:p w:rsidR="009004B6" w:rsidRPr="00DB7B13" w:rsidRDefault="00717866" w:rsidP="005A6434">
      <w:r w:rsidRPr="00DB7B13">
        <w:t xml:space="preserve">Celkový počet organizácií vykonávajúcich činnosti spadajúce pod dohľad štátnej banskej správy bol v roku 2016 </w:t>
      </w:r>
      <w:r w:rsidR="009004B6" w:rsidRPr="00DB7B13">
        <w:t>spolu</w:t>
      </w:r>
      <w:r w:rsidRPr="00DB7B13">
        <w:t xml:space="preserve"> 696. Svoje činnosti vykonávali v 953 prevádzkach. </w:t>
      </w:r>
      <w:r w:rsidR="009004B6" w:rsidRPr="00DB7B13">
        <w:t xml:space="preserve">Tento stav v porovnaní s predchádzajúcimi rokmi sa v podstate zásadnejšie nemení. </w:t>
      </w:r>
    </w:p>
    <w:p w:rsidR="009004B6" w:rsidRPr="00DB7B13" w:rsidRDefault="002B39C8" w:rsidP="005A6434">
      <w:r w:rsidRPr="00DB7B13">
        <w:t xml:space="preserve">V odvetví hospodárstva </w:t>
      </w:r>
      <w:r w:rsidR="00255B4C" w:rsidRPr="00DB7B13">
        <w:t xml:space="preserve">v </w:t>
      </w:r>
      <w:r w:rsidR="00E27C31" w:rsidRPr="00DB7B13">
        <w:t>pôsobnosti hlavného doz</w:t>
      </w:r>
      <w:r w:rsidR="00E27C31" w:rsidRPr="00DB7B13">
        <w:t>o</w:t>
      </w:r>
      <w:r w:rsidR="00E27C31" w:rsidRPr="00DB7B13">
        <w:t xml:space="preserve">ru štátnej banskej </w:t>
      </w:r>
      <w:r w:rsidRPr="00DB7B13">
        <w:t>správy</w:t>
      </w:r>
      <w:r w:rsidR="009004B6" w:rsidRPr="00DB7B13">
        <w:t xml:space="preserve"> </w:t>
      </w:r>
      <w:r w:rsidRPr="00DB7B13">
        <w:t xml:space="preserve">počet zamestnancov má </w:t>
      </w:r>
      <w:r w:rsidR="009004B6" w:rsidRPr="00DB7B13">
        <w:t>dlhodob</w:t>
      </w:r>
      <w:r w:rsidR="00CB0A18" w:rsidRPr="00DB7B13">
        <w:t>o mierny</w:t>
      </w:r>
      <w:r w:rsidRPr="00DB7B13">
        <w:t xml:space="preserve"> pokles, ktorý súvisí</w:t>
      </w:r>
      <w:r w:rsidR="009004B6" w:rsidRPr="00DB7B13">
        <w:t xml:space="preserve"> s</w:t>
      </w:r>
      <w:r w:rsidR="00D16E2E" w:rsidRPr="00DB7B13">
        <w:t xml:space="preserve"> nárastom produktivity </w:t>
      </w:r>
      <w:r w:rsidRPr="00DB7B13">
        <w:t xml:space="preserve"> práce </w:t>
      </w:r>
      <w:r w:rsidR="00D16E2E" w:rsidRPr="00DB7B13">
        <w:t>vplyvom nahrádzania</w:t>
      </w:r>
      <w:r w:rsidR="009004B6" w:rsidRPr="00DB7B13">
        <w:t xml:space="preserve"> práce mechanizáciou. </w:t>
      </w:r>
      <w:r w:rsidRPr="00DB7B13">
        <w:t xml:space="preserve">V roku 2016 </w:t>
      </w:r>
      <w:r w:rsidR="009004B6" w:rsidRPr="00DB7B13">
        <w:t xml:space="preserve">počet zamestnancov </w:t>
      </w:r>
      <w:r w:rsidRPr="00DB7B13">
        <w:t>p</w:t>
      </w:r>
      <w:r w:rsidRPr="00DB7B13">
        <w:t>o</w:t>
      </w:r>
      <w:r w:rsidRPr="00DB7B13">
        <w:t xml:space="preserve">klesol </w:t>
      </w:r>
      <w:r w:rsidR="009004B6" w:rsidRPr="00DB7B13">
        <w:t>o</w:t>
      </w:r>
      <w:r w:rsidR="00255B4C" w:rsidRPr="00DB7B13">
        <w:t xml:space="preserve"> 401 </w:t>
      </w:r>
      <w:r w:rsidRPr="00DB7B13">
        <w:t xml:space="preserve">oproti roku 2015, tzn. </w:t>
      </w:r>
      <w:r w:rsidR="009004B6" w:rsidRPr="00DB7B13">
        <w:t>na 11690</w:t>
      </w:r>
      <w:r w:rsidRPr="00DB7B13">
        <w:t xml:space="preserve"> zamestnancov</w:t>
      </w:r>
      <w:r w:rsidR="009004B6" w:rsidRPr="00DB7B13">
        <w:t xml:space="preserve">. </w:t>
      </w:r>
    </w:p>
    <w:p w:rsidR="009004B6" w:rsidRPr="00DB7B13" w:rsidRDefault="0025642D" w:rsidP="005A6434">
      <w:pPr>
        <w:rPr>
          <w:spacing w:val="-3"/>
        </w:rPr>
      </w:pPr>
      <w:r w:rsidRPr="00DB7B13">
        <w:rPr>
          <w:spacing w:val="-3"/>
        </w:rPr>
        <w:t>Počty kontrolovaných subjektov v členení podľa právnej formy a počtu zamestnancov sú uvedené v tabuľke č. 1</w:t>
      </w:r>
      <w:r w:rsidR="009004B6" w:rsidRPr="00DB7B13">
        <w:rPr>
          <w:spacing w:val="-3"/>
        </w:rPr>
        <w:t>.</w:t>
      </w:r>
    </w:p>
    <w:p w:rsidR="00B751C0" w:rsidRPr="00DB7B13" w:rsidRDefault="00B751C0" w:rsidP="005A6434">
      <w:pPr>
        <w:rPr>
          <w:spacing w:val="-3"/>
        </w:rPr>
      </w:pPr>
    </w:p>
    <w:p w:rsidR="0025642D" w:rsidRPr="00DB7B13" w:rsidRDefault="0025642D" w:rsidP="002B23A9">
      <w:pPr>
        <w:keepNext/>
        <w:numPr>
          <w:ilvl w:val="0"/>
          <w:numId w:val="5"/>
        </w:numPr>
        <w:tabs>
          <w:tab w:val="left" w:pos="567"/>
        </w:tabs>
        <w:suppressAutoHyphens/>
        <w:spacing w:after="120"/>
        <w:ind w:hanging="567"/>
        <w:jc w:val="left"/>
        <w:outlineLvl w:val="0"/>
        <w:rPr>
          <w:b/>
        </w:rPr>
      </w:pPr>
      <w:r w:rsidRPr="00DB7B13">
        <w:rPr>
          <w:b/>
        </w:rPr>
        <w:t>Zistenia dozorného orgánu v kontrolovaných subjektoch</w:t>
      </w:r>
    </w:p>
    <w:p w:rsidR="0025642D" w:rsidRPr="00DB7B13" w:rsidRDefault="0025642D" w:rsidP="006A2F72">
      <w:pPr>
        <w:rPr>
          <w:spacing w:val="2"/>
        </w:rPr>
      </w:pPr>
      <w:r w:rsidRPr="00DB7B13">
        <w:rPr>
          <w:spacing w:val="2"/>
        </w:rPr>
        <w:t>V</w:t>
      </w:r>
      <w:r w:rsidR="00355857" w:rsidRPr="00DB7B13">
        <w:rPr>
          <w:spacing w:val="2"/>
        </w:rPr>
        <w:t> roku 2016 bolo orgánmi štátneho dozoru vykonaných 556 inšpekcii v 366 org</w:t>
      </w:r>
      <w:r w:rsidR="00355857" w:rsidRPr="00DB7B13">
        <w:rPr>
          <w:spacing w:val="2"/>
        </w:rPr>
        <w:t>a</w:t>
      </w:r>
      <w:r w:rsidR="00355857" w:rsidRPr="00DB7B13">
        <w:rPr>
          <w:spacing w:val="2"/>
        </w:rPr>
        <w:t xml:space="preserve">nizáciách. Táto skutočnosť znamená, že v roku 2016 bola inšpekčná činnosť vykonaná v 52,58 % organizáciách podliehajúcich dozoru. </w:t>
      </w:r>
    </w:p>
    <w:p w:rsidR="0025642D" w:rsidRPr="00DB7B13" w:rsidRDefault="0025642D" w:rsidP="00CE3ABF">
      <w:r w:rsidRPr="00DB7B13">
        <w:t xml:space="preserve">Pri týchto kontrolách zistili banskí inšpektori </w:t>
      </w:r>
      <w:r w:rsidR="00355857" w:rsidRPr="00DB7B13">
        <w:t>247</w:t>
      </w:r>
      <w:r w:rsidRPr="00DB7B13">
        <w:t xml:space="preserve"> porušení predpisov. </w:t>
      </w:r>
      <w:r w:rsidR="00355857" w:rsidRPr="00DB7B13">
        <w:t xml:space="preserve">Ich podrobný popis je uvedený v tabuľke č. 3. </w:t>
      </w:r>
      <w:r w:rsidRPr="00DB7B13">
        <w:t xml:space="preserve">Medzi najčastejšie porušenia patrili nedostatky v oblasti riadenia </w:t>
      </w:r>
      <w:r w:rsidR="00FB52AF" w:rsidRPr="00DB7B13">
        <w:t>bezpečnosti a ochrany zdravia pri práci (ďalej len „</w:t>
      </w:r>
      <w:r w:rsidRPr="00DB7B13">
        <w:t>BOZP</w:t>
      </w:r>
      <w:r w:rsidR="00FB52AF" w:rsidRPr="00DB7B13">
        <w:t>“)</w:t>
      </w:r>
      <w:r w:rsidRPr="00DB7B13">
        <w:t xml:space="preserve"> (</w:t>
      </w:r>
      <w:r w:rsidR="00355857" w:rsidRPr="00DB7B13">
        <w:t>6</w:t>
      </w:r>
      <w:r w:rsidR="0023390A" w:rsidRPr="00DB7B13">
        <w:t>7</w:t>
      </w:r>
      <w:r w:rsidRPr="00DB7B13">
        <w:t xml:space="preserve"> nedostat</w:t>
      </w:r>
      <w:r w:rsidR="00355857" w:rsidRPr="00DB7B13">
        <w:t>kov) a</w:t>
      </w:r>
      <w:r w:rsidR="000678B1">
        <w:t> </w:t>
      </w:r>
      <w:r w:rsidR="005C2065" w:rsidRPr="00DB7B13">
        <w:t>organizá</w:t>
      </w:r>
      <w:r w:rsidR="00355857" w:rsidRPr="00DB7B13">
        <w:t>cie práce  (42</w:t>
      </w:r>
      <w:r w:rsidR="005C2065" w:rsidRPr="00DB7B13">
        <w:t xml:space="preserve"> nedostatkov)</w:t>
      </w:r>
      <w:r w:rsidRPr="00DB7B13">
        <w:t>. Oproti predchádz</w:t>
      </w:r>
      <w:r w:rsidRPr="00DB7B13">
        <w:t>a</w:t>
      </w:r>
      <w:r w:rsidRPr="00DB7B13">
        <w:t xml:space="preserve">júcemu roku došlo k zníženiu počtu nedostatkov </w:t>
      </w:r>
      <w:r w:rsidR="00355857" w:rsidRPr="00DB7B13">
        <w:t xml:space="preserve">o 197, čo </w:t>
      </w:r>
      <w:r w:rsidR="006F4338" w:rsidRPr="00DB7B13">
        <w:t xml:space="preserve"> poukazuje</w:t>
      </w:r>
      <w:r w:rsidR="00C4615E" w:rsidRPr="00DB7B13">
        <w:t xml:space="preserve"> </w:t>
      </w:r>
      <w:r w:rsidR="006F4338" w:rsidRPr="00DB7B13">
        <w:t xml:space="preserve">na postupné </w:t>
      </w:r>
      <w:r w:rsidRPr="00DB7B13">
        <w:t>zlepš</w:t>
      </w:r>
      <w:r w:rsidR="006F4338" w:rsidRPr="00DB7B13">
        <w:t>o</w:t>
      </w:r>
      <w:r w:rsidR="006F4338" w:rsidRPr="00DB7B13">
        <w:t>vanie</w:t>
      </w:r>
      <w:r w:rsidRPr="00DB7B13">
        <w:t xml:space="preserve"> </w:t>
      </w:r>
      <w:r w:rsidR="00CE3ABF" w:rsidRPr="00DB7B13">
        <w:t>stavu v oblasti BOZP a</w:t>
      </w:r>
      <w:r w:rsidR="00FB52AF" w:rsidRPr="00DB7B13">
        <w:t> bezpečnosti prevádzky (ďalej len „BP“).</w:t>
      </w:r>
      <w:r w:rsidR="00CE3ABF" w:rsidRPr="00DB7B13">
        <w:t xml:space="preserve"> </w:t>
      </w:r>
    </w:p>
    <w:p w:rsidR="0025642D" w:rsidRPr="00DB7B13" w:rsidRDefault="0025642D" w:rsidP="00F16183">
      <w:r w:rsidRPr="00DB7B13">
        <w:t xml:space="preserve">Celkove možno konštatovať, že organizácie pri činnostiach </w:t>
      </w:r>
      <w:r w:rsidR="00C4615E" w:rsidRPr="00DB7B13">
        <w:t>podliehajúcim výkonu hlavného dozoru</w:t>
      </w:r>
      <w:r w:rsidRPr="00DB7B13">
        <w:t xml:space="preserve"> sa </w:t>
      </w:r>
      <w:r w:rsidR="000550DE" w:rsidRPr="00DB7B13">
        <w:t>priebežne zlepšujú v dodržiavaní</w:t>
      </w:r>
      <w:r w:rsidRPr="00DB7B13">
        <w:t xml:space="preserve"> požiadav</w:t>
      </w:r>
      <w:r w:rsidR="000550DE" w:rsidRPr="00DB7B13">
        <w:t>iek</w:t>
      </w:r>
      <w:r w:rsidRPr="00DB7B13">
        <w:t xml:space="preserve"> všeobecných záväzných právnych predpisov</w:t>
      </w:r>
      <w:r w:rsidR="00C4615E" w:rsidRPr="00DB7B13">
        <w:t>, ktoré tieto činnosti upravujú.</w:t>
      </w:r>
      <w:r w:rsidRPr="00DB7B13">
        <w:t xml:space="preserve"> Tak, ako je uvedené v kapitole </w:t>
      </w:r>
      <w:fldSimple w:instr=" REF _Ref350330439 \r  \* MERGEFORMAT ">
        <w:r w:rsidR="00892A4E" w:rsidRPr="00DB7B13">
          <w:t>7</w:t>
        </w:r>
      </w:fldSimple>
      <w:r w:rsidR="00105D89" w:rsidRPr="00DB7B13">
        <w:t>, za </w:t>
      </w:r>
      <w:r w:rsidRPr="00DB7B13">
        <w:t xml:space="preserve">sledované obdobie došlo v súvislosti so zníženým počtom zistených porušení predpisov aj k ďalšiemu poklesu celkovej </w:t>
      </w:r>
      <w:r w:rsidR="00105D89" w:rsidRPr="00DB7B13">
        <w:t xml:space="preserve">pracovnej </w:t>
      </w:r>
      <w:r w:rsidRPr="00DB7B13">
        <w:t>úrazovosti.</w:t>
      </w:r>
    </w:p>
    <w:p w:rsidR="00CE3ABF" w:rsidRPr="00DB7B13" w:rsidRDefault="00CE3ABF" w:rsidP="00F16183">
      <w:r w:rsidRPr="00DB7B13">
        <w:t>V nadväznosti na hlavný cieľ a prioritu znižovani</w:t>
      </w:r>
      <w:r w:rsidR="00105D89" w:rsidRPr="00DB7B13">
        <w:t xml:space="preserve">a </w:t>
      </w:r>
      <w:r w:rsidR="00B10A66" w:rsidRPr="00DB7B13">
        <w:t xml:space="preserve">SPÚ </w:t>
      </w:r>
      <w:r w:rsidR="00105D89" w:rsidRPr="00DB7B13">
        <w:t>a </w:t>
      </w:r>
      <w:r w:rsidR="00B10A66" w:rsidRPr="00DB7B13">
        <w:t xml:space="preserve">ZPÚ </w:t>
      </w:r>
      <w:r w:rsidRPr="00DB7B13">
        <w:t>možno konštatovať, že zníženie počtu porušení predpisov priamo súvisí s týmto parametrom, keď v roku 201</w:t>
      </w:r>
      <w:r w:rsidR="00B10A66" w:rsidRPr="00DB7B13">
        <w:t>6 nebol zaznamenaný žiadny SPÚ</w:t>
      </w:r>
      <w:r w:rsidRPr="00DB7B13">
        <w:t xml:space="preserve"> úra</w:t>
      </w:r>
      <w:r w:rsidR="00B10A66" w:rsidRPr="00DB7B13">
        <w:t>z a len 2 ZPÚ</w:t>
      </w:r>
      <w:r w:rsidRPr="00DB7B13">
        <w:t>.</w:t>
      </w:r>
    </w:p>
    <w:p w:rsidR="00C4615E" w:rsidRPr="00DB7B13" w:rsidRDefault="0025642D" w:rsidP="00770346">
      <w:pPr>
        <w:rPr>
          <w:spacing w:val="-2"/>
        </w:rPr>
      </w:pPr>
      <w:r w:rsidRPr="00DB7B13">
        <w:rPr>
          <w:spacing w:val="-2"/>
        </w:rPr>
        <w:t xml:space="preserve">Prehľad </w:t>
      </w:r>
      <w:r w:rsidR="00FA6D91" w:rsidRPr="00DB7B13">
        <w:rPr>
          <w:spacing w:val="-2"/>
        </w:rPr>
        <w:t>inšpekčných</w:t>
      </w:r>
      <w:r w:rsidRPr="00DB7B13">
        <w:rPr>
          <w:spacing w:val="-2"/>
        </w:rPr>
        <w:t xml:space="preserve"> výkonov, porušení predpisov podľa objektov a podľa kódov št</w:t>
      </w:r>
      <w:r w:rsidRPr="00DB7B13">
        <w:rPr>
          <w:spacing w:val="-2"/>
        </w:rPr>
        <w:t>a</w:t>
      </w:r>
      <w:r w:rsidRPr="00DB7B13">
        <w:rPr>
          <w:spacing w:val="-2"/>
        </w:rPr>
        <w:t>tistickej klasifikácie sú špecifikované v tabuľkách č. 2, 3 a</w:t>
      </w:r>
      <w:r w:rsidR="00B10A66" w:rsidRPr="00DB7B13">
        <w:rPr>
          <w:spacing w:val="-2"/>
        </w:rPr>
        <w:t> </w:t>
      </w:r>
      <w:r w:rsidRPr="00DB7B13">
        <w:rPr>
          <w:spacing w:val="-2"/>
        </w:rPr>
        <w:t>4</w:t>
      </w:r>
      <w:r w:rsidR="00B10A66" w:rsidRPr="00DB7B13">
        <w:rPr>
          <w:spacing w:val="-2"/>
        </w:rPr>
        <w:t>.</w:t>
      </w:r>
    </w:p>
    <w:p w:rsidR="000550DE" w:rsidRPr="00DB7B13" w:rsidRDefault="00770346" w:rsidP="00770346">
      <w:pPr>
        <w:outlineLvl w:val="2"/>
        <w:rPr>
          <w:rFonts w:cs="Arial"/>
          <w:bCs/>
        </w:rPr>
      </w:pPr>
      <w:r w:rsidRPr="00DB7B13">
        <w:t>P</w:t>
      </w:r>
      <w:r w:rsidR="00227B7B" w:rsidRPr="00DB7B13">
        <w:t>roblémom stále ostáva</w:t>
      </w:r>
      <w:r w:rsidR="000550DE" w:rsidRPr="00DB7B13">
        <w:t xml:space="preserve"> absencia odborne sp</w:t>
      </w:r>
      <w:r w:rsidR="000678B1">
        <w:t>ôsobilých zamestnancov, kedy na </w:t>
      </w:r>
      <w:r w:rsidR="000550DE" w:rsidRPr="00DB7B13">
        <w:t>vyk</w:t>
      </w:r>
      <w:r w:rsidR="000550DE" w:rsidRPr="00DB7B13">
        <w:t>o</w:t>
      </w:r>
      <w:r w:rsidR="000550DE" w:rsidRPr="00DB7B13">
        <w:t>návanie predpísaných funkcií organizácie neurčili odborne spôsobilého zamestnanca. Neodborné riadenie činností má za následok nevykonávanie predpísaných prehliadok prac</w:t>
      </w:r>
      <w:r w:rsidR="000550DE" w:rsidRPr="00DB7B13">
        <w:t>o</w:t>
      </w:r>
      <w:r w:rsidR="000550DE" w:rsidRPr="00DB7B13">
        <w:t>vísk a kontrol dodržiavania predpisov a prevádzkovej dokumentácie, nedodržiavanie ro</w:t>
      </w:r>
      <w:r w:rsidR="000550DE" w:rsidRPr="00DB7B13">
        <w:t>z</w:t>
      </w:r>
      <w:r w:rsidR="000550DE" w:rsidRPr="00DB7B13">
        <w:t>sahu a lehôt prehliadok elektrických zariadení a nezaznamenávanie výsledkov prehliadok predpísaným spôsobom</w:t>
      </w:r>
      <w:r w:rsidR="003D49A8" w:rsidRPr="00DB7B13">
        <w:t>,</w:t>
      </w:r>
      <w:r w:rsidR="000550DE" w:rsidRPr="00DB7B13">
        <w:t xml:space="preserve"> ako </w:t>
      </w:r>
      <w:r w:rsidR="000678B1">
        <w:t>aj ostatné nedostatky zistené v </w:t>
      </w:r>
      <w:r w:rsidR="000550DE" w:rsidRPr="00DB7B13">
        <w:t>prevádzkovej dokumentácii, najmä nesprávne zarad</w:t>
      </w:r>
      <w:r w:rsidR="000678B1">
        <w:t>enie elektrických spotrebičov a </w:t>
      </w:r>
      <w:r w:rsidR="000550DE" w:rsidRPr="00DB7B13">
        <w:t>elektrického ručného náradia do príslušnej kategórie a zodpovedajúcej lehoty revízie. Podľa poznatkov získaných pri ko</w:t>
      </w:r>
      <w:r w:rsidR="000550DE" w:rsidRPr="00DB7B13">
        <w:t>n</w:t>
      </w:r>
      <w:r w:rsidR="000550DE" w:rsidRPr="00DB7B13">
        <w:t>trolnej činnosti tieto zistené nedostatky vyplývajú najmä z kumulovania funkcií, ktoré je dôsledkom úsporných opatrení.</w:t>
      </w:r>
    </w:p>
    <w:p w:rsidR="00227B7B" w:rsidRPr="00DB7B13" w:rsidRDefault="003D49A8" w:rsidP="009E3B9D">
      <w:pPr>
        <w:rPr>
          <w:iCs/>
        </w:rPr>
      </w:pPr>
      <w:r w:rsidRPr="00DB7B13">
        <w:lastRenderedPageBreak/>
        <w:t xml:space="preserve">Aj v </w:t>
      </w:r>
      <w:r w:rsidR="0025642D" w:rsidRPr="00DB7B13">
        <w:t xml:space="preserve">roku </w:t>
      </w:r>
      <w:r w:rsidRPr="00DB7B13">
        <w:t xml:space="preserve">2016 </w:t>
      </w:r>
      <w:r w:rsidR="0025642D" w:rsidRPr="00DB7B13">
        <w:t xml:space="preserve">sa potvrdilo, že väčšina zistených nedostatkov v oblasti </w:t>
      </w:r>
      <w:r w:rsidR="00B10A66" w:rsidRPr="00DB7B13">
        <w:t xml:space="preserve">BOZP a BP </w:t>
      </w:r>
      <w:r w:rsidR="00AF31D6" w:rsidRPr="00DB7B13">
        <w:t>bolo</w:t>
      </w:r>
      <w:r w:rsidR="0025642D" w:rsidRPr="00DB7B13">
        <w:t xml:space="preserve"> z nedostatočnej praxe, ako aj </w:t>
      </w:r>
      <w:r w:rsidR="002E4867" w:rsidRPr="00DB7B13">
        <w:t xml:space="preserve">nedostatočného </w:t>
      </w:r>
      <w:r w:rsidR="0025642D" w:rsidRPr="00DB7B13">
        <w:t>odbo</w:t>
      </w:r>
      <w:r w:rsidR="0025642D" w:rsidRPr="00DB7B13">
        <w:t>r</w:t>
      </w:r>
      <w:r w:rsidR="0025642D" w:rsidRPr="00DB7B13">
        <w:t>ného vzdelania zamestnancov, kt</w:t>
      </w:r>
      <w:r w:rsidR="00AF31D6" w:rsidRPr="00DB7B13">
        <w:t>orí predmetnú činnosť vykonávali</w:t>
      </w:r>
      <w:r w:rsidR="0025642D" w:rsidRPr="00DB7B13">
        <w:t xml:space="preserve">. </w:t>
      </w:r>
      <w:r w:rsidR="00AF31D6" w:rsidRPr="00DB7B13">
        <w:t>V</w:t>
      </w:r>
      <w:r w:rsidR="0025642D" w:rsidRPr="00DB7B13">
        <w:t xml:space="preserve"> príčin</w:t>
      </w:r>
      <w:r w:rsidR="00AF31D6" w:rsidRPr="00DB7B13">
        <w:t>ách</w:t>
      </w:r>
      <w:r w:rsidR="0025642D" w:rsidRPr="00DB7B13">
        <w:t xml:space="preserve"> pracovných ú</w:t>
      </w:r>
      <w:r w:rsidR="00AF31D6" w:rsidRPr="00DB7B13">
        <w:t xml:space="preserve">razov prevažovala </w:t>
      </w:r>
      <w:r w:rsidR="0025642D" w:rsidRPr="00DB7B13">
        <w:t xml:space="preserve"> skupina 12. - </w:t>
      </w:r>
      <w:r w:rsidR="0025642D" w:rsidRPr="00DB7B13">
        <w:rPr>
          <w:i/>
          <w:iCs/>
        </w:rPr>
        <w:t>Nedostatok osobných predpokladov na riadny pracovný výkon</w:t>
      </w:r>
      <w:r w:rsidR="0025642D" w:rsidRPr="00DB7B13">
        <w:t xml:space="preserve"> </w:t>
      </w:r>
      <w:r w:rsidR="00AF31D6" w:rsidRPr="00DB7B13">
        <w:t xml:space="preserve"> - </w:t>
      </w:r>
      <w:r w:rsidR="00227B7B" w:rsidRPr="00DB7B13">
        <w:t>122</w:t>
      </w:r>
      <w:r w:rsidR="008B2F33" w:rsidRPr="00DB7B13">
        <w:t xml:space="preserve"> registrovaných praco</w:t>
      </w:r>
      <w:r w:rsidR="008B2F33" w:rsidRPr="00DB7B13">
        <w:t>v</w:t>
      </w:r>
      <w:r w:rsidR="00AF31D6" w:rsidRPr="00DB7B13">
        <w:t>ných úrazov (</w:t>
      </w:r>
      <w:r w:rsidR="008B2F33" w:rsidRPr="00DB7B13">
        <w:t>ďalej len „RPÚ</w:t>
      </w:r>
      <w:r w:rsidR="00AF31D6" w:rsidRPr="00DB7B13">
        <w:t>“)</w:t>
      </w:r>
      <w:r w:rsidR="00227B7B" w:rsidRPr="00DB7B13">
        <w:t xml:space="preserve">, čo </w:t>
      </w:r>
      <w:r w:rsidR="00AF31D6" w:rsidRPr="00DB7B13">
        <w:t>predstavuje</w:t>
      </w:r>
      <w:r w:rsidR="00227B7B" w:rsidRPr="00DB7B13">
        <w:t xml:space="preserve"> viac ako 50 % </w:t>
      </w:r>
      <w:r w:rsidR="004C130E" w:rsidRPr="00DB7B13">
        <w:rPr>
          <w:iCs/>
        </w:rPr>
        <w:t>z celkového počtu RPÚ</w:t>
      </w:r>
      <w:r w:rsidR="004C130E" w:rsidRPr="00DB7B13">
        <w:t xml:space="preserve"> </w:t>
      </w:r>
      <w:r w:rsidR="00AF31D6" w:rsidRPr="00DB7B13">
        <w:t xml:space="preserve">pracovných </w:t>
      </w:r>
      <w:r w:rsidR="00227B7B" w:rsidRPr="00DB7B13">
        <w:t>úrazov.</w:t>
      </w:r>
      <w:r w:rsidR="008B2F33" w:rsidRPr="00DB7B13">
        <w:t xml:space="preserve"> </w:t>
      </w:r>
      <w:r w:rsidR="004C130E" w:rsidRPr="00DB7B13">
        <w:t>Ďalšou</w:t>
      </w:r>
      <w:r w:rsidR="00B82C9D" w:rsidRPr="00DB7B13">
        <w:t xml:space="preserve"> príčinou</w:t>
      </w:r>
      <w:r w:rsidR="004C130E" w:rsidRPr="00DB7B13">
        <w:t xml:space="preserve"> RPÚ bola</w:t>
      </w:r>
      <w:r w:rsidR="00227B7B" w:rsidRPr="00DB7B13">
        <w:t xml:space="preserve"> skupina </w:t>
      </w:r>
      <w:r w:rsidR="00B82C9D" w:rsidRPr="00DB7B13">
        <w:t xml:space="preserve">8. - </w:t>
      </w:r>
      <w:r w:rsidR="00B82C9D" w:rsidRPr="00DB7B13">
        <w:rPr>
          <w:i/>
          <w:iCs/>
        </w:rPr>
        <w:t>Používanie nebezpečných postupov alebo spôsobov práce vrátane konania bez oprávnenia</w:t>
      </w:r>
      <w:r w:rsidR="00B82C9D" w:rsidRPr="00DB7B13">
        <w:rPr>
          <w:iCs/>
        </w:rPr>
        <w:t xml:space="preserve">. Z tejto príčiny </w:t>
      </w:r>
      <w:r w:rsidR="004C130E" w:rsidRPr="00DB7B13">
        <w:rPr>
          <w:iCs/>
        </w:rPr>
        <w:t xml:space="preserve">v roku 2016 </w:t>
      </w:r>
      <w:r w:rsidR="00B82C9D" w:rsidRPr="00DB7B13">
        <w:rPr>
          <w:iCs/>
        </w:rPr>
        <w:t>vzniklo 77 RPÚ, čo predst</w:t>
      </w:r>
      <w:r w:rsidR="00B82C9D" w:rsidRPr="00DB7B13">
        <w:rPr>
          <w:iCs/>
        </w:rPr>
        <w:t>a</w:t>
      </w:r>
      <w:r w:rsidR="00B82C9D" w:rsidRPr="00DB7B13">
        <w:rPr>
          <w:iCs/>
        </w:rPr>
        <w:t>vuje viac ako 33%</w:t>
      </w:r>
      <w:r w:rsidR="004C130E" w:rsidRPr="00DB7B13">
        <w:t xml:space="preserve"> </w:t>
      </w:r>
      <w:r w:rsidR="004C130E" w:rsidRPr="00DB7B13">
        <w:rPr>
          <w:iCs/>
        </w:rPr>
        <w:t>z celkového počtu RPÚ</w:t>
      </w:r>
      <w:r w:rsidR="00B82C9D" w:rsidRPr="00DB7B13">
        <w:rPr>
          <w:iCs/>
        </w:rPr>
        <w:t>. Môžeme teda konštatovať, že dve skupiny sú príčinou viac ako 83% z celkového počtu RPÚ.</w:t>
      </w:r>
      <w:r w:rsidR="004C130E" w:rsidRPr="00DB7B13">
        <w:rPr>
          <w:iCs/>
        </w:rPr>
        <w:t xml:space="preserve"> </w:t>
      </w:r>
    </w:p>
    <w:p w:rsidR="0025642D" w:rsidRPr="00DB7B13" w:rsidRDefault="0025642D" w:rsidP="009E3B9D">
      <w:r w:rsidRPr="00DB7B13">
        <w:t xml:space="preserve">Z pohľadu skupín zdrojov pracovných úrazov jednoznačne prevažuje skupina V. – </w:t>
      </w:r>
      <w:r w:rsidRPr="00DB7B13">
        <w:rPr>
          <w:i/>
          <w:iCs/>
        </w:rPr>
        <w:t>Materiál, bremená, predmety</w:t>
      </w:r>
      <w:r w:rsidR="009408A1" w:rsidRPr="00DB7B13">
        <w:rPr>
          <w:iCs/>
        </w:rPr>
        <w:t xml:space="preserve"> (1</w:t>
      </w:r>
      <w:r w:rsidR="00B82C9D" w:rsidRPr="00DB7B13">
        <w:rPr>
          <w:iCs/>
        </w:rPr>
        <w:t>13</w:t>
      </w:r>
      <w:r w:rsidR="009408A1" w:rsidRPr="00DB7B13">
        <w:rPr>
          <w:iCs/>
        </w:rPr>
        <w:t xml:space="preserve"> RPÚ)</w:t>
      </w:r>
      <w:r w:rsidRPr="00DB7B13">
        <w:t>. Druhým najčastejším zdrojom úrazov bol</w:t>
      </w:r>
      <w:r w:rsidR="009408A1" w:rsidRPr="00DB7B13">
        <w:t>a</w:t>
      </w:r>
      <w:r w:rsidRPr="00DB7B13">
        <w:t xml:space="preserve"> </w:t>
      </w:r>
      <w:r w:rsidR="009408A1" w:rsidRPr="00DB7B13">
        <w:t>sk</w:t>
      </w:r>
      <w:r w:rsidR="009408A1" w:rsidRPr="00DB7B13">
        <w:t>u</w:t>
      </w:r>
      <w:r w:rsidR="009408A1" w:rsidRPr="00DB7B13">
        <w:t xml:space="preserve">pina IV. - </w:t>
      </w:r>
      <w:r w:rsidRPr="00DB7B13">
        <w:t>„</w:t>
      </w:r>
      <w:r w:rsidRPr="00DB7B13">
        <w:rPr>
          <w:i/>
          <w:iCs/>
        </w:rPr>
        <w:t>Pracovné, prípadne cestné dopravné priestory, ako zdroje pádu osôb</w:t>
      </w:r>
      <w:r w:rsidRPr="00DB7B13">
        <w:t>“ (</w:t>
      </w:r>
      <w:r w:rsidR="00B82C9D" w:rsidRPr="00DB7B13">
        <w:t>73</w:t>
      </w:r>
      <w:r w:rsidR="009408A1" w:rsidRPr="00DB7B13">
        <w:t xml:space="preserve"> RPÚ</w:t>
      </w:r>
      <w:r w:rsidRPr="00DB7B13">
        <w:t>). Ak zhrnieme všetky pracovné úrazy v týchto dvoch skupinách zdrojov pracovných úrazov zistíme, že tieto zdroje predstavujú takmer</w:t>
      </w:r>
      <w:r w:rsidR="0036253A" w:rsidRPr="00DB7B13">
        <w:t xml:space="preserve"> </w:t>
      </w:r>
      <w:r w:rsidR="00B82C9D" w:rsidRPr="00DB7B13">
        <w:t>80</w:t>
      </w:r>
      <w:r w:rsidRPr="00DB7B13">
        <w:t xml:space="preserve"> % </w:t>
      </w:r>
      <w:r w:rsidR="004C130E" w:rsidRPr="00DB7B13">
        <w:t>z celkového počtu RPÚ.</w:t>
      </w:r>
    </w:p>
    <w:p w:rsidR="0025642D" w:rsidRPr="00DB7B13" w:rsidRDefault="0025642D" w:rsidP="005A6434">
      <w:r w:rsidRPr="00DB7B13">
        <w:t>Podrobné údaje o pracovnej úrazovosti sú uvedené v</w:t>
      </w:r>
      <w:r w:rsidR="009C2F74" w:rsidRPr="00DB7B13">
        <w:t> kapitole 7</w:t>
      </w:r>
      <w:r w:rsidR="004C063F" w:rsidRPr="00DB7B13">
        <w:t xml:space="preserve"> a v</w:t>
      </w:r>
      <w:r w:rsidRPr="00DB7B13">
        <w:t> tabuľkách č. 7 až 13</w:t>
      </w:r>
      <w:r w:rsidR="004C063F" w:rsidRPr="00DB7B13">
        <w:t>.</w:t>
      </w:r>
    </w:p>
    <w:p w:rsidR="00B751C0" w:rsidRPr="00DB7B13" w:rsidRDefault="00B751C0" w:rsidP="005A6434"/>
    <w:p w:rsidR="0025642D" w:rsidRPr="00DB7B13" w:rsidRDefault="0025642D" w:rsidP="002B23A9">
      <w:pPr>
        <w:keepNext/>
        <w:numPr>
          <w:ilvl w:val="0"/>
          <w:numId w:val="5"/>
        </w:numPr>
        <w:tabs>
          <w:tab w:val="left" w:pos="567"/>
        </w:tabs>
        <w:suppressAutoHyphens/>
        <w:spacing w:after="120"/>
        <w:ind w:hanging="567"/>
        <w:jc w:val="left"/>
        <w:outlineLvl w:val="0"/>
        <w:rPr>
          <w:b/>
        </w:rPr>
      </w:pPr>
      <w:r w:rsidRPr="00DB7B13">
        <w:rPr>
          <w:b/>
        </w:rPr>
        <w:t>Nápravné a sankčné opatrenia dozorného orgánu</w:t>
      </w:r>
    </w:p>
    <w:p w:rsidR="0025642D" w:rsidRPr="00DB7B13" w:rsidRDefault="0025642D" w:rsidP="005A6434">
      <w:r w:rsidRPr="00DB7B13">
        <w:t>Prehľad o uložených pokutách s porovnaním s predchádzajúcim rok</w:t>
      </w:r>
      <w:r w:rsidR="00C245FE" w:rsidRPr="00DB7B13">
        <w:t>o</w:t>
      </w:r>
      <w:r w:rsidR="00113859" w:rsidRPr="00DB7B13">
        <w:t>m je v tabuľke č. 5</w:t>
      </w:r>
      <w:r w:rsidRPr="00DB7B13">
        <w:t xml:space="preserve">. </w:t>
      </w:r>
    </w:p>
    <w:p w:rsidR="00C245FE" w:rsidRPr="00DB7B13" w:rsidRDefault="00C245FE" w:rsidP="005A6434">
      <w:r w:rsidRPr="00DB7B13">
        <w:t>Napriek skutočnosti, že stav s predchádzajúcimi rokmi v oblasti RPÚ je porovnate</w:t>
      </w:r>
      <w:r w:rsidRPr="00DB7B13">
        <w:t>ľ</w:t>
      </w:r>
      <w:r w:rsidRPr="00DB7B13">
        <w:t>ný a sta</w:t>
      </w:r>
      <w:r w:rsidR="001C57C8" w:rsidRPr="00DB7B13">
        <w:t>v v ZPÚ a SPÚ</w:t>
      </w:r>
      <w:r w:rsidRPr="00DB7B13">
        <w:t xml:space="preserve"> je výrazne lepší, orgánmi dozoru štátnej banskej správy bolo organizáciám uložené 30 pokút v objeme 27 962 € a jednotlivcom 43 pokút v objeme 1 539 €. Tento stav predstavuje nárast v</w:t>
      </w:r>
      <w:r w:rsidR="002F029D" w:rsidRPr="00DB7B13">
        <w:t xml:space="preserve"> celkovom </w:t>
      </w:r>
      <w:r w:rsidRPr="00DB7B13">
        <w:t>ob</w:t>
      </w:r>
      <w:r w:rsidR="002F029D" w:rsidRPr="00DB7B13">
        <w:t xml:space="preserve">jeme pokút </w:t>
      </w:r>
      <w:r w:rsidRPr="00DB7B13">
        <w:t xml:space="preserve"> o</w:t>
      </w:r>
      <w:r w:rsidR="00B10A66" w:rsidRPr="00DB7B13">
        <w:t> 33,4 % - nárast o 7 389 </w:t>
      </w:r>
      <w:r w:rsidR="002F029D" w:rsidRPr="00DB7B13">
        <w:t xml:space="preserve">€. </w:t>
      </w:r>
    </w:p>
    <w:p w:rsidR="002F029D" w:rsidRPr="00DB7B13" w:rsidRDefault="002F029D" w:rsidP="005A6434">
      <w:pPr>
        <w:rPr>
          <w:u w:val="single"/>
        </w:rPr>
      </w:pPr>
      <w:r w:rsidRPr="00DB7B13">
        <w:t>Počet pokút organizáciám ostal v podstate nezmenený (29 v roku 2015 a 30 v roku 2016), počet pokút jednotlivcom poklesol o 21 (64 v roku 2016 a 43 v roku 2016). Napriek tomu, cieľom samozrejme nie je zvyšovanie objemu pokút, ale zlepšovanie stavu v BOZP.</w:t>
      </w:r>
    </w:p>
    <w:p w:rsidR="00B751C0" w:rsidRPr="00DB7B13" w:rsidRDefault="00B751C0" w:rsidP="005A6434"/>
    <w:p w:rsidR="0025642D" w:rsidRPr="00DB7B13" w:rsidRDefault="0025642D" w:rsidP="002B23A9">
      <w:pPr>
        <w:keepNext/>
        <w:numPr>
          <w:ilvl w:val="0"/>
          <w:numId w:val="5"/>
        </w:numPr>
        <w:tabs>
          <w:tab w:val="left" w:pos="567"/>
        </w:tabs>
        <w:suppressAutoHyphens/>
        <w:spacing w:after="120"/>
        <w:ind w:hanging="567"/>
        <w:jc w:val="left"/>
        <w:outlineLvl w:val="0"/>
        <w:rPr>
          <w:b/>
        </w:rPr>
      </w:pPr>
      <w:bookmarkStart w:id="1" w:name="_Ref350330439"/>
      <w:r w:rsidRPr="00DB7B13">
        <w:rPr>
          <w:b/>
        </w:rPr>
        <w:t>Stav a vývoj pracovných úrazov a chorôb z povolania</w:t>
      </w:r>
      <w:bookmarkEnd w:id="1"/>
    </w:p>
    <w:p w:rsidR="0025642D" w:rsidRPr="00DB7B13" w:rsidRDefault="0025642D" w:rsidP="005A6434">
      <w:r w:rsidRPr="00DB7B13">
        <w:t>Vývoj pracovnej úrazovosti v</w:t>
      </w:r>
      <w:r w:rsidR="001D72BD" w:rsidRPr="00DB7B13">
        <w:t xml:space="preserve"> hodnotenom období </w:t>
      </w:r>
      <w:r w:rsidR="00F42605" w:rsidRPr="00DB7B13">
        <w:t>v absolútnych číslach možno</w:t>
      </w:r>
      <w:r w:rsidR="00113859" w:rsidRPr="00DB7B13">
        <w:t xml:space="preserve"> v </w:t>
      </w:r>
      <w:r w:rsidRPr="00DB7B13">
        <w:t>porovnaní s</w:t>
      </w:r>
      <w:r w:rsidR="001D72BD" w:rsidRPr="00DB7B13">
        <w:t> predchádzajúcim obdobím</w:t>
      </w:r>
      <w:r w:rsidRPr="00DB7B13">
        <w:t xml:space="preserve"> považovať za </w:t>
      </w:r>
      <w:r w:rsidR="00F42605" w:rsidRPr="00DB7B13">
        <w:t>obdobný. C</w:t>
      </w:r>
      <w:r w:rsidRPr="00DB7B13">
        <w:t xml:space="preserve">elkový trend vo vývoji pracovnej úrazovosti je v posledných rokoch priaznivý. </w:t>
      </w:r>
      <w:r w:rsidR="00F42605" w:rsidRPr="00DB7B13">
        <w:t>Rok 2016 považujeme v stave pr</w:t>
      </w:r>
      <w:r w:rsidR="00F42605" w:rsidRPr="00DB7B13">
        <w:t>a</w:t>
      </w:r>
      <w:r w:rsidR="00F42605" w:rsidRPr="00DB7B13">
        <w:t xml:space="preserve">covných úrazov za najlepší hlavne z dôvodu, že nebol </w:t>
      </w:r>
      <w:r w:rsidR="001C57C8" w:rsidRPr="00DB7B13">
        <w:t>zaznamenaný žiaden</w:t>
      </w:r>
      <w:r w:rsidR="00F42605" w:rsidRPr="00DB7B13">
        <w:t xml:space="preserve"> </w:t>
      </w:r>
      <w:r w:rsidR="001C57C8" w:rsidRPr="00DB7B13">
        <w:t>SPÚ a boli len 2 Z</w:t>
      </w:r>
      <w:r w:rsidR="00F42605" w:rsidRPr="00DB7B13">
        <w:t xml:space="preserve">PÚ. </w:t>
      </w:r>
    </w:p>
    <w:p w:rsidR="0025642D" w:rsidRPr="00DB7B13" w:rsidRDefault="001C57C8" w:rsidP="00C832AA">
      <w:pPr>
        <w:rPr>
          <w:spacing w:val="-5"/>
        </w:rPr>
      </w:pPr>
      <w:r w:rsidRPr="00DB7B13">
        <w:rPr>
          <w:spacing w:val="-5"/>
        </w:rPr>
        <w:t>Počet</w:t>
      </w:r>
      <w:r w:rsidR="0025642D" w:rsidRPr="00DB7B13">
        <w:rPr>
          <w:spacing w:val="-5"/>
        </w:rPr>
        <w:t xml:space="preserve"> </w:t>
      </w:r>
      <w:r w:rsidR="00F42605" w:rsidRPr="00DB7B13">
        <w:rPr>
          <w:spacing w:val="-5"/>
        </w:rPr>
        <w:t xml:space="preserve">RPÚ </w:t>
      </w:r>
      <w:r w:rsidR="00A15193" w:rsidRPr="00DB7B13">
        <w:rPr>
          <w:spacing w:val="-5"/>
        </w:rPr>
        <w:t xml:space="preserve">sa </w:t>
      </w:r>
      <w:r w:rsidRPr="00DB7B13">
        <w:rPr>
          <w:spacing w:val="-5"/>
        </w:rPr>
        <w:t xml:space="preserve"> udržal</w:t>
      </w:r>
      <w:r w:rsidR="00A15193" w:rsidRPr="00DB7B13">
        <w:rPr>
          <w:spacing w:val="-5"/>
        </w:rPr>
        <w:t xml:space="preserve"> na obdobnej úrovni</w:t>
      </w:r>
      <w:r w:rsidR="00AC1E23">
        <w:rPr>
          <w:spacing w:val="-5"/>
        </w:rPr>
        <w:t xml:space="preserve"> </w:t>
      </w:r>
      <w:r w:rsidR="00A15193" w:rsidRPr="00DB7B13">
        <w:rPr>
          <w:spacing w:val="-5"/>
        </w:rPr>
        <w:t xml:space="preserve"> ako v predchádzajúcom roku</w:t>
      </w:r>
      <w:r w:rsidR="00A432D7" w:rsidRPr="00DB7B13">
        <w:rPr>
          <w:spacing w:val="-5"/>
        </w:rPr>
        <w:t>.</w:t>
      </w:r>
      <w:r w:rsidR="0025642D" w:rsidRPr="00DB7B13">
        <w:rPr>
          <w:spacing w:val="-5"/>
        </w:rPr>
        <w:t xml:space="preserve"> </w:t>
      </w:r>
      <w:r w:rsidR="00A432D7" w:rsidRPr="00DB7B13">
        <w:rPr>
          <w:spacing w:val="-5"/>
        </w:rPr>
        <w:t>V</w:t>
      </w:r>
      <w:r w:rsidRPr="00DB7B13">
        <w:rPr>
          <w:spacing w:val="-5"/>
        </w:rPr>
        <w:t> roku 2016</w:t>
      </w:r>
      <w:r w:rsidR="0025642D" w:rsidRPr="00DB7B13">
        <w:rPr>
          <w:spacing w:val="-5"/>
        </w:rPr>
        <w:t xml:space="preserve"> bolo zaznamenaných </w:t>
      </w:r>
      <w:r w:rsidR="001D72BD" w:rsidRPr="00DB7B13">
        <w:rPr>
          <w:spacing w:val="-5"/>
        </w:rPr>
        <w:t>2</w:t>
      </w:r>
      <w:r w:rsidR="00F42605" w:rsidRPr="00DB7B13">
        <w:rPr>
          <w:spacing w:val="-5"/>
        </w:rPr>
        <w:t>33</w:t>
      </w:r>
      <w:r w:rsidR="0025642D" w:rsidRPr="00DB7B13">
        <w:rPr>
          <w:spacing w:val="-5"/>
        </w:rPr>
        <w:t xml:space="preserve"> všetkých RPÚ, oproti </w:t>
      </w:r>
      <w:r w:rsidR="001D72BD" w:rsidRPr="00DB7B13">
        <w:rPr>
          <w:spacing w:val="-5"/>
        </w:rPr>
        <w:t xml:space="preserve">predchádzajúcemu </w:t>
      </w:r>
      <w:r w:rsidR="0025642D" w:rsidRPr="00DB7B13">
        <w:rPr>
          <w:spacing w:val="-5"/>
        </w:rPr>
        <w:t xml:space="preserve">roku, keď bolo zaznamenaných </w:t>
      </w:r>
      <w:r w:rsidR="00D45DAA" w:rsidRPr="00DB7B13">
        <w:rPr>
          <w:spacing w:val="-5"/>
        </w:rPr>
        <w:t xml:space="preserve">celkovo </w:t>
      </w:r>
      <w:r w:rsidR="009735B6" w:rsidRPr="00DB7B13">
        <w:rPr>
          <w:spacing w:val="-5"/>
        </w:rPr>
        <w:t>22</w:t>
      </w:r>
      <w:r w:rsidR="00F42605" w:rsidRPr="00DB7B13">
        <w:rPr>
          <w:spacing w:val="-5"/>
        </w:rPr>
        <w:t>2</w:t>
      </w:r>
      <w:r w:rsidR="009C2F74" w:rsidRPr="00DB7B13">
        <w:rPr>
          <w:spacing w:val="-5"/>
        </w:rPr>
        <w:t xml:space="preserve"> RPÚ ( 1</w:t>
      </w:r>
      <w:r w:rsidRPr="00DB7B13">
        <w:rPr>
          <w:spacing w:val="-5"/>
        </w:rPr>
        <w:t xml:space="preserve"> SPÚ a 3 Z</w:t>
      </w:r>
      <w:r w:rsidR="00F42605" w:rsidRPr="00DB7B13">
        <w:rPr>
          <w:spacing w:val="-5"/>
        </w:rPr>
        <w:t>PÚ</w:t>
      </w:r>
      <w:r w:rsidRPr="00DB7B13">
        <w:rPr>
          <w:spacing w:val="-5"/>
        </w:rPr>
        <w:t>)</w:t>
      </w:r>
      <w:r w:rsidR="00F42605" w:rsidRPr="00DB7B13">
        <w:rPr>
          <w:spacing w:val="-5"/>
        </w:rPr>
        <w:t>.</w:t>
      </w:r>
    </w:p>
    <w:p w:rsidR="0025642D" w:rsidRPr="00DB7B13" w:rsidRDefault="0025642D" w:rsidP="002F4454">
      <w:pPr>
        <w:spacing w:after="120"/>
      </w:pPr>
      <w:r w:rsidRPr="00DB7B13">
        <w:t>Pokiaľ ide o sledovanie úrazovosti podľa m</w:t>
      </w:r>
      <w:r w:rsidR="001C57C8" w:rsidRPr="00DB7B13">
        <w:t>iesta vzniku RPÚ na povrchu a v </w:t>
      </w:r>
      <w:r w:rsidRPr="00DB7B13">
        <w:t>podze</w:t>
      </w:r>
      <w:r w:rsidR="001C57C8" w:rsidRPr="00DB7B13">
        <w:t xml:space="preserve">mí </w:t>
      </w:r>
      <w:r w:rsidRPr="00DB7B13">
        <w:t>vä</w:t>
      </w:r>
      <w:r w:rsidR="00B10A66" w:rsidRPr="00DB7B13">
        <w:t>čšina pracovných úrazov bolo</w:t>
      </w:r>
      <w:r w:rsidRPr="00DB7B13">
        <w:t xml:space="preserve"> v</w:t>
      </w:r>
      <w:r w:rsidR="00107B5D" w:rsidRPr="00DB7B13">
        <w:t> </w:t>
      </w:r>
      <w:r w:rsidRPr="00DB7B13">
        <w:t>podzemí</w:t>
      </w:r>
      <w:r w:rsidR="00AC1E23">
        <w:t>, najmä v</w:t>
      </w:r>
      <w:r w:rsidRPr="00DB7B13">
        <w:t xml:space="preserve"> uho</w:t>
      </w:r>
      <w:r w:rsidRPr="00DB7B13">
        <w:t>ľ</w:t>
      </w:r>
      <w:r w:rsidRPr="00DB7B13">
        <w:t>ných ban</w:t>
      </w:r>
      <w:r w:rsidR="00107B5D" w:rsidRPr="00DB7B13">
        <w:t>iach.</w:t>
      </w:r>
      <w:r w:rsidRPr="00DB7B13">
        <w:t xml:space="preserve"> </w:t>
      </w:r>
      <w:r w:rsidR="001C57C8" w:rsidRPr="00DB7B13">
        <w:t>V roku 2016  bolo v podzemí</w:t>
      </w:r>
      <w:r w:rsidR="00107B5D" w:rsidRPr="00DB7B13">
        <w:t xml:space="preserve"> 1</w:t>
      </w:r>
      <w:r w:rsidR="00887649" w:rsidRPr="00DB7B13">
        <w:t>8</w:t>
      </w:r>
      <w:r w:rsidR="00ED69AD" w:rsidRPr="00DB7B13">
        <w:t>2</w:t>
      </w:r>
      <w:r w:rsidR="00107B5D" w:rsidRPr="00DB7B13">
        <w:t xml:space="preserve"> RPÚ </w:t>
      </w:r>
      <w:r w:rsidR="00ED69AD" w:rsidRPr="00DB7B13">
        <w:t xml:space="preserve"> </w:t>
      </w:r>
      <w:r w:rsidR="00107B5D" w:rsidRPr="00DB7B13">
        <w:t xml:space="preserve">a na povrchu </w:t>
      </w:r>
      <w:r w:rsidR="00ED69AD" w:rsidRPr="00DB7B13">
        <w:t>5</w:t>
      </w:r>
      <w:r w:rsidR="00887649" w:rsidRPr="00DB7B13">
        <w:t>1</w:t>
      </w:r>
      <w:r w:rsidR="00107B5D" w:rsidRPr="00DB7B13">
        <w:t xml:space="preserve"> RP</w:t>
      </w:r>
      <w:r w:rsidR="00887649" w:rsidRPr="00DB7B13">
        <w:t>Ú</w:t>
      </w:r>
      <w:r w:rsidR="00107B5D" w:rsidRPr="00DB7B13">
        <w:t xml:space="preserve">. </w:t>
      </w:r>
      <w:r w:rsidR="001C57C8" w:rsidRPr="00DB7B13">
        <w:t xml:space="preserve">V roku 2015 </w:t>
      </w:r>
      <w:r w:rsidR="00107B5D" w:rsidRPr="00DB7B13">
        <w:t>to bolo</w:t>
      </w:r>
      <w:r w:rsidR="00ED69AD" w:rsidRPr="00DB7B13">
        <w:t xml:space="preserve"> </w:t>
      </w:r>
      <w:r w:rsidR="001107A0" w:rsidRPr="00DB7B13">
        <w:t>17</w:t>
      </w:r>
      <w:r w:rsidR="00EA7780" w:rsidRPr="00DB7B13">
        <w:t>2</w:t>
      </w:r>
      <w:r w:rsidR="00107B5D" w:rsidRPr="00DB7B13">
        <w:t xml:space="preserve"> RP</w:t>
      </w:r>
      <w:r w:rsidR="00ED69AD" w:rsidRPr="00DB7B13">
        <w:t>Ú</w:t>
      </w:r>
      <w:r w:rsidR="00107B5D" w:rsidRPr="00DB7B13">
        <w:t xml:space="preserve"> v podzemí a</w:t>
      </w:r>
      <w:r w:rsidR="00D45DAA" w:rsidRPr="00DB7B13">
        <w:t> </w:t>
      </w:r>
      <w:r w:rsidR="00EA7780" w:rsidRPr="00DB7B13">
        <w:t>50</w:t>
      </w:r>
      <w:r w:rsidR="00D45DAA" w:rsidRPr="00DB7B13">
        <w:t xml:space="preserve"> RPÚ na povrchu.</w:t>
      </w:r>
      <w:r w:rsidRPr="00DB7B13">
        <w:t xml:space="preserve"> </w:t>
      </w:r>
    </w:p>
    <w:p w:rsidR="0025642D" w:rsidRPr="00DB7B13" w:rsidRDefault="0025642D" w:rsidP="002F4454">
      <w:pPr>
        <w:spacing w:after="120"/>
      </w:pPr>
      <w:r w:rsidRPr="00DB7B13">
        <w:t>V</w:t>
      </w:r>
      <w:r w:rsidR="001C57C8" w:rsidRPr="00DB7B13">
        <w:t> roku 2016</w:t>
      </w:r>
      <w:r w:rsidRPr="00DB7B13">
        <w:t xml:space="preserve"> podliehalo výkonu hlavného dozoru </w:t>
      </w:r>
      <w:r w:rsidR="00FD599F" w:rsidRPr="00DB7B13">
        <w:t>1</w:t>
      </w:r>
      <w:r w:rsidR="00B65B59" w:rsidRPr="00DB7B13">
        <w:t>1</w:t>
      </w:r>
      <w:r w:rsidRPr="00DB7B13">
        <w:t xml:space="preserve"> </w:t>
      </w:r>
      <w:r w:rsidR="00B65B59" w:rsidRPr="00DB7B13">
        <w:t>690</w:t>
      </w:r>
      <w:r w:rsidRPr="00DB7B13">
        <w:t xml:space="preserve"> zamestnancov</w:t>
      </w:r>
      <w:r w:rsidR="003A2830" w:rsidRPr="00DB7B13">
        <w:t xml:space="preserve"> (podľa podkladov k správe o </w:t>
      </w:r>
      <w:r w:rsidR="00B10A66" w:rsidRPr="00DB7B13">
        <w:t>činnosti HBÚ</w:t>
      </w:r>
      <w:r w:rsidR="003A2830" w:rsidRPr="00DB7B13">
        <w:t xml:space="preserve"> a obvodných banských úradov za rok 201</w:t>
      </w:r>
      <w:r w:rsidR="00B65B59" w:rsidRPr="00DB7B13">
        <w:t>6</w:t>
      </w:r>
      <w:r w:rsidR="003A2830" w:rsidRPr="00DB7B13">
        <w:t>)</w:t>
      </w:r>
      <w:r w:rsidRPr="00DB7B13">
        <w:t xml:space="preserve">. Z vyššie </w:t>
      </w:r>
      <w:r w:rsidRPr="00DB7B13">
        <w:lastRenderedPageBreak/>
        <w:t>uvedeného počtu RPÚ</w:t>
      </w:r>
      <w:r w:rsidR="005C3437" w:rsidRPr="00DB7B13">
        <w:t xml:space="preserve"> (</w:t>
      </w:r>
      <w:r w:rsidR="00ED69AD" w:rsidRPr="00DB7B13">
        <w:t>2</w:t>
      </w:r>
      <w:r w:rsidR="00B65B59" w:rsidRPr="00DB7B13">
        <w:t>33</w:t>
      </w:r>
      <w:r w:rsidR="005C3437" w:rsidRPr="00DB7B13">
        <w:t xml:space="preserve">) </w:t>
      </w:r>
      <w:r w:rsidRPr="00DB7B13">
        <w:t>vyplýva, že ukazov</w:t>
      </w:r>
      <w:r w:rsidRPr="00DB7B13">
        <w:t>a</w:t>
      </w:r>
      <w:r w:rsidRPr="00DB7B13">
        <w:t xml:space="preserve">teľ pracovnej úrazovosti za </w:t>
      </w:r>
      <w:r w:rsidR="003A2830" w:rsidRPr="00DB7B13">
        <w:t xml:space="preserve">hodnotené obdobie </w:t>
      </w:r>
      <w:r w:rsidRPr="00DB7B13">
        <w:t xml:space="preserve">je </w:t>
      </w:r>
      <w:r w:rsidR="003469F6" w:rsidRPr="00DB7B13">
        <w:t>1</w:t>
      </w:r>
      <w:r w:rsidRPr="00DB7B13">
        <w:t>,</w:t>
      </w:r>
      <w:r w:rsidR="00E4361F" w:rsidRPr="00DB7B13">
        <w:t xml:space="preserve">99. </w:t>
      </w:r>
      <w:r w:rsidRPr="00DB7B13">
        <w:t>To predstavuje oproti predchádz</w:t>
      </w:r>
      <w:r w:rsidRPr="00DB7B13">
        <w:t>a</w:t>
      </w:r>
      <w:r w:rsidRPr="00DB7B13">
        <w:t>júcemu roku</w:t>
      </w:r>
      <w:r w:rsidR="005C3437" w:rsidRPr="00DB7B13">
        <w:t xml:space="preserve"> ustálený stav</w:t>
      </w:r>
      <w:r w:rsidRPr="00DB7B13">
        <w:t xml:space="preserve">, kedy bol ukazovateľ pracovnej úrazovosti </w:t>
      </w:r>
      <w:r w:rsidR="003A2830" w:rsidRPr="00DB7B13">
        <w:t>1,8</w:t>
      </w:r>
      <w:r w:rsidR="00B65B59" w:rsidRPr="00DB7B13">
        <w:t>4</w:t>
      </w:r>
      <w:r w:rsidRPr="00DB7B13">
        <w:t>.</w:t>
      </w:r>
    </w:p>
    <w:p w:rsidR="00457641" w:rsidRPr="00DB7B13" w:rsidRDefault="00E4361F" w:rsidP="002B7270">
      <w:r w:rsidRPr="00DB7B13">
        <w:t>V</w:t>
      </w:r>
      <w:r w:rsidR="0025642D" w:rsidRPr="00DB7B13">
        <w:t> porovnaní</w:t>
      </w:r>
      <w:r w:rsidRPr="00DB7B13">
        <w:t xml:space="preserve"> s celorepublikovými hodnotami </w:t>
      </w:r>
      <w:r w:rsidR="009D6DD7" w:rsidRPr="00DB7B13">
        <w:t xml:space="preserve">je </w:t>
      </w:r>
      <w:r w:rsidR="00B10A66" w:rsidRPr="00DB7B13">
        <w:t xml:space="preserve">to </w:t>
      </w:r>
      <w:r w:rsidR="0025642D" w:rsidRPr="00DB7B13">
        <w:t>stále</w:t>
      </w:r>
      <w:r w:rsidRPr="00DB7B13">
        <w:t xml:space="preserve"> vysoká hodnota, neporovn</w:t>
      </w:r>
      <w:r w:rsidRPr="00DB7B13">
        <w:t>a</w:t>
      </w:r>
      <w:r w:rsidRPr="00DB7B13">
        <w:t>teľné sú však neodstrániteľné riziká spojené s prácou v podzemí</w:t>
      </w:r>
      <w:r w:rsidR="0025642D" w:rsidRPr="00DB7B13">
        <w:t xml:space="preserve">. </w:t>
      </w:r>
      <w:r w:rsidRPr="00DB7B13">
        <w:t xml:space="preserve">V prípade, že by sme hodnotili len RPÚ na povrchu, ukazovateľ pracovnej úrazovosti by bol </w:t>
      </w:r>
      <w:r w:rsidR="002B7270" w:rsidRPr="00DB7B13">
        <w:t>0,43</w:t>
      </w:r>
      <w:r w:rsidR="002E4867" w:rsidRPr="00DB7B13">
        <w:t>, čo je poro</w:t>
      </w:r>
      <w:r w:rsidR="002E4867" w:rsidRPr="00DB7B13">
        <w:t>v</w:t>
      </w:r>
      <w:r w:rsidR="002E4867" w:rsidRPr="00DB7B13">
        <w:t>nateľná hodnota s celorepublikovým priemerom</w:t>
      </w:r>
      <w:r w:rsidR="002B7270" w:rsidRPr="00DB7B13">
        <w:t xml:space="preserve">. </w:t>
      </w:r>
      <w:r w:rsidRPr="00DB7B13">
        <w:t xml:space="preserve"> </w:t>
      </w:r>
    </w:p>
    <w:p w:rsidR="0025642D" w:rsidRPr="00DB7B13" w:rsidRDefault="002B7270" w:rsidP="002B7270">
      <w:pPr>
        <w:pStyle w:val="Odsekzoznamu1"/>
        <w:ind w:left="0"/>
      </w:pPr>
      <w:r w:rsidRPr="00DB7B13">
        <w:t>N</w:t>
      </w:r>
      <w:r w:rsidR="0025642D" w:rsidRPr="00DB7B13">
        <w:t xml:space="preserve">a </w:t>
      </w:r>
      <w:r w:rsidR="00B10A66" w:rsidRPr="00DB7B13">
        <w:t>HBÚ</w:t>
      </w:r>
      <w:r w:rsidR="0025642D" w:rsidRPr="00DB7B13">
        <w:t xml:space="preserve"> bolo doručených </w:t>
      </w:r>
      <w:r w:rsidRPr="00DB7B13">
        <w:t>41</w:t>
      </w:r>
      <w:r w:rsidR="0025642D" w:rsidRPr="00DB7B13">
        <w:t xml:space="preserve"> oznámení</w:t>
      </w:r>
      <w:r w:rsidRPr="00DB7B13">
        <w:t xml:space="preserve"> o nových chorobách z povolania. </w:t>
      </w:r>
      <w:r w:rsidR="0025642D" w:rsidRPr="00DB7B13">
        <w:t>Jednoznačne najviac chorôb z povolania je stále spôsobovaných jednostra</w:t>
      </w:r>
      <w:r w:rsidR="0025642D" w:rsidRPr="00DB7B13">
        <w:t>n</w:t>
      </w:r>
      <w:r w:rsidR="0025642D" w:rsidRPr="00DB7B13">
        <w:t>ným zaťažením a potom vibráciami.</w:t>
      </w:r>
    </w:p>
    <w:p w:rsidR="00B751C0" w:rsidRPr="00DB7B13" w:rsidRDefault="00B751C0" w:rsidP="002B7270">
      <w:pPr>
        <w:pStyle w:val="Odsekzoznamu1"/>
        <w:ind w:left="0"/>
      </w:pPr>
    </w:p>
    <w:p w:rsidR="0025642D" w:rsidRPr="00DB7B13" w:rsidRDefault="0025642D" w:rsidP="002B23A9">
      <w:pPr>
        <w:keepNext/>
        <w:numPr>
          <w:ilvl w:val="0"/>
          <w:numId w:val="5"/>
        </w:numPr>
        <w:tabs>
          <w:tab w:val="left" w:pos="567"/>
        </w:tabs>
        <w:suppressAutoHyphens/>
        <w:spacing w:after="120"/>
        <w:ind w:hanging="567"/>
        <w:jc w:val="left"/>
        <w:outlineLvl w:val="0"/>
        <w:rPr>
          <w:b/>
        </w:rPr>
      </w:pPr>
      <w:r w:rsidRPr="00DB7B13">
        <w:rPr>
          <w:b/>
        </w:rPr>
        <w:t>Spolupráca dozorného orgánu</w:t>
      </w:r>
    </w:p>
    <w:p w:rsidR="0025642D" w:rsidRPr="00DB7B13" w:rsidRDefault="0025642D" w:rsidP="005A6434">
      <w:r w:rsidRPr="00DB7B13">
        <w:t>Spolupráca v oblasti BOZP sa realizovala</w:t>
      </w:r>
      <w:r w:rsidR="002B7270" w:rsidRPr="00DB7B13">
        <w:t xml:space="preserve"> hlavne</w:t>
      </w:r>
      <w:r w:rsidRPr="00DB7B13">
        <w:t xml:space="preserve"> s Odborovým zväzom pracovníkov baní, geológie a naftového priemyslu SR, Slovenskou banskou komorou, </w:t>
      </w:r>
      <w:r w:rsidR="003A232D" w:rsidRPr="00DB7B13">
        <w:t xml:space="preserve">Slovenským združením výrobcov kameniva, </w:t>
      </w:r>
      <w:r w:rsidRPr="00DB7B13">
        <w:t>S</w:t>
      </w:r>
      <w:r w:rsidR="002B7270" w:rsidRPr="00DB7B13">
        <w:t>lovenskou baníckou spoločnosťou a</w:t>
      </w:r>
      <w:r w:rsidRPr="00DB7B13">
        <w:t xml:space="preserve"> Slovenskou spoločnosťou pre vŕtacie a trhacie práce</w:t>
      </w:r>
      <w:r w:rsidR="002B7270" w:rsidRPr="00DB7B13">
        <w:t xml:space="preserve">. </w:t>
      </w:r>
      <w:r w:rsidRPr="00DB7B13">
        <w:t xml:space="preserve">V oblasti výbušnín a vyšetrovania </w:t>
      </w:r>
      <w:r w:rsidR="002F4454" w:rsidRPr="00DB7B13">
        <w:t>ZPÚ</w:t>
      </w:r>
      <w:r w:rsidRPr="00DB7B13">
        <w:t xml:space="preserve"> banské úrady spolupracujú s krajskými a okresnými riaditeľstvami Policajn</w:t>
      </w:r>
      <w:r w:rsidRPr="00DB7B13">
        <w:t>é</w:t>
      </w:r>
      <w:r w:rsidR="000678B1">
        <w:t>ho zboru SR a </w:t>
      </w:r>
      <w:r w:rsidRPr="00DB7B13">
        <w:t>s Kriminalistickým a expertíznym ústavom a v oblasti predaja pyrotechni</w:t>
      </w:r>
      <w:r w:rsidRPr="00DB7B13">
        <w:t>c</w:t>
      </w:r>
      <w:r w:rsidRPr="00DB7B13">
        <w:t>kých výrobkov aj so Slovenskou obchodnou inšpekciou.  V rámci konzultácií a prípravy vysokoškolsky vzdelaných odborníkov v oblasti baníctva pokračovala spolupráca s faku</w:t>
      </w:r>
      <w:r w:rsidRPr="00DB7B13">
        <w:t>l</w:t>
      </w:r>
      <w:r w:rsidRPr="00DB7B13">
        <w:t>tou BERG</w:t>
      </w:r>
      <w:r w:rsidR="002B7270" w:rsidRPr="00DB7B13">
        <w:t>, Hutníckou</w:t>
      </w:r>
      <w:r w:rsidRPr="00DB7B13">
        <w:t xml:space="preserve"> a Strojníckou fakultou Technickej univerzity v Košiciach.</w:t>
      </w:r>
    </w:p>
    <w:p w:rsidR="0025642D" w:rsidRPr="00DB7B13" w:rsidRDefault="0025642D" w:rsidP="005A6434">
      <w:r w:rsidRPr="00DB7B13">
        <w:t>Už tradične existuje dobrá spolupráca s</w:t>
      </w:r>
      <w:r w:rsidR="00B10A66" w:rsidRPr="00DB7B13">
        <w:t> MH SR</w:t>
      </w:r>
      <w:r w:rsidR="00AC1E23">
        <w:t>,</w:t>
      </w:r>
      <w:r w:rsidRPr="00DB7B13">
        <w:t xml:space="preserve"> ako aj Ministerstvo</w:t>
      </w:r>
      <w:r w:rsidR="003A232D" w:rsidRPr="00DB7B13">
        <w:t>m</w:t>
      </w:r>
      <w:r w:rsidRPr="00DB7B13">
        <w:t xml:space="preserve"> životného prostredia Slovenskej republiky </w:t>
      </w:r>
      <w:r w:rsidR="00B10A66" w:rsidRPr="00DB7B13">
        <w:t xml:space="preserve">(ďalej len „MŽP SR“) </w:t>
      </w:r>
      <w:r w:rsidRPr="00DB7B13">
        <w:t>v rôznych obla</w:t>
      </w:r>
      <w:r w:rsidRPr="00DB7B13">
        <w:t>s</w:t>
      </w:r>
      <w:r w:rsidRPr="00DB7B13">
        <w:t>tiach, okrem iného najmä v legislatívnej oblasti pri príprave návrhov predpisov súvisiacich s výkonom hlavného dozoru.</w:t>
      </w:r>
      <w:r w:rsidR="002B7270" w:rsidRPr="00DB7B13">
        <w:t xml:space="preserve"> V roku 2016 možno pozitívne hodnotiť aj spoluprácu </w:t>
      </w:r>
      <w:r w:rsidR="001F528B" w:rsidRPr="001F528B">
        <w:t>s MPSVR SR</w:t>
      </w:r>
      <w:r w:rsidR="002B7270" w:rsidRPr="001F528B">
        <w:t>.</w:t>
      </w:r>
    </w:p>
    <w:p w:rsidR="0025642D" w:rsidRPr="00DB7B13" w:rsidRDefault="0025642D" w:rsidP="00C01159">
      <w:r w:rsidRPr="00DB7B13">
        <w:t>Banské úrady spolupracujú aj s Národným inšpektorátom práce</w:t>
      </w:r>
      <w:r w:rsidR="00B10A66" w:rsidRPr="00DB7B13">
        <w:t xml:space="preserve"> (ďalej len „NIP“)</w:t>
      </w:r>
      <w:r w:rsidRPr="00DB7B13">
        <w:t>, ako aj jednotlivými krajskými inšpektorátmi práce (napr. pri určovaní hranice dozoru nad BOZP). Výsledkom tejto vzájomnej spolupráce bola príprava a</w:t>
      </w:r>
      <w:r w:rsidR="002B7270" w:rsidRPr="00DB7B13">
        <w:t> podpísanie Dohody o spolupráci</w:t>
      </w:r>
      <w:r w:rsidRPr="00DB7B13">
        <w:t>,</w:t>
      </w:r>
      <w:r w:rsidR="002B7270" w:rsidRPr="00DB7B13">
        <w:t xml:space="preserve"> </w:t>
      </w:r>
      <w:r w:rsidRPr="00DB7B13">
        <w:t xml:space="preserve">medzi </w:t>
      </w:r>
      <w:r w:rsidR="00B10A66" w:rsidRPr="00DB7B13">
        <w:t>HBÚ</w:t>
      </w:r>
      <w:r w:rsidRPr="00DB7B13">
        <w:t xml:space="preserve"> a N</w:t>
      </w:r>
      <w:r w:rsidR="00B10A66" w:rsidRPr="00DB7B13">
        <w:t>IP</w:t>
      </w:r>
      <w:r w:rsidRPr="00DB7B13">
        <w:t xml:space="preserve"> </w:t>
      </w:r>
      <w:r w:rsidR="00D21B2B" w:rsidRPr="00DB7B13">
        <w:t xml:space="preserve">dňa </w:t>
      </w:r>
      <w:r w:rsidRPr="00DB7B13">
        <w:t>25. 01. 2013.</w:t>
      </w:r>
      <w:r w:rsidR="002B7270" w:rsidRPr="00DB7B13">
        <w:t xml:space="preserve"> </w:t>
      </w:r>
      <w:r w:rsidR="00F10B16" w:rsidRPr="00DB7B13">
        <w:t xml:space="preserve">Zástupca </w:t>
      </w:r>
      <w:r w:rsidR="00B10A66" w:rsidRPr="00DB7B13">
        <w:t>HBÚ</w:t>
      </w:r>
      <w:r w:rsidR="00F10B16" w:rsidRPr="00DB7B13">
        <w:t xml:space="preserve"> je tiež členom skupiny N</w:t>
      </w:r>
      <w:r w:rsidR="00B10A66" w:rsidRPr="00DB7B13">
        <w:t>IP</w:t>
      </w:r>
      <w:r w:rsidR="00F10B16" w:rsidRPr="00DB7B13">
        <w:t xml:space="preserve"> pre oceňovanie titulom „bezpečný podnik“.</w:t>
      </w:r>
    </w:p>
    <w:p w:rsidR="008C7BFB" w:rsidRPr="00DB7B13" w:rsidRDefault="00B44D32" w:rsidP="008C7BFB">
      <w:r w:rsidRPr="007312DC">
        <w:t>P</w:t>
      </w:r>
      <w:r w:rsidR="008C7BFB" w:rsidRPr="007312DC">
        <w:t xml:space="preserve">odľa zákona č. 128/2015 Z. z. </w:t>
      </w:r>
      <w:r w:rsidR="0025642D" w:rsidRPr="007312DC">
        <w:t>boli vykonávané koordinované kontroly na úseku prevencie závažných priemyselných havárií v podnikoch, na ktoré sa vzťahuje tento zákon v súčinnosti so Slovenskou</w:t>
      </w:r>
      <w:r w:rsidR="0025642D" w:rsidRPr="00DB7B13">
        <w:t xml:space="preserve"> inšpekciou životného prostredia Slovenskej republiky.</w:t>
      </w:r>
      <w:r w:rsidR="008F48B8" w:rsidRPr="00DB7B13">
        <w:t xml:space="preserve"> </w:t>
      </w:r>
      <w:r w:rsidR="008C7BFB" w:rsidRPr="00DB7B13">
        <w:t>Zástu</w:t>
      </w:r>
      <w:r w:rsidR="008C7BFB" w:rsidRPr="00DB7B13">
        <w:t>p</w:t>
      </w:r>
      <w:r w:rsidR="008C7BFB" w:rsidRPr="00DB7B13">
        <w:t>ca H</w:t>
      </w:r>
      <w:r w:rsidR="00B10A66" w:rsidRPr="00DB7B13">
        <w:t>BÚ</w:t>
      </w:r>
      <w:r w:rsidR="008C7BFB" w:rsidRPr="00DB7B13">
        <w:t xml:space="preserve"> je členom Komisie pre prevenciu závažných priemyselných havárií, ktorú podľa § 22 vymenoval minister </w:t>
      </w:r>
      <w:r w:rsidR="00E80B5E" w:rsidRPr="00DB7B13">
        <w:t>MŽP SR</w:t>
      </w:r>
      <w:r w:rsidR="008C7BFB" w:rsidRPr="00DB7B13">
        <w:t>.</w:t>
      </w:r>
    </w:p>
    <w:p w:rsidR="0025642D" w:rsidRPr="00DB7B13" w:rsidRDefault="0025642D" w:rsidP="005A6434">
      <w:pPr>
        <w:rPr>
          <w:spacing w:val="-2"/>
        </w:rPr>
      </w:pPr>
      <w:r w:rsidRPr="00DB7B13">
        <w:rPr>
          <w:spacing w:val="-2"/>
        </w:rPr>
        <w:t>Veľmi dobrá spolupráca bola so Slovenskou banskou komorou, Slovenskou baníckou</w:t>
      </w:r>
      <w:r w:rsidR="00D21B2B" w:rsidRPr="00DB7B13">
        <w:rPr>
          <w:spacing w:val="-2"/>
        </w:rPr>
        <w:t xml:space="preserve"> spoločnosťou, Slovenským združením</w:t>
      </w:r>
      <w:r w:rsidRPr="00DB7B13">
        <w:rPr>
          <w:spacing w:val="-2"/>
        </w:rPr>
        <w:t xml:space="preserve"> výrobcov kameniva</w:t>
      </w:r>
      <w:r w:rsidR="00AC1E23">
        <w:rPr>
          <w:spacing w:val="-2"/>
        </w:rPr>
        <w:t>,</w:t>
      </w:r>
      <w:r w:rsidRPr="00DB7B13">
        <w:rPr>
          <w:spacing w:val="-2"/>
        </w:rPr>
        <w:t xml:space="preserve"> ako aj so Slovenskou spoločno</w:t>
      </w:r>
      <w:r w:rsidRPr="00DB7B13">
        <w:rPr>
          <w:spacing w:val="-2"/>
        </w:rPr>
        <w:t>s</w:t>
      </w:r>
      <w:r w:rsidRPr="00DB7B13">
        <w:rPr>
          <w:spacing w:val="-2"/>
        </w:rPr>
        <w:t>ťou pre trhacie a vŕtacie práce v Banskej Bystrici pri výučbe v strelmajstrovských kurzoch (lektorská činnosť) a s ďalšími organizáciami pri vykonávaní lektorskej a</w:t>
      </w:r>
      <w:r w:rsidR="00E80B5E" w:rsidRPr="00DB7B13">
        <w:rPr>
          <w:spacing w:val="-2"/>
        </w:rPr>
        <w:t> </w:t>
      </w:r>
      <w:r w:rsidRPr="00DB7B13">
        <w:rPr>
          <w:spacing w:val="-2"/>
        </w:rPr>
        <w:t>prednáškovej či</w:t>
      </w:r>
      <w:r w:rsidRPr="00DB7B13">
        <w:rPr>
          <w:spacing w:val="-2"/>
        </w:rPr>
        <w:t>n</w:t>
      </w:r>
      <w:r w:rsidRPr="00DB7B13">
        <w:rPr>
          <w:spacing w:val="-2"/>
        </w:rPr>
        <w:t>nosti zameranej na odbornú prípravu odborne spôsobilých zamestnancov organizácií.</w:t>
      </w:r>
    </w:p>
    <w:p w:rsidR="0025642D" w:rsidRPr="00DB7B13" w:rsidRDefault="0025642D" w:rsidP="00F10B16">
      <w:pPr>
        <w:tabs>
          <w:tab w:val="left" w:pos="900"/>
        </w:tabs>
        <w:ind w:firstLine="720"/>
      </w:pPr>
      <w:r w:rsidRPr="00DB7B13">
        <w:t xml:space="preserve">Ďalej, obvodné banské úrady spolupracovali </w:t>
      </w:r>
      <w:r w:rsidR="00E80B5E" w:rsidRPr="00DB7B13">
        <w:t>s úradmi životného prostredia v </w:t>
      </w:r>
      <w:r w:rsidRPr="00DB7B13">
        <w:t>obv</w:t>
      </w:r>
      <w:r w:rsidRPr="00DB7B13">
        <w:t>o</w:t>
      </w:r>
      <w:r w:rsidRPr="00DB7B13">
        <w:t>de svojej pôsobnosti pri povoľovaniach banskej činnosti a činnosti vykonávanej banským spôs</w:t>
      </w:r>
      <w:r w:rsidR="002F4454" w:rsidRPr="00DB7B13">
        <w:t xml:space="preserve">obom v príslušných okresoch, </w:t>
      </w:r>
      <w:r w:rsidRPr="00DB7B13">
        <w:t xml:space="preserve">krajoch pri riešení problémov súvisiacich </w:t>
      </w:r>
      <w:r w:rsidRPr="00DB7B13">
        <w:lastRenderedPageBreak/>
        <w:t>s ochranou prírody a krajiny pri banskej činnosti a činnosti vykonávanej banským spôsobom.</w:t>
      </w:r>
      <w:r w:rsidR="008F48B8" w:rsidRPr="00DB7B13">
        <w:t xml:space="preserve"> </w:t>
      </w:r>
    </w:p>
    <w:p w:rsidR="00D21B2B" w:rsidRPr="00DB7B13" w:rsidRDefault="00D21B2B" w:rsidP="00D21B2B">
      <w:pPr>
        <w:tabs>
          <w:tab w:val="left" w:pos="900"/>
        </w:tabs>
        <w:ind w:firstLine="720"/>
      </w:pPr>
      <w:r w:rsidRPr="00DB7B13">
        <w:t>V oblasti medzinárodnej spolupráce už tradične dochádza k výmene odborných skúseností hlavne s Českým banským úradom, ale i inými zástupcami štátnych banských správ EÚ</w:t>
      </w:r>
      <w:r w:rsidR="00E80B5E" w:rsidRPr="00DB7B13">
        <w:t>,</w:t>
      </w:r>
      <w:r w:rsidRPr="00DB7B13">
        <w:t xml:space="preserve"> a to hlavne v rámci pravidelných stretnutí predstaviteľov týchto orgánov.</w:t>
      </w:r>
    </w:p>
    <w:p w:rsidR="00862445" w:rsidRPr="00DB7B13" w:rsidRDefault="00862445" w:rsidP="00EA2699">
      <w:pPr>
        <w:ind w:firstLine="709"/>
      </w:pPr>
      <w:r w:rsidRPr="00DB7B13">
        <w:t>Z uvedeného prehľadu je teda vidieť, že spolupráca banských úradov s ostatnými o</w:t>
      </w:r>
      <w:r w:rsidRPr="00DB7B13">
        <w:t>r</w:t>
      </w:r>
      <w:r w:rsidRPr="00DB7B13">
        <w:t>gánmi štátnej a verejnej správy, ako aj ďalšími inštitúciami bola veľmi rozsiala a aj v hodnotenom období bola na vysokej profesionálnej úrovni.</w:t>
      </w:r>
    </w:p>
    <w:p w:rsidR="00B751C0" w:rsidRPr="00DB7B13" w:rsidRDefault="00B751C0" w:rsidP="00366D9D"/>
    <w:p w:rsidR="0025642D" w:rsidRPr="00DB7B13" w:rsidRDefault="0025642D" w:rsidP="002B23A9">
      <w:pPr>
        <w:keepNext/>
        <w:numPr>
          <w:ilvl w:val="0"/>
          <w:numId w:val="5"/>
        </w:numPr>
        <w:tabs>
          <w:tab w:val="left" w:pos="567"/>
        </w:tabs>
        <w:suppressAutoHyphens/>
        <w:spacing w:after="120"/>
        <w:ind w:hanging="567"/>
        <w:outlineLvl w:val="0"/>
        <w:rPr>
          <w:b/>
        </w:rPr>
      </w:pPr>
      <w:r w:rsidRPr="00DB7B13">
        <w:rPr>
          <w:b/>
        </w:rPr>
        <w:t>Hodnotenie stavu ochrany práce v roku 201</w:t>
      </w:r>
      <w:r w:rsidR="002B7270" w:rsidRPr="00DB7B13">
        <w:rPr>
          <w:b/>
        </w:rPr>
        <w:t>6</w:t>
      </w:r>
      <w:r w:rsidRPr="00DB7B13">
        <w:rPr>
          <w:b/>
        </w:rPr>
        <w:t xml:space="preserve"> v SR a opatrenia dozorného orgánu na zlepšenie stavu</w:t>
      </w:r>
    </w:p>
    <w:p w:rsidR="008C7BFB" w:rsidRPr="00DB7B13" w:rsidRDefault="0025642D" w:rsidP="00B0648C">
      <w:pPr>
        <w:ind w:firstLine="708"/>
      </w:pPr>
      <w:r w:rsidRPr="00DB7B13">
        <w:t>Poznatky získan</w:t>
      </w:r>
      <w:r w:rsidR="003A232D" w:rsidRPr="00DB7B13">
        <w:t>é</w:t>
      </w:r>
      <w:r w:rsidRPr="00DB7B13">
        <w:t xml:space="preserve"> inšpekčnou činnosťou </w:t>
      </w:r>
      <w:r w:rsidR="0086550E" w:rsidRPr="00DB7B13">
        <w:t xml:space="preserve">za </w:t>
      </w:r>
      <w:r w:rsidR="008C7BFB" w:rsidRPr="00DB7B13">
        <w:t>hodnotené</w:t>
      </w:r>
      <w:r w:rsidR="0086550E" w:rsidRPr="00DB7B13">
        <w:t xml:space="preserve"> obdobie potvrdzujú, že situ</w:t>
      </w:r>
      <w:r w:rsidR="0086550E" w:rsidRPr="00DB7B13">
        <w:t>á</w:t>
      </w:r>
      <w:r w:rsidR="0086550E" w:rsidRPr="00DB7B13">
        <w:t xml:space="preserve">cia </w:t>
      </w:r>
      <w:r w:rsidR="008C7BFB" w:rsidRPr="00DB7B13">
        <w:t xml:space="preserve">v oblasti BOZP a BP </w:t>
      </w:r>
      <w:r w:rsidR="0086550E" w:rsidRPr="00DB7B13">
        <w:t xml:space="preserve">sa </w:t>
      </w:r>
      <w:r w:rsidR="00F10B16" w:rsidRPr="00DB7B13">
        <w:t>v podstate nemení</w:t>
      </w:r>
      <w:r w:rsidR="00302713" w:rsidRPr="00DB7B13">
        <w:t>.</w:t>
      </w:r>
      <w:r w:rsidR="0086550E" w:rsidRPr="00DB7B13">
        <w:t xml:space="preserve"> </w:t>
      </w:r>
    </w:p>
    <w:p w:rsidR="009019E9" w:rsidRPr="00DB7B13" w:rsidRDefault="0086550E" w:rsidP="00B0648C">
      <w:pPr>
        <w:ind w:firstLine="708"/>
      </w:pPr>
      <w:r w:rsidRPr="00DB7B13">
        <w:t xml:space="preserve">Poznatky </w:t>
      </w:r>
      <w:r w:rsidR="008C7BFB" w:rsidRPr="00DB7B13">
        <w:t xml:space="preserve">z dozornej činnosti </w:t>
      </w:r>
      <w:r w:rsidR="00AC1E23">
        <w:t>poukazujú na to</w:t>
      </w:r>
      <w:r w:rsidR="00F10B16" w:rsidRPr="00DB7B13">
        <w:t xml:space="preserve">, že </w:t>
      </w:r>
      <w:r w:rsidR="0025642D" w:rsidRPr="00DB7B13">
        <w:t xml:space="preserve">starostlivosť o BOZP </w:t>
      </w:r>
      <w:r w:rsidR="008C7BFB" w:rsidRPr="00DB7B13">
        <w:t>a</w:t>
      </w:r>
      <w:r w:rsidR="009019E9" w:rsidRPr="00DB7B13">
        <w:t> </w:t>
      </w:r>
      <w:r w:rsidR="008C7BFB" w:rsidRPr="00DB7B13">
        <w:t>BP</w:t>
      </w:r>
      <w:r w:rsidR="009019E9" w:rsidRPr="00DB7B13">
        <w:t xml:space="preserve"> sa stáva </w:t>
      </w:r>
      <w:r w:rsidR="008C7BFB" w:rsidRPr="00DB7B13">
        <w:t xml:space="preserve"> </w:t>
      </w:r>
      <w:r w:rsidR="009019E9" w:rsidRPr="00DB7B13">
        <w:t>jednou z priorít hlavne u veľkých zamestnávateľov</w:t>
      </w:r>
      <w:r w:rsidR="0025642D" w:rsidRPr="00DB7B13">
        <w:t xml:space="preserve">. </w:t>
      </w:r>
      <w:r w:rsidR="009019E9" w:rsidRPr="00DB7B13">
        <w:t>Tam je možné sledovať formy odm</w:t>
      </w:r>
      <w:r w:rsidR="009019E9" w:rsidRPr="00DB7B13">
        <w:t>e</w:t>
      </w:r>
      <w:r w:rsidR="009019E9" w:rsidRPr="00DB7B13">
        <w:t xml:space="preserve">ňovania naviazané na znižovanie počtu </w:t>
      </w:r>
      <w:r w:rsidR="00E80B5E" w:rsidRPr="00DB7B13">
        <w:t>pracovných úrazov</w:t>
      </w:r>
      <w:r w:rsidR="009019E9" w:rsidRPr="00DB7B13">
        <w:t xml:space="preserve">, vybavenosť modernejšími </w:t>
      </w:r>
      <w:r w:rsidR="00851F10" w:rsidRPr="00DB7B13">
        <w:t xml:space="preserve">osobnými ochrannými pracovnými prostriedkami </w:t>
      </w:r>
      <w:r w:rsidR="009019E9" w:rsidRPr="00DB7B13">
        <w:t>a podobne. Samozrejme mimoriadne dôležitým prvkom sú investície do nových technologických p</w:t>
      </w:r>
      <w:r w:rsidR="009019E9" w:rsidRPr="00DB7B13">
        <w:t>o</w:t>
      </w:r>
      <w:r w:rsidR="009019E9" w:rsidRPr="00DB7B13">
        <w:t xml:space="preserve">stupov spojených s modernizáciou strojného vybavenia. </w:t>
      </w:r>
    </w:p>
    <w:p w:rsidR="0025642D" w:rsidRPr="00DB7B13" w:rsidRDefault="009019E9" w:rsidP="00B0648C">
      <w:pPr>
        <w:ind w:firstLine="708"/>
      </w:pPr>
      <w:r w:rsidRPr="00DB7B13">
        <w:t>Neuspokojivý je stav u</w:t>
      </w:r>
      <w:r w:rsidR="00AC1E23">
        <w:t> </w:t>
      </w:r>
      <w:r w:rsidRPr="00DB7B13">
        <w:t>malých</w:t>
      </w:r>
      <w:r w:rsidR="00AC1E23">
        <w:t>,</w:t>
      </w:r>
      <w:r w:rsidRPr="00DB7B13">
        <w:t xml:space="preserve"> resp. stredných zamestnávateľov, </w:t>
      </w:r>
      <w:r w:rsidR="0025642D" w:rsidRPr="00DB7B13">
        <w:t>ktorí dávajú väčší dôraz na odstraňovanie nedostatkov zistených orgánmi hlavného dozoru, ako na vlastnú prevenciu. Vyskytujú sa nebezpečné pracovné postupy, zlá organizácia práce, nebezpečné zariadenia a rizikové práce, pri ktorých sa častejšie vyskytujú prípady ohrozenia, či priamo poškodenia zdravia. Pritom mnohé opatrenia na úseku BOZP a BP, hlavne organizačné, sa dajú realizovať bez akýchkoľvek, resp. minimálnych finančných náklado</w:t>
      </w:r>
      <w:r w:rsidRPr="00DB7B13">
        <w:t>ch</w:t>
      </w:r>
      <w:r w:rsidR="0025642D" w:rsidRPr="00DB7B13">
        <w:t>.</w:t>
      </w:r>
      <w:r w:rsidRPr="00DB7B13">
        <w:t xml:space="preserve"> Z uvedeného dôvodu pozornosť v nasledujúcich obdobiach bude zameraná na takýchto zamestnávat</w:t>
      </w:r>
      <w:r w:rsidRPr="00DB7B13">
        <w:t>e</w:t>
      </w:r>
      <w:r w:rsidRPr="00DB7B13">
        <w:t>ľov.</w:t>
      </w:r>
    </w:p>
    <w:p w:rsidR="0025642D" w:rsidRPr="00DB7B13" w:rsidRDefault="00CA6B4E" w:rsidP="00B0648C">
      <w:pPr>
        <w:ind w:firstLine="708"/>
      </w:pPr>
      <w:r w:rsidRPr="00DB7B13">
        <w:t>Stále väčším</w:t>
      </w:r>
      <w:r w:rsidR="0025642D" w:rsidRPr="00DB7B13">
        <w:t xml:space="preserve"> problémom sú </w:t>
      </w:r>
      <w:r w:rsidR="0086550E" w:rsidRPr="00DB7B13">
        <w:t xml:space="preserve">chýbajúci </w:t>
      </w:r>
      <w:r w:rsidR="0025642D" w:rsidRPr="00DB7B13">
        <w:t xml:space="preserve">kvalifikovaní zamestnanci. Stredné a vysoké školstvo neprodukuje </w:t>
      </w:r>
      <w:r w:rsidR="003A232D" w:rsidRPr="00DB7B13">
        <w:t xml:space="preserve">potrebný počet </w:t>
      </w:r>
      <w:r w:rsidR="0025642D" w:rsidRPr="00DB7B13">
        <w:t>kvalifikovaných zamestnancov. Na pozície sú prij</w:t>
      </w:r>
      <w:r w:rsidR="0025642D" w:rsidRPr="00DB7B13">
        <w:t>í</w:t>
      </w:r>
      <w:r w:rsidR="0025642D" w:rsidRPr="00DB7B13">
        <w:t>maní zamestnanci bez</w:t>
      </w:r>
      <w:r w:rsidR="00603BEF" w:rsidRPr="00DB7B13">
        <w:t xml:space="preserve"> potrebnej odbornej kvalifikácie a bez potrebnej praxe</w:t>
      </w:r>
      <w:r w:rsidR="0025642D" w:rsidRPr="00DB7B13">
        <w:t xml:space="preserve">. </w:t>
      </w:r>
      <w:r w:rsidR="004167E9" w:rsidRPr="00DB7B13">
        <w:t>Hlavne v prevádzkach vykonávajúcich činnosti podzemným spôsobom je tento problém vypuklý. Z krátkodobého hľadiska je riešený dovozom pracovnej sily zo zahraničia, z hľadiska d</w:t>
      </w:r>
      <w:r w:rsidR="004167E9" w:rsidRPr="00DB7B13">
        <w:t>l</w:t>
      </w:r>
      <w:r w:rsidR="004167E9" w:rsidRPr="00DB7B13">
        <w:t>hodobého však riešený nie je vôbec.</w:t>
      </w:r>
    </w:p>
    <w:p w:rsidR="0025642D" w:rsidRPr="00DB7B13" w:rsidRDefault="00B0648C" w:rsidP="00B0648C">
      <w:pPr>
        <w:ind w:firstLine="708"/>
      </w:pPr>
      <w:r w:rsidRPr="00DB7B13">
        <w:t>HBÚ</w:t>
      </w:r>
      <w:r w:rsidR="0025642D" w:rsidRPr="00DB7B13">
        <w:t xml:space="preserve"> a obvodné banské úrady, ako orgány štátnej banskej správy v</w:t>
      </w:r>
      <w:r w:rsidR="0025642D" w:rsidRPr="00DB7B13">
        <w:t>y</w:t>
      </w:r>
      <w:r w:rsidR="0025642D" w:rsidRPr="00DB7B13">
        <w:t>konávajúce hlavný dozor podľa § 39 ods. 1 písm. a) a písm. b) zákona č. 51/1988 Zb., pre zlepšenie stavu v oblasti bezpečnosti práce a prevádzky v oblasti svojej pôsobnosti budú aj naďalej</w:t>
      </w:r>
      <w:r w:rsidR="007909A1" w:rsidRPr="00DB7B13">
        <w:t>, vo zvýšenej miere,</w:t>
      </w:r>
      <w:r w:rsidR="0025642D" w:rsidRPr="00DB7B13">
        <w:t xml:space="preserve"> zameriavať výkon dozornej činnosti najmä na:</w:t>
      </w:r>
    </w:p>
    <w:p w:rsidR="0025642D" w:rsidRPr="00DB7B13" w:rsidRDefault="0025642D" w:rsidP="002B23A9">
      <w:pPr>
        <w:pStyle w:val="Odsaden1"/>
        <w:numPr>
          <w:ilvl w:val="0"/>
          <w:numId w:val="3"/>
        </w:numPr>
        <w:tabs>
          <w:tab w:val="clear" w:pos="284"/>
          <w:tab w:val="clear" w:pos="1977"/>
          <w:tab w:val="left" w:pos="360"/>
        </w:tabs>
        <w:ind w:left="426" w:hanging="426"/>
      </w:pPr>
      <w:r w:rsidRPr="00DB7B13">
        <w:t>vyžadovanie znalosti predpisov, technologických a pracovných postupov zamestna</w:t>
      </w:r>
      <w:r w:rsidRPr="00DB7B13">
        <w:t>n</w:t>
      </w:r>
      <w:r w:rsidRPr="00DB7B13">
        <w:t>cami, ktoré sa vzťahujú na vykonávané činnosti a pri zistení neznalosti právnych pre</w:t>
      </w:r>
      <w:r w:rsidRPr="00DB7B13">
        <w:t>d</w:t>
      </w:r>
      <w:r w:rsidRPr="00DB7B13">
        <w:t>pisov pristupovať aj k odníman</w:t>
      </w:r>
      <w:r w:rsidR="000678B1">
        <w:t>iu osvedčení, alebo oprávnení u </w:t>
      </w:r>
      <w:r w:rsidRPr="00DB7B13">
        <w:t>zamestnancov a org</w:t>
      </w:r>
      <w:r w:rsidRPr="00DB7B13">
        <w:t>a</w:t>
      </w:r>
      <w:r w:rsidRPr="00DB7B13">
        <w:t>nizácií;</w:t>
      </w:r>
    </w:p>
    <w:p w:rsidR="0025642D" w:rsidRPr="00DB7B13" w:rsidRDefault="00A96AFC" w:rsidP="002B23A9">
      <w:pPr>
        <w:pStyle w:val="Odsaden1"/>
        <w:numPr>
          <w:ilvl w:val="0"/>
          <w:numId w:val="3"/>
        </w:numPr>
        <w:tabs>
          <w:tab w:val="clear" w:pos="284"/>
          <w:tab w:val="clear" w:pos="1977"/>
          <w:tab w:val="left" w:pos="360"/>
        </w:tabs>
        <w:ind w:left="426" w:hanging="426"/>
      </w:pPr>
      <w:r w:rsidRPr="00DB7B13">
        <w:t xml:space="preserve">dodržiavanie pracovných postupov v súlade </w:t>
      </w:r>
      <w:r w:rsidR="000678B1">
        <w:t>so zásadami bezpečnej práce pri </w:t>
      </w:r>
      <w:r w:rsidRPr="00DB7B13">
        <w:t>činno</w:t>
      </w:r>
      <w:r w:rsidRPr="00DB7B13">
        <w:t>s</w:t>
      </w:r>
      <w:r w:rsidRPr="00DB7B13">
        <w:t>tiach vykonávaných v podzemí</w:t>
      </w:r>
    </w:p>
    <w:p w:rsidR="0025642D" w:rsidRPr="00DB7B13" w:rsidRDefault="004167E9" w:rsidP="00967487">
      <w:pPr>
        <w:pStyle w:val="Odsaden1"/>
        <w:tabs>
          <w:tab w:val="clear" w:pos="284"/>
          <w:tab w:val="clear" w:pos="1977"/>
          <w:tab w:val="left" w:pos="360"/>
        </w:tabs>
        <w:ind w:left="360" w:hanging="360"/>
      </w:pPr>
      <w:r w:rsidRPr="00DB7B13">
        <w:t>v</w:t>
      </w:r>
      <w:r w:rsidR="0025642D" w:rsidRPr="00DB7B13">
        <w:t>enovanie zvýšenej pozornosti malým a stredne veľkým podnikom vo všetkých obla</w:t>
      </w:r>
      <w:r w:rsidR="0025642D" w:rsidRPr="00DB7B13">
        <w:t>s</w:t>
      </w:r>
      <w:r w:rsidR="0025642D" w:rsidRPr="00DB7B13">
        <w:t>tiach BOZP a BP;</w:t>
      </w:r>
    </w:p>
    <w:p w:rsidR="0025642D" w:rsidRPr="00DB7B13" w:rsidRDefault="0025642D" w:rsidP="00395848">
      <w:pPr>
        <w:pStyle w:val="Odsaden1"/>
        <w:tabs>
          <w:tab w:val="clear" w:pos="284"/>
          <w:tab w:val="clear" w:pos="1977"/>
          <w:tab w:val="left" w:pos="360"/>
        </w:tabs>
        <w:ind w:left="360" w:hanging="360"/>
      </w:pPr>
      <w:r w:rsidRPr="00DB7B13">
        <w:lastRenderedPageBreak/>
        <w:t>dôslednejšie využívanie sankčných opatrení pri opakovanom, prípadne častom poruš</w:t>
      </w:r>
      <w:r w:rsidRPr="00DB7B13">
        <w:t>o</w:t>
      </w:r>
      <w:r w:rsidRPr="00DB7B13">
        <w:t>vaní technologickej disciplíny a predpisov upravujúcich BOZP a BP.</w:t>
      </w:r>
    </w:p>
    <w:p w:rsidR="0025642D" w:rsidRPr="00DB7B13" w:rsidRDefault="00A96AFC" w:rsidP="00B0648C">
      <w:pPr>
        <w:ind w:firstLine="708"/>
      </w:pPr>
      <w:r w:rsidRPr="00DB7B13">
        <w:t>Dôležitou úlohou s najvyššou prioritou je  personálne doplnenie orgánov štátnej ba</w:t>
      </w:r>
      <w:r w:rsidRPr="00DB7B13">
        <w:t>n</w:t>
      </w:r>
      <w:r w:rsidRPr="00DB7B13">
        <w:t>skej správy o odborníkov, schopných vykonávať kontrolu</w:t>
      </w:r>
      <w:r w:rsidR="000678B1">
        <w:t xml:space="preserve"> v prevádzkach, tak na </w:t>
      </w:r>
      <w:r w:rsidR="00E17476" w:rsidRPr="00DB7B13">
        <w:t>povrchu</w:t>
      </w:r>
      <w:r w:rsidR="00AC1E23">
        <w:t>,</w:t>
      </w:r>
      <w:r w:rsidR="00E17476" w:rsidRPr="00DB7B13">
        <w:t xml:space="preserve"> ako aj v podzemí s</w:t>
      </w:r>
      <w:r w:rsidR="00395848" w:rsidRPr="00DB7B13">
        <w:t xml:space="preserve"> </w:t>
      </w:r>
      <w:r w:rsidR="00E17476" w:rsidRPr="00DB7B13">
        <w:t>tým, že kontroly nebudú vykonávané formálne, ale budú skutočným prínosom pre zn</w:t>
      </w:r>
      <w:r w:rsidR="00395848" w:rsidRPr="00DB7B13">
        <w:t>ižovanie počtu hlavne SPÚ a Z</w:t>
      </w:r>
      <w:r w:rsidR="00E17476" w:rsidRPr="00DB7B13">
        <w:t>PÚ.</w:t>
      </w:r>
    </w:p>
    <w:p w:rsidR="006842B5" w:rsidRPr="00DB7B13" w:rsidRDefault="006842B5" w:rsidP="005A6434"/>
    <w:p w:rsidR="0025642D" w:rsidRPr="00DB7B13" w:rsidRDefault="0025642D">
      <w:pPr>
        <w:spacing w:before="0"/>
        <w:ind w:firstLine="0"/>
        <w:jc w:val="left"/>
      </w:pPr>
      <w:r w:rsidRPr="00DB7B13">
        <w:br w:type="page"/>
      </w:r>
    </w:p>
    <w:p w:rsidR="0025642D" w:rsidRPr="00DB7B13" w:rsidRDefault="0025642D" w:rsidP="005A6434"/>
    <w:p w:rsidR="00B751C0" w:rsidRPr="00DB7B13" w:rsidRDefault="00B751C0" w:rsidP="00B751C0">
      <w:pPr>
        <w:keepNext/>
        <w:tabs>
          <w:tab w:val="left" w:pos="567"/>
        </w:tabs>
        <w:suppressAutoHyphens/>
        <w:spacing w:before="0"/>
        <w:ind w:firstLine="0"/>
        <w:outlineLvl w:val="0"/>
        <w:rPr>
          <w:b/>
          <w:bCs/>
          <w:kern w:val="32"/>
          <w:sz w:val="28"/>
          <w:szCs w:val="28"/>
        </w:rPr>
      </w:pPr>
      <w:r w:rsidRPr="00DB7B13">
        <w:rPr>
          <w:b/>
          <w:bCs/>
          <w:kern w:val="32"/>
          <w:sz w:val="28"/>
          <w:szCs w:val="28"/>
        </w:rPr>
        <w:t>Príloha k informácii o stave bezpečnosti a ochrany zdravia pri práci, vývoji pracovnej úrazovosti, chorôb z povolania a iných poškodení zdravia z práce v SR za oblasť hlavného dozoru štátnej banskej správy SR za rok 2016</w:t>
      </w:r>
    </w:p>
    <w:p w:rsidR="002165B0" w:rsidRPr="00DB7B13" w:rsidRDefault="002165B0" w:rsidP="00B751C0">
      <w:pPr>
        <w:keepNext/>
        <w:tabs>
          <w:tab w:val="left" w:pos="567"/>
        </w:tabs>
        <w:suppressAutoHyphens/>
        <w:spacing w:after="120"/>
        <w:ind w:firstLine="0"/>
        <w:jc w:val="left"/>
        <w:outlineLvl w:val="0"/>
        <w:rPr>
          <w:b/>
          <w:bCs/>
          <w:kern w:val="32"/>
          <w:sz w:val="28"/>
          <w:szCs w:val="28"/>
        </w:rPr>
      </w:pPr>
    </w:p>
    <w:p w:rsidR="00B751C0" w:rsidRPr="00DB7B13" w:rsidRDefault="00B751C0" w:rsidP="00B751C0">
      <w:pPr>
        <w:keepNext/>
        <w:tabs>
          <w:tab w:val="left" w:pos="567"/>
        </w:tabs>
        <w:suppressAutoHyphens/>
        <w:spacing w:after="120"/>
        <w:ind w:firstLine="0"/>
        <w:jc w:val="left"/>
        <w:outlineLvl w:val="0"/>
        <w:rPr>
          <w:b/>
          <w:bCs/>
          <w:kern w:val="32"/>
          <w:sz w:val="28"/>
          <w:szCs w:val="28"/>
        </w:rPr>
      </w:pPr>
      <w:r w:rsidRPr="00DB7B13">
        <w:rPr>
          <w:b/>
          <w:bCs/>
          <w:kern w:val="32"/>
          <w:sz w:val="28"/>
          <w:szCs w:val="28"/>
        </w:rPr>
        <w:t xml:space="preserve">Činnosť dozorného orgánu </w:t>
      </w:r>
    </w:p>
    <w:p w:rsidR="0025642D" w:rsidRPr="00DB7B13" w:rsidRDefault="00B751C0" w:rsidP="002B23A9">
      <w:pPr>
        <w:pStyle w:val="Odsekzoznamu"/>
        <w:keepNext/>
        <w:numPr>
          <w:ilvl w:val="0"/>
          <w:numId w:val="6"/>
        </w:numPr>
        <w:tabs>
          <w:tab w:val="left" w:pos="567"/>
        </w:tabs>
        <w:suppressAutoHyphens/>
        <w:spacing w:before="0"/>
        <w:ind w:left="357" w:hanging="357"/>
        <w:jc w:val="left"/>
        <w:outlineLvl w:val="1"/>
        <w:rPr>
          <w:b/>
          <w:iCs/>
          <w:kern w:val="32"/>
        </w:rPr>
      </w:pPr>
      <w:r w:rsidRPr="00DB7B13">
        <w:rPr>
          <w:b/>
          <w:iCs/>
          <w:kern w:val="32"/>
        </w:rPr>
        <w:t>Personálne údaje</w:t>
      </w:r>
    </w:p>
    <w:p w:rsidR="00B751C0" w:rsidRPr="00DB7B13" w:rsidRDefault="0025642D" w:rsidP="00B751C0">
      <w:pPr>
        <w:spacing w:after="120"/>
      </w:pPr>
      <w:r w:rsidRPr="00DB7B13">
        <w:t>Výkon hlavného dozoru v oblasti bezpečnosti práce zabezpečoval</w:t>
      </w:r>
      <w:r w:rsidR="000678B1">
        <w:t>i banské úrady na </w:t>
      </w:r>
      <w:r w:rsidR="00AE0F51" w:rsidRPr="00DB7B13">
        <w:t>oddeleniach banskej bezpečnosti</w:t>
      </w:r>
      <w:r w:rsidR="00E17476" w:rsidRPr="00DB7B13">
        <w:t>. Tu pracovalo</w:t>
      </w:r>
      <w:r w:rsidRPr="00DB7B13">
        <w:t xml:space="preserve"> 1</w:t>
      </w:r>
      <w:r w:rsidR="00182A8C" w:rsidRPr="00DB7B13">
        <w:t>8</w:t>
      </w:r>
      <w:r w:rsidR="00B52D76" w:rsidRPr="00DB7B13">
        <w:t xml:space="preserve"> banských inšpektorov z celkového po</w:t>
      </w:r>
      <w:r w:rsidR="00B52D76" w:rsidRPr="00DB7B13">
        <w:t>č</w:t>
      </w:r>
      <w:r w:rsidR="00B52D76" w:rsidRPr="00DB7B13">
        <w:t xml:space="preserve">tu </w:t>
      </w:r>
      <w:r w:rsidR="00182A8C" w:rsidRPr="00DB7B13">
        <w:t>52</w:t>
      </w:r>
      <w:r w:rsidR="00AC1E23">
        <w:t xml:space="preserve"> banských inšpektorov</w:t>
      </w:r>
      <w:r w:rsidR="00B52D76" w:rsidRPr="00DB7B13">
        <w:t xml:space="preserve"> vrátane predsedov úradov</w:t>
      </w:r>
      <w:r w:rsidR="00182A8C" w:rsidRPr="00DB7B13">
        <w:t>.</w:t>
      </w:r>
    </w:p>
    <w:p w:rsidR="0025642D" w:rsidRPr="00DB7B13" w:rsidRDefault="0025642D" w:rsidP="002B23A9">
      <w:pPr>
        <w:pStyle w:val="Odsekzoznamu"/>
        <w:keepNext/>
        <w:numPr>
          <w:ilvl w:val="0"/>
          <w:numId w:val="6"/>
        </w:numPr>
        <w:tabs>
          <w:tab w:val="left" w:pos="567"/>
        </w:tabs>
        <w:suppressAutoHyphens/>
        <w:spacing w:before="0"/>
        <w:ind w:left="357" w:hanging="357"/>
        <w:jc w:val="left"/>
        <w:outlineLvl w:val="1"/>
        <w:rPr>
          <w:b/>
        </w:rPr>
      </w:pPr>
      <w:r w:rsidRPr="00DB7B13">
        <w:rPr>
          <w:b/>
        </w:rPr>
        <w:t>Výkony v štátnej banskej správe</w:t>
      </w:r>
    </w:p>
    <w:p w:rsidR="00B751C0" w:rsidRPr="00DB7B13" w:rsidRDefault="00E17476" w:rsidP="00B751C0">
      <w:pPr>
        <w:spacing w:after="120"/>
      </w:pPr>
      <w:r w:rsidRPr="00DB7B13">
        <w:t xml:space="preserve">Výkony v štátnej banskej správe </w:t>
      </w:r>
      <w:r w:rsidR="00A466C3" w:rsidRPr="00DB7B13">
        <w:t>boli čiastočne</w:t>
      </w:r>
      <w:r w:rsidR="009E0F30" w:rsidRPr="00DB7B13">
        <w:t xml:space="preserve"> uvedené v kapitole 5</w:t>
      </w:r>
      <w:r w:rsidR="009262BA" w:rsidRPr="00DB7B13">
        <w:t>,</w:t>
      </w:r>
      <w:r w:rsidR="0025642D" w:rsidRPr="00DB7B13">
        <w:t xml:space="preserve"> </w:t>
      </w:r>
      <w:r w:rsidR="00A466C3" w:rsidRPr="00DB7B13">
        <w:t>ďalej sú uv</w:t>
      </w:r>
      <w:r w:rsidR="00A466C3" w:rsidRPr="00DB7B13">
        <w:t>e</w:t>
      </w:r>
      <w:r w:rsidR="009E0F30" w:rsidRPr="00DB7B13">
        <w:t xml:space="preserve">dené v tabuľkách </w:t>
      </w:r>
      <w:r w:rsidR="00A466C3" w:rsidRPr="00DB7B13">
        <w:t xml:space="preserve"> č. 1</w:t>
      </w:r>
      <w:r w:rsidR="009E0F30" w:rsidRPr="00DB7B13">
        <w:t xml:space="preserve"> – </w:t>
      </w:r>
      <w:r w:rsidR="00A466C3" w:rsidRPr="00DB7B13">
        <w:t>6</w:t>
      </w:r>
      <w:r w:rsidR="009E0F30" w:rsidRPr="00DB7B13">
        <w:t>.</w:t>
      </w:r>
    </w:p>
    <w:p w:rsidR="0025642D" w:rsidRPr="00DB7B13" w:rsidRDefault="0025642D" w:rsidP="002B23A9">
      <w:pPr>
        <w:pStyle w:val="Odsekzoznamu"/>
        <w:keepNext/>
        <w:numPr>
          <w:ilvl w:val="0"/>
          <w:numId w:val="6"/>
        </w:numPr>
        <w:tabs>
          <w:tab w:val="left" w:pos="567"/>
        </w:tabs>
        <w:suppressAutoHyphens/>
        <w:spacing w:before="0"/>
        <w:ind w:left="357" w:hanging="357"/>
        <w:jc w:val="left"/>
        <w:outlineLvl w:val="1"/>
        <w:rPr>
          <w:b/>
        </w:rPr>
      </w:pPr>
      <w:r w:rsidRPr="00DB7B13">
        <w:rPr>
          <w:b/>
        </w:rPr>
        <w:t>Poradenská činnosť</w:t>
      </w:r>
    </w:p>
    <w:p w:rsidR="004E7644" w:rsidRPr="00DB7B13" w:rsidRDefault="0025642D" w:rsidP="005A6434">
      <w:r w:rsidRPr="00DB7B13">
        <w:t>V rámci bezplatnej poradenskej činnosti v</w:t>
      </w:r>
      <w:r w:rsidR="009262BA" w:rsidRPr="00DB7B13">
        <w:t> sledovanom období</w:t>
      </w:r>
      <w:r w:rsidRPr="00DB7B13">
        <w:t xml:space="preserve"> poskytli orgány štá</w:t>
      </w:r>
      <w:r w:rsidRPr="00DB7B13">
        <w:t>t</w:t>
      </w:r>
      <w:r w:rsidRPr="00DB7B13">
        <w:t xml:space="preserve">nej banskej správy </w:t>
      </w:r>
      <w:r w:rsidR="00EE18DF" w:rsidRPr="00DB7B13">
        <w:t>1</w:t>
      </w:r>
      <w:r w:rsidR="00A466C3" w:rsidRPr="00DB7B13">
        <w:t>6</w:t>
      </w:r>
      <w:r w:rsidR="00EE18DF" w:rsidRPr="00DB7B13">
        <w:t>1</w:t>
      </w:r>
      <w:r w:rsidR="009262BA" w:rsidRPr="00DB7B13">
        <w:t xml:space="preserve"> poradenstiev</w:t>
      </w:r>
      <w:r w:rsidRPr="00DB7B13">
        <w:t xml:space="preserve">. </w:t>
      </w:r>
      <w:r w:rsidR="004E7644" w:rsidRPr="00DB7B13">
        <w:t>V</w:t>
      </w:r>
      <w:r w:rsidRPr="00DB7B13">
        <w:t xml:space="preserve"> tabuľk</w:t>
      </w:r>
      <w:r w:rsidR="009E0F30" w:rsidRPr="00DB7B13">
        <w:t>e č. 2</w:t>
      </w:r>
      <w:r w:rsidR="004E7644" w:rsidRPr="00DB7B13">
        <w:t xml:space="preserve"> je uvedená p</w:t>
      </w:r>
      <w:r w:rsidR="009E0F30" w:rsidRPr="00DB7B13">
        <w:t>oradenská činnosť vyžiadaná, tzn.</w:t>
      </w:r>
      <w:r w:rsidR="004E7644" w:rsidRPr="00DB7B13">
        <w:t xml:space="preserve"> 20</w:t>
      </w:r>
      <w:r w:rsidRPr="00DB7B13">
        <w:t xml:space="preserve">. Poradenstvo bolo najčastejšie poskytované v oblasti </w:t>
      </w:r>
      <w:r w:rsidR="00043B88" w:rsidRPr="00DB7B13">
        <w:t xml:space="preserve">praktickej aplikácie </w:t>
      </w:r>
      <w:r w:rsidRPr="00DB7B13">
        <w:t>bansko-bezpečnostných predpisov</w:t>
      </w:r>
      <w:r w:rsidR="004E7644" w:rsidRPr="00DB7B13">
        <w:t xml:space="preserve"> a prác súvisiacich s BČ a ČVBS. </w:t>
      </w:r>
    </w:p>
    <w:p w:rsidR="00B751C0" w:rsidRPr="00DB7B13" w:rsidRDefault="004E7644" w:rsidP="00B751C0">
      <w:pPr>
        <w:spacing w:after="120"/>
      </w:pPr>
      <w:r w:rsidRPr="00DB7B13">
        <w:t>P</w:t>
      </w:r>
      <w:r w:rsidR="0025642D" w:rsidRPr="00DB7B13">
        <w:t>oradenská činnosť sa poskytuje prakticky pri každej vykonanej in</w:t>
      </w:r>
      <w:r w:rsidR="00043B88" w:rsidRPr="00DB7B13">
        <w:t xml:space="preserve">špekcii, ktorá sa </w:t>
      </w:r>
      <w:r w:rsidRPr="00DB7B13">
        <w:t>neeviduje</w:t>
      </w:r>
      <w:r w:rsidR="00043B88" w:rsidRPr="00DB7B13">
        <w:t xml:space="preserve">. </w:t>
      </w:r>
      <w:r w:rsidRPr="00DB7B13">
        <w:t>Tak isto nie je evidovaná poradenská činnosť telefonická, ktorej je prakticky najviac.</w:t>
      </w:r>
    </w:p>
    <w:p w:rsidR="0025642D" w:rsidRPr="00DB7B13" w:rsidRDefault="0025642D" w:rsidP="002B23A9">
      <w:pPr>
        <w:pStyle w:val="Odsekzoznamu"/>
        <w:keepNext/>
        <w:numPr>
          <w:ilvl w:val="0"/>
          <w:numId w:val="6"/>
        </w:numPr>
        <w:tabs>
          <w:tab w:val="left" w:pos="567"/>
        </w:tabs>
        <w:suppressAutoHyphens/>
        <w:spacing w:before="0"/>
        <w:ind w:left="357" w:hanging="357"/>
        <w:jc w:val="left"/>
        <w:outlineLvl w:val="1"/>
        <w:rPr>
          <w:b/>
        </w:rPr>
      </w:pPr>
      <w:r w:rsidRPr="00DB7B13">
        <w:rPr>
          <w:b/>
        </w:rPr>
        <w:t>Poskytovanie informácií</w:t>
      </w:r>
    </w:p>
    <w:p w:rsidR="0025642D" w:rsidRPr="00DB7B13" w:rsidRDefault="0025642D" w:rsidP="00B751C0">
      <w:pPr>
        <w:spacing w:after="120"/>
      </w:pPr>
      <w:r w:rsidRPr="00DB7B13">
        <w:t>Informácie orgánmi štátnej banskej správy boli poskytované v súlade so zákonom č. 211/2000 Z. z. o slobodnom prístupe k informáciám a o zmene a doplnení niektorých zákonov v znení neskorších predpisov</w:t>
      </w:r>
      <w:r w:rsidR="00D21B2B" w:rsidRPr="00DB7B13">
        <w:t xml:space="preserve"> (zákon o slobode informácií)</w:t>
      </w:r>
      <w:r w:rsidRPr="00DB7B13">
        <w:t>.</w:t>
      </w:r>
      <w:r w:rsidR="008F7A32" w:rsidRPr="00DB7B13">
        <w:t xml:space="preserve"> V hodnotenom období poskytli banské úrady 1</w:t>
      </w:r>
      <w:r w:rsidR="004E7644" w:rsidRPr="00DB7B13">
        <w:t>33</w:t>
      </w:r>
      <w:r w:rsidR="008F7A32" w:rsidRPr="00DB7B13">
        <w:t xml:space="preserve"> informácií.</w:t>
      </w:r>
    </w:p>
    <w:p w:rsidR="0025642D" w:rsidRPr="00DB7B13" w:rsidRDefault="0025642D" w:rsidP="002B23A9">
      <w:pPr>
        <w:pStyle w:val="Odsekzoznamu"/>
        <w:keepNext/>
        <w:numPr>
          <w:ilvl w:val="0"/>
          <w:numId w:val="6"/>
        </w:numPr>
        <w:tabs>
          <w:tab w:val="left" w:pos="567"/>
        </w:tabs>
        <w:suppressAutoHyphens/>
        <w:spacing w:before="0"/>
        <w:ind w:left="357" w:hanging="357"/>
        <w:jc w:val="left"/>
        <w:outlineLvl w:val="1"/>
        <w:rPr>
          <w:b/>
        </w:rPr>
      </w:pPr>
      <w:r w:rsidRPr="00DB7B13">
        <w:rPr>
          <w:b/>
        </w:rPr>
        <w:t>Sťažnosti a podnety</w:t>
      </w:r>
    </w:p>
    <w:p w:rsidR="0025642D" w:rsidRPr="00DB7B13" w:rsidRDefault="005F464E" w:rsidP="00B751C0">
      <w:pPr>
        <w:spacing w:after="120"/>
      </w:pPr>
      <w:r w:rsidRPr="00DB7B13">
        <w:t xml:space="preserve">Na </w:t>
      </w:r>
      <w:r w:rsidR="00E81831" w:rsidRPr="00DB7B13">
        <w:t>úseku BOZP a</w:t>
      </w:r>
      <w:r w:rsidRPr="00DB7B13">
        <w:t> </w:t>
      </w:r>
      <w:r w:rsidR="00E81831" w:rsidRPr="00DB7B13">
        <w:t>BP</w:t>
      </w:r>
      <w:r w:rsidRPr="00DB7B13">
        <w:t xml:space="preserve"> v roku 2016 boli evidované 3 sťažnosti a podnety týkajúce sa predpisov na úseku BOZP a BP</w:t>
      </w:r>
      <w:r w:rsidR="00E81831" w:rsidRPr="00DB7B13">
        <w:t>.</w:t>
      </w:r>
      <w:r w:rsidRPr="00DB7B13">
        <w:t xml:space="preserve"> V predchádzajúcom období to bolo  8 podnetov</w:t>
      </w:r>
      <w:r w:rsidR="008F7A32" w:rsidRPr="00DB7B13">
        <w:t>.</w:t>
      </w:r>
    </w:p>
    <w:p w:rsidR="00FF6E0A" w:rsidRPr="00DB7B13" w:rsidRDefault="0025642D" w:rsidP="002B23A9">
      <w:pPr>
        <w:pStyle w:val="Odsekzoznamu"/>
        <w:keepNext/>
        <w:numPr>
          <w:ilvl w:val="0"/>
          <w:numId w:val="6"/>
        </w:numPr>
        <w:tabs>
          <w:tab w:val="left" w:pos="567"/>
        </w:tabs>
        <w:suppressAutoHyphens/>
        <w:spacing w:before="0"/>
        <w:ind w:left="357" w:hanging="357"/>
        <w:jc w:val="left"/>
        <w:outlineLvl w:val="1"/>
        <w:rPr>
          <w:b/>
        </w:rPr>
      </w:pPr>
      <w:r w:rsidRPr="00DB7B13">
        <w:rPr>
          <w:b/>
        </w:rPr>
        <w:t>Príprava predpisov a technická normalizácia</w:t>
      </w:r>
    </w:p>
    <w:p w:rsidR="00E41822" w:rsidRPr="00DB7B13" w:rsidRDefault="00ED0B0C" w:rsidP="00722028">
      <w:pPr>
        <w:rPr>
          <w:kern w:val="24"/>
        </w:rPr>
      </w:pPr>
      <w:r w:rsidRPr="00DB7B13">
        <w:rPr>
          <w:kern w:val="24"/>
        </w:rPr>
        <w:t xml:space="preserve">S MPSVR SR </w:t>
      </w:r>
      <w:r w:rsidR="009E0F30" w:rsidRPr="00DB7B13">
        <w:rPr>
          <w:kern w:val="24"/>
        </w:rPr>
        <w:t>spolupracoval HBÚ</w:t>
      </w:r>
      <w:r w:rsidRPr="00DB7B13">
        <w:rPr>
          <w:kern w:val="24"/>
        </w:rPr>
        <w:t xml:space="preserve"> na </w:t>
      </w:r>
      <w:r w:rsidR="00E41822" w:rsidRPr="00DB7B13">
        <w:rPr>
          <w:kern w:val="24"/>
        </w:rPr>
        <w:t>preskúmaní konfliktu ustanov</w:t>
      </w:r>
      <w:r w:rsidR="00E41822" w:rsidRPr="00DB7B13">
        <w:rPr>
          <w:kern w:val="24"/>
        </w:rPr>
        <w:t>e</w:t>
      </w:r>
      <w:r w:rsidR="009E0F30" w:rsidRPr="00DB7B13">
        <w:rPr>
          <w:kern w:val="24"/>
        </w:rPr>
        <w:t>ní zákona č. </w:t>
      </w:r>
      <w:r w:rsidR="00E41822" w:rsidRPr="00DB7B13">
        <w:rPr>
          <w:kern w:val="24"/>
        </w:rPr>
        <w:t>136/2010 Z. z. o službách na vnútornom trhu a zákona č. 51/1988 Zb.,  vychádzajúci z aplikačnej praxe vo veci vykonávania banskej činnosti a činnosti vykonávanej banským spôsobom z</w:t>
      </w:r>
      <w:r w:rsidR="00E41822" w:rsidRPr="00DB7B13">
        <w:rPr>
          <w:kern w:val="24"/>
        </w:rPr>
        <w:t>a</w:t>
      </w:r>
      <w:r w:rsidR="00E41822" w:rsidRPr="00DB7B13">
        <w:rPr>
          <w:kern w:val="24"/>
        </w:rPr>
        <w:t>hraničnou právnickou osobou.</w:t>
      </w:r>
    </w:p>
    <w:p w:rsidR="00E41822" w:rsidRPr="00DB7B13" w:rsidRDefault="00405FF7" w:rsidP="00722028">
      <w:pPr>
        <w:rPr>
          <w:kern w:val="24"/>
        </w:rPr>
      </w:pPr>
      <w:r w:rsidRPr="00DB7B13">
        <w:rPr>
          <w:kern w:val="24"/>
        </w:rPr>
        <w:t>V oblasti legislatívy sa banskí in</w:t>
      </w:r>
      <w:r w:rsidR="009E0F30" w:rsidRPr="00DB7B13">
        <w:rPr>
          <w:kern w:val="24"/>
        </w:rPr>
        <w:t>špektori HBÚ</w:t>
      </w:r>
      <w:r w:rsidRPr="00DB7B13">
        <w:rPr>
          <w:kern w:val="24"/>
        </w:rPr>
        <w:t xml:space="preserve"> aktívne zúča</w:t>
      </w:r>
      <w:r w:rsidRPr="00DB7B13">
        <w:rPr>
          <w:kern w:val="24"/>
        </w:rPr>
        <w:t>s</w:t>
      </w:r>
      <w:r w:rsidR="002165B0" w:rsidRPr="00DB7B13">
        <w:rPr>
          <w:kern w:val="24"/>
        </w:rPr>
        <w:t>tňovali na tvorbe a </w:t>
      </w:r>
      <w:r w:rsidRPr="00DB7B13">
        <w:rPr>
          <w:kern w:val="24"/>
        </w:rPr>
        <w:t xml:space="preserve">príprave </w:t>
      </w:r>
      <w:r w:rsidR="002165B0" w:rsidRPr="00DB7B13">
        <w:rPr>
          <w:kern w:val="24"/>
        </w:rPr>
        <w:t>v</w:t>
      </w:r>
      <w:r w:rsidRPr="00DB7B13">
        <w:rPr>
          <w:kern w:val="24"/>
        </w:rPr>
        <w:t>yhlášky o Banskej záchrannej službe.</w:t>
      </w:r>
    </w:p>
    <w:p w:rsidR="00405FF7" w:rsidRPr="00DB7B13" w:rsidRDefault="002165B0" w:rsidP="00722028">
      <w:pPr>
        <w:rPr>
          <w:kern w:val="24"/>
        </w:rPr>
      </w:pPr>
      <w:r w:rsidRPr="00DB7B13">
        <w:rPr>
          <w:kern w:val="24"/>
        </w:rPr>
        <w:t>HBÚ v</w:t>
      </w:r>
      <w:r w:rsidR="00405FF7" w:rsidRPr="00DB7B13">
        <w:rPr>
          <w:kern w:val="24"/>
        </w:rPr>
        <w:t> spolupráci s </w:t>
      </w:r>
      <w:r w:rsidR="00C901A7" w:rsidRPr="00DB7B13">
        <w:t>Úradom pre normalizáciu, metrológiu a skúšobníctvo SR</w:t>
      </w:r>
      <w:r w:rsidR="00C901A7" w:rsidRPr="00DB7B13">
        <w:rPr>
          <w:kern w:val="24"/>
        </w:rPr>
        <w:t xml:space="preserve"> </w:t>
      </w:r>
      <w:r w:rsidRPr="00DB7B13">
        <w:rPr>
          <w:kern w:val="24"/>
        </w:rPr>
        <w:t>p</w:t>
      </w:r>
      <w:r w:rsidR="00405FF7" w:rsidRPr="00DB7B13">
        <w:rPr>
          <w:kern w:val="24"/>
        </w:rPr>
        <w:t>racoval v skupine vytvorenej za účelom prípravy nového všeobecne záväzného právneho predpisu o</w:t>
      </w:r>
      <w:r w:rsidR="00C901A7" w:rsidRPr="00DB7B13">
        <w:rPr>
          <w:kern w:val="24"/>
        </w:rPr>
        <w:t> </w:t>
      </w:r>
      <w:r w:rsidR="00405FF7" w:rsidRPr="00DB7B13">
        <w:rPr>
          <w:kern w:val="24"/>
        </w:rPr>
        <w:t>sprístupňovaní</w:t>
      </w:r>
      <w:r w:rsidR="00C901A7" w:rsidRPr="00DB7B13">
        <w:rPr>
          <w:kern w:val="24"/>
        </w:rPr>
        <w:t xml:space="preserve"> výrobkov na trh.</w:t>
      </w:r>
    </w:p>
    <w:p w:rsidR="002165B0" w:rsidRPr="00DB7B13" w:rsidRDefault="00ED0B0C" w:rsidP="002165B0">
      <w:pPr>
        <w:spacing w:after="120"/>
        <w:rPr>
          <w:kern w:val="24"/>
        </w:rPr>
      </w:pPr>
      <w:r w:rsidRPr="00DB7B13">
        <w:rPr>
          <w:kern w:val="24"/>
        </w:rPr>
        <w:lastRenderedPageBreak/>
        <w:t xml:space="preserve">Hlavný banský úrad taktiež </w:t>
      </w:r>
      <w:r w:rsidR="00473725" w:rsidRPr="00DB7B13">
        <w:rPr>
          <w:kern w:val="24"/>
        </w:rPr>
        <w:t xml:space="preserve">pracoval </w:t>
      </w:r>
      <w:r w:rsidR="00C901A7" w:rsidRPr="00DB7B13">
        <w:rPr>
          <w:kern w:val="24"/>
        </w:rPr>
        <w:t xml:space="preserve">na doplnení </w:t>
      </w:r>
      <w:r w:rsidRPr="00DB7B13">
        <w:rPr>
          <w:kern w:val="24"/>
        </w:rPr>
        <w:t>súbor</w:t>
      </w:r>
      <w:r w:rsidR="00C901A7" w:rsidRPr="00DB7B13">
        <w:rPr>
          <w:kern w:val="24"/>
        </w:rPr>
        <w:t>u</w:t>
      </w:r>
      <w:r w:rsidR="000678B1">
        <w:rPr>
          <w:kern w:val="24"/>
        </w:rPr>
        <w:t xml:space="preserve"> legislatívnych návrhov na </w:t>
      </w:r>
      <w:r w:rsidRPr="00DB7B13">
        <w:rPr>
          <w:kern w:val="24"/>
        </w:rPr>
        <w:t xml:space="preserve">novely </w:t>
      </w:r>
      <w:r w:rsidR="00FB5C55" w:rsidRPr="00DB7B13">
        <w:rPr>
          <w:kern w:val="24"/>
        </w:rPr>
        <w:t xml:space="preserve">vybraných </w:t>
      </w:r>
      <w:r w:rsidRPr="00DB7B13">
        <w:rPr>
          <w:kern w:val="24"/>
        </w:rPr>
        <w:t xml:space="preserve">predpisov, </w:t>
      </w:r>
      <w:r w:rsidR="00FB5C55" w:rsidRPr="00DB7B13">
        <w:rPr>
          <w:kern w:val="24"/>
        </w:rPr>
        <w:t>zmenu ktorých si vy</w:t>
      </w:r>
      <w:r w:rsidR="00AC1E23">
        <w:rPr>
          <w:kern w:val="24"/>
        </w:rPr>
        <w:t>žiadala aplikačná prax najmä po </w:t>
      </w:r>
      <w:r w:rsidR="00FB5C55" w:rsidRPr="00DB7B13">
        <w:rPr>
          <w:kern w:val="24"/>
        </w:rPr>
        <w:t>novele zákona č. 51/1988 Zb. zákonom č. 58/2014 Z. z.</w:t>
      </w:r>
    </w:p>
    <w:p w:rsidR="0025642D" w:rsidRPr="00DB7B13" w:rsidRDefault="0025642D" w:rsidP="002B23A9">
      <w:pPr>
        <w:pStyle w:val="Odsekzoznamu"/>
        <w:keepNext/>
        <w:numPr>
          <w:ilvl w:val="0"/>
          <w:numId w:val="6"/>
        </w:numPr>
        <w:tabs>
          <w:tab w:val="left" w:pos="567"/>
        </w:tabs>
        <w:suppressAutoHyphens/>
        <w:spacing w:before="0"/>
        <w:ind w:left="357" w:hanging="357"/>
        <w:jc w:val="left"/>
        <w:outlineLvl w:val="1"/>
        <w:rPr>
          <w:b/>
        </w:rPr>
      </w:pPr>
      <w:r w:rsidRPr="00DB7B13">
        <w:rPr>
          <w:b/>
        </w:rPr>
        <w:t>Zahraničná spolupráca</w:t>
      </w:r>
    </w:p>
    <w:p w:rsidR="0025642D" w:rsidRPr="00DB7B13" w:rsidRDefault="0025642D" w:rsidP="000E1D0E">
      <w:r w:rsidRPr="00DB7B13">
        <w:t xml:space="preserve">Zástupcovia </w:t>
      </w:r>
      <w:r w:rsidR="00B71834" w:rsidRPr="00DB7B13">
        <w:t xml:space="preserve">banských </w:t>
      </w:r>
      <w:r w:rsidRPr="00DB7B13">
        <w:t xml:space="preserve">úradov sa </w:t>
      </w:r>
      <w:r w:rsidR="00B71834" w:rsidRPr="00DB7B13">
        <w:t>v máji 201</w:t>
      </w:r>
      <w:r w:rsidR="00C901A7" w:rsidRPr="00DB7B13">
        <w:t>6</w:t>
      </w:r>
      <w:r w:rsidR="00B71834" w:rsidRPr="00DB7B13">
        <w:t xml:space="preserve"> </w:t>
      </w:r>
      <w:r w:rsidRPr="00DB7B13">
        <w:t xml:space="preserve">zúčastnili na </w:t>
      </w:r>
      <w:r w:rsidR="00B71834" w:rsidRPr="00DB7B13">
        <w:t>2</w:t>
      </w:r>
      <w:r w:rsidR="00C901A7" w:rsidRPr="00DB7B13">
        <w:t>8</w:t>
      </w:r>
      <w:r w:rsidR="00B71834" w:rsidRPr="00DB7B13">
        <w:t xml:space="preserve">. </w:t>
      </w:r>
      <w:r w:rsidRPr="00DB7B13">
        <w:t>medzinárodnej konf</w:t>
      </w:r>
      <w:r w:rsidRPr="00DB7B13">
        <w:t>e</w:t>
      </w:r>
      <w:r w:rsidRPr="00DB7B13">
        <w:t xml:space="preserve">rencii, ktorá sa konala v Starej Lesnej pod názvom </w:t>
      </w:r>
      <w:r w:rsidR="007D0060" w:rsidRPr="00DB7B13">
        <w:t>„</w:t>
      </w:r>
      <w:r w:rsidR="007D0060" w:rsidRPr="00DB7B13">
        <w:rPr>
          <w:i/>
        </w:rPr>
        <w:t>Trhacia technika 201</w:t>
      </w:r>
      <w:r w:rsidR="00C901A7" w:rsidRPr="00DB7B13">
        <w:rPr>
          <w:i/>
        </w:rPr>
        <w:t>6</w:t>
      </w:r>
      <w:r w:rsidR="007D0060" w:rsidRPr="00DB7B13">
        <w:t>“</w:t>
      </w:r>
      <w:r w:rsidR="000678B1">
        <w:t xml:space="preserve"> pod </w:t>
      </w:r>
      <w:r w:rsidRPr="00DB7B13">
        <w:t xml:space="preserve">záštitou </w:t>
      </w:r>
      <w:r w:rsidR="002165B0" w:rsidRPr="00DB7B13">
        <w:t>predsedu HBÚ</w:t>
      </w:r>
      <w:r w:rsidR="00FB2D66" w:rsidRPr="00DB7B13">
        <w:t xml:space="preserve"> a realizovaná </w:t>
      </w:r>
      <w:r w:rsidRPr="00DB7B13">
        <w:t>Slovensk</w:t>
      </w:r>
      <w:r w:rsidR="00FB2D66" w:rsidRPr="00DB7B13">
        <w:t>ou</w:t>
      </w:r>
      <w:r w:rsidRPr="00DB7B13">
        <w:t xml:space="preserve"> spoločnos</w:t>
      </w:r>
      <w:r w:rsidR="00FB2D66" w:rsidRPr="00DB7B13">
        <w:t>ťou</w:t>
      </w:r>
      <w:r w:rsidRPr="00DB7B13">
        <w:t xml:space="preserve"> pre trhacie a vŕtacie práce v Banskej Bystrici. </w:t>
      </w:r>
    </w:p>
    <w:p w:rsidR="00C901A7" w:rsidRPr="00DB7B13" w:rsidRDefault="00C901A7" w:rsidP="00D21B2B">
      <w:pPr>
        <w:widowControl w:val="0"/>
        <w:autoSpaceDE w:val="0"/>
        <w:autoSpaceDN w:val="0"/>
        <w:adjustRightInd w:val="0"/>
      </w:pPr>
      <w:r w:rsidRPr="00DB7B13">
        <w:t xml:space="preserve">V mesiaci </w:t>
      </w:r>
      <w:r w:rsidR="002165B0" w:rsidRPr="00DB7B13">
        <w:t xml:space="preserve"> </w:t>
      </w:r>
      <w:r w:rsidR="0010083C" w:rsidRPr="00DB7B13">
        <w:t xml:space="preserve">september 2016 sa </w:t>
      </w:r>
      <w:r w:rsidR="002165B0" w:rsidRPr="00DB7B13">
        <w:t>zástupca HBÚ</w:t>
      </w:r>
      <w:r w:rsidR="0010083C" w:rsidRPr="00DB7B13">
        <w:t xml:space="preserve"> zúčastnil stretn</w:t>
      </w:r>
      <w:r w:rsidR="0010083C" w:rsidRPr="00DB7B13">
        <w:t>u</w:t>
      </w:r>
      <w:r w:rsidR="0010083C" w:rsidRPr="00DB7B13">
        <w:t xml:space="preserve">tia predstaviteľov štátnych banských správ krajín EÚ v Rumunsku. </w:t>
      </w:r>
      <w:r w:rsidR="00D21B2B" w:rsidRPr="00DB7B13">
        <w:t>Ústrednou témou stre</w:t>
      </w:r>
      <w:r w:rsidR="00D21B2B" w:rsidRPr="00DB7B13">
        <w:t>t</w:t>
      </w:r>
      <w:r w:rsidR="00D21B2B" w:rsidRPr="00DB7B13">
        <w:t>nutia bolo dobývanie nerastných surovín v kontexte na ochranu životného prostredia a</w:t>
      </w:r>
      <w:r w:rsidR="00FF50D8" w:rsidRPr="00DB7B13">
        <w:t> </w:t>
      </w:r>
      <w:r w:rsidR="002165B0" w:rsidRPr="00DB7B13">
        <w:t>BOZP</w:t>
      </w:r>
      <w:r w:rsidR="00FF50D8" w:rsidRPr="00DB7B13">
        <w:t>.</w:t>
      </w:r>
      <w:r w:rsidR="002165B0" w:rsidRPr="00DB7B13">
        <w:t xml:space="preserve"> </w:t>
      </w:r>
    </w:p>
    <w:p w:rsidR="0010083C" w:rsidRPr="00DB7B13" w:rsidRDefault="0010083C" w:rsidP="002165B0">
      <w:pPr>
        <w:spacing w:after="120"/>
      </w:pPr>
      <w:r w:rsidRPr="00DB7B13">
        <w:t>Okrem toho stále pretrváva úzka spolupráca a obojstranná výmena skúseností s Českým banským úradom.</w:t>
      </w:r>
    </w:p>
    <w:p w:rsidR="0025642D" w:rsidRPr="00DB7B13" w:rsidRDefault="0025642D" w:rsidP="002B23A9">
      <w:pPr>
        <w:pStyle w:val="Odsekzoznamu"/>
        <w:keepNext/>
        <w:numPr>
          <w:ilvl w:val="0"/>
          <w:numId w:val="6"/>
        </w:numPr>
        <w:tabs>
          <w:tab w:val="left" w:pos="567"/>
        </w:tabs>
        <w:suppressAutoHyphens/>
        <w:spacing w:before="0"/>
        <w:ind w:left="357" w:hanging="357"/>
        <w:jc w:val="left"/>
        <w:outlineLvl w:val="1"/>
        <w:rPr>
          <w:b/>
        </w:rPr>
      </w:pPr>
      <w:r w:rsidRPr="00DB7B13">
        <w:rPr>
          <w:b/>
        </w:rPr>
        <w:t>Vydávanie oprávnení, osvedčení a preukazov</w:t>
      </w:r>
    </w:p>
    <w:p w:rsidR="00E66484" w:rsidRPr="00DB7B13" w:rsidRDefault="00E66484" w:rsidP="002165B0">
      <w:r w:rsidRPr="00DB7B13">
        <w:t xml:space="preserve">Obvodné banské úrady </w:t>
      </w:r>
      <w:r w:rsidR="002165B0" w:rsidRPr="00DB7B13">
        <w:t xml:space="preserve">pri výkone hlavného dozoru </w:t>
      </w:r>
      <w:r w:rsidRPr="00DB7B13">
        <w:t xml:space="preserve">preverujú skúškami u zamestnancov znalosť príslušných predpisov, ktorú títo zamestnanci potrebujú na výkon riadiacich a kontrolných funkcii. Posudzujú odbornú spôsobilosť zamestnancov na výkon vybraných funkcií a vydávajú im osvedčenia alebo oprávnenia na výkon funkcií, prípadne im tieto osvedčenia alebo oprávnenia odnímajú. V danom prípade sa jedná o skúšky, resp. preskúšania na funkcie vedúci bane, vedúci lomu, vedúci zamestnanec určený na riadenie inej banskej činnosti alebo činnosti vykonávanej banským spôsobom, banský projektant, banský bezpečnostný technik, vedúci likvidácie havárie, strelmajster, zamestnanec určený na riadenie montáže, prevádzky a údržby elektrických zariadení, banský merač, </w:t>
      </w:r>
      <w:r w:rsidR="002165B0" w:rsidRPr="00DB7B13">
        <w:t>strojník ťažných strojov a pod.</w:t>
      </w:r>
    </w:p>
    <w:p w:rsidR="0025642D" w:rsidRPr="00DB7B13" w:rsidRDefault="0025642D" w:rsidP="00BF49BE">
      <w:r w:rsidRPr="00DB7B13">
        <w:t>Obvodné banské úrady overili odbornú spôsobilosť a vydali na základe úspešne v</w:t>
      </w:r>
      <w:r w:rsidRPr="00DB7B13">
        <w:t>y</w:t>
      </w:r>
      <w:r w:rsidRPr="00DB7B13">
        <w:t xml:space="preserve">konanej skúšky </w:t>
      </w:r>
      <w:r w:rsidR="007B76F7" w:rsidRPr="00DB7B13">
        <w:t>214</w:t>
      </w:r>
      <w:r w:rsidRPr="00DB7B13">
        <w:t xml:space="preserve"> osvedčení o odbornej spôsobilosti na účely vykonávania určených funkcií podľa vyhlášky MH SR č. 208/1993 Z. z. o p</w:t>
      </w:r>
      <w:r w:rsidR="000678B1">
        <w:t>ožiadavkách na kvalifikáciu a o </w:t>
      </w:r>
      <w:r w:rsidRPr="00DB7B13">
        <w:t>overovaní odbornej spôsobilosti pracovníkov pri banskej činnosti a činnosti vykonávanej ba</w:t>
      </w:r>
      <w:r w:rsidRPr="00DB7B13">
        <w:t>n</w:t>
      </w:r>
      <w:r w:rsidRPr="00DB7B13">
        <w:t xml:space="preserve">ským spôsobom (vedúci bane, vedúci lomu, vedúci pracovník, projektant, bezpečnostný technik a vedúci likvidácie havárie). </w:t>
      </w:r>
    </w:p>
    <w:p w:rsidR="0025642D" w:rsidRPr="00DB7B13" w:rsidRDefault="0025642D" w:rsidP="002165B0">
      <w:pPr>
        <w:spacing w:after="120"/>
      </w:pPr>
      <w:r w:rsidRPr="00DB7B13">
        <w:t>Ďalej obvodné banské úrady na základe úspešného overenia odbornej spôsobilosti vydali</w:t>
      </w:r>
      <w:r w:rsidR="00F053CC" w:rsidRPr="00DB7B13">
        <w:t xml:space="preserve">, resp. predĺžili </w:t>
      </w:r>
      <w:r w:rsidR="00D641F3" w:rsidRPr="00DB7B13">
        <w:t>1</w:t>
      </w:r>
      <w:r w:rsidR="007B76F7" w:rsidRPr="00DB7B13">
        <w:t>10</w:t>
      </w:r>
      <w:r w:rsidRPr="00DB7B13">
        <w:t xml:space="preserve"> oprávnení strelmajstra</w:t>
      </w:r>
      <w:r w:rsidR="00D641F3" w:rsidRPr="00DB7B13">
        <w:t>.</w:t>
      </w:r>
      <w:r w:rsidR="00F54C16" w:rsidRPr="00DB7B13">
        <w:t xml:space="preserve"> </w:t>
      </w:r>
    </w:p>
    <w:p w:rsidR="0025642D" w:rsidRPr="00DB7B13" w:rsidRDefault="00A841F6" w:rsidP="0094160D">
      <w:pPr>
        <w:spacing w:before="0"/>
      </w:pPr>
      <w:r w:rsidRPr="00DB7B13">
        <w:t>V oblasti výbušnín, výbušných predme</w:t>
      </w:r>
      <w:r w:rsidR="002165B0" w:rsidRPr="00DB7B13">
        <w:t>tov a munície HBÚ</w:t>
      </w:r>
      <w:r w:rsidRPr="00DB7B13">
        <w:t xml:space="preserve"> v hodnot</w:t>
      </w:r>
      <w:r w:rsidRPr="00DB7B13">
        <w:t>e</w:t>
      </w:r>
      <w:r w:rsidRPr="00DB7B13">
        <w:t>nom období overil odbornú spôsobilosť fyzických osôb</w:t>
      </w:r>
      <w:r w:rsidR="00C06DF4" w:rsidRPr="00DB7B13">
        <w:t xml:space="preserve"> a vydal o tom doklad (oprávnenie, resp. predĺženie platnosti oprávnenia):</w:t>
      </w:r>
    </w:p>
    <w:p w:rsidR="00D641F3" w:rsidRPr="00DB7B13" w:rsidRDefault="00577D00" w:rsidP="002B23A9">
      <w:pPr>
        <w:pStyle w:val="Odsekzoznamu1"/>
        <w:numPr>
          <w:ilvl w:val="0"/>
          <w:numId w:val="4"/>
        </w:numPr>
        <w:spacing w:before="60"/>
        <w:ind w:left="284" w:hanging="284"/>
      </w:pPr>
      <w:r w:rsidRPr="00DB7B13">
        <w:t>4</w:t>
      </w:r>
      <w:r w:rsidR="00D641F3" w:rsidRPr="00DB7B13">
        <w:t xml:space="preserve"> technick</w:t>
      </w:r>
      <w:r w:rsidR="00FB2D66" w:rsidRPr="00DB7B13">
        <w:t>ých</w:t>
      </w:r>
      <w:r w:rsidR="00D641F3" w:rsidRPr="00DB7B13">
        <w:t xml:space="preserve"> vedúci</w:t>
      </w:r>
      <w:r w:rsidR="00FB2D66" w:rsidRPr="00DB7B13">
        <w:t>ch</w:t>
      </w:r>
      <w:r w:rsidR="00D641F3" w:rsidRPr="00DB7B13">
        <w:t xml:space="preserve"> odstrelov a na základe preskúšania predĺžil platnosť ďalších 7 oprávnení vedúceho odstrelov,</w:t>
      </w:r>
    </w:p>
    <w:p w:rsidR="00D641F3" w:rsidRPr="00DB7B13" w:rsidRDefault="00D641F3" w:rsidP="002B23A9">
      <w:pPr>
        <w:pStyle w:val="Odsekzoznamu1"/>
        <w:numPr>
          <w:ilvl w:val="0"/>
          <w:numId w:val="4"/>
        </w:numPr>
        <w:spacing w:before="60"/>
        <w:ind w:left="284" w:hanging="284"/>
      </w:pPr>
      <w:r w:rsidRPr="00DB7B13">
        <w:t xml:space="preserve">2 pyrotechnikov a na základe preskúšania predĺžil platnosť ďalších </w:t>
      </w:r>
      <w:r w:rsidR="00577D00" w:rsidRPr="00DB7B13">
        <w:t>6</w:t>
      </w:r>
      <w:r w:rsidRPr="00DB7B13">
        <w:t xml:space="preserve"> oprávnení pyr</w:t>
      </w:r>
      <w:r w:rsidRPr="00DB7B13">
        <w:t>o</w:t>
      </w:r>
      <w:r w:rsidRPr="00DB7B13">
        <w:t>technika,</w:t>
      </w:r>
    </w:p>
    <w:p w:rsidR="00C06DF4" w:rsidRPr="00DB7B13" w:rsidRDefault="00577D00" w:rsidP="002B23A9">
      <w:pPr>
        <w:pStyle w:val="Odsekzoznamu1"/>
        <w:numPr>
          <w:ilvl w:val="0"/>
          <w:numId w:val="4"/>
        </w:numPr>
        <w:spacing w:before="60"/>
        <w:ind w:left="284" w:hanging="284"/>
      </w:pPr>
      <w:r w:rsidRPr="00DB7B13">
        <w:t>40</w:t>
      </w:r>
      <w:r w:rsidR="0025642D" w:rsidRPr="00DB7B13">
        <w:t xml:space="preserve"> odpaľovačov ohňostrojov </w:t>
      </w:r>
      <w:r w:rsidR="00D641F3" w:rsidRPr="00DB7B13">
        <w:t xml:space="preserve">a na základe preskúšania predĺžil platnosť ďalších </w:t>
      </w:r>
      <w:r w:rsidRPr="00DB7B13">
        <w:t>17</w:t>
      </w:r>
      <w:r w:rsidR="00D641F3" w:rsidRPr="00DB7B13">
        <w:t xml:space="preserve"> oprávnení odpaľovača ohňostrojov.</w:t>
      </w:r>
    </w:p>
    <w:p w:rsidR="00C06DF4" w:rsidRPr="00DB7B13" w:rsidRDefault="00C06DF4" w:rsidP="00C06DF4">
      <w:pPr>
        <w:pStyle w:val="Odsekzoznamu1"/>
      </w:pPr>
    </w:p>
    <w:p w:rsidR="00803FC6" w:rsidRDefault="00C06DF4" w:rsidP="000678B1">
      <w:pPr>
        <w:pStyle w:val="Odsekzoznamu1"/>
        <w:ind w:left="0"/>
      </w:pPr>
      <w:r w:rsidRPr="00DB7B13">
        <w:lastRenderedPageBreak/>
        <w:t>Celkom</w:t>
      </w:r>
      <w:r w:rsidR="0025642D" w:rsidRPr="00DB7B13">
        <w:t xml:space="preserve"> </w:t>
      </w:r>
      <w:r w:rsidR="002165B0" w:rsidRPr="00DB7B13">
        <w:t>HBÚ</w:t>
      </w:r>
      <w:r w:rsidRPr="00DB7B13">
        <w:t xml:space="preserve"> vydal </w:t>
      </w:r>
      <w:r w:rsidR="0025642D" w:rsidRPr="00DB7B13">
        <w:t>v</w:t>
      </w:r>
      <w:r w:rsidRPr="00DB7B13">
        <w:t xml:space="preserve"> hodnotenom </w:t>
      </w:r>
      <w:r w:rsidR="0094502E" w:rsidRPr="00DB7B13">
        <w:t>období</w:t>
      </w:r>
      <w:r w:rsidR="0025642D" w:rsidRPr="00DB7B13">
        <w:t xml:space="preserve"> </w:t>
      </w:r>
      <w:r w:rsidR="00F053CC" w:rsidRPr="00DB7B13">
        <w:t>34</w:t>
      </w:r>
      <w:r w:rsidR="0025642D" w:rsidRPr="00DB7B13">
        <w:t xml:space="preserve"> rozhodnutí o uznaní dokladov o odbornej spôsobilosti podľa zákona č. </w:t>
      </w:r>
      <w:r w:rsidR="00B44D32" w:rsidRPr="00DB7B13">
        <w:t>422</w:t>
      </w:r>
      <w:r w:rsidR="0025642D" w:rsidRPr="00DB7B13">
        <w:t>/20</w:t>
      </w:r>
      <w:r w:rsidR="00B44D32" w:rsidRPr="00DB7B13">
        <w:t>15</w:t>
      </w:r>
      <w:r w:rsidR="0025642D" w:rsidRPr="00DB7B13">
        <w:t xml:space="preserve"> Z. z. o uznávaní odborných kv</w:t>
      </w:r>
      <w:r w:rsidR="0025642D" w:rsidRPr="00DB7B13">
        <w:t>a</w:t>
      </w:r>
      <w:r w:rsidR="0025642D" w:rsidRPr="00DB7B13">
        <w:t>lifikácií v znení neskorších</w:t>
      </w:r>
      <w:r w:rsidR="00F053CC" w:rsidRPr="00DB7B13">
        <w:t xml:space="preserve"> predpisov.  </w:t>
      </w:r>
    </w:p>
    <w:p w:rsidR="000678B1" w:rsidRPr="00DB7B13" w:rsidRDefault="000678B1" w:rsidP="00AC1E23">
      <w:pPr>
        <w:pStyle w:val="Odsekzoznamu1"/>
        <w:ind w:left="0" w:firstLine="0"/>
        <w:sectPr w:rsidR="000678B1" w:rsidRPr="00DB7B13" w:rsidSect="00FC09EF">
          <w:footerReference w:type="default" r:id="rId9"/>
          <w:pgSz w:w="11906" w:h="16838"/>
          <w:pgMar w:top="1418" w:right="1418" w:bottom="1559" w:left="1701" w:header="709" w:footer="898" w:gutter="0"/>
          <w:pgNumType w:start="1"/>
          <w:cols w:space="708"/>
          <w:titlePg/>
          <w:docGrid w:linePitch="360"/>
        </w:sectPr>
      </w:pPr>
    </w:p>
    <w:p w:rsidR="007972C2" w:rsidRPr="00DB7B13" w:rsidRDefault="007972C2" w:rsidP="00AC1E23">
      <w:pPr>
        <w:ind w:firstLine="0"/>
      </w:pPr>
    </w:p>
    <w:sectPr w:rsidR="007972C2" w:rsidRPr="00DB7B13" w:rsidSect="00E351C3">
      <w:headerReference w:type="default" r:id="rId10"/>
      <w:footerReference w:type="default" r:id="rId11"/>
      <w:pgSz w:w="11906" w:h="16838"/>
      <w:pgMar w:top="1418" w:right="1418" w:bottom="1559" w:left="1701" w:header="709" w:footer="89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B5" w:rsidRDefault="00A90FB5">
      <w:r>
        <w:separator/>
      </w:r>
    </w:p>
  </w:endnote>
  <w:endnote w:type="continuationSeparator" w:id="0">
    <w:p w:rsidR="00A90FB5" w:rsidRDefault="00A9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EF" w:rsidRDefault="00FC09EF">
    <w:pPr>
      <w:pStyle w:val="Pta"/>
      <w:jc w:val="right"/>
    </w:pPr>
    <w:r>
      <w:fldChar w:fldCharType="begin"/>
    </w:r>
    <w:r>
      <w:instrText>PAGE   \* MERGEFORMAT</w:instrText>
    </w:r>
    <w:r>
      <w:fldChar w:fldCharType="separate"/>
    </w:r>
    <w:r w:rsidR="003266E9">
      <w:rPr>
        <w:noProof/>
      </w:rPr>
      <w:t>10</w:t>
    </w:r>
    <w:r>
      <w:fldChar w:fldCharType="end"/>
    </w:r>
  </w:p>
  <w:p w:rsidR="00603BEF" w:rsidRPr="00FD25D0" w:rsidRDefault="00603BEF" w:rsidP="00FD25D0">
    <w:pPr>
      <w:ind w:left="567"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F" w:rsidRPr="00DB7B13" w:rsidRDefault="00603BEF" w:rsidP="00DB7B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B5" w:rsidRDefault="00A90FB5">
      <w:r>
        <w:separator/>
      </w:r>
    </w:p>
  </w:footnote>
  <w:footnote w:type="continuationSeparator" w:id="0">
    <w:p w:rsidR="00A90FB5" w:rsidRDefault="00A9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F" w:rsidRDefault="00603BEF" w:rsidP="003328B1">
    <w:pPr>
      <w:spacing w:before="0"/>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E80"/>
    <w:multiLevelType w:val="hybridMultilevel"/>
    <w:tmpl w:val="F46A4946"/>
    <w:lvl w:ilvl="0" w:tplc="E57A17BC">
      <w:start w:val="1"/>
      <w:numFmt w:val="bullet"/>
      <w:lvlText w:val=""/>
      <w:lvlJc w:val="left"/>
      <w:pPr>
        <w:ind w:left="1350" w:hanging="360"/>
      </w:pPr>
      <w:rPr>
        <w:rFonts w:ascii="Symbol" w:hAnsi="Symbol" w:hint="default"/>
      </w:rPr>
    </w:lvl>
    <w:lvl w:ilvl="1" w:tplc="041B0003">
      <w:start w:val="1"/>
      <w:numFmt w:val="bullet"/>
      <w:lvlText w:val="o"/>
      <w:lvlJc w:val="left"/>
      <w:pPr>
        <w:ind w:left="2070" w:hanging="360"/>
      </w:pPr>
      <w:rPr>
        <w:rFonts w:ascii="Courier New" w:hAnsi="Courier New" w:hint="default"/>
      </w:rPr>
    </w:lvl>
    <w:lvl w:ilvl="2" w:tplc="041B0005">
      <w:start w:val="1"/>
      <w:numFmt w:val="bullet"/>
      <w:lvlText w:val=""/>
      <w:lvlJc w:val="left"/>
      <w:pPr>
        <w:ind w:left="2790" w:hanging="360"/>
      </w:pPr>
      <w:rPr>
        <w:rFonts w:ascii="Wingdings" w:hAnsi="Wingdings" w:hint="default"/>
      </w:rPr>
    </w:lvl>
    <w:lvl w:ilvl="3" w:tplc="041B0001">
      <w:start w:val="1"/>
      <w:numFmt w:val="bullet"/>
      <w:lvlText w:val=""/>
      <w:lvlJc w:val="left"/>
      <w:pPr>
        <w:ind w:left="3510" w:hanging="360"/>
      </w:pPr>
      <w:rPr>
        <w:rFonts w:ascii="Symbol" w:hAnsi="Symbol" w:hint="default"/>
      </w:rPr>
    </w:lvl>
    <w:lvl w:ilvl="4" w:tplc="041B0003">
      <w:start w:val="1"/>
      <w:numFmt w:val="bullet"/>
      <w:lvlText w:val="o"/>
      <w:lvlJc w:val="left"/>
      <w:pPr>
        <w:ind w:left="4230" w:hanging="360"/>
      </w:pPr>
      <w:rPr>
        <w:rFonts w:ascii="Courier New" w:hAnsi="Courier New" w:hint="default"/>
      </w:rPr>
    </w:lvl>
    <w:lvl w:ilvl="5" w:tplc="041B0005">
      <w:start w:val="1"/>
      <w:numFmt w:val="bullet"/>
      <w:lvlText w:val=""/>
      <w:lvlJc w:val="left"/>
      <w:pPr>
        <w:ind w:left="4950" w:hanging="360"/>
      </w:pPr>
      <w:rPr>
        <w:rFonts w:ascii="Wingdings" w:hAnsi="Wingdings" w:hint="default"/>
      </w:rPr>
    </w:lvl>
    <w:lvl w:ilvl="6" w:tplc="041B0001">
      <w:start w:val="1"/>
      <w:numFmt w:val="bullet"/>
      <w:lvlText w:val=""/>
      <w:lvlJc w:val="left"/>
      <w:pPr>
        <w:ind w:left="5670" w:hanging="360"/>
      </w:pPr>
      <w:rPr>
        <w:rFonts w:ascii="Symbol" w:hAnsi="Symbol" w:hint="default"/>
      </w:rPr>
    </w:lvl>
    <w:lvl w:ilvl="7" w:tplc="041B0003">
      <w:start w:val="1"/>
      <w:numFmt w:val="bullet"/>
      <w:lvlText w:val="o"/>
      <w:lvlJc w:val="left"/>
      <w:pPr>
        <w:ind w:left="6390" w:hanging="360"/>
      </w:pPr>
      <w:rPr>
        <w:rFonts w:ascii="Courier New" w:hAnsi="Courier New" w:hint="default"/>
      </w:rPr>
    </w:lvl>
    <w:lvl w:ilvl="8" w:tplc="041B0005">
      <w:start w:val="1"/>
      <w:numFmt w:val="bullet"/>
      <w:lvlText w:val=""/>
      <w:lvlJc w:val="left"/>
      <w:pPr>
        <w:ind w:left="7110" w:hanging="360"/>
      </w:pPr>
      <w:rPr>
        <w:rFonts w:ascii="Wingdings" w:hAnsi="Wingdings" w:hint="default"/>
      </w:rPr>
    </w:lvl>
  </w:abstractNum>
  <w:abstractNum w:abstractNumId="1">
    <w:nsid w:val="462E1EDB"/>
    <w:multiLevelType w:val="hybridMultilevel"/>
    <w:tmpl w:val="72CA4CC6"/>
    <w:lvl w:ilvl="0" w:tplc="30D841D2">
      <w:start w:val="1"/>
      <w:numFmt w:val="lowerLetter"/>
      <w:pStyle w:val="Odsaden1"/>
      <w:lvlText w:val="%1)"/>
      <w:lvlJc w:val="left"/>
      <w:pPr>
        <w:tabs>
          <w:tab w:val="num" w:pos="1977"/>
        </w:tabs>
        <w:ind w:left="1977" w:hanging="1410"/>
      </w:pPr>
      <w:rPr>
        <w:rFonts w:cs="Times New Roman" w:hint="default"/>
      </w:rPr>
    </w:lvl>
    <w:lvl w:ilvl="1" w:tplc="041B0019">
      <w:start w:val="1"/>
      <w:numFmt w:val="lowerLetter"/>
      <w:lvlText w:val="%2."/>
      <w:lvlJc w:val="left"/>
      <w:pPr>
        <w:tabs>
          <w:tab w:val="num" w:pos="1647"/>
        </w:tabs>
        <w:ind w:left="1647" w:hanging="360"/>
      </w:pPr>
      <w:rPr>
        <w:rFonts w:cs="Times New Roman"/>
      </w:rPr>
    </w:lvl>
    <w:lvl w:ilvl="2" w:tplc="041B001B">
      <w:start w:val="1"/>
      <w:numFmt w:val="lowerRoman"/>
      <w:lvlText w:val="%3."/>
      <w:lvlJc w:val="right"/>
      <w:pPr>
        <w:tabs>
          <w:tab w:val="num" w:pos="2367"/>
        </w:tabs>
        <w:ind w:left="2367" w:hanging="180"/>
      </w:pPr>
      <w:rPr>
        <w:rFonts w:cs="Times New Roman"/>
      </w:rPr>
    </w:lvl>
    <w:lvl w:ilvl="3" w:tplc="041B000F">
      <w:start w:val="1"/>
      <w:numFmt w:val="decimal"/>
      <w:lvlText w:val="%4."/>
      <w:lvlJc w:val="left"/>
      <w:pPr>
        <w:tabs>
          <w:tab w:val="num" w:pos="3087"/>
        </w:tabs>
        <w:ind w:left="3087" w:hanging="360"/>
      </w:pPr>
      <w:rPr>
        <w:rFonts w:cs="Times New Roman"/>
      </w:rPr>
    </w:lvl>
    <w:lvl w:ilvl="4" w:tplc="041B0019">
      <w:start w:val="1"/>
      <w:numFmt w:val="lowerLetter"/>
      <w:lvlText w:val="%5."/>
      <w:lvlJc w:val="left"/>
      <w:pPr>
        <w:tabs>
          <w:tab w:val="num" w:pos="3807"/>
        </w:tabs>
        <w:ind w:left="3807" w:hanging="360"/>
      </w:pPr>
      <w:rPr>
        <w:rFonts w:cs="Times New Roman"/>
      </w:rPr>
    </w:lvl>
    <w:lvl w:ilvl="5" w:tplc="041B001B">
      <w:start w:val="1"/>
      <w:numFmt w:val="lowerRoman"/>
      <w:lvlText w:val="%6."/>
      <w:lvlJc w:val="right"/>
      <w:pPr>
        <w:tabs>
          <w:tab w:val="num" w:pos="4527"/>
        </w:tabs>
        <w:ind w:left="4527" w:hanging="180"/>
      </w:pPr>
      <w:rPr>
        <w:rFonts w:cs="Times New Roman"/>
      </w:rPr>
    </w:lvl>
    <w:lvl w:ilvl="6" w:tplc="041B000F">
      <w:start w:val="1"/>
      <w:numFmt w:val="decimal"/>
      <w:lvlText w:val="%7."/>
      <w:lvlJc w:val="left"/>
      <w:pPr>
        <w:tabs>
          <w:tab w:val="num" w:pos="5247"/>
        </w:tabs>
        <w:ind w:left="5247" w:hanging="360"/>
      </w:pPr>
      <w:rPr>
        <w:rFonts w:cs="Times New Roman"/>
      </w:rPr>
    </w:lvl>
    <w:lvl w:ilvl="7" w:tplc="041B0019">
      <w:start w:val="1"/>
      <w:numFmt w:val="lowerLetter"/>
      <w:lvlText w:val="%8."/>
      <w:lvlJc w:val="left"/>
      <w:pPr>
        <w:tabs>
          <w:tab w:val="num" w:pos="5967"/>
        </w:tabs>
        <w:ind w:left="5967" w:hanging="360"/>
      </w:pPr>
      <w:rPr>
        <w:rFonts w:cs="Times New Roman"/>
      </w:rPr>
    </w:lvl>
    <w:lvl w:ilvl="8" w:tplc="041B001B">
      <w:start w:val="1"/>
      <w:numFmt w:val="lowerRoman"/>
      <w:lvlText w:val="%9."/>
      <w:lvlJc w:val="right"/>
      <w:pPr>
        <w:tabs>
          <w:tab w:val="num" w:pos="6687"/>
        </w:tabs>
        <w:ind w:left="6687" w:hanging="180"/>
      </w:pPr>
      <w:rPr>
        <w:rFonts w:cs="Times New Roman"/>
      </w:rPr>
    </w:lvl>
  </w:abstractNum>
  <w:abstractNum w:abstractNumId="2">
    <w:nsid w:val="6FBF3634"/>
    <w:multiLevelType w:val="multilevel"/>
    <w:tmpl w:val="114A9F12"/>
    <w:lvl w:ilvl="0">
      <w:start w:val="1"/>
      <w:numFmt w:val="decimal"/>
      <w:pStyle w:val="Nadpis1"/>
      <w:lvlText w:val="%1."/>
      <w:lvlJc w:val="left"/>
      <w:pPr>
        <w:tabs>
          <w:tab w:val="num" w:pos="0"/>
        </w:tabs>
        <w:ind w:hanging="360"/>
      </w:pPr>
      <w:rPr>
        <w:rFonts w:cs="Times New Roman" w:hint="default"/>
      </w:rPr>
    </w:lvl>
    <w:lvl w:ilvl="1">
      <w:start w:val="1"/>
      <w:numFmt w:val="decimal"/>
      <w:pStyle w:val="Nadpis2"/>
      <w:lvlText w:val="%1.%2"/>
      <w:lvlJc w:val="left"/>
      <w:pPr>
        <w:tabs>
          <w:tab w:val="num" w:pos="858"/>
        </w:tabs>
        <w:ind w:left="858" w:hanging="432"/>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
    <w:nsid w:val="78A353AA"/>
    <w:multiLevelType w:val="hybridMultilevel"/>
    <w:tmpl w:val="AE8A9AB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1"/>
    <w:lvlOverride w:ilvl="0">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46"/>
    <w:rsid w:val="00001668"/>
    <w:rsid w:val="00002E48"/>
    <w:rsid w:val="00002FAC"/>
    <w:rsid w:val="000115F1"/>
    <w:rsid w:val="00017F6B"/>
    <w:rsid w:val="00027946"/>
    <w:rsid w:val="00040A2D"/>
    <w:rsid w:val="00043B88"/>
    <w:rsid w:val="00050B8A"/>
    <w:rsid w:val="00051295"/>
    <w:rsid w:val="000523BB"/>
    <w:rsid w:val="000539C0"/>
    <w:rsid w:val="000550DE"/>
    <w:rsid w:val="00063F2D"/>
    <w:rsid w:val="000678B1"/>
    <w:rsid w:val="00081140"/>
    <w:rsid w:val="0008238F"/>
    <w:rsid w:val="00087964"/>
    <w:rsid w:val="000975B6"/>
    <w:rsid w:val="000A1758"/>
    <w:rsid w:val="000A6741"/>
    <w:rsid w:val="000A7037"/>
    <w:rsid w:val="000B1886"/>
    <w:rsid w:val="000B431D"/>
    <w:rsid w:val="000C24EE"/>
    <w:rsid w:val="000C250F"/>
    <w:rsid w:val="000C559B"/>
    <w:rsid w:val="000D1130"/>
    <w:rsid w:val="000D21E9"/>
    <w:rsid w:val="000D35C8"/>
    <w:rsid w:val="000D641C"/>
    <w:rsid w:val="000E14F9"/>
    <w:rsid w:val="000E1D0E"/>
    <w:rsid w:val="000E25E6"/>
    <w:rsid w:val="000E6E5F"/>
    <w:rsid w:val="000E7419"/>
    <w:rsid w:val="000F22F1"/>
    <w:rsid w:val="000F22F2"/>
    <w:rsid w:val="0010083C"/>
    <w:rsid w:val="00105D89"/>
    <w:rsid w:val="00106039"/>
    <w:rsid w:val="00107B5D"/>
    <w:rsid w:val="001107A0"/>
    <w:rsid w:val="00113859"/>
    <w:rsid w:val="00116393"/>
    <w:rsid w:val="001166BF"/>
    <w:rsid w:val="00116E4B"/>
    <w:rsid w:val="00120A0A"/>
    <w:rsid w:val="00125E3A"/>
    <w:rsid w:val="00125FDA"/>
    <w:rsid w:val="00136D6E"/>
    <w:rsid w:val="00137A85"/>
    <w:rsid w:val="00150BCC"/>
    <w:rsid w:val="00152A30"/>
    <w:rsid w:val="00154FC3"/>
    <w:rsid w:val="0015693A"/>
    <w:rsid w:val="001605DC"/>
    <w:rsid w:val="001707D2"/>
    <w:rsid w:val="001740DA"/>
    <w:rsid w:val="00174F9A"/>
    <w:rsid w:val="001776F5"/>
    <w:rsid w:val="00181106"/>
    <w:rsid w:val="00182A8C"/>
    <w:rsid w:val="00190AB9"/>
    <w:rsid w:val="00190EE1"/>
    <w:rsid w:val="00191F80"/>
    <w:rsid w:val="00196003"/>
    <w:rsid w:val="00196867"/>
    <w:rsid w:val="001B1B02"/>
    <w:rsid w:val="001C57C8"/>
    <w:rsid w:val="001D523B"/>
    <w:rsid w:val="001D6733"/>
    <w:rsid w:val="001D72BD"/>
    <w:rsid w:val="001E10A6"/>
    <w:rsid w:val="001E62C3"/>
    <w:rsid w:val="001F41AF"/>
    <w:rsid w:val="001F528B"/>
    <w:rsid w:val="001F5BE2"/>
    <w:rsid w:val="002040F8"/>
    <w:rsid w:val="00211251"/>
    <w:rsid w:val="002139C2"/>
    <w:rsid w:val="00213E02"/>
    <w:rsid w:val="0021485F"/>
    <w:rsid w:val="002164B0"/>
    <w:rsid w:val="002165B0"/>
    <w:rsid w:val="00216E43"/>
    <w:rsid w:val="00221FA5"/>
    <w:rsid w:val="00223390"/>
    <w:rsid w:val="00223864"/>
    <w:rsid w:val="00227B7B"/>
    <w:rsid w:val="00227D92"/>
    <w:rsid w:val="0023390A"/>
    <w:rsid w:val="00237FD1"/>
    <w:rsid w:val="0024155A"/>
    <w:rsid w:val="0024719E"/>
    <w:rsid w:val="00250ABC"/>
    <w:rsid w:val="00250C35"/>
    <w:rsid w:val="00252574"/>
    <w:rsid w:val="00253329"/>
    <w:rsid w:val="002550DE"/>
    <w:rsid w:val="002558FA"/>
    <w:rsid w:val="00255B4C"/>
    <w:rsid w:val="0025642D"/>
    <w:rsid w:val="0025697A"/>
    <w:rsid w:val="00256B54"/>
    <w:rsid w:val="00267ACC"/>
    <w:rsid w:val="0027160A"/>
    <w:rsid w:val="002722F8"/>
    <w:rsid w:val="00272F00"/>
    <w:rsid w:val="002734B9"/>
    <w:rsid w:val="00276411"/>
    <w:rsid w:val="00280719"/>
    <w:rsid w:val="0028520C"/>
    <w:rsid w:val="0028533F"/>
    <w:rsid w:val="002902B6"/>
    <w:rsid w:val="00290BD7"/>
    <w:rsid w:val="00291BD2"/>
    <w:rsid w:val="00291E30"/>
    <w:rsid w:val="00292DCA"/>
    <w:rsid w:val="002A513C"/>
    <w:rsid w:val="002B026A"/>
    <w:rsid w:val="002B2265"/>
    <w:rsid w:val="002B23A9"/>
    <w:rsid w:val="002B2527"/>
    <w:rsid w:val="002B26E0"/>
    <w:rsid w:val="002B39C8"/>
    <w:rsid w:val="002B6F3C"/>
    <w:rsid w:val="002B7270"/>
    <w:rsid w:val="002B78C8"/>
    <w:rsid w:val="002C7198"/>
    <w:rsid w:val="002E2683"/>
    <w:rsid w:val="002E3E03"/>
    <w:rsid w:val="002E408C"/>
    <w:rsid w:val="002E4867"/>
    <w:rsid w:val="002F029D"/>
    <w:rsid w:val="002F153A"/>
    <w:rsid w:val="002F2F94"/>
    <w:rsid w:val="002F33B0"/>
    <w:rsid w:val="002F4454"/>
    <w:rsid w:val="003025AF"/>
    <w:rsid w:val="00302713"/>
    <w:rsid w:val="00304214"/>
    <w:rsid w:val="003106AF"/>
    <w:rsid w:val="003136CD"/>
    <w:rsid w:val="00314D17"/>
    <w:rsid w:val="003165D5"/>
    <w:rsid w:val="003234AE"/>
    <w:rsid w:val="003266E9"/>
    <w:rsid w:val="00327C8F"/>
    <w:rsid w:val="00330E9E"/>
    <w:rsid w:val="00330EB8"/>
    <w:rsid w:val="00331A41"/>
    <w:rsid w:val="003324BC"/>
    <w:rsid w:val="003328B1"/>
    <w:rsid w:val="003341B8"/>
    <w:rsid w:val="00334659"/>
    <w:rsid w:val="00334D9F"/>
    <w:rsid w:val="00335E69"/>
    <w:rsid w:val="00337660"/>
    <w:rsid w:val="00340E17"/>
    <w:rsid w:val="0034398B"/>
    <w:rsid w:val="003469F6"/>
    <w:rsid w:val="00347EDF"/>
    <w:rsid w:val="003527E6"/>
    <w:rsid w:val="00355857"/>
    <w:rsid w:val="003568C3"/>
    <w:rsid w:val="00356F75"/>
    <w:rsid w:val="0035757F"/>
    <w:rsid w:val="00360965"/>
    <w:rsid w:val="0036253A"/>
    <w:rsid w:val="00363564"/>
    <w:rsid w:val="00363B64"/>
    <w:rsid w:val="0036443A"/>
    <w:rsid w:val="0036539C"/>
    <w:rsid w:val="00366D9D"/>
    <w:rsid w:val="003678AF"/>
    <w:rsid w:val="00373BF5"/>
    <w:rsid w:val="00391F98"/>
    <w:rsid w:val="0039355C"/>
    <w:rsid w:val="00395848"/>
    <w:rsid w:val="003A232D"/>
    <w:rsid w:val="003A2830"/>
    <w:rsid w:val="003B7A99"/>
    <w:rsid w:val="003C097C"/>
    <w:rsid w:val="003C4AC3"/>
    <w:rsid w:val="003C5F2B"/>
    <w:rsid w:val="003D368C"/>
    <w:rsid w:val="003D49A8"/>
    <w:rsid w:val="003D5184"/>
    <w:rsid w:val="003D6F48"/>
    <w:rsid w:val="003E1333"/>
    <w:rsid w:val="003E1415"/>
    <w:rsid w:val="003E2B4E"/>
    <w:rsid w:val="003E2D4C"/>
    <w:rsid w:val="003E42A7"/>
    <w:rsid w:val="003E68B6"/>
    <w:rsid w:val="003F03CC"/>
    <w:rsid w:val="003F077B"/>
    <w:rsid w:val="003F3744"/>
    <w:rsid w:val="003F680D"/>
    <w:rsid w:val="00404EE6"/>
    <w:rsid w:val="00405FF7"/>
    <w:rsid w:val="0041009A"/>
    <w:rsid w:val="00412117"/>
    <w:rsid w:val="004123F5"/>
    <w:rsid w:val="00415F46"/>
    <w:rsid w:val="004167E9"/>
    <w:rsid w:val="00423243"/>
    <w:rsid w:val="0043069A"/>
    <w:rsid w:val="004340FE"/>
    <w:rsid w:val="00435D72"/>
    <w:rsid w:val="00440BAB"/>
    <w:rsid w:val="0044103A"/>
    <w:rsid w:val="00442253"/>
    <w:rsid w:val="00443C74"/>
    <w:rsid w:val="0044454F"/>
    <w:rsid w:val="00444B84"/>
    <w:rsid w:val="00447690"/>
    <w:rsid w:val="00454263"/>
    <w:rsid w:val="00457641"/>
    <w:rsid w:val="0046165D"/>
    <w:rsid w:val="0046286F"/>
    <w:rsid w:val="00467803"/>
    <w:rsid w:val="00470E93"/>
    <w:rsid w:val="00473725"/>
    <w:rsid w:val="00484971"/>
    <w:rsid w:val="00484C93"/>
    <w:rsid w:val="00485B97"/>
    <w:rsid w:val="004927B7"/>
    <w:rsid w:val="00493C89"/>
    <w:rsid w:val="00493D57"/>
    <w:rsid w:val="00494C92"/>
    <w:rsid w:val="004A283C"/>
    <w:rsid w:val="004B5A8A"/>
    <w:rsid w:val="004C063F"/>
    <w:rsid w:val="004C11D8"/>
    <w:rsid w:val="004C130E"/>
    <w:rsid w:val="004C2CB7"/>
    <w:rsid w:val="004C6EF5"/>
    <w:rsid w:val="004D079D"/>
    <w:rsid w:val="004D07F3"/>
    <w:rsid w:val="004D291D"/>
    <w:rsid w:val="004D5A6F"/>
    <w:rsid w:val="004D64A7"/>
    <w:rsid w:val="004D67F9"/>
    <w:rsid w:val="004E292C"/>
    <w:rsid w:val="004E5EDB"/>
    <w:rsid w:val="004E7644"/>
    <w:rsid w:val="004F0BC5"/>
    <w:rsid w:val="004F1204"/>
    <w:rsid w:val="004F4716"/>
    <w:rsid w:val="004F502F"/>
    <w:rsid w:val="004F6049"/>
    <w:rsid w:val="00500C3C"/>
    <w:rsid w:val="00507580"/>
    <w:rsid w:val="005119AC"/>
    <w:rsid w:val="00511B56"/>
    <w:rsid w:val="00512541"/>
    <w:rsid w:val="0052071F"/>
    <w:rsid w:val="00525753"/>
    <w:rsid w:val="00527380"/>
    <w:rsid w:val="00531283"/>
    <w:rsid w:val="005320C8"/>
    <w:rsid w:val="00536DDB"/>
    <w:rsid w:val="0054100D"/>
    <w:rsid w:val="00542B90"/>
    <w:rsid w:val="0054642F"/>
    <w:rsid w:val="0054683F"/>
    <w:rsid w:val="00547881"/>
    <w:rsid w:val="005576E9"/>
    <w:rsid w:val="00561FE0"/>
    <w:rsid w:val="00576ED4"/>
    <w:rsid w:val="00577D00"/>
    <w:rsid w:val="00580EB0"/>
    <w:rsid w:val="00581118"/>
    <w:rsid w:val="0058659B"/>
    <w:rsid w:val="005868D6"/>
    <w:rsid w:val="00587214"/>
    <w:rsid w:val="005908DD"/>
    <w:rsid w:val="00597809"/>
    <w:rsid w:val="005A3FA4"/>
    <w:rsid w:val="005A6434"/>
    <w:rsid w:val="005A67FD"/>
    <w:rsid w:val="005B03B3"/>
    <w:rsid w:val="005B2888"/>
    <w:rsid w:val="005B4AD5"/>
    <w:rsid w:val="005C131D"/>
    <w:rsid w:val="005C2065"/>
    <w:rsid w:val="005C266F"/>
    <w:rsid w:val="005C2746"/>
    <w:rsid w:val="005C3437"/>
    <w:rsid w:val="005C77AA"/>
    <w:rsid w:val="005D0D3A"/>
    <w:rsid w:val="005D27FA"/>
    <w:rsid w:val="005D3C1F"/>
    <w:rsid w:val="005D4AF0"/>
    <w:rsid w:val="005D4F2B"/>
    <w:rsid w:val="005D52C7"/>
    <w:rsid w:val="005D75D3"/>
    <w:rsid w:val="005E5510"/>
    <w:rsid w:val="005E62D9"/>
    <w:rsid w:val="005E66FC"/>
    <w:rsid w:val="005F03FE"/>
    <w:rsid w:val="005F0A8A"/>
    <w:rsid w:val="005F464E"/>
    <w:rsid w:val="005F58AA"/>
    <w:rsid w:val="005F7E3B"/>
    <w:rsid w:val="00603BEF"/>
    <w:rsid w:val="00607CB0"/>
    <w:rsid w:val="00610099"/>
    <w:rsid w:val="006129D6"/>
    <w:rsid w:val="0062273B"/>
    <w:rsid w:val="0062439E"/>
    <w:rsid w:val="006269DB"/>
    <w:rsid w:val="006274C7"/>
    <w:rsid w:val="00627D74"/>
    <w:rsid w:val="00636B25"/>
    <w:rsid w:val="00641B91"/>
    <w:rsid w:val="0064279A"/>
    <w:rsid w:val="00645074"/>
    <w:rsid w:val="0064538F"/>
    <w:rsid w:val="00652173"/>
    <w:rsid w:val="006533C9"/>
    <w:rsid w:val="0067193B"/>
    <w:rsid w:val="006719B0"/>
    <w:rsid w:val="006757CA"/>
    <w:rsid w:val="00680DB3"/>
    <w:rsid w:val="00680FE8"/>
    <w:rsid w:val="006834A2"/>
    <w:rsid w:val="006842B5"/>
    <w:rsid w:val="00684D86"/>
    <w:rsid w:val="0068573F"/>
    <w:rsid w:val="00687170"/>
    <w:rsid w:val="00687B31"/>
    <w:rsid w:val="00692F7E"/>
    <w:rsid w:val="00696223"/>
    <w:rsid w:val="00697603"/>
    <w:rsid w:val="006A22F4"/>
    <w:rsid w:val="006A2F72"/>
    <w:rsid w:val="006B2021"/>
    <w:rsid w:val="006B40FD"/>
    <w:rsid w:val="006B4984"/>
    <w:rsid w:val="006B5180"/>
    <w:rsid w:val="006B525C"/>
    <w:rsid w:val="006B5E50"/>
    <w:rsid w:val="006C13AE"/>
    <w:rsid w:val="006C727B"/>
    <w:rsid w:val="006C74E8"/>
    <w:rsid w:val="006D0501"/>
    <w:rsid w:val="006D3865"/>
    <w:rsid w:val="006E2984"/>
    <w:rsid w:val="006E3662"/>
    <w:rsid w:val="006E485E"/>
    <w:rsid w:val="006E648C"/>
    <w:rsid w:val="006F4338"/>
    <w:rsid w:val="00700579"/>
    <w:rsid w:val="00701AFD"/>
    <w:rsid w:val="00703AB0"/>
    <w:rsid w:val="00711733"/>
    <w:rsid w:val="00711D3C"/>
    <w:rsid w:val="00715C87"/>
    <w:rsid w:val="00717866"/>
    <w:rsid w:val="00722028"/>
    <w:rsid w:val="00725CCA"/>
    <w:rsid w:val="007312DC"/>
    <w:rsid w:val="007345D6"/>
    <w:rsid w:val="00742E5E"/>
    <w:rsid w:val="007435E5"/>
    <w:rsid w:val="00745989"/>
    <w:rsid w:val="0074629F"/>
    <w:rsid w:val="00751929"/>
    <w:rsid w:val="00751C86"/>
    <w:rsid w:val="00753D17"/>
    <w:rsid w:val="007618F4"/>
    <w:rsid w:val="00770346"/>
    <w:rsid w:val="00770F50"/>
    <w:rsid w:val="00773BDC"/>
    <w:rsid w:val="00774E88"/>
    <w:rsid w:val="00776E90"/>
    <w:rsid w:val="00777BDD"/>
    <w:rsid w:val="0078074C"/>
    <w:rsid w:val="007815FD"/>
    <w:rsid w:val="007828B6"/>
    <w:rsid w:val="0078729D"/>
    <w:rsid w:val="007909A1"/>
    <w:rsid w:val="00794B15"/>
    <w:rsid w:val="007972C2"/>
    <w:rsid w:val="007A0845"/>
    <w:rsid w:val="007A4348"/>
    <w:rsid w:val="007A4B06"/>
    <w:rsid w:val="007B76F7"/>
    <w:rsid w:val="007C19BE"/>
    <w:rsid w:val="007D0060"/>
    <w:rsid w:val="007E2D00"/>
    <w:rsid w:val="007E55D9"/>
    <w:rsid w:val="007E754D"/>
    <w:rsid w:val="007E7757"/>
    <w:rsid w:val="007F010B"/>
    <w:rsid w:val="007F05D5"/>
    <w:rsid w:val="00803FC6"/>
    <w:rsid w:val="008042FA"/>
    <w:rsid w:val="008072C7"/>
    <w:rsid w:val="00807461"/>
    <w:rsid w:val="008103A5"/>
    <w:rsid w:val="00811535"/>
    <w:rsid w:val="00814F31"/>
    <w:rsid w:val="008204DE"/>
    <w:rsid w:val="008231B5"/>
    <w:rsid w:val="008251F2"/>
    <w:rsid w:val="00825F90"/>
    <w:rsid w:val="0082637F"/>
    <w:rsid w:val="00834BD4"/>
    <w:rsid w:val="0083661C"/>
    <w:rsid w:val="008429AE"/>
    <w:rsid w:val="008435B6"/>
    <w:rsid w:val="008435D7"/>
    <w:rsid w:val="008458D3"/>
    <w:rsid w:val="008476F1"/>
    <w:rsid w:val="008510AE"/>
    <w:rsid w:val="00851F10"/>
    <w:rsid w:val="00854B8B"/>
    <w:rsid w:val="00857AEC"/>
    <w:rsid w:val="00862445"/>
    <w:rsid w:val="0086550E"/>
    <w:rsid w:val="00866812"/>
    <w:rsid w:val="00872EF2"/>
    <w:rsid w:val="00874505"/>
    <w:rsid w:val="0087475E"/>
    <w:rsid w:val="0088088B"/>
    <w:rsid w:val="00880E16"/>
    <w:rsid w:val="00887649"/>
    <w:rsid w:val="0089288F"/>
    <w:rsid w:val="00892A4E"/>
    <w:rsid w:val="00895485"/>
    <w:rsid w:val="0089686F"/>
    <w:rsid w:val="008A5CE9"/>
    <w:rsid w:val="008B1017"/>
    <w:rsid w:val="008B2F33"/>
    <w:rsid w:val="008B76C3"/>
    <w:rsid w:val="008C0056"/>
    <w:rsid w:val="008C26ED"/>
    <w:rsid w:val="008C7BFB"/>
    <w:rsid w:val="008D0977"/>
    <w:rsid w:val="008D21D1"/>
    <w:rsid w:val="008D2A68"/>
    <w:rsid w:val="008E15F8"/>
    <w:rsid w:val="008E23AB"/>
    <w:rsid w:val="008E2730"/>
    <w:rsid w:val="008E524A"/>
    <w:rsid w:val="008E693D"/>
    <w:rsid w:val="008F3C00"/>
    <w:rsid w:val="008F48B8"/>
    <w:rsid w:val="008F7A32"/>
    <w:rsid w:val="009004B6"/>
    <w:rsid w:val="00900E8E"/>
    <w:rsid w:val="009019E9"/>
    <w:rsid w:val="009074C9"/>
    <w:rsid w:val="00911900"/>
    <w:rsid w:val="00914325"/>
    <w:rsid w:val="00916504"/>
    <w:rsid w:val="00920570"/>
    <w:rsid w:val="00921875"/>
    <w:rsid w:val="00924566"/>
    <w:rsid w:val="0092611B"/>
    <w:rsid w:val="009262BA"/>
    <w:rsid w:val="00936BFD"/>
    <w:rsid w:val="009371C0"/>
    <w:rsid w:val="009408A1"/>
    <w:rsid w:val="0094160D"/>
    <w:rsid w:val="009431EA"/>
    <w:rsid w:val="0094502E"/>
    <w:rsid w:val="00945F77"/>
    <w:rsid w:val="009468DE"/>
    <w:rsid w:val="009472A9"/>
    <w:rsid w:val="00950B16"/>
    <w:rsid w:val="00950BAF"/>
    <w:rsid w:val="00956075"/>
    <w:rsid w:val="00956C85"/>
    <w:rsid w:val="00957F93"/>
    <w:rsid w:val="00961DE5"/>
    <w:rsid w:val="00966BF3"/>
    <w:rsid w:val="00967487"/>
    <w:rsid w:val="009676DA"/>
    <w:rsid w:val="009730A6"/>
    <w:rsid w:val="009735B6"/>
    <w:rsid w:val="00974C7A"/>
    <w:rsid w:val="0097623D"/>
    <w:rsid w:val="00981338"/>
    <w:rsid w:val="00981D22"/>
    <w:rsid w:val="00982F4F"/>
    <w:rsid w:val="00985C26"/>
    <w:rsid w:val="00986046"/>
    <w:rsid w:val="0098676A"/>
    <w:rsid w:val="00986DF4"/>
    <w:rsid w:val="00991086"/>
    <w:rsid w:val="009911BF"/>
    <w:rsid w:val="00993183"/>
    <w:rsid w:val="009A0799"/>
    <w:rsid w:val="009A1896"/>
    <w:rsid w:val="009A1A8E"/>
    <w:rsid w:val="009A2934"/>
    <w:rsid w:val="009A5EFD"/>
    <w:rsid w:val="009C2F74"/>
    <w:rsid w:val="009C34E2"/>
    <w:rsid w:val="009C48B6"/>
    <w:rsid w:val="009C6A23"/>
    <w:rsid w:val="009D5976"/>
    <w:rsid w:val="009D5E16"/>
    <w:rsid w:val="009D67C0"/>
    <w:rsid w:val="009D6DD7"/>
    <w:rsid w:val="009D79B8"/>
    <w:rsid w:val="009E0F30"/>
    <w:rsid w:val="009E3B9D"/>
    <w:rsid w:val="009E3E57"/>
    <w:rsid w:val="009E4231"/>
    <w:rsid w:val="009E6834"/>
    <w:rsid w:val="009F2B3D"/>
    <w:rsid w:val="009F347A"/>
    <w:rsid w:val="00A02113"/>
    <w:rsid w:val="00A11C53"/>
    <w:rsid w:val="00A15193"/>
    <w:rsid w:val="00A16EB6"/>
    <w:rsid w:val="00A303F3"/>
    <w:rsid w:val="00A329ED"/>
    <w:rsid w:val="00A34763"/>
    <w:rsid w:val="00A3522A"/>
    <w:rsid w:val="00A41C7D"/>
    <w:rsid w:val="00A432D7"/>
    <w:rsid w:val="00A44382"/>
    <w:rsid w:val="00A460AB"/>
    <w:rsid w:val="00A466C3"/>
    <w:rsid w:val="00A50247"/>
    <w:rsid w:val="00A510D8"/>
    <w:rsid w:val="00A52BC9"/>
    <w:rsid w:val="00A52BE9"/>
    <w:rsid w:val="00A57EC1"/>
    <w:rsid w:val="00A61240"/>
    <w:rsid w:val="00A67333"/>
    <w:rsid w:val="00A70C81"/>
    <w:rsid w:val="00A71EDE"/>
    <w:rsid w:val="00A77173"/>
    <w:rsid w:val="00A837BB"/>
    <w:rsid w:val="00A841F6"/>
    <w:rsid w:val="00A84B0D"/>
    <w:rsid w:val="00A90E22"/>
    <w:rsid w:val="00A90FB5"/>
    <w:rsid w:val="00A91E5D"/>
    <w:rsid w:val="00A96AFC"/>
    <w:rsid w:val="00AA32EA"/>
    <w:rsid w:val="00AA66EA"/>
    <w:rsid w:val="00AA7212"/>
    <w:rsid w:val="00AA732A"/>
    <w:rsid w:val="00AA736D"/>
    <w:rsid w:val="00AB3E07"/>
    <w:rsid w:val="00AB439F"/>
    <w:rsid w:val="00AB6D41"/>
    <w:rsid w:val="00AB72DA"/>
    <w:rsid w:val="00AC1E23"/>
    <w:rsid w:val="00AC3308"/>
    <w:rsid w:val="00AC3E95"/>
    <w:rsid w:val="00AC61C8"/>
    <w:rsid w:val="00AC658E"/>
    <w:rsid w:val="00AD2AF5"/>
    <w:rsid w:val="00AD3FE3"/>
    <w:rsid w:val="00AD5BCB"/>
    <w:rsid w:val="00AD7704"/>
    <w:rsid w:val="00AE073D"/>
    <w:rsid w:val="00AE0F51"/>
    <w:rsid w:val="00AE485A"/>
    <w:rsid w:val="00AE48F1"/>
    <w:rsid w:val="00AF31D6"/>
    <w:rsid w:val="00AF44E0"/>
    <w:rsid w:val="00B0069F"/>
    <w:rsid w:val="00B055A2"/>
    <w:rsid w:val="00B058C2"/>
    <w:rsid w:val="00B0648C"/>
    <w:rsid w:val="00B10A66"/>
    <w:rsid w:val="00B17ADE"/>
    <w:rsid w:val="00B21D3E"/>
    <w:rsid w:val="00B22A86"/>
    <w:rsid w:val="00B31ED2"/>
    <w:rsid w:val="00B33A1E"/>
    <w:rsid w:val="00B40744"/>
    <w:rsid w:val="00B436AE"/>
    <w:rsid w:val="00B44D32"/>
    <w:rsid w:val="00B46F71"/>
    <w:rsid w:val="00B47827"/>
    <w:rsid w:val="00B51813"/>
    <w:rsid w:val="00B524A3"/>
    <w:rsid w:val="00B52D76"/>
    <w:rsid w:val="00B540B3"/>
    <w:rsid w:val="00B55CF6"/>
    <w:rsid w:val="00B62AB3"/>
    <w:rsid w:val="00B65012"/>
    <w:rsid w:val="00B65B59"/>
    <w:rsid w:val="00B71834"/>
    <w:rsid w:val="00B751C0"/>
    <w:rsid w:val="00B77484"/>
    <w:rsid w:val="00B82C9D"/>
    <w:rsid w:val="00B8537E"/>
    <w:rsid w:val="00B863F7"/>
    <w:rsid w:val="00B86E94"/>
    <w:rsid w:val="00B931F6"/>
    <w:rsid w:val="00BA586D"/>
    <w:rsid w:val="00BA635A"/>
    <w:rsid w:val="00BA6F64"/>
    <w:rsid w:val="00BA70F3"/>
    <w:rsid w:val="00BB21D2"/>
    <w:rsid w:val="00BB28A9"/>
    <w:rsid w:val="00BB2E6E"/>
    <w:rsid w:val="00BC075B"/>
    <w:rsid w:val="00BD318F"/>
    <w:rsid w:val="00BE2A3A"/>
    <w:rsid w:val="00BE6CA3"/>
    <w:rsid w:val="00BF07F8"/>
    <w:rsid w:val="00BF49BE"/>
    <w:rsid w:val="00C01159"/>
    <w:rsid w:val="00C0348E"/>
    <w:rsid w:val="00C050C6"/>
    <w:rsid w:val="00C06DF4"/>
    <w:rsid w:val="00C071D7"/>
    <w:rsid w:val="00C13232"/>
    <w:rsid w:val="00C231BD"/>
    <w:rsid w:val="00C245FE"/>
    <w:rsid w:val="00C307DF"/>
    <w:rsid w:val="00C36C33"/>
    <w:rsid w:val="00C4032D"/>
    <w:rsid w:val="00C40E35"/>
    <w:rsid w:val="00C45C80"/>
    <w:rsid w:val="00C4615E"/>
    <w:rsid w:val="00C46D94"/>
    <w:rsid w:val="00C50F0F"/>
    <w:rsid w:val="00C515A4"/>
    <w:rsid w:val="00C56E2A"/>
    <w:rsid w:val="00C62A8D"/>
    <w:rsid w:val="00C6513C"/>
    <w:rsid w:val="00C73C2B"/>
    <w:rsid w:val="00C7449E"/>
    <w:rsid w:val="00C77623"/>
    <w:rsid w:val="00C778F1"/>
    <w:rsid w:val="00C81554"/>
    <w:rsid w:val="00C83167"/>
    <w:rsid w:val="00C832AA"/>
    <w:rsid w:val="00C87D9B"/>
    <w:rsid w:val="00C901A7"/>
    <w:rsid w:val="00C94BDF"/>
    <w:rsid w:val="00CA27D7"/>
    <w:rsid w:val="00CA39D3"/>
    <w:rsid w:val="00CA6B4E"/>
    <w:rsid w:val="00CB0A18"/>
    <w:rsid w:val="00CB59A1"/>
    <w:rsid w:val="00CB6AE3"/>
    <w:rsid w:val="00CD36F1"/>
    <w:rsid w:val="00CD534A"/>
    <w:rsid w:val="00CD6DA8"/>
    <w:rsid w:val="00CE0878"/>
    <w:rsid w:val="00CE2CD5"/>
    <w:rsid w:val="00CE3ABF"/>
    <w:rsid w:val="00CE42A7"/>
    <w:rsid w:val="00D015D7"/>
    <w:rsid w:val="00D07D40"/>
    <w:rsid w:val="00D149FC"/>
    <w:rsid w:val="00D16E2E"/>
    <w:rsid w:val="00D17BD2"/>
    <w:rsid w:val="00D21B2B"/>
    <w:rsid w:val="00D239E0"/>
    <w:rsid w:val="00D23D53"/>
    <w:rsid w:val="00D27BAF"/>
    <w:rsid w:val="00D30B50"/>
    <w:rsid w:val="00D45DAA"/>
    <w:rsid w:val="00D53819"/>
    <w:rsid w:val="00D572AA"/>
    <w:rsid w:val="00D60E99"/>
    <w:rsid w:val="00D641F3"/>
    <w:rsid w:val="00D64742"/>
    <w:rsid w:val="00D7554E"/>
    <w:rsid w:val="00D76FD6"/>
    <w:rsid w:val="00D85D0F"/>
    <w:rsid w:val="00D906B3"/>
    <w:rsid w:val="00DA23B4"/>
    <w:rsid w:val="00DA3038"/>
    <w:rsid w:val="00DA3A59"/>
    <w:rsid w:val="00DA4DA7"/>
    <w:rsid w:val="00DB00B1"/>
    <w:rsid w:val="00DB0F34"/>
    <w:rsid w:val="00DB4648"/>
    <w:rsid w:val="00DB7B13"/>
    <w:rsid w:val="00DC0ABF"/>
    <w:rsid w:val="00DD01C8"/>
    <w:rsid w:val="00DD16C0"/>
    <w:rsid w:val="00DD1A75"/>
    <w:rsid w:val="00DD4DFE"/>
    <w:rsid w:val="00DE066C"/>
    <w:rsid w:val="00DE0AD5"/>
    <w:rsid w:val="00DE21C3"/>
    <w:rsid w:val="00DE7455"/>
    <w:rsid w:val="00DF03F0"/>
    <w:rsid w:val="00DF1B35"/>
    <w:rsid w:val="00DF4C83"/>
    <w:rsid w:val="00E04182"/>
    <w:rsid w:val="00E04CC6"/>
    <w:rsid w:val="00E06CDC"/>
    <w:rsid w:val="00E07C6D"/>
    <w:rsid w:val="00E11E61"/>
    <w:rsid w:val="00E16BF5"/>
    <w:rsid w:val="00E17476"/>
    <w:rsid w:val="00E24AD2"/>
    <w:rsid w:val="00E25943"/>
    <w:rsid w:val="00E266F0"/>
    <w:rsid w:val="00E27C31"/>
    <w:rsid w:val="00E351C3"/>
    <w:rsid w:val="00E35A5C"/>
    <w:rsid w:val="00E37E6F"/>
    <w:rsid w:val="00E41822"/>
    <w:rsid w:val="00E4361F"/>
    <w:rsid w:val="00E43F4C"/>
    <w:rsid w:val="00E4530A"/>
    <w:rsid w:val="00E47742"/>
    <w:rsid w:val="00E53779"/>
    <w:rsid w:val="00E555F3"/>
    <w:rsid w:val="00E5617B"/>
    <w:rsid w:val="00E56278"/>
    <w:rsid w:val="00E60090"/>
    <w:rsid w:val="00E630F4"/>
    <w:rsid w:val="00E66484"/>
    <w:rsid w:val="00E669BF"/>
    <w:rsid w:val="00E73A8E"/>
    <w:rsid w:val="00E749EC"/>
    <w:rsid w:val="00E758CF"/>
    <w:rsid w:val="00E80B5E"/>
    <w:rsid w:val="00E81831"/>
    <w:rsid w:val="00E8414D"/>
    <w:rsid w:val="00E84933"/>
    <w:rsid w:val="00E85038"/>
    <w:rsid w:val="00E914E8"/>
    <w:rsid w:val="00EA2699"/>
    <w:rsid w:val="00EA3EC2"/>
    <w:rsid w:val="00EA7780"/>
    <w:rsid w:val="00EB100E"/>
    <w:rsid w:val="00EB1A34"/>
    <w:rsid w:val="00EB273B"/>
    <w:rsid w:val="00EB492D"/>
    <w:rsid w:val="00EB70CE"/>
    <w:rsid w:val="00EB7F61"/>
    <w:rsid w:val="00EC4D08"/>
    <w:rsid w:val="00EC564F"/>
    <w:rsid w:val="00EC6BEB"/>
    <w:rsid w:val="00ED0B0C"/>
    <w:rsid w:val="00ED401A"/>
    <w:rsid w:val="00ED46C9"/>
    <w:rsid w:val="00ED69AD"/>
    <w:rsid w:val="00ED7B48"/>
    <w:rsid w:val="00EE18DF"/>
    <w:rsid w:val="00EE1BA0"/>
    <w:rsid w:val="00EE1D7E"/>
    <w:rsid w:val="00EE204C"/>
    <w:rsid w:val="00EF4776"/>
    <w:rsid w:val="00EF4C4C"/>
    <w:rsid w:val="00EF7A1A"/>
    <w:rsid w:val="00F03EFA"/>
    <w:rsid w:val="00F053CC"/>
    <w:rsid w:val="00F05672"/>
    <w:rsid w:val="00F06017"/>
    <w:rsid w:val="00F10B16"/>
    <w:rsid w:val="00F15524"/>
    <w:rsid w:val="00F16183"/>
    <w:rsid w:val="00F1649B"/>
    <w:rsid w:val="00F16CA6"/>
    <w:rsid w:val="00F16FDA"/>
    <w:rsid w:val="00F21DF5"/>
    <w:rsid w:val="00F23FDA"/>
    <w:rsid w:val="00F25BF2"/>
    <w:rsid w:val="00F40841"/>
    <w:rsid w:val="00F41AEB"/>
    <w:rsid w:val="00F42605"/>
    <w:rsid w:val="00F42A16"/>
    <w:rsid w:val="00F42ED1"/>
    <w:rsid w:val="00F4458F"/>
    <w:rsid w:val="00F503A4"/>
    <w:rsid w:val="00F514CB"/>
    <w:rsid w:val="00F51838"/>
    <w:rsid w:val="00F534AE"/>
    <w:rsid w:val="00F54C16"/>
    <w:rsid w:val="00F56C46"/>
    <w:rsid w:val="00F57B66"/>
    <w:rsid w:val="00F609FD"/>
    <w:rsid w:val="00F64A9B"/>
    <w:rsid w:val="00F721A1"/>
    <w:rsid w:val="00F74F8B"/>
    <w:rsid w:val="00F813A7"/>
    <w:rsid w:val="00F81CDB"/>
    <w:rsid w:val="00F83B63"/>
    <w:rsid w:val="00F909E6"/>
    <w:rsid w:val="00F96411"/>
    <w:rsid w:val="00FA3DC0"/>
    <w:rsid w:val="00FA5566"/>
    <w:rsid w:val="00FA6D91"/>
    <w:rsid w:val="00FB0A3B"/>
    <w:rsid w:val="00FB2D66"/>
    <w:rsid w:val="00FB52AF"/>
    <w:rsid w:val="00FB5C55"/>
    <w:rsid w:val="00FB75BB"/>
    <w:rsid w:val="00FC09EF"/>
    <w:rsid w:val="00FC1E4D"/>
    <w:rsid w:val="00FC3275"/>
    <w:rsid w:val="00FD25D0"/>
    <w:rsid w:val="00FD599F"/>
    <w:rsid w:val="00FD6A77"/>
    <w:rsid w:val="00FD76E8"/>
    <w:rsid w:val="00FE1B3C"/>
    <w:rsid w:val="00FE26F0"/>
    <w:rsid w:val="00FE3473"/>
    <w:rsid w:val="00FE6827"/>
    <w:rsid w:val="00FF1410"/>
    <w:rsid w:val="00FF50D8"/>
    <w:rsid w:val="00FF6E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A586D"/>
    <w:pPr>
      <w:spacing w:before="120"/>
      <w:ind w:firstLine="567"/>
      <w:jc w:val="both"/>
    </w:pPr>
    <w:rPr>
      <w:sz w:val="24"/>
      <w:szCs w:val="24"/>
    </w:rPr>
  </w:style>
  <w:style w:type="paragraph" w:styleId="Nadpis1">
    <w:name w:val="heading 1"/>
    <w:basedOn w:val="Normlny"/>
    <w:next w:val="Normlny"/>
    <w:link w:val="Nadpis1Char"/>
    <w:uiPriority w:val="9"/>
    <w:qFormat/>
    <w:rsid w:val="002B6F3C"/>
    <w:pPr>
      <w:keepNext/>
      <w:numPr>
        <w:numId w:val="1"/>
      </w:numPr>
      <w:tabs>
        <w:tab w:val="left" w:pos="567"/>
      </w:tabs>
      <w:suppressAutoHyphens/>
      <w:spacing w:before="480" w:after="240"/>
      <w:ind w:left="567" w:hanging="567"/>
      <w:jc w:val="left"/>
      <w:outlineLvl w:val="0"/>
    </w:pPr>
    <w:rPr>
      <w:b/>
      <w:bCs/>
      <w:kern w:val="32"/>
      <w:sz w:val="28"/>
      <w:szCs w:val="28"/>
    </w:rPr>
  </w:style>
  <w:style w:type="paragraph" w:styleId="Nadpis2">
    <w:name w:val="heading 2"/>
    <w:basedOn w:val="Nadpis1"/>
    <w:next w:val="Normlny"/>
    <w:link w:val="Nadpis2Char"/>
    <w:uiPriority w:val="9"/>
    <w:qFormat/>
    <w:rsid w:val="00493C89"/>
    <w:pPr>
      <w:numPr>
        <w:ilvl w:val="1"/>
      </w:numPr>
      <w:tabs>
        <w:tab w:val="num" w:pos="432"/>
      </w:tabs>
      <w:spacing w:before="360"/>
      <w:ind w:left="432"/>
      <w:outlineLvl w:val="1"/>
    </w:pPr>
    <w:rPr>
      <w:b w:val="0"/>
      <w:bCs w:val="0"/>
      <w:i/>
      <w:iCs/>
      <w:sz w:val="26"/>
      <w:szCs w:val="26"/>
    </w:rPr>
  </w:style>
  <w:style w:type="paragraph" w:styleId="Nadpis4">
    <w:name w:val="heading 4"/>
    <w:basedOn w:val="Normlny"/>
    <w:next w:val="Normlny"/>
    <w:link w:val="Nadpis4Char"/>
    <w:uiPriority w:val="9"/>
    <w:semiHidden/>
    <w:unhideWhenUsed/>
    <w:qFormat/>
    <w:locked/>
    <w:rsid w:val="00B46F7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cs="Times New Roman"/>
      <w:b/>
      <w:bCs/>
      <w:kern w:val="32"/>
      <w:sz w:val="28"/>
      <w:szCs w:val="28"/>
    </w:rPr>
  </w:style>
  <w:style w:type="character" w:customStyle="1" w:styleId="Nadpis2Char">
    <w:name w:val="Nadpis 2 Char"/>
    <w:basedOn w:val="Predvolenpsmoodseku"/>
    <w:link w:val="Nadpis2"/>
    <w:uiPriority w:val="9"/>
    <w:locked/>
    <w:rPr>
      <w:rFonts w:cs="Times New Roman"/>
      <w:i/>
      <w:iCs/>
      <w:kern w:val="32"/>
      <w:sz w:val="26"/>
      <w:szCs w:val="26"/>
    </w:rPr>
  </w:style>
  <w:style w:type="character" w:customStyle="1" w:styleId="Nadpis4Char">
    <w:name w:val="Nadpis 4 Char"/>
    <w:basedOn w:val="Predvolenpsmoodseku"/>
    <w:link w:val="Nadpis4"/>
    <w:uiPriority w:val="9"/>
    <w:semiHidden/>
    <w:locked/>
    <w:rsid w:val="00B46F71"/>
    <w:rPr>
      <w:rFonts w:asciiTheme="majorHAnsi" w:eastAsiaTheme="majorEastAsia" w:hAnsiTheme="majorHAnsi" w:cs="Times New Roman"/>
      <w:b/>
      <w:bCs/>
      <w:i/>
      <w:iCs/>
      <w:color w:val="4F81BD" w:themeColor="accent1"/>
      <w:sz w:val="24"/>
      <w:szCs w:val="24"/>
    </w:rPr>
  </w:style>
  <w:style w:type="paragraph" w:styleId="Pta">
    <w:name w:val="footer"/>
    <w:basedOn w:val="Normlny"/>
    <w:link w:val="PtaChar"/>
    <w:uiPriority w:val="99"/>
    <w:rsid w:val="007E2D00"/>
    <w:pPr>
      <w:tabs>
        <w:tab w:val="center" w:pos="4536"/>
        <w:tab w:val="right" w:pos="9072"/>
      </w:tabs>
    </w:pPr>
  </w:style>
  <w:style w:type="character" w:customStyle="1" w:styleId="PtaChar">
    <w:name w:val="Päta Char"/>
    <w:basedOn w:val="Predvolenpsmoodseku"/>
    <w:link w:val="Pta"/>
    <w:uiPriority w:val="99"/>
    <w:locked/>
    <w:rsid w:val="00415F46"/>
    <w:rPr>
      <w:rFonts w:cs="Times New Roman"/>
      <w:sz w:val="24"/>
      <w:szCs w:val="24"/>
    </w:rPr>
  </w:style>
  <w:style w:type="paragraph" w:styleId="Hlavika">
    <w:name w:val="header"/>
    <w:basedOn w:val="Normlny"/>
    <w:link w:val="HlavikaChar"/>
    <w:uiPriority w:val="99"/>
    <w:rsid w:val="007E2D00"/>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table" w:styleId="Mriekatabuky">
    <w:name w:val="Table Grid"/>
    <w:basedOn w:val="Normlnatabuka"/>
    <w:uiPriority w:val="59"/>
    <w:rsid w:val="007E2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uiPriority w:val="99"/>
    <w:rsid w:val="00580EB0"/>
    <w:rPr>
      <w:rFonts w:cs="Times New Roman"/>
    </w:rPr>
  </w:style>
  <w:style w:type="paragraph" w:customStyle="1" w:styleId="Odsaden1">
    <w:name w:val="Odsadené 1"/>
    <w:basedOn w:val="Normlny"/>
    <w:rsid w:val="009472A9"/>
    <w:pPr>
      <w:numPr>
        <w:numId w:val="2"/>
      </w:numPr>
      <w:tabs>
        <w:tab w:val="left" w:pos="284"/>
      </w:tabs>
      <w:spacing w:before="60"/>
    </w:pPr>
  </w:style>
  <w:style w:type="paragraph" w:styleId="Textbubliny">
    <w:name w:val="Balloon Text"/>
    <w:basedOn w:val="Normlny"/>
    <w:link w:val="TextbublinyChar"/>
    <w:uiPriority w:val="99"/>
    <w:semiHidden/>
    <w:rsid w:val="0036539C"/>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cs="Times New Roman"/>
      <w:sz w:val="2"/>
    </w:rPr>
  </w:style>
  <w:style w:type="paragraph" w:styleId="Popis">
    <w:name w:val="caption"/>
    <w:basedOn w:val="Normlny"/>
    <w:next w:val="Normlny"/>
    <w:uiPriority w:val="35"/>
    <w:qFormat/>
    <w:rsid w:val="003341B8"/>
    <w:pPr>
      <w:spacing w:after="200"/>
      <w:ind w:firstLine="0"/>
    </w:pPr>
    <w:rPr>
      <w:i/>
      <w:iCs/>
      <w:sz w:val="22"/>
      <w:szCs w:val="22"/>
    </w:rPr>
  </w:style>
  <w:style w:type="paragraph" w:customStyle="1" w:styleId="Odsekzoznamu1">
    <w:name w:val="Odsek zoznamu1"/>
    <w:basedOn w:val="Normlny"/>
    <w:rsid w:val="00435D72"/>
    <w:pPr>
      <w:ind w:left="720"/>
    </w:pPr>
  </w:style>
  <w:style w:type="paragraph" w:styleId="Nzov">
    <w:name w:val="Title"/>
    <w:basedOn w:val="Normlny"/>
    <w:next w:val="Normlny"/>
    <w:link w:val="NzovChar"/>
    <w:uiPriority w:val="10"/>
    <w:qFormat/>
    <w:rsid w:val="000B431D"/>
    <w:pPr>
      <w:spacing w:before="0" w:after="300"/>
      <w:ind w:firstLine="0"/>
      <w:jc w:val="center"/>
    </w:pPr>
    <w:rPr>
      <w:rFonts w:ascii="Cambria" w:hAnsi="Cambria" w:cs="Cambria"/>
      <w:spacing w:val="5"/>
      <w:kern w:val="28"/>
      <w:sz w:val="52"/>
      <w:szCs w:val="52"/>
    </w:rPr>
  </w:style>
  <w:style w:type="character" w:customStyle="1" w:styleId="NzovChar">
    <w:name w:val="Názov Char"/>
    <w:basedOn w:val="Predvolenpsmoodseku"/>
    <w:link w:val="Nzov"/>
    <w:uiPriority w:val="10"/>
    <w:locked/>
    <w:rsid w:val="000B431D"/>
    <w:rPr>
      <w:rFonts w:ascii="Cambria" w:hAnsi="Cambria" w:cs="Cambria"/>
      <w:spacing w:val="5"/>
      <w:kern w:val="28"/>
      <w:sz w:val="52"/>
      <w:szCs w:val="52"/>
    </w:rPr>
  </w:style>
  <w:style w:type="character" w:styleId="Odkaznakomentr">
    <w:name w:val="annotation reference"/>
    <w:basedOn w:val="Predvolenpsmoodseku"/>
    <w:uiPriority w:val="99"/>
    <w:rsid w:val="00F06017"/>
    <w:rPr>
      <w:rFonts w:cs="Times New Roman"/>
      <w:sz w:val="16"/>
      <w:szCs w:val="16"/>
    </w:rPr>
  </w:style>
  <w:style w:type="paragraph" w:styleId="Textkomentra">
    <w:name w:val="annotation text"/>
    <w:basedOn w:val="Normlny"/>
    <w:link w:val="TextkomentraChar"/>
    <w:uiPriority w:val="99"/>
    <w:rsid w:val="00F06017"/>
    <w:rPr>
      <w:sz w:val="20"/>
      <w:szCs w:val="20"/>
    </w:rPr>
  </w:style>
  <w:style w:type="character" w:customStyle="1" w:styleId="TextkomentraChar">
    <w:name w:val="Text komentára Char"/>
    <w:basedOn w:val="Predvolenpsmoodseku"/>
    <w:link w:val="Textkomentra"/>
    <w:uiPriority w:val="99"/>
    <w:locked/>
    <w:rsid w:val="00F06017"/>
    <w:rPr>
      <w:rFonts w:cs="Times New Roman"/>
    </w:rPr>
  </w:style>
  <w:style w:type="paragraph" w:styleId="Predmetkomentra">
    <w:name w:val="annotation subject"/>
    <w:basedOn w:val="Textkomentra"/>
    <w:next w:val="Textkomentra"/>
    <w:link w:val="PredmetkomentraChar"/>
    <w:uiPriority w:val="99"/>
    <w:rsid w:val="00F06017"/>
    <w:rPr>
      <w:b/>
      <w:bCs/>
    </w:rPr>
  </w:style>
  <w:style w:type="character" w:customStyle="1" w:styleId="PredmetkomentraChar">
    <w:name w:val="Predmet komentára Char"/>
    <w:basedOn w:val="TextkomentraChar"/>
    <w:link w:val="Predmetkomentra"/>
    <w:uiPriority w:val="99"/>
    <w:locked/>
    <w:rsid w:val="00F06017"/>
    <w:rPr>
      <w:rFonts w:cs="Times New Roman"/>
      <w:b/>
      <w:bCs/>
    </w:rPr>
  </w:style>
  <w:style w:type="character" w:styleId="Siln">
    <w:name w:val="Strong"/>
    <w:basedOn w:val="Predvolenpsmoodseku"/>
    <w:uiPriority w:val="22"/>
    <w:qFormat/>
    <w:locked/>
    <w:rsid w:val="00196003"/>
    <w:rPr>
      <w:rFonts w:cs="Times New Roman"/>
      <w:b/>
      <w:bCs/>
    </w:rPr>
  </w:style>
  <w:style w:type="paragraph" w:customStyle="1" w:styleId="Obyajntext5">
    <w:name w:val="Obyčajný text5"/>
    <w:basedOn w:val="Normlny"/>
    <w:rsid w:val="00E66484"/>
    <w:pPr>
      <w:spacing w:before="0"/>
      <w:ind w:firstLine="0"/>
      <w:jc w:val="left"/>
    </w:pPr>
    <w:rPr>
      <w:rFonts w:ascii="Courier New" w:hAnsi="Courier New"/>
      <w:sz w:val="20"/>
      <w:szCs w:val="20"/>
    </w:rPr>
  </w:style>
  <w:style w:type="paragraph" w:styleId="Odsekzoznamu">
    <w:name w:val="List Paragraph"/>
    <w:basedOn w:val="Normlny"/>
    <w:uiPriority w:val="34"/>
    <w:qFormat/>
    <w:rsid w:val="00B75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A586D"/>
    <w:pPr>
      <w:spacing w:before="120"/>
      <w:ind w:firstLine="567"/>
      <w:jc w:val="both"/>
    </w:pPr>
    <w:rPr>
      <w:sz w:val="24"/>
      <w:szCs w:val="24"/>
    </w:rPr>
  </w:style>
  <w:style w:type="paragraph" w:styleId="Nadpis1">
    <w:name w:val="heading 1"/>
    <w:basedOn w:val="Normlny"/>
    <w:next w:val="Normlny"/>
    <w:link w:val="Nadpis1Char"/>
    <w:uiPriority w:val="9"/>
    <w:qFormat/>
    <w:rsid w:val="002B6F3C"/>
    <w:pPr>
      <w:keepNext/>
      <w:numPr>
        <w:numId w:val="1"/>
      </w:numPr>
      <w:tabs>
        <w:tab w:val="left" w:pos="567"/>
      </w:tabs>
      <w:suppressAutoHyphens/>
      <w:spacing w:before="480" w:after="240"/>
      <w:ind w:left="567" w:hanging="567"/>
      <w:jc w:val="left"/>
      <w:outlineLvl w:val="0"/>
    </w:pPr>
    <w:rPr>
      <w:b/>
      <w:bCs/>
      <w:kern w:val="32"/>
      <w:sz w:val="28"/>
      <w:szCs w:val="28"/>
    </w:rPr>
  </w:style>
  <w:style w:type="paragraph" w:styleId="Nadpis2">
    <w:name w:val="heading 2"/>
    <w:basedOn w:val="Nadpis1"/>
    <w:next w:val="Normlny"/>
    <w:link w:val="Nadpis2Char"/>
    <w:uiPriority w:val="9"/>
    <w:qFormat/>
    <w:rsid w:val="00493C89"/>
    <w:pPr>
      <w:numPr>
        <w:ilvl w:val="1"/>
      </w:numPr>
      <w:tabs>
        <w:tab w:val="num" w:pos="432"/>
      </w:tabs>
      <w:spacing w:before="360"/>
      <w:ind w:left="432"/>
      <w:outlineLvl w:val="1"/>
    </w:pPr>
    <w:rPr>
      <w:b w:val="0"/>
      <w:bCs w:val="0"/>
      <w:i/>
      <w:iCs/>
      <w:sz w:val="26"/>
      <w:szCs w:val="26"/>
    </w:rPr>
  </w:style>
  <w:style w:type="paragraph" w:styleId="Nadpis4">
    <w:name w:val="heading 4"/>
    <w:basedOn w:val="Normlny"/>
    <w:next w:val="Normlny"/>
    <w:link w:val="Nadpis4Char"/>
    <w:uiPriority w:val="9"/>
    <w:semiHidden/>
    <w:unhideWhenUsed/>
    <w:qFormat/>
    <w:locked/>
    <w:rsid w:val="00B46F7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cs="Times New Roman"/>
      <w:b/>
      <w:bCs/>
      <w:kern w:val="32"/>
      <w:sz w:val="28"/>
      <w:szCs w:val="28"/>
    </w:rPr>
  </w:style>
  <w:style w:type="character" w:customStyle="1" w:styleId="Nadpis2Char">
    <w:name w:val="Nadpis 2 Char"/>
    <w:basedOn w:val="Predvolenpsmoodseku"/>
    <w:link w:val="Nadpis2"/>
    <w:uiPriority w:val="9"/>
    <w:locked/>
    <w:rPr>
      <w:rFonts w:cs="Times New Roman"/>
      <w:i/>
      <w:iCs/>
      <w:kern w:val="32"/>
      <w:sz w:val="26"/>
      <w:szCs w:val="26"/>
    </w:rPr>
  </w:style>
  <w:style w:type="character" w:customStyle="1" w:styleId="Nadpis4Char">
    <w:name w:val="Nadpis 4 Char"/>
    <w:basedOn w:val="Predvolenpsmoodseku"/>
    <w:link w:val="Nadpis4"/>
    <w:uiPriority w:val="9"/>
    <w:semiHidden/>
    <w:locked/>
    <w:rsid w:val="00B46F71"/>
    <w:rPr>
      <w:rFonts w:asciiTheme="majorHAnsi" w:eastAsiaTheme="majorEastAsia" w:hAnsiTheme="majorHAnsi" w:cs="Times New Roman"/>
      <w:b/>
      <w:bCs/>
      <w:i/>
      <w:iCs/>
      <w:color w:val="4F81BD" w:themeColor="accent1"/>
      <w:sz w:val="24"/>
      <w:szCs w:val="24"/>
    </w:rPr>
  </w:style>
  <w:style w:type="paragraph" w:styleId="Pta">
    <w:name w:val="footer"/>
    <w:basedOn w:val="Normlny"/>
    <w:link w:val="PtaChar"/>
    <w:uiPriority w:val="99"/>
    <w:rsid w:val="007E2D00"/>
    <w:pPr>
      <w:tabs>
        <w:tab w:val="center" w:pos="4536"/>
        <w:tab w:val="right" w:pos="9072"/>
      </w:tabs>
    </w:pPr>
  </w:style>
  <w:style w:type="character" w:customStyle="1" w:styleId="PtaChar">
    <w:name w:val="Päta Char"/>
    <w:basedOn w:val="Predvolenpsmoodseku"/>
    <w:link w:val="Pta"/>
    <w:uiPriority w:val="99"/>
    <w:locked/>
    <w:rsid w:val="00415F46"/>
    <w:rPr>
      <w:rFonts w:cs="Times New Roman"/>
      <w:sz w:val="24"/>
      <w:szCs w:val="24"/>
    </w:rPr>
  </w:style>
  <w:style w:type="paragraph" w:styleId="Hlavika">
    <w:name w:val="header"/>
    <w:basedOn w:val="Normlny"/>
    <w:link w:val="HlavikaChar"/>
    <w:uiPriority w:val="99"/>
    <w:rsid w:val="007E2D00"/>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table" w:styleId="Mriekatabuky">
    <w:name w:val="Table Grid"/>
    <w:basedOn w:val="Normlnatabuka"/>
    <w:uiPriority w:val="59"/>
    <w:rsid w:val="007E2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uiPriority w:val="99"/>
    <w:rsid w:val="00580EB0"/>
    <w:rPr>
      <w:rFonts w:cs="Times New Roman"/>
    </w:rPr>
  </w:style>
  <w:style w:type="paragraph" w:customStyle="1" w:styleId="Odsaden1">
    <w:name w:val="Odsadené 1"/>
    <w:basedOn w:val="Normlny"/>
    <w:rsid w:val="009472A9"/>
    <w:pPr>
      <w:numPr>
        <w:numId w:val="2"/>
      </w:numPr>
      <w:tabs>
        <w:tab w:val="left" w:pos="284"/>
      </w:tabs>
      <w:spacing w:before="60"/>
    </w:pPr>
  </w:style>
  <w:style w:type="paragraph" w:styleId="Textbubliny">
    <w:name w:val="Balloon Text"/>
    <w:basedOn w:val="Normlny"/>
    <w:link w:val="TextbublinyChar"/>
    <w:uiPriority w:val="99"/>
    <w:semiHidden/>
    <w:rsid w:val="0036539C"/>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cs="Times New Roman"/>
      <w:sz w:val="2"/>
    </w:rPr>
  </w:style>
  <w:style w:type="paragraph" w:styleId="Popis">
    <w:name w:val="caption"/>
    <w:basedOn w:val="Normlny"/>
    <w:next w:val="Normlny"/>
    <w:uiPriority w:val="35"/>
    <w:qFormat/>
    <w:rsid w:val="003341B8"/>
    <w:pPr>
      <w:spacing w:after="200"/>
      <w:ind w:firstLine="0"/>
    </w:pPr>
    <w:rPr>
      <w:i/>
      <w:iCs/>
      <w:sz w:val="22"/>
      <w:szCs w:val="22"/>
    </w:rPr>
  </w:style>
  <w:style w:type="paragraph" w:customStyle="1" w:styleId="Odsekzoznamu1">
    <w:name w:val="Odsek zoznamu1"/>
    <w:basedOn w:val="Normlny"/>
    <w:rsid w:val="00435D72"/>
    <w:pPr>
      <w:ind w:left="720"/>
    </w:pPr>
  </w:style>
  <w:style w:type="paragraph" w:styleId="Nzov">
    <w:name w:val="Title"/>
    <w:basedOn w:val="Normlny"/>
    <w:next w:val="Normlny"/>
    <w:link w:val="NzovChar"/>
    <w:uiPriority w:val="10"/>
    <w:qFormat/>
    <w:rsid w:val="000B431D"/>
    <w:pPr>
      <w:spacing w:before="0" w:after="300"/>
      <w:ind w:firstLine="0"/>
      <w:jc w:val="center"/>
    </w:pPr>
    <w:rPr>
      <w:rFonts w:ascii="Cambria" w:hAnsi="Cambria" w:cs="Cambria"/>
      <w:spacing w:val="5"/>
      <w:kern w:val="28"/>
      <w:sz w:val="52"/>
      <w:szCs w:val="52"/>
    </w:rPr>
  </w:style>
  <w:style w:type="character" w:customStyle="1" w:styleId="NzovChar">
    <w:name w:val="Názov Char"/>
    <w:basedOn w:val="Predvolenpsmoodseku"/>
    <w:link w:val="Nzov"/>
    <w:uiPriority w:val="10"/>
    <w:locked/>
    <w:rsid w:val="000B431D"/>
    <w:rPr>
      <w:rFonts w:ascii="Cambria" w:hAnsi="Cambria" w:cs="Cambria"/>
      <w:spacing w:val="5"/>
      <w:kern w:val="28"/>
      <w:sz w:val="52"/>
      <w:szCs w:val="52"/>
    </w:rPr>
  </w:style>
  <w:style w:type="character" w:styleId="Odkaznakomentr">
    <w:name w:val="annotation reference"/>
    <w:basedOn w:val="Predvolenpsmoodseku"/>
    <w:uiPriority w:val="99"/>
    <w:rsid w:val="00F06017"/>
    <w:rPr>
      <w:rFonts w:cs="Times New Roman"/>
      <w:sz w:val="16"/>
      <w:szCs w:val="16"/>
    </w:rPr>
  </w:style>
  <w:style w:type="paragraph" w:styleId="Textkomentra">
    <w:name w:val="annotation text"/>
    <w:basedOn w:val="Normlny"/>
    <w:link w:val="TextkomentraChar"/>
    <w:uiPriority w:val="99"/>
    <w:rsid w:val="00F06017"/>
    <w:rPr>
      <w:sz w:val="20"/>
      <w:szCs w:val="20"/>
    </w:rPr>
  </w:style>
  <w:style w:type="character" w:customStyle="1" w:styleId="TextkomentraChar">
    <w:name w:val="Text komentára Char"/>
    <w:basedOn w:val="Predvolenpsmoodseku"/>
    <w:link w:val="Textkomentra"/>
    <w:uiPriority w:val="99"/>
    <w:locked/>
    <w:rsid w:val="00F06017"/>
    <w:rPr>
      <w:rFonts w:cs="Times New Roman"/>
    </w:rPr>
  </w:style>
  <w:style w:type="paragraph" w:styleId="Predmetkomentra">
    <w:name w:val="annotation subject"/>
    <w:basedOn w:val="Textkomentra"/>
    <w:next w:val="Textkomentra"/>
    <w:link w:val="PredmetkomentraChar"/>
    <w:uiPriority w:val="99"/>
    <w:rsid w:val="00F06017"/>
    <w:rPr>
      <w:b/>
      <w:bCs/>
    </w:rPr>
  </w:style>
  <w:style w:type="character" w:customStyle="1" w:styleId="PredmetkomentraChar">
    <w:name w:val="Predmet komentára Char"/>
    <w:basedOn w:val="TextkomentraChar"/>
    <w:link w:val="Predmetkomentra"/>
    <w:uiPriority w:val="99"/>
    <w:locked/>
    <w:rsid w:val="00F06017"/>
    <w:rPr>
      <w:rFonts w:cs="Times New Roman"/>
      <w:b/>
      <w:bCs/>
    </w:rPr>
  </w:style>
  <w:style w:type="character" w:styleId="Siln">
    <w:name w:val="Strong"/>
    <w:basedOn w:val="Predvolenpsmoodseku"/>
    <w:uiPriority w:val="22"/>
    <w:qFormat/>
    <w:locked/>
    <w:rsid w:val="00196003"/>
    <w:rPr>
      <w:rFonts w:cs="Times New Roman"/>
      <w:b/>
      <w:bCs/>
    </w:rPr>
  </w:style>
  <w:style w:type="paragraph" w:customStyle="1" w:styleId="Obyajntext5">
    <w:name w:val="Obyčajný text5"/>
    <w:basedOn w:val="Normlny"/>
    <w:rsid w:val="00E66484"/>
    <w:pPr>
      <w:spacing w:before="0"/>
      <w:ind w:firstLine="0"/>
      <w:jc w:val="left"/>
    </w:pPr>
    <w:rPr>
      <w:rFonts w:ascii="Courier New" w:hAnsi="Courier New"/>
      <w:sz w:val="20"/>
      <w:szCs w:val="20"/>
    </w:rPr>
  </w:style>
  <w:style w:type="paragraph" w:styleId="Odsekzoznamu">
    <w:name w:val="List Paragraph"/>
    <w:basedOn w:val="Normlny"/>
    <w:uiPriority w:val="34"/>
    <w:qFormat/>
    <w:rsid w:val="00B7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16213">
      <w:marLeft w:val="0"/>
      <w:marRight w:val="0"/>
      <w:marTop w:val="0"/>
      <w:marBottom w:val="0"/>
      <w:divBdr>
        <w:top w:val="none" w:sz="0" w:space="0" w:color="auto"/>
        <w:left w:val="none" w:sz="0" w:space="0" w:color="auto"/>
        <w:bottom w:val="none" w:sz="0" w:space="0" w:color="auto"/>
        <w:right w:val="none" w:sz="0" w:space="0" w:color="auto"/>
      </w:divBdr>
    </w:div>
    <w:div w:id="1852916214">
      <w:marLeft w:val="0"/>
      <w:marRight w:val="0"/>
      <w:marTop w:val="0"/>
      <w:marBottom w:val="0"/>
      <w:divBdr>
        <w:top w:val="none" w:sz="0" w:space="0" w:color="auto"/>
        <w:left w:val="none" w:sz="0" w:space="0" w:color="auto"/>
        <w:bottom w:val="none" w:sz="0" w:space="0" w:color="auto"/>
        <w:right w:val="none" w:sz="0" w:space="0" w:color="auto"/>
      </w:divBdr>
    </w:div>
    <w:div w:id="1852916215">
      <w:marLeft w:val="0"/>
      <w:marRight w:val="0"/>
      <w:marTop w:val="0"/>
      <w:marBottom w:val="0"/>
      <w:divBdr>
        <w:top w:val="none" w:sz="0" w:space="0" w:color="auto"/>
        <w:left w:val="none" w:sz="0" w:space="0" w:color="auto"/>
        <w:bottom w:val="none" w:sz="0" w:space="0" w:color="auto"/>
        <w:right w:val="none" w:sz="0" w:space="0" w:color="auto"/>
      </w:divBdr>
    </w:div>
    <w:div w:id="1852916216">
      <w:marLeft w:val="0"/>
      <w:marRight w:val="0"/>
      <w:marTop w:val="0"/>
      <w:marBottom w:val="0"/>
      <w:divBdr>
        <w:top w:val="none" w:sz="0" w:space="0" w:color="auto"/>
        <w:left w:val="none" w:sz="0" w:space="0" w:color="auto"/>
        <w:bottom w:val="none" w:sz="0" w:space="0" w:color="auto"/>
        <w:right w:val="none" w:sz="0" w:space="0" w:color="auto"/>
      </w:divBdr>
    </w:div>
    <w:div w:id="1852916217">
      <w:marLeft w:val="0"/>
      <w:marRight w:val="0"/>
      <w:marTop w:val="0"/>
      <w:marBottom w:val="0"/>
      <w:divBdr>
        <w:top w:val="none" w:sz="0" w:space="0" w:color="auto"/>
        <w:left w:val="none" w:sz="0" w:space="0" w:color="auto"/>
        <w:bottom w:val="none" w:sz="0" w:space="0" w:color="auto"/>
        <w:right w:val="none" w:sz="0" w:space="0" w:color="auto"/>
      </w:divBdr>
    </w:div>
    <w:div w:id="1852916218">
      <w:marLeft w:val="0"/>
      <w:marRight w:val="0"/>
      <w:marTop w:val="0"/>
      <w:marBottom w:val="0"/>
      <w:divBdr>
        <w:top w:val="none" w:sz="0" w:space="0" w:color="auto"/>
        <w:left w:val="none" w:sz="0" w:space="0" w:color="auto"/>
        <w:bottom w:val="none" w:sz="0" w:space="0" w:color="auto"/>
        <w:right w:val="none" w:sz="0" w:space="0" w:color="auto"/>
      </w:divBdr>
    </w:div>
    <w:div w:id="1852916219">
      <w:marLeft w:val="0"/>
      <w:marRight w:val="0"/>
      <w:marTop w:val="0"/>
      <w:marBottom w:val="0"/>
      <w:divBdr>
        <w:top w:val="none" w:sz="0" w:space="0" w:color="auto"/>
        <w:left w:val="none" w:sz="0" w:space="0" w:color="auto"/>
        <w:bottom w:val="none" w:sz="0" w:space="0" w:color="auto"/>
        <w:right w:val="none" w:sz="0" w:space="0" w:color="auto"/>
      </w:divBdr>
    </w:div>
    <w:div w:id="1852916220">
      <w:marLeft w:val="0"/>
      <w:marRight w:val="0"/>
      <w:marTop w:val="0"/>
      <w:marBottom w:val="0"/>
      <w:divBdr>
        <w:top w:val="none" w:sz="0" w:space="0" w:color="auto"/>
        <w:left w:val="none" w:sz="0" w:space="0" w:color="auto"/>
        <w:bottom w:val="none" w:sz="0" w:space="0" w:color="auto"/>
        <w:right w:val="none" w:sz="0" w:space="0" w:color="auto"/>
      </w:divBdr>
    </w:div>
    <w:div w:id="1852916221">
      <w:marLeft w:val="0"/>
      <w:marRight w:val="0"/>
      <w:marTop w:val="0"/>
      <w:marBottom w:val="0"/>
      <w:divBdr>
        <w:top w:val="none" w:sz="0" w:space="0" w:color="auto"/>
        <w:left w:val="none" w:sz="0" w:space="0" w:color="auto"/>
        <w:bottom w:val="none" w:sz="0" w:space="0" w:color="auto"/>
        <w:right w:val="none" w:sz="0" w:space="0" w:color="auto"/>
      </w:divBdr>
    </w:div>
    <w:div w:id="1852916222">
      <w:marLeft w:val="0"/>
      <w:marRight w:val="0"/>
      <w:marTop w:val="0"/>
      <w:marBottom w:val="0"/>
      <w:divBdr>
        <w:top w:val="none" w:sz="0" w:space="0" w:color="auto"/>
        <w:left w:val="none" w:sz="0" w:space="0" w:color="auto"/>
        <w:bottom w:val="none" w:sz="0" w:space="0" w:color="auto"/>
        <w:right w:val="none" w:sz="0" w:space="0" w:color="auto"/>
      </w:divBdr>
    </w:div>
    <w:div w:id="1852916223">
      <w:marLeft w:val="0"/>
      <w:marRight w:val="0"/>
      <w:marTop w:val="0"/>
      <w:marBottom w:val="0"/>
      <w:divBdr>
        <w:top w:val="none" w:sz="0" w:space="0" w:color="auto"/>
        <w:left w:val="none" w:sz="0" w:space="0" w:color="auto"/>
        <w:bottom w:val="none" w:sz="0" w:space="0" w:color="auto"/>
        <w:right w:val="none" w:sz="0" w:space="0" w:color="auto"/>
      </w:divBdr>
    </w:div>
    <w:div w:id="1852916224">
      <w:marLeft w:val="0"/>
      <w:marRight w:val="0"/>
      <w:marTop w:val="0"/>
      <w:marBottom w:val="0"/>
      <w:divBdr>
        <w:top w:val="none" w:sz="0" w:space="0" w:color="auto"/>
        <w:left w:val="none" w:sz="0" w:space="0" w:color="auto"/>
        <w:bottom w:val="none" w:sz="0" w:space="0" w:color="auto"/>
        <w:right w:val="none" w:sz="0" w:space="0" w:color="auto"/>
      </w:divBdr>
    </w:div>
    <w:div w:id="1852916225">
      <w:marLeft w:val="0"/>
      <w:marRight w:val="0"/>
      <w:marTop w:val="0"/>
      <w:marBottom w:val="0"/>
      <w:divBdr>
        <w:top w:val="none" w:sz="0" w:space="0" w:color="auto"/>
        <w:left w:val="none" w:sz="0" w:space="0" w:color="auto"/>
        <w:bottom w:val="none" w:sz="0" w:space="0" w:color="auto"/>
        <w:right w:val="none" w:sz="0" w:space="0" w:color="auto"/>
      </w:divBdr>
    </w:div>
    <w:div w:id="1852916226">
      <w:marLeft w:val="0"/>
      <w:marRight w:val="0"/>
      <w:marTop w:val="0"/>
      <w:marBottom w:val="0"/>
      <w:divBdr>
        <w:top w:val="none" w:sz="0" w:space="0" w:color="auto"/>
        <w:left w:val="none" w:sz="0" w:space="0" w:color="auto"/>
        <w:bottom w:val="none" w:sz="0" w:space="0" w:color="auto"/>
        <w:right w:val="none" w:sz="0" w:space="0" w:color="auto"/>
      </w:divBdr>
    </w:div>
    <w:div w:id="1852916227">
      <w:marLeft w:val="0"/>
      <w:marRight w:val="0"/>
      <w:marTop w:val="0"/>
      <w:marBottom w:val="0"/>
      <w:divBdr>
        <w:top w:val="none" w:sz="0" w:space="0" w:color="auto"/>
        <w:left w:val="none" w:sz="0" w:space="0" w:color="auto"/>
        <w:bottom w:val="none" w:sz="0" w:space="0" w:color="auto"/>
        <w:right w:val="none" w:sz="0" w:space="0" w:color="auto"/>
      </w:divBdr>
    </w:div>
    <w:div w:id="1852916228">
      <w:marLeft w:val="0"/>
      <w:marRight w:val="0"/>
      <w:marTop w:val="0"/>
      <w:marBottom w:val="0"/>
      <w:divBdr>
        <w:top w:val="none" w:sz="0" w:space="0" w:color="auto"/>
        <w:left w:val="none" w:sz="0" w:space="0" w:color="auto"/>
        <w:bottom w:val="none" w:sz="0" w:space="0" w:color="auto"/>
        <w:right w:val="none" w:sz="0" w:space="0" w:color="auto"/>
      </w:divBdr>
    </w:div>
    <w:div w:id="1852916229">
      <w:marLeft w:val="0"/>
      <w:marRight w:val="0"/>
      <w:marTop w:val="0"/>
      <w:marBottom w:val="0"/>
      <w:divBdr>
        <w:top w:val="none" w:sz="0" w:space="0" w:color="auto"/>
        <w:left w:val="none" w:sz="0" w:space="0" w:color="auto"/>
        <w:bottom w:val="none" w:sz="0" w:space="0" w:color="auto"/>
        <w:right w:val="none" w:sz="0" w:space="0" w:color="auto"/>
      </w:divBdr>
    </w:div>
    <w:div w:id="1852916230">
      <w:marLeft w:val="0"/>
      <w:marRight w:val="0"/>
      <w:marTop w:val="0"/>
      <w:marBottom w:val="0"/>
      <w:divBdr>
        <w:top w:val="none" w:sz="0" w:space="0" w:color="auto"/>
        <w:left w:val="none" w:sz="0" w:space="0" w:color="auto"/>
        <w:bottom w:val="none" w:sz="0" w:space="0" w:color="auto"/>
        <w:right w:val="none" w:sz="0" w:space="0" w:color="auto"/>
      </w:divBdr>
    </w:div>
    <w:div w:id="1852916231">
      <w:marLeft w:val="0"/>
      <w:marRight w:val="0"/>
      <w:marTop w:val="0"/>
      <w:marBottom w:val="0"/>
      <w:divBdr>
        <w:top w:val="none" w:sz="0" w:space="0" w:color="auto"/>
        <w:left w:val="none" w:sz="0" w:space="0" w:color="auto"/>
        <w:bottom w:val="none" w:sz="0" w:space="0" w:color="auto"/>
        <w:right w:val="none" w:sz="0" w:space="0" w:color="auto"/>
      </w:divBdr>
    </w:div>
    <w:div w:id="1852916232">
      <w:marLeft w:val="0"/>
      <w:marRight w:val="0"/>
      <w:marTop w:val="0"/>
      <w:marBottom w:val="0"/>
      <w:divBdr>
        <w:top w:val="none" w:sz="0" w:space="0" w:color="auto"/>
        <w:left w:val="none" w:sz="0" w:space="0" w:color="auto"/>
        <w:bottom w:val="none" w:sz="0" w:space="0" w:color="auto"/>
        <w:right w:val="none" w:sz="0" w:space="0" w:color="auto"/>
      </w:divBdr>
    </w:div>
    <w:div w:id="1852916233">
      <w:marLeft w:val="0"/>
      <w:marRight w:val="0"/>
      <w:marTop w:val="0"/>
      <w:marBottom w:val="0"/>
      <w:divBdr>
        <w:top w:val="none" w:sz="0" w:space="0" w:color="auto"/>
        <w:left w:val="none" w:sz="0" w:space="0" w:color="auto"/>
        <w:bottom w:val="none" w:sz="0" w:space="0" w:color="auto"/>
        <w:right w:val="none" w:sz="0" w:space="0" w:color="auto"/>
      </w:divBdr>
    </w:div>
    <w:div w:id="1852916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B62E-D4C7-415E-A438-1F5DC53B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3157</Words>
  <Characters>17999</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ÚVOD</vt:lpstr>
    </vt:vector>
  </TitlesOfParts>
  <Company>Hlavný banský úrad</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Nedeljak</dc:creator>
  <cp:lastModifiedBy>Kuntova Gabriela</cp:lastModifiedBy>
  <cp:revision>2</cp:revision>
  <cp:lastPrinted>2016-03-16T07:47:00Z</cp:lastPrinted>
  <dcterms:created xsi:type="dcterms:W3CDTF">2017-05-29T12:29:00Z</dcterms:created>
  <dcterms:modified xsi:type="dcterms:W3CDTF">2017-05-29T12:29:00Z</dcterms:modified>
</cp:coreProperties>
</file>