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E3E77" w:rsidRDefault="001E3E77">
      <w:pPr>
        <w:jc w:val="center"/>
        <w:divId w:val="38190204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ustanovujú citlivé oblasti a zraniteľné oblasti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E3E77" w:rsidP="001E3E7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3E77" w:rsidP="001E3E7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3E77" w:rsidP="001E3E7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3E77" w:rsidP="001E3E7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E3E77" w:rsidP="001E3E7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  <w:r w:rsidR="00A06A22">
              <w:rPr>
                <w:rFonts w:ascii="Times New Roman" w:hAnsi="Times New Roman" w:cs="Calibri"/>
                <w:bCs/>
                <w:sz w:val="25"/>
                <w:szCs w:val="25"/>
              </w:rPr>
              <w:t>: 2 – AZZZZ SR, Slovnaft, a.s.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  <w:r w:rsidR="00A06A22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: </w:t>
            </w:r>
            <w:r w:rsidR="00A3146C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1 </w:t>
            </w:r>
            <w:bookmarkStart w:id="0" w:name="_GoBack"/>
            <w:bookmarkEnd w:id="0"/>
            <w:r w:rsidR="00A06A22">
              <w:rPr>
                <w:rFonts w:ascii="Times New Roman" w:hAnsi="Times New Roman" w:cs="Calibri"/>
                <w:bCs/>
                <w:sz w:val="25"/>
                <w:szCs w:val="25"/>
              </w:rPr>
              <w:t>- SPPK Bratislava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1E3E77" w:rsidRDefault="001E3E7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1E3E77">
        <w:trPr>
          <w:divId w:val="83094571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SLOVNAFT, a.s.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E3E77">
        <w:trPr>
          <w:divId w:val="8309457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 (25o,3z)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E77" w:rsidRDefault="001E3E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E3E77" w:rsidRDefault="001E3E7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Podľa § 2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§ 2 ods. 1 Návrhu nariadenia vlády SR „Za zraniteľné oblasti podľa § 34 vodného zákona sa ustanovujú pozemky poľnohospodársky využívané v obciach, ktorých zoznam je uvedený v Prílohe č. 1 zásadne nesúhlasíme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novozaradením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obcí – Liptovský Hrádok, Liptovská Kokava, Jakubovany, Beňadiková, Kráľová Lehota. Dôvody : V roku 2016 pri prehodnocovaní do zraniteľných oblastí neboli vlastníci – užívatelia poľnohospodárskej pôdy (obchodné spoločnosti) pracovníkmi štátnej správy oslovení (kontaktovaní) a nemajú ani tušenia podľa akých kritérií boli do zoznamu zaradení. V obci Jakubovany bola vykonaná kontrola pracovníkmi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ÚKSUP-u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hospodárenie v PHO II. stupeň so záverom, že po ďalších následných kontrolách dostanú vyjadrenie o návrhu zaradenia – nezaradenia do zraniteľných oblastí. Do termín u začatia medzirezortného pripomienkového konania sa tak nestalo. Na pozemkoch obce Liptovská Kokava podľa vyjadrenia pracovníkov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ÚKSUP-u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nie sú žiadne problémy s dusičnanmi. Pri prehodnocovaní zraniteľných oblastí je nevyhnutne potrebná úzka spolupráca podnikateľov pôsobiacich v rezorte poľnohospodárstva a životného prostredia tak, ako sa to reprodukuje v Dôvodovej správe k návrhu „Nariadenia vlády Slovenskej republiky, ktorým sa ustanovujú citlivé oblasti a zraniteľné oblasti“.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Dňa 7.4.2017 sa uskutočnilo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konanie, na ktorom naďalej trvali na zásadnej pripomienke vypustenia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novozaradených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obcí. Dňa 23. mája sa uskutočnilo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konanie na úrovni štatutárov. Na základe vysvetlenia dôvodov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neakceptácie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zásadnej pripomienky zástupcami MŽP SR, AZZZ SR netrvá na zásadnej pripomienke.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názve prílohy č. 2 slovo „predpisu“ nahradiť slovami „nariadeniu vlády“.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nebude mať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právneho predpisu je potrebné zosúladiť s bodom 18 a označenie prílohy č. 2 s bodom 15 prílohy č. 1 Legislatívnych 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Názov je ponechaný. 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navrhované znenie ustanovenia § 1 doplniť o úpravu citlivých oblastí v súlade so splnomocňovacím ustanovením vykonávaného zákona a v nadväznosti na znenie ustanovení § 33 ods. 1 a 2 a prílohy č. 3 vykonávaného zákona. Predmetné zákonné ustanovenia obsahujú podstatne podrobnejšiu úpravu vymedzenia citlivých oblastí, ako aj kritérií na ich identifikáciu ako navrhované znenie ustanovenia § 1. V tejto súvislosti poukazujeme aj na čl. 120 ods. 1 Ústavy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§ 1 je upravené podľa pripomienky Ministerstva vnútra SR.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označeniu prílohy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"predpisu" nahradiť slovami "nariadenia vlády" v súlade s Legislatívno-technickými pravidlami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slovosled vety nasledovne: "Za zraniteľné oblasti podľa § 34 vodného zákona sa ustanovujú poľnohospodársky využívané pozemky v obciach, ktorých zoznam je uvedený v prílohe č.1.". Ide o jazykovú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§ 1 je upravené podľa pripomienky MV SR.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slovami "(vodný zákon)" vložiť slová "(ďalej len "zákon")", pretože pre daný zákon sa nepoužíva slovná citácia na rozdiel od Občianskeho zákonníka alebo Trestného zákona.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je upravené podľa pripomienky Ministerstva vnútra SR.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Odporúčame zvážiť potrebu vydávania nového nariadenia vlády Slovenskej republiky vzhľadom k tomu, že cieľom tohto nariadenia je len novo ustanoviť zraniteľné oblasti, čo sa dá dosiahnuť aj len novelizovaním Prílohy č. 1 a Prílohy č. 2 k platnému a účinnému nariadeniu vlády Slovenskej republiky č. 617/2004 Z. z., ktorým sa ustanovujú citlivé oblasti a zraniteľné oblasti.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minulosti po každej aktualizácii zraniteľných oblastí sa vydalo nové nariadenie vlády SR. 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prípade trvania na vydaní nového nariadenia vlády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republiky, ktorým sa ustanovujú citlivé oblasti a zraniteľné oblasti, navrhujeme nasledovné znenie § 1: „Citlivými oblasťami podľa § 33 vodného zákona sú vodné útvary povrchových vôd.“ Uvádzanie skutočnosti, že ide o povrchové vody, ktoré sa nachádzajú na území Slovenskej republiky alebo týmto územím pretekajú, považujeme za nadbytočné. Nariadenia vlády SR sa automaticky vzťahujú na územie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1 je upravený podľa pripomienky.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2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§ 2 odporúčame potom upraviť obdobným spôsobom ako v § 1, a to nasledovne: „Zraniteľnými oblasťami podľa § 34 vodného zákona sú poľnohospodársky využívané pozemky v obciach, ktorých zoznam je uvedený v prílohe č. 1.“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4 písm. c) doložky zlučiteľnosti odporúčame uviesť úplný názov smernice „Smernica Rady č. 91/676/EHS z 12. decembra 1991 o ochrane vôd pred znečistením dusičnanmi z poľnohospodárskych zdrojov (Ú. v. ES L 375, 31.12.1991)“ Odôvodnenie: V doložke uvedená skratka nebola skôr zavedená. V bode 5 doložky zlučiteľnosti odporúčame zvážiť ponechanie stupňa súladu ako „žiadny“. Odôvodnenie: Z predkladacej správy vyplýva, že nariadenie vlády je implementačným predpisom.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Bod 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písm.c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je upravené podľa požiadaviek OAPSVLÚVSR.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Z legislatívno-technického hľadiska však odporúčame v prílohe č. 2 slová „k predpisu“ nahradiť slovami „k nariadeniu vlády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1. Návrhom nariadenia sa do slovenského právneho poriadku transponujú niektoré ustanovenia smernice Rady 91/676/EHS z 12. decembra 1991 o ochrane vôd pred znečistením dusičnanmi z poľnohospodárskych zdrojov (Mimoriadne vydanie Ú. v. EÚ, kap. 15/zv. 02; Ú. v. ES L 375, 31.12.1991) v platnom znení (napr. čl. 3, čl. 12 smernice). V súlade s čl. 3 Legislatívnych pravidiel vlády SR, ktorý sa primerane vzťahuje aj na nariadenie, sa súlad návrhu nariadenia s právom Európskej únie preukazuje tabuľkou zhody. Žiadame preto k návrhu vypracovať tabuľku zhody so smernicou Rady 91/676/EHS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Tabuľka zhody je doplnená.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3 písm. a) doložky zlučiteľnosti žiadame publikačný zdroj smernice Rady 91/676/EHS uviesť nasledovne: „(Mimoriadne vydanie Ú. v. EÚ, kap. 15/zv. 02; Ú. v. ES L 375, 31.12.1991)“. 2. V bode 5 doložky zlučiteľnosti žiadame uviesť stupeň zlučiteľnosti návrhu právneho predpisu s právom Európskej únie ako „úplný“.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bode 3 písmeno a) je upravené. Stupeň zlučiteľnosti je uvedený ako "úplný".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2. Ďalej v súlade s čl. 4 Legislatívnych pravidiel vlády SR žiadame predkladateľa, aby do návrhu nariadenia doplnil transpozičnú prílohu, v ktorej sa uvedie presné označenie preberaného právne záväzného aktu a údaj o jeho publikácii v Úradnom vestníku Európskej únie. Zároveň je potrebné v záverečných ustanoveniach návrhu nariadenia uviesť odkaz na transpozičnú prílohu.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Odkaz na transpozičnú prílohu je uvedený v § 4 a doplnená je aj transpozičná príloha - príloha č. 3.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Slovnaft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upraviť prílohu č. 1 vypustením oblastí číselný kód 529311, 529320, 529338. Odôvodnenie: Areál spoločnosti SLOVNAFT, a.s. patrí podľa navrhovanej prílohy č.1 do citlivých a zraniteľné oblasti , číselný kód 529311, 529320, 529338. Podľa doterajšieho nariadenia 617/2004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tam oblasti pod našou rafinériou nepatrili. Uvedená zmena Nariadenia, ktorým sa ustanovujú citlivé oblasti a zraniteľné oblasti rieši len ochranu vôd pred dusičnanovým znečistením z poľnohospodárskych zdrojov. Slovenská republika v rámci implementácie dusičnanovej smernice pristúpila k vymedzeniu zraniteľných oblastí. Naša rafinéria nenakladá s dusičnanovou chémiou. Nenastala u nás teda taká zmena, ktorá by odôvodňovala navrhovanú zmenu, preto navrhujeme neuvádzať uvedené oblasti a vrátiť sa k zneniu ako je tomu v súčasne platnom Nariadení 617/2004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Dňa 7.4.2017 sa uskutočnilo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konanie, na ktorom po vysvetlení dôvodov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neakceptácie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zásadnej pripomienky, Slovnaft, a.s. odstúpil od zásadnej pripomienky.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SPPK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 k predpisu č. .2017 Z. z.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Vznášame výhrady voči zaradeniu pozemkov poľnohospodársky využívaných v obci Bystričany v okrese Prievidza a obciach Beňadiková, Jakubovany, Hybe, Liptovská Kokava, Králová Lehota, Liptovský Hrádok, Liptovský Mikuláš v okrese Liptovský Mikuláš v obciach Istebné, Párnica, Veličná v okrese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Doplný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Kubín a obciach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Klín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Rabča, Rabčice, Sihelné, Zubrohlava v okrese Námestovo do zraniteľných oblastí. Odôvodnenie Podľa vyjadrenia členov komory dotknuté podniky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neboli informované o zaradení nimi užívaných poľnohospodárskych pozemkov do zraniteľných oblastí, v dôsledku čoho neprispôsobili svoj osevný postup a hospodárenie podmienkam zraniteľných oblastí v predmetných lokalitách. Prijatím návrhu nariadenia dôjde k zhoršeniu podnikateľského prostredia a poklesu poľnohospodárskej produkcie v týchto oblastiach. V prípade obce Bystričany ide o katastrálne územie dlhodobo nosné z pohľadu produkcie obilnín, cukrovej repy a kukurice. Je to územie, ktoré sa nachádza v blízkosti Chemických závodoch, Elektrárni Nováky ako aj betonárskych podnikov. Dotknutí členovia sú názoru, že poľnohospodári v tejto lokalite majú minimálny podiel na znečisťovaní podzemných vôd a nitrátová direktíva sa ekonomicky prejaví na poklese poľnohospodárskej produkcie. Z ich pohľadu je potrebné sprísniť kontrolný režim dotknutých firiem vo vzťahu k ochrane podzemných vôd, nie však vyhlásiť zraniteľnú oblasť Bystričany, nakoľko majú za to, že ide o deštrukčné opatrenie pre miestnych poľnohospodárov, ktorí veľmi citlivo pristupujú pri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nitratácií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porastov či už anorganickými alebo organickými hnojivami.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Dňa 7.4.2017 sa uskutočnilo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konanie, na ktorom sa nepodarilo odstrániť rozpor. Dňa 23.mája 2017 sa uskutočnilo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konanie na úrovni štatutárov, na ktorom sa nepodarilo odstrániť rozpor.</w:t>
            </w: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E3E77">
        <w:trPr>
          <w:divId w:val="32350874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E77" w:rsidRDefault="001E3E7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9" w:rsidRDefault="00E341E9" w:rsidP="000A67D5">
      <w:pPr>
        <w:spacing w:after="0" w:line="240" w:lineRule="auto"/>
      </w:pPr>
      <w:r>
        <w:separator/>
      </w:r>
    </w:p>
  </w:endnote>
  <w:endnote w:type="continuationSeparator" w:id="0">
    <w:p w:rsidR="00E341E9" w:rsidRDefault="00E341E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53025"/>
      <w:docPartObj>
        <w:docPartGallery w:val="Page Numbers (Bottom of Page)"/>
        <w:docPartUnique/>
      </w:docPartObj>
    </w:sdtPr>
    <w:sdtEndPr/>
    <w:sdtContent>
      <w:p w:rsidR="00037A91" w:rsidRDefault="00037A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6C">
          <w:rPr>
            <w:noProof/>
          </w:rPr>
          <w:t>1</w:t>
        </w:r>
        <w:r>
          <w:fldChar w:fldCharType="end"/>
        </w:r>
      </w:p>
    </w:sdtContent>
  </w:sdt>
  <w:p w:rsidR="00037A91" w:rsidRDefault="00037A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9" w:rsidRDefault="00E341E9" w:rsidP="000A67D5">
      <w:pPr>
        <w:spacing w:after="0" w:line="240" w:lineRule="auto"/>
      </w:pPr>
      <w:r>
        <w:separator/>
      </w:r>
    </w:p>
  </w:footnote>
  <w:footnote w:type="continuationSeparator" w:id="0">
    <w:p w:rsidR="00E341E9" w:rsidRDefault="00E341E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37A91"/>
    <w:rsid w:val="0006543E"/>
    <w:rsid w:val="000A67D5"/>
    <w:rsid w:val="000E25CA"/>
    <w:rsid w:val="000F7A42"/>
    <w:rsid w:val="00146547"/>
    <w:rsid w:val="00146B48"/>
    <w:rsid w:val="00150388"/>
    <w:rsid w:val="00154A91"/>
    <w:rsid w:val="001E3E77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06A22"/>
    <w:rsid w:val="00A251BF"/>
    <w:rsid w:val="00A3146C"/>
    <w:rsid w:val="00A54A16"/>
    <w:rsid w:val="00AE3A36"/>
    <w:rsid w:val="00B721A5"/>
    <w:rsid w:val="00B75F06"/>
    <w:rsid w:val="00B76589"/>
    <w:rsid w:val="00B8767E"/>
    <w:rsid w:val="00BD1FAB"/>
    <w:rsid w:val="00BE7302"/>
    <w:rsid w:val="00BF7CE0"/>
    <w:rsid w:val="00CA44D2"/>
    <w:rsid w:val="00CE47A6"/>
    <w:rsid w:val="00CF3D59"/>
    <w:rsid w:val="00D210ED"/>
    <w:rsid w:val="00D261C9"/>
    <w:rsid w:val="00D85172"/>
    <w:rsid w:val="00D969AC"/>
    <w:rsid w:val="00DF7085"/>
    <w:rsid w:val="00E341E9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4.5.2017 10:21:53"/>
    <f:field ref="objchangedby" par="" text="Administrator, System"/>
    <f:field ref="objmodifiedat" par="" text="24.5.2017 10:21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2017-05-24T08:55:00Z</dcterms:created>
  <dcterms:modified xsi:type="dcterms:W3CDTF">2017-05-24T10:45:00Z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informovaná o&amp;nbsp;príprave &amp;nbsp;návrhu nariadenia vlády Slovenskej republiky,&amp;nbsp; ktorým sa&amp;nbsp;ustanovujú citlivé oblasti a&amp;nbsp;zraniteľné oblasti a to prostredníctvom portálu Slov-Lex formou Predbežnej informácie (&amp;nbsp;PI/201612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ustanovujú citlivé oblasti a zraniteľné oblasti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ustanovujú citlivé oblasti a zraniteľné oblasti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3776/2017-9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LP/2017/130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Hlava XX Životné prostredie čl. 191 až 193 Zmluvy o fungovaní Európskej únie.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č. 91/676/EHS z 12. decembra 1991 o ochrane vôd pred znečistením dusičnanmi z poľnohospodárskych zdrojov (Mimoriadne vydanie Ú. v. EÚ, kap. 15/zv. 02; Ú. v. ES L 375,31.12.1991)  v platnom znení.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-</vt:lpwstr>
  </property>
  <property fmtid="{D5CDD505-2E9C-101B-9397-08002B2CF9AE}" pid="52" name="FSC#SKEDITIONSLOVLEX@103.510:AttrStrListDocPropLehotaNaPredlozenie">
    <vt:lpwstr>-</vt:lpwstr>
  </property>
  <property fmtid="{D5CDD505-2E9C-101B-9397-08002B2CF9AE}" pid="53" name="FSC#SKEDITIONSLOVLEX@103.510:AttrStrListDocPropInfoZaciatokKonania">
    <vt:lpwstr>V upravovanej oblasti bolo začaté proti Slovenskej republike konanie Európskej komisie v rámci porušenia podmienok implementácie dusičnanovej smernice (porušenie  č. 2012/2097).</vt:lpwstr>
  </property>
  <property fmtid="{D5CDD505-2E9C-101B-9397-08002B2CF9AE}" pid="54" name="FSC#SKEDITIONSLOVLEX@103.510:AttrStrListDocPropInfoUzPreberanePP">
    <vt:lpwstr>- zákon č. 136/2000 Z. z. o hnojivách v znení neskorších predpisov, _x000d_
- zákon č. 364/2004  Z. z.   o  vodách   a  o   zmene   zákona   Slovenskej   národnej   rady č. 372/1990  _x000d_
  Zb. o priestupkoch v znení neskorších predpisov (vodný zákon) v znení nesk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3. 2. 2017</vt:lpwstr>
  </property>
  <property fmtid="{D5CDD505-2E9C-101B-9397-08002B2CF9AE}" pid="58" name="FSC#SKEDITIONSLOVLEX@103.510:AttrDateDocPropUkonceniePKK">
    <vt:lpwstr>17. 2. 2017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-</vt:lpwstr>
  </property>
  <property fmtid="{D5CDD505-2E9C-101B-9397-08002B2CF9AE}" pid="65" name="FSC#SKEDITIONSLOVLEX@103.510:AttrStrListDocPropAltRiesenia">
    <vt:lpwstr>-</vt:lpwstr>
  </property>
  <property fmtid="{D5CDD505-2E9C-101B-9397-08002B2CF9AE}" pid="66" name="FSC#SKEDITIONSLOVLEX@103.510:AttrStrListDocPropStanoviskoGest">
    <vt:lpwstr>Komisia pre posudzovanie vybraných vplyvov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ustanovujú citlivé oblasti a zraniteľné oblasti.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ministerovi životného prostredia Slovenskej republiky</vt:lpwstr>
  </property>
  <property fmtid="{D5CDD505-2E9C-101B-9397-08002B2CF9AE}" pid="142" name="FSC#SKEDITIONSLOVLEX@103.510:funkciaZodpPredDativ">
    <vt:lpwstr>ministera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životného prostredia Slovenskej republiky predkladá návrh nariadenia vlády Slovenskej republiky, ktorým sa ustanovujú citlivé oblasti a&amp;nbsp;zraniteľné oblasti (ďalej len „návrh nariadenia vlády“) podľa splnomocňovacieho ustanovenia § 81 o</vt:lpwstr>
  </property>
  <property fmtid="{D5CDD505-2E9C-101B-9397-08002B2CF9AE}" pid="149" name="FSC#COOSYSTEM@1.1:Container">
    <vt:lpwstr>COO.2145.1000.3.1980707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