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A2078" w14:textId="77777777" w:rsidR="002E09E2" w:rsidRPr="00F77093" w:rsidRDefault="002E09E2" w:rsidP="002E09E2">
      <w:pPr>
        <w:jc w:val="center"/>
        <w:rPr>
          <w:rFonts w:ascii="Times New Roman" w:hAnsi="Times New Roman" w:cs="Times New Roman"/>
          <w:sz w:val="32"/>
          <w:szCs w:val="40"/>
        </w:rPr>
      </w:pPr>
      <w:r w:rsidRPr="00F77093">
        <w:rPr>
          <w:rFonts w:ascii="Times New Roman" w:hAnsi="Times New Roman" w:cs="Times New Roman"/>
          <w:sz w:val="32"/>
          <w:szCs w:val="40"/>
        </w:rPr>
        <w:t>Ministerstvo hospodárstva Slovenskej republiky</w:t>
      </w:r>
    </w:p>
    <w:p w14:paraId="6FF75350" w14:textId="77777777" w:rsidR="002E09E2" w:rsidRPr="002E09E2" w:rsidRDefault="002E09E2" w:rsidP="002E09E2">
      <w:pPr>
        <w:jc w:val="center"/>
        <w:rPr>
          <w:rFonts w:ascii="Times New Roman" w:hAnsi="Times New Roman" w:cs="Times New Roman"/>
          <w:sz w:val="40"/>
          <w:szCs w:val="40"/>
        </w:rPr>
      </w:pPr>
    </w:p>
    <w:p w14:paraId="7E44149A" w14:textId="77777777" w:rsidR="002E09E2" w:rsidRPr="002E09E2" w:rsidRDefault="002E09E2" w:rsidP="002E09E2">
      <w:pPr>
        <w:jc w:val="center"/>
        <w:rPr>
          <w:rFonts w:ascii="Times New Roman" w:hAnsi="Times New Roman" w:cs="Times New Roman"/>
          <w:sz w:val="40"/>
          <w:szCs w:val="40"/>
        </w:rPr>
      </w:pPr>
    </w:p>
    <w:p w14:paraId="369C7C64" w14:textId="77777777" w:rsidR="002E09E2" w:rsidRPr="002E09E2" w:rsidRDefault="002E09E2" w:rsidP="002E09E2">
      <w:pPr>
        <w:jc w:val="center"/>
        <w:rPr>
          <w:rFonts w:ascii="Times New Roman" w:hAnsi="Times New Roman" w:cs="Times New Roman"/>
          <w:sz w:val="40"/>
          <w:szCs w:val="40"/>
        </w:rPr>
      </w:pPr>
    </w:p>
    <w:p w14:paraId="2C5CD774" w14:textId="77777777" w:rsidR="002E09E2" w:rsidRPr="002E09E2" w:rsidRDefault="002E09E2" w:rsidP="002E09E2">
      <w:pPr>
        <w:jc w:val="center"/>
        <w:rPr>
          <w:rFonts w:ascii="Times New Roman" w:hAnsi="Times New Roman" w:cs="Times New Roman"/>
          <w:sz w:val="40"/>
          <w:szCs w:val="40"/>
        </w:rPr>
      </w:pPr>
    </w:p>
    <w:p w14:paraId="00C24FCA" w14:textId="77777777" w:rsidR="002E09E2" w:rsidRPr="002E09E2" w:rsidRDefault="002E09E2" w:rsidP="002E09E2">
      <w:pPr>
        <w:jc w:val="center"/>
        <w:rPr>
          <w:rFonts w:ascii="Times New Roman" w:hAnsi="Times New Roman" w:cs="Times New Roman"/>
          <w:sz w:val="40"/>
          <w:szCs w:val="40"/>
        </w:rPr>
      </w:pPr>
    </w:p>
    <w:p w14:paraId="397BB945" w14:textId="0D742353" w:rsidR="002E09E2" w:rsidRDefault="002E09E2" w:rsidP="002E09E2">
      <w:pPr>
        <w:jc w:val="center"/>
        <w:rPr>
          <w:rFonts w:ascii="Times New Roman" w:hAnsi="Times New Roman" w:cs="Times New Roman"/>
          <w:sz w:val="40"/>
          <w:szCs w:val="40"/>
        </w:rPr>
      </w:pPr>
    </w:p>
    <w:p w14:paraId="3B7BD96E" w14:textId="053A7718" w:rsidR="00B40851" w:rsidRPr="002E09E2" w:rsidRDefault="00B40851" w:rsidP="002E09E2">
      <w:pPr>
        <w:jc w:val="center"/>
        <w:rPr>
          <w:rFonts w:ascii="Times New Roman" w:hAnsi="Times New Roman" w:cs="Times New Roman"/>
          <w:sz w:val="40"/>
          <w:szCs w:val="40"/>
        </w:rPr>
      </w:pPr>
      <w:r>
        <w:rPr>
          <w:rFonts w:ascii="Times New Roman" w:hAnsi="Times New Roman" w:cs="Times New Roman"/>
          <w:sz w:val="40"/>
          <w:szCs w:val="40"/>
        </w:rPr>
        <w:t>Návrh</w:t>
      </w:r>
    </w:p>
    <w:p w14:paraId="5A7F7172" w14:textId="77777777" w:rsidR="002E09E2" w:rsidRPr="002E09E2" w:rsidRDefault="002E09E2" w:rsidP="002E09E2">
      <w:pPr>
        <w:jc w:val="center"/>
        <w:rPr>
          <w:rFonts w:ascii="Times New Roman" w:hAnsi="Times New Roman" w:cs="Times New Roman"/>
          <w:sz w:val="40"/>
          <w:szCs w:val="40"/>
        </w:rPr>
      </w:pPr>
    </w:p>
    <w:p w14:paraId="662FFE80" w14:textId="77777777" w:rsidR="002E09E2" w:rsidRPr="002E09E2" w:rsidRDefault="002E09E2" w:rsidP="002E09E2">
      <w:pPr>
        <w:jc w:val="center"/>
        <w:rPr>
          <w:rFonts w:ascii="Times New Roman" w:hAnsi="Times New Roman" w:cs="Times New Roman"/>
          <w:sz w:val="40"/>
          <w:szCs w:val="40"/>
        </w:rPr>
      </w:pPr>
    </w:p>
    <w:p w14:paraId="4EEFCA26" w14:textId="77777777" w:rsidR="002E09E2" w:rsidRDefault="002E09E2" w:rsidP="002E09E2">
      <w:pPr>
        <w:jc w:val="center"/>
        <w:rPr>
          <w:rFonts w:ascii="Times New Roman" w:hAnsi="Times New Roman" w:cs="Times New Roman"/>
          <w:b/>
          <w:sz w:val="40"/>
          <w:szCs w:val="40"/>
        </w:rPr>
      </w:pPr>
      <w:r w:rsidRPr="007577DE">
        <w:rPr>
          <w:rFonts w:ascii="Times New Roman" w:hAnsi="Times New Roman" w:cs="Times New Roman"/>
          <w:b/>
          <w:sz w:val="40"/>
          <w:szCs w:val="40"/>
        </w:rPr>
        <w:t xml:space="preserve">Akčný plán energetickej efektívnosti </w:t>
      </w:r>
    </w:p>
    <w:p w14:paraId="647D01A1" w14:textId="24D09553" w:rsidR="002E09E2" w:rsidRPr="007577DE" w:rsidRDefault="002E09E2" w:rsidP="002E09E2">
      <w:pPr>
        <w:jc w:val="center"/>
        <w:rPr>
          <w:rFonts w:ascii="Times New Roman" w:hAnsi="Times New Roman" w:cs="Times New Roman"/>
          <w:b/>
          <w:sz w:val="40"/>
          <w:szCs w:val="40"/>
        </w:rPr>
      </w:pPr>
      <w:r w:rsidRPr="007577DE">
        <w:rPr>
          <w:rFonts w:ascii="Times New Roman" w:hAnsi="Times New Roman" w:cs="Times New Roman"/>
          <w:b/>
          <w:sz w:val="40"/>
          <w:szCs w:val="40"/>
        </w:rPr>
        <w:t>na roky 2017-2019 s výhľadom do roku 2020</w:t>
      </w:r>
    </w:p>
    <w:p w14:paraId="2AB456F4" w14:textId="77777777" w:rsidR="002E09E2" w:rsidRPr="002E09E2" w:rsidRDefault="002E09E2" w:rsidP="002E09E2">
      <w:pPr>
        <w:jc w:val="center"/>
        <w:rPr>
          <w:rFonts w:ascii="Times New Roman" w:hAnsi="Times New Roman" w:cs="Times New Roman"/>
          <w:sz w:val="40"/>
          <w:szCs w:val="40"/>
        </w:rPr>
      </w:pPr>
    </w:p>
    <w:p w14:paraId="6378A3D5" w14:textId="77777777" w:rsidR="002E09E2" w:rsidRPr="002E09E2" w:rsidRDefault="002E09E2" w:rsidP="002E09E2">
      <w:pPr>
        <w:jc w:val="center"/>
        <w:rPr>
          <w:rFonts w:ascii="Times New Roman" w:hAnsi="Times New Roman" w:cs="Times New Roman"/>
          <w:sz w:val="40"/>
          <w:szCs w:val="40"/>
        </w:rPr>
      </w:pPr>
    </w:p>
    <w:p w14:paraId="45A00EAD" w14:textId="77777777" w:rsidR="002E09E2" w:rsidRPr="002E09E2" w:rsidRDefault="002E09E2" w:rsidP="002E09E2">
      <w:pPr>
        <w:jc w:val="center"/>
        <w:rPr>
          <w:rFonts w:ascii="Times New Roman" w:hAnsi="Times New Roman" w:cs="Times New Roman"/>
          <w:sz w:val="40"/>
          <w:szCs w:val="40"/>
        </w:rPr>
      </w:pPr>
    </w:p>
    <w:p w14:paraId="285FE2AF" w14:textId="77777777" w:rsidR="002E09E2" w:rsidRPr="002E09E2" w:rsidRDefault="002E09E2" w:rsidP="002E09E2">
      <w:pPr>
        <w:jc w:val="center"/>
        <w:rPr>
          <w:rFonts w:ascii="Times New Roman" w:hAnsi="Times New Roman" w:cs="Times New Roman"/>
          <w:sz w:val="40"/>
          <w:szCs w:val="40"/>
        </w:rPr>
      </w:pPr>
    </w:p>
    <w:p w14:paraId="01881344" w14:textId="77777777" w:rsidR="002E09E2" w:rsidRPr="002E09E2" w:rsidRDefault="002E09E2" w:rsidP="002E09E2">
      <w:pPr>
        <w:jc w:val="center"/>
        <w:rPr>
          <w:rFonts w:ascii="Times New Roman" w:hAnsi="Times New Roman" w:cs="Times New Roman"/>
          <w:sz w:val="40"/>
          <w:szCs w:val="40"/>
        </w:rPr>
      </w:pPr>
    </w:p>
    <w:p w14:paraId="5C57DA50" w14:textId="77777777" w:rsidR="002E09E2" w:rsidRPr="002E09E2" w:rsidRDefault="002E09E2" w:rsidP="002E09E2">
      <w:pPr>
        <w:jc w:val="center"/>
        <w:rPr>
          <w:rFonts w:ascii="Times New Roman" w:hAnsi="Times New Roman" w:cs="Times New Roman"/>
          <w:sz w:val="40"/>
          <w:szCs w:val="40"/>
        </w:rPr>
      </w:pPr>
    </w:p>
    <w:p w14:paraId="315F1B43" w14:textId="77777777" w:rsidR="002E09E2" w:rsidRPr="002E09E2" w:rsidRDefault="002E09E2" w:rsidP="002E09E2">
      <w:pPr>
        <w:jc w:val="center"/>
        <w:rPr>
          <w:rFonts w:ascii="Times New Roman" w:hAnsi="Times New Roman" w:cs="Times New Roman"/>
          <w:sz w:val="40"/>
          <w:szCs w:val="40"/>
        </w:rPr>
      </w:pPr>
    </w:p>
    <w:p w14:paraId="28A5A35F" w14:textId="77777777" w:rsidR="002E09E2" w:rsidRPr="002E09E2" w:rsidRDefault="002E09E2" w:rsidP="002E09E2">
      <w:pPr>
        <w:jc w:val="center"/>
        <w:rPr>
          <w:rFonts w:ascii="Times New Roman" w:hAnsi="Times New Roman" w:cs="Times New Roman"/>
          <w:sz w:val="40"/>
          <w:szCs w:val="40"/>
        </w:rPr>
      </w:pPr>
    </w:p>
    <w:p w14:paraId="757938AB" w14:textId="77777777" w:rsidR="002E09E2" w:rsidRPr="007577DE" w:rsidRDefault="002E09E2" w:rsidP="002E09E2">
      <w:pPr>
        <w:jc w:val="center"/>
        <w:rPr>
          <w:rFonts w:ascii="Times New Roman" w:hAnsi="Times New Roman" w:cs="Times New Roman"/>
          <w:sz w:val="24"/>
          <w:szCs w:val="24"/>
        </w:rPr>
      </w:pPr>
      <w:r w:rsidRPr="007577DE">
        <w:rPr>
          <w:rFonts w:ascii="Times New Roman" w:hAnsi="Times New Roman" w:cs="Times New Roman"/>
          <w:sz w:val="24"/>
          <w:szCs w:val="24"/>
        </w:rPr>
        <w:t>Bratislava 2017</w:t>
      </w:r>
    </w:p>
    <w:p w14:paraId="467FEB10" w14:textId="77777777" w:rsidR="002E09E2" w:rsidRPr="002E09E2" w:rsidRDefault="002E09E2" w:rsidP="002E09E2">
      <w:pPr>
        <w:jc w:val="center"/>
        <w:rPr>
          <w:rFonts w:ascii="Times New Roman" w:hAnsi="Times New Roman" w:cs="Times New Roman"/>
          <w:sz w:val="40"/>
          <w:szCs w:val="40"/>
        </w:rPr>
      </w:pPr>
    </w:p>
    <w:p w14:paraId="4BD38011" w14:textId="77777777" w:rsidR="009E267F" w:rsidRPr="009F2998" w:rsidRDefault="009E267F" w:rsidP="007577DE">
      <w:pPr>
        <w:pStyle w:val="Nadpis1"/>
        <w:keepNext w:val="0"/>
        <w:keepLines w:val="0"/>
        <w:numPr>
          <w:ilvl w:val="0"/>
          <w:numId w:val="0"/>
        </w:numPr>
        <w:rPr>
          <w:rFonts w:ascii="Times New Roman" w:hAnsi="Times New Roman" w:cs="Times New Roman"/>
        </w:rPr>
      </w:pPr>
    </w:p>
    <w:p w14:paraId="5E10CAE5" w14:textId="23C9E31B" w:rsidR="0067687B" w:rsidRPr="009F2998" w:rsidRDefault="00B639A9" w:rsidP="0067687B">
      <w:pPr>
        <w:rPr>
          <w:rFonts w:ascii="Times New Roman" w:hAnsi="Times New Roman" w:cs="Times New Roman"/>
          <w:sz w:val="28"/>
          <w:szCs w:val="24"/>
        </w:rPr>
      </w:pPr>
      <w:r w:rsidRPr="009F2998">
        <w:rPr>
          <w:rFonts w:ascii="Times New Roman" w:hAnsi="Times New Roman" w:cs="Times New Roman"/>
          <w:sz w:val="28"/>
          <w:szCs w:val="24"/>
        </w:rPr>
        <w:t>O</w:t>
      </w:r>
      <w:r w:rsidR="00AD7E8F" w:rsidRPr="009F2998">
        <w:rPr>
          <w:rFonts w:ascii="Times New Roman" w:hAnsi="Times New Roman" w:cs="Times New Roman"/>
          <w:sz w:val="28"/>
          <w:szCs w:val="24"/>
        </w:rPr>
        <w:t>bsah</w:t>
      </w:r>
    </w:p>
    <w:p w14:paraId="46C9FCD8" w14:textId="062BBDEF" w:rsidR="00783505" w:rsidRDefault="00B639A9">
      <w:pPr>
        <w:pStyle w:val="Obsah2"/>
        <w:rPr>
          <w:rFonts w:eastAsiaTheme="minorEastAsia"/>
          <w:noProof/>
          <w:lang w:eastAsia="sk-SK"/>
        </w:rPr>
      </w:pPr>
      <w:r w:rsidRPr="000578FE">
        <w:rPr>
          <w:rFonts w:ascii="Times New Roman" w:hAnsi="Times New Roman" w:cs="Times New Roman"/>
        </w:rPr>
        <w:fldChar w:fldCharType="begin"/>
      </w:r>
      <w:r w:rsidRPr="000578FE">
        <w:rPr>
          <w:rFonts w:ascii="Times New Roman" w:hAnsi="Times New Roman" w:cs="Times New Roman"/>
        </w:rPr>
        <w:instrText xml:space="preserve"> TOC \o "1-4" \h \z \u </w:instrText>
      </w:r>
      <w:r w:rsidRPr="000578FE">
        <w:rPr>
          <w:rFonts w:ascii="Times New Roman" w:hAnsi="Times New Roman" w:cs="Times New Roman"/>
        </w:rPr>
        <w:fldChar w:fldCharType="separate"/>
      </w:r>
      <w:hyperlink w:anchor="_Toc477345333" w:history="1">
        <w:r w:rsidR="00783505" w:rsidRPr="00184604">
          <w:rPr>
            <w:rStyle w:val="Hypertextovprepojenie"/>
            <w:rFonts w:ascii="Times New Roman" w:hAnsi="Times New Roman" w:cs="Times New Roman"/>
            <w:noProof/>
          </w:rPr>
          <w:t>Použité skratky</w:t>
        </w:r>
        <w:r w:rsidR="00783505">
          <w:rPr>
            <w:noProof/>
            <w:webHidden/>
          </w:rPr>
          <w:tab/>
        </w:r>
        <w:r w:rsidR="00783505">
          <w:rPr>
            <w:noProof/>
            <w:webHidden/>
          </w:rPr>
          <w:fldChar w:fldCharType="begin"/>
        </w:r>
        <w:r w:rsidR="00783505">
          <w:rPr>
            <w:noProof/>
            <w:webHidden/>
          </w:rPr>
          <w:instrText xml:space="preserve"> PAGEREF _Toc477345333 \h </w:instrText>
        </w:r>
        <w:r w:rsidR="00783505">
          <w:rPr>
            <w:noProof/>
            <w:webHidden/>
          </w:rPr>
        </w:r>
        <w:r w:rsidR="00783505">
          <w:rPr>
            <w:noProof/>
            <w:webHidden/>
          </w:rPr>
          <w:fldChar w:fldCharType="separate"/>
        </w:r>
        <w:r w:rsidR="00A267BF">
          <w:rPr>
            <w:noProof/>
            <w:webHidden/>
          </w:rPr>
          <w:t>6</w:t>
        </w:r>
        <w:r w:rsidR="00783505">
          <w:rPr>
            <w:noProof/>
            <w:webHidden/>
          </w:rPr>
          <w:fldChar w:fldCharType="end"/>
        </w:r>
      </w:hyperlink>
    </w:p>
    <w:p w14:paraId="4DF5D4F1" w14:textId="07D9BF84" w:rsidR="00783505" w:rsidRDefault="00560387">
      <w:pPr>
        <w:pStyle w:val="Obsah1"/>
        <w:tabs>
          <w:tab w:val="right" w:leader="dot" w:pos="9062"/>
        </w:tabs>
        <w:rPr>
          <w:rFonts w:eastAsiaTheme="minorEastAsia"/>
          <w:noProof/>
          <w:lang w:eastAsia="sk-SK"/>
        </w:rPr>
      </w:pPr>
      <w:hyperlink w:anchor="_Toc477345334" w:history="1">
        <w:r w:rsidR="00783505" w:rsidRPr="00184604">
          <w:rPr>
            <w:rStyle w:val="Hypertextovprepojenie"/>
            <w:rFonts w:ascii="Times New Roman" w:hAnsi="Times New Roman" w:cs="Times New Roman"/>
            <w:noProof/>
          </w:rPr>
          <w:t>Úvod</w:t>
        </w:r>
        <w:r w:rsidR="00783505">
          <w:rPr>
            <w:noProof/>
            <w:webHidden/>
          </w:rPr>
          <w:tab/>
        </w:r>
        <w:r w:rsidR="00783505">
          <w:rPr>
            <w:noProof/>
            <w:webHidden/>
          </w:rPr>
          <w:fldChar w:fldCharType="begin"/>
        </w:r>
        <w:r w:rsidR="00783505">
          <w:rPr>
            <w:noProof/>
            <w:webHidden/>
          </w:rPr>
          <w:instrText xml:space="preserve"> PAGEREF _Toc477345334 \h </w:instrText>
        </w:r>
        <w:r w:rsidR="00783505">
          <w:rPr>
            <w:noProof/>
            <w:webHidden/>
          </w:rPr>
        </w:r>
        <w:r w:rsidR="00783505">
          <w:rPr>
            <w:noProof/>
            <w:webHidden/>
          </w:rPr>
          <w:fldChar w:fldCharType="separate"/>
        </w:r>
        <w:r w:rsidR="00A267BF">
          <w:rPr>
            <w:noProof/>
            <w:webHidden/>
          </w:rPr>
          <w:t>7</w:t>
        </w:r>
        <w:r w:rsidR="00783505">
          <w:rPr>
            <w:noProof/>
            <w:webHidden/>
          </w:rPr>
          <w:fldChar w:fldCharType="end"/>
        </w:r>
      </w:hyperlink>
    </w:p>
    <w:p w14:paraId="6AF6FFA9" w14:textId="1D7BC324" w:rsidR="00783505" w:rsidRDefault="00560387">
      <w:pPr>
        <w:pStyle w:val="Obsah1"/>
        <w:tabs>
          <w:tab w:val="left" w:pos="440"/>
          <w:tab w:val="right" w:leader="dot" w:pos="9062"/>
        </w:tabs>
        <w:rPr>
          <w:rFonts w:eastAsiaTheme="minorEastAsia"/>
          <w:noProof/>
          <w:lang w:eastAsia="sk-SK"/>
        </w:rPr>
      </w:pPr>
      <w:hyperlink w:anchor="_Toc477345335" w:history="1">
        <w:r w:rsidR="00783505" w:rsidRPr="00184604">
          <w:rPr>
            <w:rStyle w:val="Hypertextovprepojenie"/>
            <w:rFonts w:ascii="Times New Roman" w:hAnsi="Times New Roman" w:cs="Times New Roman"/>
            <w:b/>
            <w:noProof/>
          </w:rPr>
          <w:t>1.</w:t>
        </w:r>
        <w:r w:rsidR="00783505">
          <w:rPr>
            <w:rFonts w:eastAsiaTheme="minorEastAsia"/>
            <w:noProof/>
            <w:lang w:eastAsia="sk-SK"/>
          </w:rPr>
          <w:tab/>
        </w:r>
        <w:r w:rsidR="00783505" w:rsidRPr="00184604">
          <w:rPr>
            <w:rStyle w:val="Hypertextovprepojenie"/>
            <w:rFonts w:ascii="Times New Roman" w:hAnsi="Times New Roman" w:cs="Times New Roman"/>
            <w:b/>
            <w:noProof/>
          </w:rPr>
          <w:t>Prehľad národných cieľov energetickej efektívnosti a úspor energie</w:t>
        </w:r>
        <w:r w:rsidR="00783505">
          <w:rPr>
            <w:noProof/>
            <w:webHidden/>
          </w:rPr>
          <w:tab/>
        </w:r>
        <w:r w:rsidR="00783505">
          <w:rPr>
            <w:noProof/>
            <w:webHidden/>
          </w:rPr>
          <w:fldChar w:fldCharType="begin"/>
        </w:r>
        <w:r w:rsidR="00783505">
          <w:rPr>
            <w:noProof/>
            <w:webHidden/>
          </w:rPr>
          <w:instrText xml:space="preserve"> PAGEREF _Toc477345335 \h </w:instrText>
        </w:r>
        <w:r w:rsidR="00783505">
          <w:rPr>
            <w:noProof/>
            <w:webHidden/>
          </w:rPr>
        </w:r>
        <w:r w:rsidR="00783505">
          <w:rPr>
            <w:noProof/>
            <w:webHidden/>
          </w:rPr>
          <w:fldChar w:fldCharType="separate"/>
        </w:r>
        <w:r w:rsidR="00A267BF">
          <w:rPr>
            <w:noProof/>
            <w:webHidden/>
          </w:rPr>
          <w:t>8</w:t>
        </w:r>
        <w:r w:rsidR="00783505">
          <w:rPr>
            <w:noProof/>
            <w:webHidden/>
          </w:rPr>
          <w:fldChar w:fldCharType="end"/>
        </w:r>
      </w:hyperlink>
    </w:p>
    <w:p w14:paraId="20BAD5A1" w14:textId="0DD25FC6" w:rsidR="00783505" w:rsidRDefault="00560387" w:rsidP="00A267BF">
      <w:pPr>
        <w:pStyle w:val="Obsah2"/>
        <w:rPr>
          <w:rFonts w:eastAsiaTheme="minorEastAsia"/>
          <w:noProof/>
          <w:lang w:eastAsia="sk-SK"/>
        </w:rPr>
      </w:pPr>
      <w:hyperlink w:anchor="_Toc477345336" w:history="1">
        <w:r w:rsidR="00783505" w:rsidRPr="00184604">
          <w:rPr>
            <w:rStyle w:val="Hypertextovprepojenie"/>
            <w:rFonts w:ascii="Times New Roman" w:hAnsi="Times New Roman" w:cs="Times New Roman"/>
            <w:noProof/>
          </w:rPr>
          <w:t>2.1</w:t>
        </w:r>
        <w:r w:rsidR="00783505">
          <w:rPr>
            <w:rFonts w:eastAsiaTheme="minorEastAsia"/>
            <w:noProof/>
            <w:lang w:eastAsia="sk-SK"/>
          </w:rPr>
          <w:tab/>
        </w:r>
        <w:r w:rsidR="00783505" w:rsidRPr="00184604">
          <w:rPr>
            <w:rStyle w:val="Hypertextovprepojenie"/>
            <w:rFonts w:ascii="Times New Roman" w:hAnsi="Times New Roman" w:cs="Times New Roman"/>
            <w:noProof/>
          </w:rPr>
          <w:t>Aktuálny stav v oblasti energetickej efektívnosti v SR</w:t>
        </w:r>
        <w:r w:rsidR="00783505">
          <w:rPr>
            <w:noProof/>
            <w:webHidden/>
          </w:rPr>
          <w:tab/>
        </w:r>
        <w:r w:rsidR="00783505">
          <w:rPr>
            <w:noProof/>
            <w:webHidden/>
          </w:rPr>
          <w:fldChar w:fldCharType="begin"/>
        </w:r>
        <w:r w:rsidR="00783505">
          <w:rPr>
            <w:noProof/>
            <w:webHidden/>
          </w:rPr>
          <w:instrText xml:space="preserve"> PAGEREF _Toc477345336 \h </w:instrText>
        </w:r>
        <w:r w:rsidR="00783505">
          <w:rPr>
            <w:noProof/>
            <w:webHidden/>
          </w:rPr>
        </w:r>
        <w:r w:rsidR="00783505">
          <w:rPr>
            <w:noProof/>
            <w:webHidden/>
          </w:rPr>
          <w:fldChar w:fldCharType="separate"/>
        </w:r>
        <w:r w:rsidR="00A267BF">
          <w:rPr>
            <w:noProof/>
            <w:webHidden/>
          </w:rPr>
          <w:t>8</w:t>
        </w:r>
        <w:r w:rsidR="00783505">
          <w:rPr>
            <w:noProof/>
            <w:webHidden/>
          </w:rPr>
          <w:fldChar w:fldCharType="end"/>
        </w:r>
      </w:hyperlink>
    </w:p>
    <w:p w14:paraId="3AA2563C" w14:textId="7B654385" w:rsidR="00783505" w:rsidRDefault="00560387" w:rsidP="00A267BF">
      <w:pPr>
        <w:pStyle w:val="Obsah2"/>
        <w:rPr>
          <w:rFonts w:eastAsiaTheme="minorEastAsia"/>
          <w:noProof/>
          <w:lang w:eastAsia="sk-SK"/>
        </w:rPr>
      </w:pPr>
      <w:hyperlink w:anchor="_Toc477345337" w:history="1">
        <w:r w:rsidR="00783505" w:rsidRPr="00184604">
          <w:rPr>
            <w:rStyle w:val="Hypertextovprepojenie"/>
            <w:rFonts w:ascii="Times New Roman" w:hAnsi="Times New Roman" w:cs="Times New Roman"/>
            <w:noProof/>
          </w:rPr>
          <w:t>2.2</w:t>
        </w:r>
        <w:r w:rsidR="00783505">
          <w:rPr>
            <w:rFonts w:eastAsiaTheme="minorEastAsia"/>
            <w:noProof/>
            <w:lang w:eastAsia="sk-SK"/>
          </w:rPr>
          <w:tab/>
        </w:r>
        <w:r w:rsidR="00783505" w:rsidRPr="00184604">
          <w:rPr>
            <w:rStyle w:val="Hypertextovprepojenie"/>
            <w:rFonts w:ascii="Times New Roman" w:hAnsi="Times New Roman" w:cs="Times New Roman"/>
            <w:noProof/>
          </w:rPr>
          <w:t>Národné ciele v oblasti energetickej efektívnosti a úspor energie</w:t>
        </w:r>
        <w:r w:rsidR="00783505">
          <w:rPr>
            <w:noProof/>
            <w:webHidden/>
          </w:rPr>
          <w:tab/>
        </w:r>
        <w:r w:rsidR="00783505">
          <w:rPr>
            <w:noProof/>
            <w:webHidden/>
          </w:rPr>
          <w:fldChar w:fldCharType="begin"/>
        </w:r>
        <w:r w:rsidR="00783505">
          <w:rPr>
            <w:noProof/>
            <w:webHidden/>
          </w:rPr>
          <w:instrText xml:space="preserve"> PAGEREF _Toc477345337 \h </w:instrText>
        </w:r>
        <w:r w:rsidR="00783505">
          <w:rPr>
            <w:noProof/>
            <w:webHidden/>
          </w:rPr>
        </w:r>
        <w:r w:rsidR="00783505">
          <w:rPr>
            <w:noProof/>
            <w:webHidden/>
          </w:rPr>
          <w:fldChar w:fldCharType="separate"/>
        </w:r>
        <w:r w:rsidR="00A267BF">
          <w:rPr>
            <w:noProof/>
            <w:webHidden/>
          </w:rPr>
          <w:t>9</w:t>
        </w:r>
        <w:r w:rsidR="00783505">
          <w:rPr>
            <w:noProof/>
            <w:webHidden/>
          </w:rPr>
          <w:fldChar w:fldCharType="end"/>
        </w:r>
      </w:hyperlink>
    </w:p>
    <w:p w14:paraId="00D2FFFC" w14:textId="5EBF5D1F" w:rsidR="00783505" w:rsidRDefault="00560387" w:rsidP="00A267BF">
      <w:pPr>
        <w:pStyle w:val="Obsah2"/>
        <w:rPr>
          <w:rFonts w:eastAsiaTheme="minorEastAsia"/>
          <w:noProof/>
          <w:lang w:eastAsia="sk-SK"/>
        </w:rPr>
      </w:pPr>
      <w:hyperlink w:anchor="_Toc477345338" w:history="1">
        <w:r w:rsidR="00783505" w:rsidRPr="00184604">
          <w:rPr>
            <w:rStyle w:val="Hypertextovprepojenie"/>
            <w:rFonts w:ascii="Times New Roman" w:hAnsi="Times New Roman" w:cs="Times New Roman"/>
            <w:noProof/>
          </w:rPr>
          <w:t>2.3</w:t>
        </w:r>
        <w:r w:rsidR="00783505">
          <w:rPr>
            <w:rFonts w:eastAsiaTheme="minorEastAsia"/>
            <w:noProof/>
            <w:lang w:eastAsia="sk-SK"/>
          </w:rPr>
          <w:tab/>
        </w:r>
        <w:r w:rsidR="00783505" w:rsidRPr="00184604">
          <w:rPr>
            <w:rStyle w:val="Hypertextovprepojenie"/>
            <w:rFonts w:ascii="Times New Roman" w:hAnsi="Times New Roman" w:cs="Times New Roman"/>
            <w:noProof/>
          </w:rPr>
          <w:t>Vyhodnotenie národných cieľov energetickej efektívnosti a úspor energie</w:t>
        </w:r>
        <w:r w:rsidR="00783505">
          <w:rPr>
            <w:noProof/>
            <w:webHidden/>
          </w:rPr>
          <w:tab/>
        </w:r>
        <w:r w:rsidR="00783505">
          <w:rPr>
            <w:noProof/>
            <w:webHidden/>
          </w:rPr>
          <w:fldChar w:fldCharType="begin"/>
        </w:r>
        <w:r w:rsidR="00783505">
          <w:rPr>
            <w:noProof/>
            <w:webHidden/>
          </w:rPr>
          <w:instrText xml:space="preserve"> PAGEREF _Toc477345338 \h </w:instrText>
        </w:r>
        <w:r w:rsidR="00783505">
          <w:rPr>
            <w:noProof/>
            <w:webHidden/>
          </w:rPr>
        </w:r>
        <w:r w:rsidR="00783505">
          <w:rPr>
            <w:noProof/>
            <w:webHidden/>
          </w:rPr>
          <w:fldChar w:fldCharType="separate"/>
        </w:r>
        <w:r w:rsidR="00A267BF">
          <w:rPr>
            <w:noProof/>
            <w:webHidden/>
          </w:rPr>
          <w:t>10</w:t>
        </w:r>
        <w:r w:rsidR="00783505">
          <w:rPr>
            <w:noProof/>
            <w:webHidden/>
          </w:rPr>
          <w:fldChar w:fldCharType="end"/>
        </w:r>
      </w:hyperlink>
    </w:p>
    <w:p w14:paraId="39B32543" w14:textId="7E4E3181" w:rsidR="00783505" w:rsidRDefault="00560387">
      <w:pPr>
        <w:pStyle w:val="Obsah3"/>
        <w:rPr>
          <w:rFonts w:eastAsiaTheme="minorEastAsia"/>
          <w:noProof/>
          <w:lang w:eastAsia="sk-SK"/>
        </w:rPr>
      </w:pPr>
      <w:hyperlink w:anchor="_Toc477345339" w:history="1">
        <w:r w:rsidR="00783505" w:rsidRPr="00184604">
          <w:rPr>
            <w:rStyle w:val="Hypertextovprepojenie"/>
            <w:rFonts w:ascii="Times New Roman" w:hAnsi="Times New Roman" w:cs="Times New Roman"/>
            <w:noProof/>
          </w:rPr>
          <w:t>2.3.1</w:t>
        </w:r>
        <w:r w:rsidR="00783505">
          <w:rPr>
            <w:rFonts w:eastAsiaTheme="minorEastAsia"/>
            <w:noProof/>
            <w:lang w:eastAsia="sk-SK"/>
          </w:rPr>
          <w:tab/>
        </w:r>
        <w:r w:rsidR="00783505" w:rsidRPr="00184604">
          <w:rPr>
            <w:rStyle w:val="Hypertextovprepojenie"/>
            <w:rFonts w:ascii="Times New Roman" w:hAnsi="Times New Roman" w:cs="Times New Roman"/>
            <w:noProof/>
          </w:rPr>
          <w:t>Vyhodnotenie cieľov úspor energie podľa smernice 2006/32/ES</w:t>
        </w:r>
        <w:r w:rsidR="00783505">
          <w:rPr>
            <w:noProof/>
            <w:webHidden/>
          </w:rPr>
          <w:tab/>
        </w:r>
        <w:r w:rsidR="00783505">
          <w:rPr>
            <w:noProof/>
            <w:webHidden/>
          </w:rPr>
          <w:fldChar w:fldCharType="begin"/>
        </w:r>
        <w:r w:rsidR="00783505">
          <w:rPr>
            <w:noProof/>
            <w:webHidden/>
          </w:rPr>
          <w:instrText xml:space="preserve"> PAGEREF _Toc477345339 \h </w:instrText>
        </w:r>
        <w:r w:rsidR="00783505">
          <w:rPr>
            <w:noProof/>
            <w:webHidden/>
          </w:rPr>
        </w:r>
        <w:r w:rsidR="00783505">
          <w:rPr>
            <w:noProof/>
            <w:webHidden/>
          </w:rPr>
          <w:fldChar w:fldCharType="separate"/>
        </w:r>
        <w:r w:rsidR="00A267BF">
          <w:rPr>
            <w:noProof/>
            <w:webHidden/>
          </w:rPr>
          <w:t>10</w:t>
        </w:r>
        <w:r w:rsidR="00783505">
          <w:rPr>
            <w:noProof/>
            <w:webHidden/>
          </w:rPr>
          <w:fldChar w:fldCharType="end"/>
        </w:r>
      </w:hyperlink>
    </w:p>
    <w:p w14:paraId="28A95675" w14:textId="38F309E1" w:rsidR="00783505" w:rsidRDefault="00560387">
      <w:pPr>
        <w:pStyle w:val="Obsah3"/>
        <w:rPr>
          <w:rFonts w:eastAsiaTheme="minorEastAsia"/>
          <w:noProof/>
          <w:lang w:eastAsia="sk-SK"/>
        </w:rPr>
      </w:pPr>
      <w:hyperlink w:anchor="_Toc477345340" w:history="1">
        <w:r w:rsidR="00783505" w:rsidRPr="00184604">
          <w:rPr>
            <w:rStyle w:val="Hypertextovprepojenie"/>
            <w:rFonts w:ascii="Times New Roman" w:hAnsi="Times New Roman" w:cs="Times New Roman"/>
            <w:noProof/>
          </w:rPr>
          <w:t>2.3.2</w:t>
        </w:r>
        <w:r w:rsidR="00783505">
          <w:rPr>
            <w:rFonts w:eastAsiaTheme="minorEastAsia"/>
            <w:noProof/>
            <w:lang w:eastAsia="sk-SK"/>
          </w:rPr>
          <w:tab/>
        </w:r>
        <w:r w:rsidR="00783505" w:rsidRPr="00184604">
          <w:rPr>
            <w:rStyle w:val="Hypertextovprepojenie"/>
            <w:rFonts w:ascii="Times New Roman" w:hAnsi="Times New Roman" w:cs="Times New Roman"/>
            <w:noProof/>
          </w:rPr>
          <w:t>Vyhodnotenie cieľov úspor energie podľa smernice 2012/27/EÚ</w:t>
        </w:r>
        <w:r w:rsidR="00783505">
          <w:rPr>
            <w:noProof/>
            <w:webHidden/>
          </w:rPr>
          <w:tab/>
        </w:r>
        <w:r w:rsidR="00783505">
          <w:rPr>
            <w:noProof/>
            <w:webHidden/>
          </w:rPr>
          <w:fldChar w:fldCharType="begin"/>
        </w:r>
        <w:r w:rsidR="00783505">
          <w:rPr>
            <w:noProof/>
            <w:webHidden/>
          </w:rPr>
          <w:instrText xml:space="preserve"> PAGEREF _Toc477345340 \h </w:instrText>
        </w:r>
        <w:r w:rsidR="00783505">
          <w:rPr>
            <w:noProof/>
            <w:webHidden/>
          </w:rPr>
        </w:r>
        <w:r w:rsidR="00783505">
          <w:rPr>
            <w:noProof/>
            <w:webHidden/>
          </w:rPr>
          <w:fldChar w:fldCharType="separate"/>
        </w:r>
        <w:r w:rsidR="00A267BF">
          <w:rPr>
            <w:noProof/>
            <w:webHidden/>
          </w:rPr>
          <w:t>11</w:t>
        </w:r>
        <w:r w:rsidR="00783505">
          <w:rPr>
            <w:noProof/>
            <w:webHidden/>
          </w:rPr>
          <w:fldChar w:fldCharType="end"/>
        </w:r>
      </w:hyperlink>
    </w:p>
    <w:p w14:paraId="036680A7" w14:textId="4DEA72AB" w:rsidR="00783505" w:rsidRDefault="00560387" w:rsidP="00A267BF">
      <w:pPr>
        <w:pStyle w:val="Obsah4"/>
        <w:rPr>
          <w:rFonts w:eastAsiaTheme="minorEastAsia"/>
          <w:noProof/>
          <w:lang w:eastAsia="sk-SK"/>
        </w:rPr>
      </w:pPr>
      <w:hyperlink w:anchor="_Toc477345341" w:history="1">
        <w:r w:rsidR="00783505" w:rsidRPr="00184604">
          <w:rPr>
            <w:rStyle w:val="Hypertextovprepojenie"/>
            <w:rFonts w:ascii="Times New Roman" w:hAnsi="Times New Roman" w:cs="Times New Roman"/>
            <w:noProof/>
          </w:rPr>
          <w:t>2.3.2.1</w:t>
        </w:r>
        <w:r w:rsidR="00783505">
          <w:rPr>
            <w:rFonts w:eastAsiaTheme="minorEastAsia"/>
            <w:noProof/>
            <w:lang w:eastAsia="sk-SK"/>
          </w:rPr>
          <w:tab/>
        </w:r>
        <w:r w:rsidR="00783505" w:rsidRPr="00184604">
          <w:rPr>
            <w:rStyle w:val="Hypertextovprepojenie"/>
            <w:rFonts w:ascii="Times New Roman" w:hAnsi="Times New Roman" w:cs="Times New Roman"/>
            <w:noProof/>
          </w:rPr>
          <w:t>Národný indikatívny cieľ energetickej efektívnosti do roku 2020 podľa článku 3 ods. 1 smernice o energetickej efektívnosti (článok 3 ods. 1 SEE, príloha XIV časť 2 bod 1)</w:t>
        </w:r>
        <w:r w:rsidR="00783505">
          <w:rPr>
            <w:noProof/>
            <w:webHidden/>
          </w:rPr>
          <w:tab/>
        </w:r>
        <w:r w:rsidR="00783505">
          <w:rPr>
            <w:noProof/>
            <w:webHidden/>
          </w:rPr>
          <w:fldChar w:fldCharType="begin"/>
        </w:r>
        <w:r w:rsidR="00783505">
          <w:rPr>
            <w:noProof/>
            <w:webHidden/>
          </w:rPr>
          <w:instrText xml:space="preserve"> PAGEREF _Toc477345341 \h </w:instrText>
        </w:r>
        <w:r w:rsidR="00783505">
          <w:rPr>
            <w:noProof/>
            <w:webHidden/>
          </w:rPr>
        </w:r>
        <w:r w:rsidR="00783505">
          <w:rPr>
            <w:noProof/>
            <w:webHidden/>
          </w:rPr>
          <w:fldChar w:fldCharType="separate"/>
        </w:r>
        <w:r w:rsidR="00A267BF">
          <w:rPr>
            <w:noProof/>
            <w:webHidden/>
          </w:rPr>
          <w:t>11</w:t>
        </w:r>
        <w:r w:rsidR="00783505">
          <w:rPr>
            <w:noProof/>
            <w:webHidden/>
          </w:rPr>
          <w:fldChar w:fldCharType="end"/>
        </w:r>
      </w:hyperlink>
    </w:p>
    <w:p w14:paraId="0E623859" w14:textId="7AAD97EF" w:rsidR="00783505" w:rsidRDefault="00560387" w:rsidP="00A267BF">
      <w:pPr>
        <w:pStyle w:val="Obsah4"/>
        <w:rPr>
          <w:rFonts w:eastAsiaTheme="minorEastAsia"/>
          <w:noProof/>
          <w:lang w:eastAsia="sk-SK"/>
        </w:rPr>
      </w:pPr>
      <w:hyperlink w:anchor="_Toc477345342" w:history="1">
        <w:r w:rsidR="00783505" w:rsidRPr="00184604">
          <w:rPr>
            <w:rStyle w:val="Hypertextovprepojenie"/>
            <w:rFonts w:ascii="Times New Roman" w:hAnsi="Times New Roman" w:cs="Times New Roman"/>
            <w:noProof/>
          </w:rPr>
          <w:t>2.3.2.2</w:t>
        </w:r>
        <w:r w:rsidR="00783505">
          <w:rPr>
            <w:rFonts w:eastAsiaTheme="minorEastAsia"/>
            <w:noProof/>
            <w:lang w:eastAsia="sk-SK"/>
          </w:rPr>
          <w:tab/>
        </w:r>
        <w:r w:rsidR="00783505" w:rsidRPr="00184604">
          <w:rPr>
            <w:rStyle w:val="Hypertextovprepojenie"/>
            <w:rFonts w:ascii="Times New Roman" w:hAnsi="Times New Roman" w:cs="Times New Roman"/>
            <w:noProof/>
          </w:rPr>
          <w:t>Cieľ úspor energie budov (čl. 5 SEE)</w:t>
        </w:r>
        <w:r w:rsidR="00783505">
          <w:rPr>
            <w:noProof/>
            <w:webHidden/>
          </w:rPr>
          <w:tab/>
        </w:r>
        <w:r w:rsidR="00783505">
          <w:rPr>
            <w:noProof/>
            <w:webHidden/>
          </w:rPr>
          <w:fldChar w:fldCharType="begin"/>
        </w:r>
        <w:r w:rsidR="00783505">
          <w:rPr>
            <w:noProof/>
            <w:webHidden/>
          </w:rPr>
          <w:instrText xml:space="preserve"> PAGEREF _Toc477345342 \h </w:instrText>
        </w:r>
        <w:r w:rsidR="00783505">
          <w:rPr>
            <w:noProof/>
            <w:webHidden/>
          </w:rPr>
        </w:r>
        <w:r w:rsidR="00783505">
          <w:rPr>
            <w:noProof/>
            <w:webHidden/>
          </w:rPr>
          <w:fldChar w:fldCharType="separate"/>
        </w:r>
        <w:r w:rsidR="00A267BF">
          <w:rPr>
            <w:noProof/>
            <w:webHidden/>
          </w:rPr>
          <w:t>13</w:t>
        </w:r>
        <w:r w:rsidR="00783505">
          <w:rPr>
            <w:noProof/>
            <w:webHidden/>
          </w:rPr>
          <w:fldChar w:fldCharType="end"/>
        </w:r>
      </w:hyperlink>
    </w:p>
    <w:p w14:paraId="69187237" w14:textId="022C50E2" w:rsidR="00783505" w:rsidRDefault="00560387" w:rsidP="00A267BF">
      <w:pPr>
        <w:pStyle w:val="Obsah4"/>
        <w:rPr>
          <w:rFonts w:eastAsiaTheme="minorEastAsia"/>
          <w:noProof/>
          <w:lang w:eastAsia="sk-SK"/>
        </w:rPr>
      </w:pPr>
      <w:hyperlink w:anchor="_Toc477345343" w:history="1">
        <w:r w:rsidR="00783505" w:rsidRPr="00184604">
          <w:rPr>
            <w:rStyle w:val="Hypertextovprepojenie"/>
            <w:rFonts w:ascii="Times New Roman" w:hAnsi="Times New Roman" w:cs="Times New Roman"/>
            <w:noProof/>
          </w:rPr>
          <w:t>2.3.2.3</w:t>
        </w:r>
        <w:r w:rsidR="00783505">
          <w:rPr>
            <w:rFonts w:eastAsiaTheme="minorEastAsia"/>
            <w:noProof/>
            <w:lang w:eastAsia="sk-SK"/>
          </w:rPr>
          <w:tab/>
        </w:r>
        <w:r w:rsidR="00783505" w:rsidRPr="00184604">
          <w:rPr>
            <w:rStyle w:val="Hypertextovprepojenie"/>
            <w:rFonts w:ascii="Times New Roman" w:hAnsi="Times New Roman" w:cs="Times New Roman"/>
            <w:noProof/>
          </w:rPr>
          <w:t>Cieľ úspor energie u konečného spotrebiteľa (čl. 7 SEE)</w:t>
        </w:r>
        <w:r w:rsidR="00783505">
          <w:rPr>
            <w:noProof/>
            <w:webHidden/>
          </w:rPr>
          <w:tab/>
        </w:r>
        <w:r w:rsidR="00783505">
          <w:rPr>
            <w:noProof/>
            <w:webHidden/>
          </w:rPr>
          <w:fldChar w:fldCharType="begin"/>
        </w:r>
        <w:r w:rsidR="00783505">
          <w:rPr>
            <w:noProof/>
            <w:webHidden/>
          </w:rPr>
          <w:instrText xml:space="preserve"> PAGEREF _Toc477345343 \h </w:instrText>
        </w:r>
        <w:r w:rsidR="00783505">
          <w:rPr>
            <w:noProof/>
            <w:webHidden/>
          </w:rPr>
        </w:r>
        <w:r w:rsidR="00783505">
          <w:rPr>
            <w:noProof/>
            <w:webHidden/>
          </w:rPr>
          <w:fldChar w:fldCharType="separate"/>
        </w:r>
        <w:r w:rsidR="00A267BF">
          <w:rPr>
            <w:noProof/>
            <w:webHidden/>
          </w:rPr>
          <w:t>14</w:t>
        </w:r>
        <w:r w:rsidR="00783505">
          <w:rPr>
            <w:noProof/>
            <w:webHidden/>
          </w:rPr>
          <w:fldChar w:fldCharType="end"/>
        </w:r>
      </w:hyperlink>
    </w:p>
    <w:p w14:paraId="69E2978C" w14:textId="60FAA5AF" w:rsidR="00783505" w:rsidRDefault="00560387">
      <w:pPr>
        <w:pStyle w:val="Obsah3"/>
        <w:rPr>
          <w:rFonts w:eastAsiaTheme="minorEastAsia"/>
          <w:noProof/>
          <w:lang w:eastAsia="sk-SK"/>
        </w:rPr>
      </w:pPr>
      <w:hyperlink w:anchor="_Toc477345344" w:history="1">
        <w:r w:rsidR="00783505" w:rsidRPr="00184604">
          <w:rPr>
            <w:rStyle w:val="Hypertextovprepojenie"/>
            <w:rFonts w:ascii="Times New Roman" w:hAnsi="Times New Roman" w:cs="Times New Roman"/>
            <w:noProof/>
          </w:rPr>
          <w:t>2.3.3</w:t>
        </w:r>
        <w:r w:rsidR="00783505">
          <w:rPr>
            <w:rFonts w:eastAsiaTheme="minorEastAsia"/>
            <w:noProof/>
            <w:lang w:eastAsia="sk-SK"/>
          </w:rPr>
          <w:tab/>
        </w:r>
        <w:r w:rsidR="00783505" w:rsidRPr="00184604">
          <w:rPr>
            <w:rStyle w:val="Hypertextovprepojenie"/>
            <w:rFonts w:ascii="Times New Roman" w:hAnsi="Times New Roman" w:cs="Times New Roman"/>
            <w:noProof/>
          </w:rPr>
          <w:t>Úspory primárnej energie</w:t>
        </w:r>
        <w:r w:rsidR="00783505">
          <w:rPr>
            <w:noProof/>
            <w:webHidden/>
          </w:rPr>
          <w:tab/>
        </w:r>
        <w:r w:rsidR="00783505">
          <w:rPr>
            <w:noProof/>
            <w:webHidden/>
          </w:rPr>
          <w:fldChar w:fldCharType="begin"/>
        </w:r>
        <w:r w:rsidR="00783505">
          <w:rPr>
            <w:noProof/>
            <w:webHidden/>
          </w:rPr>
          <w:instrText xml:space="preserve"> PAGEREF _Toc477345344 \h </w:instrText>
        </w:r>
        <w:r w:rsidR="00783505">
          <w:rPr>
            <w:noProof/>
            <w:webHidden/>
          </w:rPr>
        </w:r>
        <w:r w:rsidR="00783505">
          <w:rPr>
            <w:noProof/>
            <w:webHidden/>
          </w:rPr>
          <w:fldChar w:fldCharType="separate"/>
        </w:r>
        <w:r w:rsidR="00A267BF">
          <w:rPr>
            <w:noProof/>
            <w:webHidden/>
          </w:rPr>
          <w:t>16</w:t>
        </w:r>
        <w:r w:rsidR="00783505">
          <w:rPr>
            <w:noProof/>
            <w:webHidden/>
          </w:rPr>
          <w:fldChar w:fldCharType="end"/>
        </w:r>
      </w:hyperlink>
    </w:p>
    <w:p w14:paraId="34DCC175" w14:textId="7C58793B" w:rsidR="00783505" w:rsidRDefault="00560387">
      <w:pPr>
        <w:pStyle w:val="Obsah1"/>
        <w:tabs>
          <w:tab w:val="left" w:pos="440"/>
          <w:tab w:val="right" w:leader="dot" w:pos="9062"/>
        </w:tabs>
        <w:rPr>
          <w:rFonts w:eastAsiaTheme="minorEastAsia"/>
          <w:noProof/>
          <w:lang w:eastAsia="sk-SK"/>
        </w:rPr>
      </w:pPr>
      <w:hyperlink w:anchor="_Toc477345345" w:history="1">
        <w:r w:rsidR="00783505" w:rsidRPr="00184604">
          <w:rPr>
            <w:rStyle w:val="Hypertextovprepojenie"/>
            <w:rFonts w:ascii="Times New Roman" w:hAnsi="Times New Roman" w:cs="Times New Roman"/>
            <w:b/>
            <w:noProof/>
          </w:rPr>
          <w:t>2.</w:t>
        </w:r>
        <w:r w:rsidR="00783505">
          <w:rPr>
            <w:rFonts w:eastAsiaTheme="minorEastAsia"/>
            <w:noProof/>
            <w:lang w:eastAsia="sk-SK"/>
          </w:rPr>
          <w:tab/>
        </w:r>
        <w:r w:rsidR="00783505" w:rsidRPr="00184604">
          <w:rPr>
            <w:rStyle w:val="Hypertextovprepojenie"/>
            <w:rFonts w:ascii="Times New Roman" w:hAnsi="Times New Roman" w:cs="Times New Roman"/>
            <w:b/>
            <w:noProof/>
          </w:rPr>
          <w:t>Opatrenia energetickej efektívnosti</w:t>
        </w:r>
        <w:r w:rsidR="00783505">
          <w:rPr>
            <w:noProof/>
            <w:webHidden/>
          </w:rPr>
          <w:tab/>
        </w:r>
        <w:r w:rsidR="00783505">
          <w:rPr>
            <w:noProof/>
            <w:webHidden/>
          </w:rPr>
          <w:fldChar w:fldCharType="begin"/>
        </w:r>
        <w:r w:rsidR="00783505">
          <w:rPr>
            <w:noProof/>
            <w:webHidden/>
          </w:rPr>
          <w:instrText xml:space="preserve"> PAGEREF _Toc477345345 \h </w:instrText>
        </w:r>
        <w:r w:rsidR="00783505">
          <w:rPr>
            <w:noProof/>
            <w:webHidden/>
          </w:rPr>
        </w:r>
        <w:r w:rsidR="00783505">
          <w:rPr>
            <w:noProof/>
            <w:webHidden/>
          </w:rPr>
          <w:fldChar w:fldCharType="separate"/>
        </w:r>
        <w:r w:rsidR="00A267BF">
          <w:rPr>
            <w:noProof/>
            <w:webHidden/>
          </w:rPr>
          <w:t>17</w:t>
        </w:r>
        <w:r w:rsidR="00783505">
          <w:rPr>
            <w:noProof/>
            <w:webHidden/>
          </w:rPr>
          <w:fldChar w:fldCharType="end"/>
        </w:r>
      </w:hyperlink>
    </w:p>
    <w:p w14:paraId="13F6790D" w14:textId="4FD5E270" w:rsidR="00783505" w:rsidRDefault="00560387" w:rsidP="00A267BF">
      <w:pPr>
        <w:pStyle w:val="Obsah2"/>
        <w:rPr>
          <w:rFonts w:eastAsiaTheme="minorEastAsia"/>
          <w:noProof/>
          <w:lang w:eastAsia="sk-SK"/>
        </w:rPr>
      </w:pPr>
      <w:hyperlink w:anchor="_Toc477345346" w:history="1">
        <w:r w:rsidR="00783505" w:rsidRPr="00184604">
          <w:rPr>
            <w:rStyle w:val="Hypertextovprepojenie"/>
            <w:rFonts w:ascii="Times New Roman" w:hAnsi="Times New Roman" w:cs="Times New Roman"/>
            <w:noProof/>
          </w:rPr>
          <w:t>2.1</w:t>
        </w:r>
        <w:r w:rsidR="00783505">
          <w:rPr>
            <w:rFonts w:eastAsiaTheme="minorEastAsia"/>
            <w:noProof/>
            <w:lang w:eastAsia="sk-SK"/>
          </w:rPr>
          <w:tab/>
        </w:r>
        <w:r w:rsidR="00783505" w:rsidRPr="00184604">
          <w:rPr>
            <w:rStyle w:val="Hypertextovprepojenie"/>
            <w:rFonts w:ascii="Times New Roman" w:hAnsi="Times New Roman" w:cs="Times New Roman"/>
            <w:noProof/>
          </w:rPr>
          <w:t>Opatrenia na strane spotreby energie v rokoch 2014 – 2016</w:t>
        </w:r>
        <w:r w:rsidR="00783505">
          <w:rPr>
            <w:noProof/>
            <w:webHidden/>
          </w:rPr>
          <w:tab/>
        </w:r>
        <w:r w:rsidR="00783505">
          <w:rPr>
            <w:noProof/>
            <w:webHidden/>
          </w:rPr>
          <w:fldChar w:fldCharType="begin"/>
        </w:r>
        <w:r w:rsidR="00783505">
          <w:rPr>
            <w:noProof/>
            <w:webHidden/>
          </w:rPr>
          <w:instrText xml:space="preserve"> PAGEREF _Toc477345346 \h </w:instrText>
        </w:r>
        <w:r w:rsidR="00783505">
          <w:rPr>
            <w:noProof/>
            <w:webHidden/>
          </w:rPr>
        </w:r>
        <w:r w:rsidR="00783505">
          <w:rPr>
            <w:noProof/>
            <w:webHidden/>
          </w:rPr>
          <w:fldChar w:fldCharType="separate"/>
        </w:r>
        <w:r w:rsidR="00A267BF">
          <w:rPr>
            <w:noProof/>
            <w:webHidden/>
          </w:rPr>
          <w:t>18</w:t>
        </w:r>
        <w:r w:rsidR="00783505">
          <w:rPr>
            <w:noProof/>
            <w:webHidden/>
          </w:rPr>
          <w:fldChar w:fldCharType="end"/>
        </w:r>
      </w:hyperlink>
    </w:p>
    <w:p w14:paraId="718EAF80" w14:textId="0F8DC980" w:rsidR="00783505" w:rsidRDefault="00560387">
      <w:pPr>
        <w:pStyle w:val="Obsah3"/>
        <w:rPr>
          <w:rFonts w:eastAsiaTheme="minorEastAsia"/>
          <w:noProof/>
          <w:lang w:eastAsia="sk-SK"/>
        </w:rPr>
      </w:pPr>
      <w:hyperlink w:anchor="_Toc477345347" w:history="1">
        <w:r w:rsidR="00783505" w:rsidRPr="00184604">
          <w:rPr>
            <w:rStyle w:val="Hypertextovprepojenie"/>
            <w:rFonts w:ascii="Times New Roman" w:hAnsi="Times New Roman" w:cs="Times New Roman"/>
            <w:noProof/>
          </w:rPr>
          <w:t>2.1.1</w:t>
        </w:r>
        <w:r w:rsidR="00783505">
          <w:rPr>
            <w:rFonts w:eastAsiaTheme="minorEastAsia"/>
            <w:noProof/>
            <w:lang w:eastAsia="sk-SK"/>
          </w:rPr>
          <w:tab/>
        </w:r>
        <w:r w:rsidR="00783505" w:rsidRPr="00184604">
          <w:rPr>
            <w:rStyle w:val="Hypertextovprepojenie"/>
            <w:rFonts w:ascii="Times New Roman" w:hAnsi="Times New Roman" w:cs="Times New Roman"/>
            <w:noProof/>
          </w:rPr>
          <w:t>Opatrenia energetickej efektívnosti v sektore budov</w:t>
        </w:r>
        <w:r w:rsidR="00783505">
          <w:rPr>
            <w:noProof/>
            <w:webHidden/>
          </w:rPr>
          <w:tab/>
        </w:r>
        <w:r w:rsidR="00783505">
          <w:rPr>
            <w:noProof/>
            <w:webHidden/>
          </w:rPr>
          <w:fldChar w:fldCharType="begin"/>
        </w:r>
        <w:r w:rsidR="00783505">
          <w:rPr>
            <w:noProof/>
            <w:webHidden/>
          </w:rPr>
          <w:instrText xml:space="preserve"> PAGEREF _Toc477345347 \h </w:instrText>
        </w:r>
        <w:r w:rsidR="00783505">
          <w:rPr>
            <w:noProof/>
            <w:webHidden/>
          </w:rPr>
        </w:r>
        <w:r w:rsidR="00783505">
          <w:rPr>
            <w:noProof/>
            <w:webHidden/>
          </w:rPr>
          <w:fldChar w:fldCharType="separate"/>
        </w:r>
        <w:r w:rsidR="00A267BF">
          <w:rPr>
            <w:noProof/>
            <w:webHidden/>
          </w:rPr>
          <w:t>18</w:t>
        </w:r>
        <w:r w:rsidR="00783505">
          <w:rPr>
            <w:noProof/>
            <w:webHidden/>
          </w:rPr>
          <w:fldChar w:fldCharType="end"/>
        </w:r>
      </w:hyperlink>
    </w:p>
    <w:p w14:paraId="09EFC228" w14:textId="4766163E" w:rsidR="00783505" w:rsidRDefault="00560387">
      <w:pPr>
        <w:pStyle w:val="Obsah3"/>
        <w:rPr>
          <w:rFonts w:eastAsiaTheme="minorEastAsia"/>
          <w:noProof/>
          <w:lang w:eastAsia="sk-SK"/>
        </w:rPr>
      </w:pPr>
      <w:hyperlink w:anchor="_Toc477345348" w:history="1">
        <w:r w:rsidR="00783505" w:rsidRPr="00184604">
          <w:rPr>
            <w:rStyle w:val="Hypertextovprepojenie"/>
            <w:rFonts w:ascii="Times New Roman" w:hAnsi="Times New Roman" w:cs="Times New Roman"/>
            <w:noProof/>
          </w:rPr>
          <w:t>2.1.2</w:t>
        </w:r>
        <w:r w:rsidR="00783505">
          <w:rPr>
            <w:rFonts w:eastAsiaTheme="minorEastAsia"/>
            <w:noProof/>
            <w:lang w:eastAsia="sk-SK"/>
          </w:rPr>
          <w:tab/>
        </w:r>
        <w:r w:rsidR="00783505" w:rsidRPr="00184604">
          <w:rPr>
            <w:rStyle w:val="Hypertextovprepojenie"/>
            <w:rFonts w:ascii="Times New Roman" w:hAnsi="Times New Roman" w:cs="Times New Roman"/>
            <w:noProof/>
          </w:rPr>
          <w:t>Opatrenia energetickej efektívnosti v sektore priemysel</w:t>
        </w:r>
        <w:r w:rsidR="00783505">
          <w:rPr>
            <w:noProof/>
            <w:webHidden/>
          </w:rPr>
          <w:tab/>
        </w:r>
        <w:r w:rsidR="00783505">
          <w:rPr>
            <w:noProof/>
            <w:webHidden/>
          </w:rPr>
          <w:fldChar w:fldCharType="begin"/>
        </w:r>
        <w:r w:rsidR="00783505">
          <w:rPr>
            <w:noProof/>
            <w:webHidden/>
          </w:rPr>
          <w:instrText xml:space="preserve"> PAGEREF _Toc477345348 \h </w:instrText>
        </w:r>
        <w:r w:rsidR="00783505">
          <w:rPr>
            <w:noProof/>
            <w:webHidden/>
          </w:rPr>
        </w:r>
        <w:r w:rsidR="00783505">
          <w:rPr>
            <w:noProof/>
            <w:webHidden/>
          </w:rPr>
          <w:fldChar w:fldCharType="separate"/>
        </w:r>
        <w:r w:rsidR="00A267BF">
          <w:rPr>
            <w:noProof/>
            <w:webHidden/>
          </w:rPr>
          <w:t>20</w:t>
        </w:r>
        <w:r w:rsidR="00783505">
          <w:rPr>
            <w:noProof/>
            <w:webHidden/>
          </w:rPr>
          <w:fldChar w:fldCharType="end"/>
        </w:r>
      </w:hyperlink>
    </w:p>
    <w:p w14:paraId="4DF8275C" w14:textId="54E2253D" w:rsidR="00783505" w:rsidRDefault="00560387">
      <w:pPr>
        <w:pStyle w:val="Obsah3"/>
        <w:rPr>
          <w:rFonts w:eastAsiaTheme="minorEastAsia"/>
          <w:noProof/>
          <w:lang w:eastAsia="sk-SK"/>
        </w:rPr>
      </w:pPr>
      <w:hyperlink w:anchor="_Toc477345349" w:history="1">
        <w:r w:rsidR="00783505" w:rsidRPr="00184604">
          <w:rPr>
            <w:rStyle w:val="Hypertextovprepojenie"/>
            <w:rFonts w:ascii="Times New Roman" w:hAnsi="Times New Roman" w:cs="Times New Roman"/>
            <w:noProof/>
          </w:rPr>
          <w:t>2.1.3</w:t>
        </w:r>
        <w:r w:rsidR="00783505">
          <w:rPr>
            <w:rFonts w:eastAsiaTheme="minorEastAsia"/>
            <w:noProof/>
            <w:lang w:eastAsia="sk-SK"/>
          </w:rPr>
          <w:tab/>
        </w:r>
        <w:r w:rsidR="00783505" w:rsidRPr="00184604">
          <w:rPr>
            <w:rStyle w:val="Hypertextovprepojenie"/>
            <w:rFonts w:ascii="Times New Roman" w:hAnsi="Times New Roman" w:cs="Times New Roman"/>
            <w:noProof/>
          </w:rPr>
          <w:t>Opatrenia energetickej efektívnosti vo verejnom sektore</w:t>
        </w:r>
        <w:r w:rsidR="00783505">
          <w:rPr>
            <w:noProof/>
            <w:webHidden/>
          </w:rPr>
          <w:tab/>
        </w:r>
        <w:r w:rsidR="00783505">
          <w:rPr>
            <w:noProof/>
            <w:webHidden/>
          </w:rPr>
          <w:fldChar w:fldCharType="begin"/>
        </w:r>
        <w:r w:rsidR="00783505">
          <w:rPr>
            <w:noProof/>
            <w:webHidden/>
          </w:rPr>
          <w:instrText xml:space="preserve"> PAGEREF _Toc477345349 \h </w:instrText>
        </w:r>
        <w:r w:rsidR="00783505">
          <w:rPr>
            <w:noProof/>
            <w:webHidden/>
          </w:rPr>
        </w:r>
        <w:r w:rsidR="00783505">
          <w:rPr>
            <w:noProof/>
            <w:webHidden/>
          </w:rPr>
          <w:fldChar w:fldCharType="separate"/>
        </w:r>
        <w:r w:rsidR="00A267BF">
          <w:rPr>
            <w:noProof/>
            <w:webHidden/>
          </w:rPr>
          <w:t>22</w:t>
        </w:r>
        <w:r w:rsidR="00783505">
          <w:rPr>
            <w:noProof/>
            <w:webHidden/>
          </w:rPr>
          <w:fldChar w:fldCharType="end"/>
        </w:r>
      </w:hyperlink>
    </w:p>
    <w:p w14:paraId="440AE26B" w14:textId="3551E36C" w:rsidR="00783505" w:rsidRDefault="00560387">
      <w:pPr>
        <w:pStyle w:val="Obsah3"/>
        <w:rPr>
          <w:rFonts w:eastAsiaTheme="minorEastAsia"/>
          <w:noProof/>
          <w:lang w:eastAsia="sk-SK"/>
        </w:rPr>
      </w:pPr>
      <w:hyperlink w:anchor="_Toc477345350" w:history="1">
        <w:r w:rsidR="00783505" w:rsidRPr="00184604">
          <w:rPr>
            <w:rStyle w:val="Hypertextovprepojenie"/>
            <w:rFonts w:ascii="Times New Roman" w:hAnsi="Times New Roman" w:cs="Times New Roman"/>
            <w:noProof/>
          </w:rPr>
          <w:t>2.1.4</w:t>
        </w:r>
        <w:r w:rsidR="00783505">
          <w:rPr>
            <w:rFonts w:eastAsiaTheme="minorEastAsia"/>
            <w:noProof/>
            <w:lang w:eastAsia="sk-SK"/>
          </w:rPr>
          <w:tab/>
        </w:r>
        <w:r w:rsidR="00783505" w:rsidRPr="00184604">
          <w:rPr>
            <w:rStyle w:val="Hypertextovprepojenie"/>
            <w:rFonts w:ascii="Times New Roman" w:hAnsi="Times New Roman" w:cs="Times New Roman"/>
            <w:noProof/>
          </w:rPr>
          <w:t>Opatrenia energetickej efektívnosti v sektore doprava</w:t>
        </w:r>
        <w:r w:rsidR="00783505">
          <w:rPr>
            <w:noProof/>
            <w:webHidden/>
          </w:rPr>
          <w:tab/>
        </w:r>
        <w:r w:rsidR="00783505">
          <w:rPr>
            <w:noProof/>
            <w:webHidden/>
          </w:rPr>
          <w:fldChar w:fldCharType="begin"/>
        </w:r>
        <w:r w:rsidR="00783505">
          <w:rPr>
            <w:noProof/>
            <w:webHidden/>
          </w:rPr>
          <w:instrText xml:space="preserve"> PAGEREF _Toc477345350 \h </w:instrText>
        </w:r>
        <w:r w:rsidR="00783505">
          <w:rPr>
            <w:noProof/>
            <w:webHidden/>
          </w:rPr>
        </w:r>
        <w:r w:rsidR="00783505">
          <w:rPr>
            <w:noProof/>
            <w:webHidden/>
          </w:rPr>
          <w:fldChar w:fldCharType="separate"/>
        </w:r>
        <w:r w:rsidR="00A267BF">
          <w:rPr>
            <w:noProof/>
            <w:webHidden/>
          </w:rPr>
          <w:t>23</w:t>
        </w:r>
        <w:r w:rsidR="00783505">
          <w:rPr>
            <w:noProof/>
            <w:webHidden/>
          </w:rPr>
          <w:fldChar w:fldCharType="end"/>
        </w:r>
      </w:hyperlink>
    </w:p>
    <w:p w14:paraId="709CEF38" w14:textId="34FC52D2" w:rsidR="00783505" w:rsidRDefault="00560387">
      <w:pPr>
        <w:pStyle w:val="Obsah3"/>
        <w:rPr>
          <w:rFonts w:eastAsiaTheme="minorEastAsia"/>
          <w:noProof/>
          <w:lang w:eastAsia="sk-SK"/>
        </w:rPr>
      </w:pPr>
      <w:hyperlink w:anchor="_Toc477345351" w:history="1">
        <w:r w:rsidR="00783505" w:rsidRPr="00184604">
          <w:rPr>
            <w:rStyle w:val="Hypertextovprepojenie"/>
            <w:rFonts w:ascii="Times New Roman" w:hAnsi="Times New Roman" w:cs="Times New Roman"/>
            <w:noProof/>
          </w:rPr>
          <w:t>2.1.5</w:t>
        </w:r>
        <w:r w:rsidR="00783505">
          <w:rPr>
            <w:rFonts w:eastAsiaTheme="minorEastAsia"/>
            <w:noProof/>
            <w:lang w:eastAsia="sk-SK"/>
          </w:rPr>
          <w:tab/>
        </w:r>
        <w:r w:rsidR="00783505" w:rsidRPr="00184604">
          <w:rPr>
            <w:rStyle w:val="Hypertextovprepojenie"/>
            <w:rFonts w:ascii="Times New Roman" w:hAnsi="Times New Roman" w:cs="Times New Roman"/>
            <w:noProof/>
          </w:rPr>
          <w:t>Opatrenia energetickej efektívnosti v sektore spotrebiče</w:t>
        </w:r>
        <w:r w:rsidR="00783505">
          <w:rPr>
            <w:noProof/>
            <w:webHidden/>
          </w:rPr>
          <w:tab/>
        </w:r>
        <w:r w:rsidR="00783505">
          <w:rPr>
            <w:noProof/>
            <w:webHidden/>
          </w:rPr>
          <w:fldChar w:fldCharType="begin"/>
        </w:r>
        <w:r w:rsidR="00783505">
          <w:rPr>
            <w:noProof/>
            <w:webHidden/>
          </w:rPr>
          <w:instrText xml:space="preserve"> PAGEREF _Toc477345351 \h </w:instrText>
        </w:r>
        <w:r w:rsidR="00783505">
          <w:rPr>
            <w:noProof/>
            <w:webHidden/>
          </w:rPr>
        </w:r>
        <w:r w:rsidR="00783505">
          <w:rPr>
            <w:noProof/>
            <w:webHidden/>
          </w:rPr>
          <w:fldChar w:fldCharType="separate"/>
        </w:r>
        <w:r w:rsidR="00A267BF">
          <w:rPr>
            <w:noProof/>
            <w:webHidden/>
          </w:rPr>
          <w:t>25</w:t>
        </w:r>
        <w:r w:rsidR="00783505">
          <w:rPr>
            <w:noProof/>
            <w:webHidden/>
          </w:rPr>
          <w:fldChar w:fldCharType="end"/>
        </w:r>
      </w:hyperlink>
    </w:p>
    <w:p w14:paraId="4F923B11" w14:textId="11051E11" w:rsidR="00783505" w:rsidRDefault="00560387" w:rsidP="00A267BF">
      <w:pPr>
        <w:pStyle w:val="Obsah2"/>
        <w:rPr>
          <w:rFonts w:eastAsiaTheme="minorEastAsia"/>
          <w:noProof/>
          <w:lang w:eastAsia="sk-SK"/>
        </w:rPr>
      </w:pPr>
      <w:hyperlink w:anchor="_Toc477345352" w:history="1">
        <w:r w:rsidR="00783505" w:rsidRPr="00184604">
          <w:rPr>
            <w:rStyle w:val="Hypertextovprepojenie"/>
            <w:rFonts w:ascii="Times New Roman" w:hAnsi="Times New Roman" w:cs="Times New Roman"/>
            <w:noProof/>
          </w:rPr>
          <w:t>2.2</w:t>
        </w:r>
        <w:r w:rsidR="00783505">
          <w:rPr>
            <w:rFonts w:eastAsiaTheme="minorEastAsia"/>
            <w:noProof/>
            <w:lang w:eastAsia="sk-SK"/>
          </w:rPr>
          <w:tab/>
        </w:r>
        <w:r w:rsidR="00783505" w:rsidRPr="00184604">
          <w:rPr>
            <w:rStyle w:val="Hypertextovprepojenie"/>
            <w:rFonts w:ascii="Times New Roman" w:hAnsi="Times New Roman" w:cs="Times New Roman"/>
            <w:noProof/>
          </w:rPr>
          <w:t>Opatrenia na strane premeny, prenosu a distribúcie energie</w:t>
        </w:r>
        <w:r w:rsidR="00783505">
          <w:rPr>
            <w:noProof/>
            <w:webHidden/>
          </w:rPr>
          <w:tab/>
        </w:r>
        <w:r w:rsidR="00783505">
          <w:rPr>
            <w:noProof/>
            <w:webHidden/>
          </w:rPr>
          <w:fldChar w:fldCharType="begin"/>
        </w:r>
        <w:r w:rsidR="00783505">
          <w:rPr>
            <w:noProof/>
            <w:webHidden/>
          </w:rPr>
          <w:instrText xml:space="preserve"> PAGEREF _Toc477345352 \h </w:instrText>
        </w:r>
        <w:r w:rsidR="00783505">
          <w:rPr>
            <w:noProof/>
            <w:webHidden/>
          </w:rPr>
        </w:r>
        <w:r w:rsidR="00783505">
          <w:rPr>
            <w:noProof/>
            <w:webHidden/>
          </w:rPr>
          <w:fldChar w:fldCharType="separate"/>
        </w:r>
        <w:r w:rsidR="00A267BF">
          <w:rPr>
            <w:noProof/>
            <w:webHidden/>
          </w:rPr>
          <w:t>27</w:t>
        </w:r>
        <w:r w:rsidR="00783505">
          <w:rPr>
            <w:noProof/>
            <w:webHidden/>
          </w:rPr>
          <w:fldChar w:fldCharType="end"/>
        </w:r>
      </w:hyperlink>
    </w:p>
    <w:p w14:paraId="37F0E19B" w14:textId="78D9AA59" w:rsidR="00783505" w:rsidRDefault="00560387" w:rsidP="00A267BF">
      <w:pPr>
        <w:pStyle w:val="Obsah2"/>
        <w:rPr>
          <w:rFonts w:eastAsiaTheme="minorEastAsia"/>
          <w:noProof/>
          <w:lang w:eastAsia="sk-SK"/>
        </w:rPr>
      </w:pPr>
      <w:hyperlink w:anchor="_Toc477345353" w:history="1">
        <w:r w:rsidR="00783505" w:rsidRPr="00184604">
          <w:rPr>
            <w:rStyle w:val="Hypertextovprepojenie"/>
            <w:rFonts w:ascii="Times New Roman" w:hAnsi="Times New Roman" w:cs="Times New Roman"/>
            <w:noProof/>
          </w:rPr>
          <w:t>2.3</w:t>
        </w:r>
        <w:r w:rsidR="00783505">
          <w:rPr>
            <w:rFonts w:eastAsiaTheme="minorEastAsia"/>
            <w:noProof/>
            <w:lang w:eastAsia="sk-SK"/>
          </w:rPr>
          <w:tab/>
        </w:r>
        <w:r w:rsidR="00783505" w:rsidRPr="00184604">
          <w:rPr>
            <w:rStyle w:val="Hypertextovprepojenie"/>
            <w:rFonts w:ascii="Times New Roman" w:hAnsi="Times New Roman" w:cs="Times New Roman"/>
            <w:noProof/>
          </w:rPr>
          <w:t>Celkové vyhodnotenie opatrení energetickej efektívnosti za roky 2014-2016</w:t>
        </w:r>
        <w:r w:rsidR="00783505">
          <w:rPr>
            <w:noProof/>
            <w:webHidden/>
          </w:rPr>
          <w:tab/>
        </w:r>
        <w:r w:rsidR="00783505">
          <w:rPr>
            <w:noProof/>
            <w:webHidden/>
          </w:rPr>
          <w:fldChar w:fldCharType="begin"/>
        </w:r>
        <w:r w:rsidR="00783505">
          <w:rPr>
            <w:noProof/>
            <w:webHidden/>
          </w:rPr>
          <w:instrText xml:space="preserve"> PAGEREF _Toc477345353 \h </w:instrText>
        </w:r>
        <w:r w:rsidR="00783505">
          <w:rPr>
            <w:noProof/>
            <w:webHidden/>
          </w:rPr>
        </w:r>
        <w:r w:rsidR="00783505">
          <w:rPr>
            <w:noProof/>
            <w:webHidden/>
          </w:rPr>
          <w:fldChar w:fldCharType="separate"/>
        </w:r>
        <w:r w:rsidR="00A267BF">
          <w:rPr>
            <w:noProof/>
            <w:webHidden/>
          </w:rPr>
          <w:t>28</w:t>
        </w:r>
        <w:r w:rsidR="00783505">
          <w:rPr>
            <w:noProof/>
            <w:webHidden/>
          </w:rPr>
          <w:fldChar w:fldCharType="end"/>
        </w:r>
      </w:hyperlink>
    </w:p>
    <w:p w14:paraId="2F0BB666" w14:textId="3A79CC0E" w:rsidR="00783505" w:rsidRDefault="00560387" w:rsidP="00A267BF">
      <w:pPr>
        <w:pStyle w:val="Obsah2"/>
        <w:rPr>
          <w:rFonts w:eastAsiaTheme="minorEastAsia"/>
          <w:noProof/>
          <w:lang w:eastAsia="sk-SK"/>
        </w:rPr>
      </w:pPr>
      <w:hyperlink w:anchor="_Toc477345354" w:history="1">
        <w:r w:rsidR="00783505" w:rsidRPr="00184604">
          <w:rPr>
            <w:rStyle w:val="Hypertextovprepojenie"/>
            <w:rFonts w:ascii="Times New Roman" w:hAnsi="Times New Roman" w:cs="Times New Roman"/>
            <w:noProof/>
          </w:rPr>
          <w:t>2.4</w:t>
        </w:r>
        <w:r w:rsidR="00783505">
          <w:rPr>
            <w:rFonts w:eastAsiaTheme="minorEastAsia"/>
            <w:noProof/>
            <w:lang w:eastAsia="sk-SK"/>
          </w:rPr>
          <w:tab/>
        </w:r>
        <w:r w:rsidR="00783505" w:rsidRPr="00184604">
          <w:rPr>
            <w:rStyle w:val="Hypertextovprepojenie"/>
            <w:rFonts w:ascii="Times New Roman" w:hAnsi="Times New Roman" w:cs="Times New Roman"/>
            <w:noProof/>
          </w:rPr>
          <w:t>Plánované opatrenia energetickej efektívnosti na obdobie 2017-2019       s výhľadom do roku 2020</w:t>
        </w:r>
        <w:r w:rsidR="00783505">
          <w:rPr>
            <w:noProof/>
            <w:webHidden/>
          </w:rPr>
          <w:tab/>
        </w:r>
        <w:r w:rsidR="00783505">
          <w:rPr>
            <w:noProof/>
            <w:webHidden/>
          </w:rPr>
          <w:fldChar w:fldCharType="begin"/>
        </w:r>
        <w:r w:rsidR="00783505">
          <w:rPr>
            <w:noProof/>
            <w:webHidden/>
          </w:rPr>
          <w:instrText xml:space="preserve"> PAGEREF _Toc477345354 \h </w:instrText>
        </w:r>
        <w:r w:rsidR="00783505">
          <w:rPr>
            <w:noProof/>
            <w:webHidden/>
          </w:rPr>
        </w:r>
        <w:r w:rsidR="00783505">
          <w:rPr>
            <w:noProof/>
            <w:webHidden/>
          </w:rPr>
          <w:fldChar w:fldCharType="separate"/>
        </w:r>
        <w:r w:rsidR="00A267BF">
          <w:rPr>
            <w:noProof/>
            <w:webHidden/>
          </w:rPr>
          <w:t>30</w:t>
        </w:r>
        <w:r w:rsidR="00783505">
          <w:rPr>
            <w:noProof/>
            <w:webHidden/>
          </w:rPr>
          <w:fldChar w:fldCharType="end"/>
        </w:r>
      </w:hyperlink>
    </w:p>
    <w:p w14:paraId="6F613EA5" w14:textId="1354C2AB" w:rsidR="00783505" w:rsidRDefault="00560387">
      <w:pPr>
        <w:pStyle w:val="Obsah3"/>
        <w:rPr>
          <w:rFonts w:eastAsiaTheme="minorEastAsia"/>
          <w:noProof/>
          <w:lang w:eastAsia="sk-SK"/>
        </w:rPr>
      </w:pPr>
      <w:hyperlink w:anchor="_Toc477345355" w:history="1">
        <w:r w:rsidR="00783505" w:rsidRPr="00184604">
          <w:rPr>
            <w:rStyle w:val="Hypertextovprepojenie"/>
            <w:rFonts w:ascii="Times New Roman" w:hAnsi="Times New Roman" w:cs="Times New Roman"/>
            <w:noProof/>
          </w:rPr>
          <w:t>2.4.1</w:t>
        </w:r>
        <w:r w:rsidR="00783505">
          <w:rPr>
            <w:rFonts w:eastAsiaTheme="minorEastAsia"/>
            <w:noProof/>
            <w:lang w:eastAsia="sk-SK"/>
          </w:rPr>
          <w:tab/>
        </w:r>
        <w:r w:rsidR="00783505" w:rsidRPr="00184604">
          <w:rPr>
            <w:rStyle w:val="Hypertextovprepojenie"/>
            <w:rFonts w:ascii="Times New Roman" w:hAnsi="Times New Roman" w:cs="Times New Roman"/>
            <w:noProof/>
          </w:rPr>
          <w:t>Plánované opatrenia v sektore budov</w:t>
        </w:r>
        <w:r w:rsidR="00783505">
          <w:rPr>
            <w:noProof/>
            <w:webHidden/>
          </w:rPr>
          <w:tab/>
        </w:r>
        <w:r w:rsidR="00783505">
          <w:rPr>
            <w:noProof/>
            <w:webHidden/>
          </w:rPr>
          <w:fldChar w:fldCharType="begin"/>
        </w:r>
        <w:r w:rsidR="00783505">
          <w:rPr>
            <w:noProof/>
            <w:webHidden/>
          </w:rPr>
          <w:instrText xml:space="preserve"> PAGEREF _Toc477345355 \h </w:instrText>
        </w:r>
        <w:r w:rsidR="00783505">
          <w:rPr>
            <w:noProof/>
            <w:webHidden/>
          </w:rPr>
        </w:r>
        <w:r w:rsidR="00783505">
          <w:rPr>
            <w:noProof/>
            <w:webHidden/>
          </w:rPr>
          <w:fldChar w:fldCharType="separate"/>
        </w:r>
        <w:r w:rsidR="00A267BF">
          <w:rPr>
            <w:noProof/>
            <w:webHidden/>
          </w:rPr>
          <w:t>30</w:t>
        </w:r>
        <w:r w:rsidR="00783505">
          <w:rPr>
            <w:noProof/>
            <w:webHidden/>
          </w:rPr>
          <w:fldChar w:fldCharType="end"/>
        </w:r>
      </w:hyperlink>
    </w:p>
    <w:p w14:paraId="00AD26BF" w14:textId="6C0CC18F" w:rsidR="00783505" w:rsidRDefault="00560387">
      <w:pPr>
        <w:pStyle w:val="Obsah3"/>
        <w:rPr>
          <w:rFonts w:eastAsiaTheme="minorEastAsia"/>
          <w:noProof/>
          <w:lang w:eastAsia="sk-SK"/>
        </w:rPr>
      </w:pPr>
      <w:hyperlink w:anchor="_Toc477345356" w:history="1">
        <w:r w:rsidR="00783505" w:rsidRPr="00184604">
          <w:rPr>
            <w:rStyle w:val="Hypertextovprepojenie"/>
            <w:rFonts w:ascii="Times New Roman" w:hAnsi="Times New Roman" w:cs="Times New Roman"/>
            <w:noProof/>
          </w:rPr>
          <w:t>2.4.2</w:t>
        </w:r>
        <w:r w:rsidR="00783505">
          <w:rPr>
            <w:rFonts w:eastAsiaTheme="minorEastAsia"/>
            <w:noProof/>
            <w:lang w:eastAsia="sk-SK"/>
          </w:rPr>
          <w:tab/>
        </w:r>
        <w:r w:rsidR="00783505" w:rsidRPr="00184604">
          <w:rPr>
            <w:rStyle w:val="Hypertextovprepojenie"/>
            <w:rFonts w:ascii="Times New Roman" w:hAnsi="Times New Roman" w:cs="Times New Roman"/>
            <w:noProof/>
          </w:rPr>
          <w:t>Plánované opatrenia v sektore priemysel</w:t>
        </w:r>
        <w:r w:rsidR="00783505">
          <w:rPr>
            <w:noProof/>
            <w:webHidden/>
          </w:rPr>
          <w:tab/>
        </w:r>
        <w:r w:rsidR="00783505">
          <w:rPr>
            <w:noProof/>
            <w:webHidden/>
          </w:rPr>
          <w:fldChar w:fldCharType="begin"/>
        </w:r>
        <w:r w:rsidR="00783505">
          <w:rPr>
            <w:noProof/>
            <w:webHidden/>
          </w:rPr>
          <w:instrText xml:space="preserve"> PAGEREF _Toc477345356 \h </w:instrText>
        </w:r>
        <w:r w:rsidR="00783505">
          <w:rPr>
            <w:noProof/>
            <w:webHidden/>
          </w:rPr>
        </w:r>
        <w:r w:rsidR="00783505">
          <w:rPr>
            <w:noProof/>
            <w:webHidden/>
          </w:rPr>
          <w:fldChar w:fldCharType="separate"/>
        </w:r>
        <w:r w:rsidR="00A267BF">
          <w:rPr>
            <w:noProof/>
            <w:webHidden/>
          </w:rPr>
          <w:t>30</w:t>
        </w:r>
        <w:r w:rsidR="00783505">
          <w:rPr>
            <w:noProof/>
            <w:webHidden/>
          </w:rPr>
          <w:fldChar w:fldCharType="end"/>
        </w:r>
      </w:hyperlink>
    </w:p>
    <w:p w14:paraId="0DB428F5" w14:textId="57672109" w:rsidR="00783505" w:rsidRDefault="00560387">
      <w:pPr>
        <w:pStyle w:val="Obsah3"/>
        <w:rPr>
          <w:rFonts w:eastAsiaTheme="minorEastAsia"/>
          <w:noProof/>
          <w:lang w:eastAsia="sk-SK"/>
        </w:rPr>
      </w:pPr>
      <w:hyperlink w:anchor="_Toc477345357" w:history="1">
        <w:r w:rsidR="00783505" w:rsidRPr="00184604">
          <w:rPr>
            <w:rStyle w:val="Hypertextovprepojenie"/>
            <w:rFonts w:ascii="Times New Roman" w:hAnsi="Times New Roman" w:cs="Times New Roman"/>
            <w:noProof/>
          </w:rPr>
          <w:t>2.4.3</w:t>
        </w:r>
        <w:r w:rsidR="00783505">
          <w:rPr>
            <w:rFonts w:eastAsiaTheme="minorEastAsia"/>
            <w:noProof/>
            <w:lang w:eastAsia="sk-SK"/>
          </w:rPr>
          <w:tab/>
        </w:r>
        <w:r w:rsidR="00783505" w:rsidRPr="00184604">
          <w:rPr>
            <w:rStyle w:val="Hypertextovprepojenie"/>
            <w:rFonts w:ascii="Times New Roman" w:hAnsi="Times New Roman" w:cs="Times New Roman"/>
            <w:noProof/>
          </w:rPr>
          <w:t>Plánované opatrenia vo verejnom sektore</w:t>
        </w:r>
        <w:r w:rsidR="00783505">
          <w:rPr>
            <w:noProof/>
            <w:webHidden/>
          </w:rPr>
          <w:tab/>
        </w:r>
        <w:r w:rsidR="00783505">
          <w:rPr>
            <w:noProof/>
            <w:webHidden/>
          </w:rPr>
          <w:fldChar w:fldCharType="begin"/>
        </w:r>
        <w:r w:rsidR="00783505">
          <w:rPr>
            <w:noProof/>
            <w:webHidden/>
          </w:rPr>
          <w:instrText xml:space="preserve"> PAGEREF _Toc477345357 \h </w:instrText>
        </w:r>
        <w:r w:rsidR="00783505">
          <w:rPr>
            <w:noProof/>
            <w:webHidden/>
          </w:rPr>
        </w:r>
        <w:r w:rsidR="00783505">
          <w:rPr>
            <w:noProof/>
            <w:webHidden/>
          </w:rPr>
          <w:fldChar w:fldCharType="separate"/>
        </w:r>
        <w:r w:rsidR="00A267BF">
          <w:rPr>
            <w:noProof/>
            <w:webHidden/>
          </w:rPr>
          <w:t>30</w:t>
        </w:r>
        <w:r w:rsidR="00783505">
          <w:rPr>
            <w:noProof/>
            <w:webHidden/>
          </w:rPr>
          <w:fldChar w:fldCharType="end"/>
        </w:r>
      </w:hyperlink>
    </w:p>
    <w:p w14:paraId="539401FD" w14:textId="72285045" w:rsidR="00783505" w:rsidRDefault="00560387">
      <w:pPr>
        <w:pStyle w:val="Obsah3"/>
        <w:rPr>
          <w:rFonts w:eastAsiaTheme="minorEastAsia"/>
          <w:noProof/>
          <w:lang w:eastAsia="sk-SK"/>
        </w:rPr>
      </w:pPr>
      <w:hyperlink w:anchor="_Toc477345358" w:history="1">
        <w:r w:rsidR="00783505" w:rsidRPr="00184604">
          <w:rPr>
            <w:rStyle w:val="Hypertextovprepojenie"/>
            <w:rFonts w:ascii="Times New Roman" w:hAnsi="Times New Roman" w:cs="Times New Roman"/>
            <w:noProof/>
          </w:rPr>
          <w:t>2.4.4</w:t>
        </w:r>
        <w:r w:rsidR="00783505">
          <w:rPr>
            <w:rFonts w:eastAsiaTheme="minorEastAsia"/>
            <w:noProof/>
            <w:lang w:eastAsia="sk-SK"/>
          </w:rPr>
          <w:tab/>
        </w:r>
        <w:r w:rsidR="00783505" w:rsidRPr="00184604">
          <w:rPr>
            <w:rStyle w:val="Hypertextovprepojenie"/>
            <w:rFonts w:ascii="Times New Roman" w:hAnsi="Times New Roman" w:cs="Times New Roman"/>
            <w:noProof/>
          </w:rPr>
          <w:t>Plánované opatrenia v sektore doprava</w:t>
        </w:r>
        <w:r w:rsidR="00783505">
          <w:rPr>
            <w:noProof/>
            <w:webHidden/>
          </w:rPr>
          <w:tab/>
        </w:r>
        <w:r w:rsidR="00783505">
          <w:rPr>
            <w:noProof/>
            <w:webHidden/>
          </w:rPr>
          <w:fldChar w:fldCharType="begin"/>
        </w:r>
        <w:r w:rsidR="00783505">
          <w:rPr>
            <w:noProof/>
            <w:webHidden/>
          </w:rPr>
          <w:instrText xml:space="preserve"> PAGEREF _Toc477345358 \h </w:instrText>
        </w:r>
        <w:r w:rsidR="00783505">
          <w:rPr>
            <w:noProof/>
            <w:webHidden/>
          </w:rPr>
        </w:r>
        <w:r w:rsidR="00783505">
          <w:rPr>
            <w:noProof/>
            <w:webHidden/>
          </w:rPr>
          <w:fldChar w:fldCharType="separate"/>
        </w:r>
        <w:r w:rsidR="00A267BF">
          <w:rPr>
            <w:noProof/>
            <w:webHidden/>
          </w:rPr>
          <w:t>30</w:t>
        </w:r>
        <w:r w:rsidR="00783505">
          <w:rPr>
            <w:noProof/>
            <w:webHidden/>
          </w:rPr>
          <w:fldChar w:fldCharType="end"/>
        </w:r>
      </w:hyperlink>
    </w:p>
    <w:p w14:paraId="701D3B15" w14:textId="2B25C6C9" w:rsidR="00783505" w:rsidRDefault="00560387">
      <w:pPr>
        <w:pStyle w:val="Obsah3"/>
        <w:rPr>
          <w:rFonts w:eastAsiaTheme="minorEastAsia"/>
          <w:noProof/>
          <w:lang w:eastAsia="sk-SK"/>
        </w:rPr>
      </w:pPr>
      <w:hyperlink w:anchor="_Toc477345359" w:history="1">
        <w:r w:rsidR="00783505" w:rsidRPr="00184604">
          <w:rPr>
            <w:rStyle w:val="Hypertextovprepojenie"/>
            <w:rFonts w:ascii="Times New Roman" w:hAnsi="Times New Roman" w:cs="Times New Roman"/>
            <w:noProof/>
          </w:rPr>
          <w:t>2.4.5</w:t>
        </w:r>
        <w:r w:rsidR="00783505">
          <w:rPr>
            <w:rFonts w:eastAsiaTheme="minorEastAsia"/>
            <w:noProof/>
            <w:lang w:eastAsia="sk-SK"/>
          </w:rPr>
          <w:tab/>
        </w:r>
        <w:r w:rsidR="00783505" w:rsidRPr="00184604">
          <w:rPr>
            <w:rStyle w:val="Hypertextovprepojenie"/>
            <w:rFonts w:ascii="Times New Roman" w:hAnsi="Times New Roman" w:cs="Times New Roman"/>
            <w:noProof/>
          </w:rPr>
          <w:t>Plánované opatrenia v sektore spotrebiče</w:t>
        </w:r>
        <w:r w:rsidR="00783505">
          <w:rPr>
            <w:noProof/>
            <w:webHidden/>
          </w:rPr>
          <w:tab/>
        </w:r>
        <w:r w:rsidR="00783505">
          <w:rPr>
            <w:noProof/>
            <w:webHidden/>
          </w:rPr>
          <w:fldChar w:fldCharType="begin"/>
        </w:r>
        <w:r w:rsidR="00783505">
          <w:rPr>
            <w:noProof/>
            <w:webHidden/>
          </w:rPr>
          <w:instrText xml:space="preserve"> PAGEREF _Toc477345359 \h </w:instrText>
        </w:r>
        <w:r w:rsidR="00783505">
          <w:rPr>
            <w:noProof/>
            <w:webHidden/>
          </w:rPr>
        </w:r>
        <w:r w:rsidR="00783505">
          <w:rPr>
            <w:noProof/>
            <w:webHidden/>
          </w:rPr>
          <w:fldChar w:fldCharType="separate"/>
        </w:r>
        <w:r w:rsidR="00A267BF">
          <w:rPr>
            <w:noProof/>
            <w:webHidden/>
          </w:rPr>
          <w:t>31</w:t>
        </w:r>
        <w:r w:rsidR="00783505">
          <w:rPr>
            <w:noProof/>
            <w:webHidden/>
          </w:rPr>
          <w:fldChar w:fldCharType="end"/>
        </w:r>
      </w:hyperlink>
    </w:p>
    <w:p w14:paraId="2C709A01" w14:textId="030C2DBA" w:rsidR="00783505" w:rsidRDefault="00560387">
      <w:pPr>
        <w:pStyle w:val="Obsah3"/>
        <w:rPr>
          <w:rFonts w:eastAsiaTheme="minorEastAsia"/>
          <w:noProof/>
          <w:lang w:eastAsia="sk-SK"/>
        </w:rPr>
      </w:pPr>
      <w:hyperlink w:anchor="_Toc477345360" w:history="1">
        <w:r w:rsidR="00783505" w:rsidRPr="00184604">
          <w:rPr>
            <w:rStyle w:val="Hypertextovprepojenie"/>
            <w:rFonts w:ascii="Times New Roman" w:hAnsi="Times New Roman" w:cs="Times New Roman"/>
            <w:noProof/>
          </w:rPr>
          <w:t>2.4.6</w:t>
        </w:r>
        <w:r w:rsidR="00783505">
          <w:rPr>
            <w:rFonts w:eastAsiaTheme="minorEastAsia"/>
            <w:noProof/>
            <w:lang w:eastAsia="sk-SK"/>
          </w:rPr>
          <w:tab/>
        </w:r>
        <w:r w:rsidR="00783505" w:rsidRPr="00184604">
          <w:rPr>
            <w:rStyle w:val="Hypertextovprepojenie"/>
            <w:rFonts w:ascii="Times New Roman" w:hAnsi="Times New Roman" w:cs="Times New Roman"/>
            <w:noProof/>
          </w:rPr>
          <w:t>Plánované opatrenia v sektore premena, prenos a distribúcia energie</w:t>
        </w:r>
        <w:r w:rsidR="00783505">
          <w:rPr>
            <w:noProof/>
            <w:webHidden/>
          </w:rPr>
          <w:tab/>
        </w:r>
        <w:r w:rsidR="00783505">
          <w:rPr>
            <w:noProof/>
            <w:webHidden/>
          </w:rPr>
          <w:fldChar w:fldCharType="begin"/>
        </w:r>
        <w:r w:rsidR="00783505">
          <w:rPr>
            <w:noProof/>
            <w:webHidden/>
          </w:rPr>
          <w:instrText xml:space="preserve"> PAGEREF _Toc477345360 \h </w:instrText>
        </w:r>
        <w:r w:rsidR="00783505">
          <w:rPr>
            <w:noProof/>
            <w:webHidden/>
          </w:rPr>
        </w:r>
        <w:r w:rsidR="00783505">
          <w:rPr>
            <w:noProof/>
            <w:webHidden/>
          </w:rPr>
          <w:fldChar w:fldCharType="separate"/>
        </w:r>
        <w:r w:rsidR="00A267BF">
          <w:rPr>
            <w:noProof/>
            <w:webHidden/>
          </w:rPr>
          <w:t>31</w:t>
        </w:r>
        <w:r w:rsidR="00783505">
          <w:rPr>
            <w:noProof/>
            <w:webHidden/>
          </w:rPr>
          <w:fldChar w:fldCharType="end"/>
        </w:r>
      </w:hyperlink>
    </w:p>
    <w:p w14:paraId="76D0D820" w14:textId="1D5CCADD" w:rsidR="00783505" w:rsidRDefault="00560387">
      <w:pPr>
        <w:pStyle w:val="Obsah3"/>
        <w:rPr>
          <w:rFonts w:eastAsiaTheme="minorEastAsia"/>
          <w:noProof/>
          <w:lang w:eastAsia="sk-SK"/>
        </w:rPr>
      </w:pPr>
      <w:hyperlink w:anchor="_Toc477345361" w:history="1">
        <w:r w:rsidR="00783505" w:rsidRPr="00184604">
          <w:rPr>
            <w:rStyle w:val="Hypertextovprepojenie"/>
            <w:rFonts w:ascii="Times New Roman" w:hAnsi="Times New Roman" w:cs="Times New Roman"/>
            <w:noProof/>
          </w:rPr>
          <w:t>2.4.7</w:t>
        </w:r>
        <w:r w:rsidR="00783505">
          <w:rPr>
            <w:rFonts w:eastAsiaTheme="minorEastAsia"/>
            <w:noProof/>
            <w:lang w:eastAsia="sk-SK"/>
          </w:rPr>
          <w:tab/>
        </w:r>
        <w:r w:rsidR="00783505" w:rsidRPr="00184604">
          <w:rPr>
            <w:rStyle w:val="Hypertextovprepojenie"/>
            <w:rFonts w:ascii="Times New Roman" w:hAnsi="Times New Roman" w:cs="Times New Roman"/>
            <w:noProof/>
          </w:rPr>
          <w:t>Sumárny návrh plánovaných opatrení</w:t>
        </w:r>
        <w:r w:rsidR="00783505">
          <w:rPr>
            <w:noProof/>
            <w:webHidden/>
          </w:rPr>
          <w:tab/>
        </w:r>
        <w:r w:rsidR="00783505">
          <w:rPr>
            <w:noProof/>
            <w:webHidden/>
          </w:rPr>
          <w:fldChar w:fldCharType="begin"/>
        </w:r>
        <w:r w:rsidR="00783505">
          <w:rPr>
            <w:noProof/>
            <w:webHidden/>
          </w:rPr>
          <w:instrText xml:space="preserve"> PAGEREF _Toc477345361 \h </w:instrText>
        </w:r>
        <w:r w:rsidR="00783505">
          <w:rPr>
            <w:noProof/>
            <w:webHidden/>
          </w:rPr>
        </w:r>
        <w:r w:rsidR="00783505">
          <w:rPr>
            <w:noProof/>
            <w:webHidden/>
          </w:rPr>
          <w:fldChar w:fldCharType="separate"/>
        </w:r>
        <w:r w:rsidR="00A267BF">
          <w:rPr>
            <w:noProof/>
            <w:webHidden/>
          </w:rPr>
          <w:t>31</w:t>
        </w:r>
        <w:r w:rsidR="00783505">
          <w:rPr>
            <w:noProof/>
            <w:webHidden/>
          </w:rPr>
          <w:fldChar w:fldCharType="end"/>
        </w:r>
      </w:hyperlink>
    </w:p>
    <w:p w14:paraId="45003391" w14:textId="27572A45" w:rsidR="00783505" w:rsidRDefault="00560387">
      <w:pPr>
        <w:pStyle w:val="Obsah1"/>
        <w:tabs>
          <w:tab w:val="left" w:pos="440"/>
          <w:tab w:val="right" w:leader="dot" w:pos="9062"/>
        </w:tabs>
        <w:rPr>
          <w:rFonts w:eastAsiaTheme="minorEastAsia"/>
          <w:noProof/>
          <w:lang w:eastAsia="sk-SK"/>
        </w:rPr>
      </w:pPr>
      <w:hyperlink w:anchor="_Toc477345362" w:history="1">
        <w:r w:rsidR="00783505" w:rsidRPr="00184604">
          <w:rPr>
            <w:rStyle w:val="Hypertextovprepojenie"/>
            <w:rFonts w:ascii="Times New Roman" w:hAnsi="Times New Roman" w:cs="Times New Roman"/>
            <w:b/>
            <w:noProof/>
          </w:rPr>
          <w:t>3.</w:t>
        </w:r>
        <w:r w:rsidR="00783505">
          <w:rPr>
            <w:rFonts w:eastAsiaTheme="minorEastAsia"/>
            <w:noProof/>
            <w:lang w:eastAsia="sk-SK"/>
          </w:rPr>
          <w:tab/>
        </w:r>
        <w:r w:rsidR="00783505" w:rsidRPr="00184604">
          <w:rPr>
            <w:rStyle w:val="Hypertextovprepojenie"/>
            <w:rFonts w:ascii="Times New Roman" w:hAnsi="Times New Roman" w:cs="Times New Roman"/>
            <w:b/>
            <w:noProof/>
          </w:rPr>
          <w:t>Politické opatrenia na vykonávanie smernice o energetickej efektívnosti</w:t>
        </w:r>
        <w:r w:rsidR="00783505">
          <w:rPr>
            <w:noProof/>
            <w:webHidden/>
          </w:rPr>
          <w:tab/>
        </w:r>
        <w:r w:rsidR="00783505">
          <w:rPr>
            <w:noProof/>
            <w:webHidden/>
          </w:rPr>
          <w:fldChar w:fldCharType="begin"/>
        </w:r>
        <w:r w:rsidR="00783505">
          <w:rPr>
            <w:noProof/>
            <w:webHidden/>
          </w:rPr>
          <w:instrText xml:space="preserve"> PAGEREF _Toc477345362 \h </w:instrText>
        </w:r>
        <w:r w:rsidR="00783505">
          <w:rPr>
            <w:noProof/>
            <w:webHidden/>
          </w:rPr>
        </w:r>
        <w:r w:rsidR="00783505">
          <w:rPr>
            <w:noProof/>
            <w:webHidden/>
          </w:rPr>
          <w:fldChar w:fldCharType="separate"/>
        </w:r>
        <w:r w:rsidR="00A267BF">
          <w:rPr>
            <w:noProof/>
            <w:webHidden/>
          </w:rPr>
          <w:t>35</w:t>
        </w:r>
        <w:r w:rsidR="00783505">
          <w:rPr>
            <w:noProof/>
            <w:webHidden/>
          </w:rPr>
          <w:fldChar w:fldCharType="end"/>
        </w:r>
      </w:hyperlink>
    </w:p>
    <w:p w14:paraId="33C729E7" w14:textId="47426B60" w:rsidR="00783505" w:rsidRDefault="00560387" w:rsidP="00A267BF">
      <w:pPr>
        <w:pStyle w:val="Obsah2"/>
        <w:rPr>
          <w:rFonts w:eastAsiaTheme="minorEastAsia"/>
          <w:noProof/>
          <w:lang w:eastAsia="sk-SK"/>
        </w:rPr>
      </w:pPr>
      <w:hyperlink w:anchor="_Toc477345363" w:history="1">
        <w:r w:rsidR="00783505" w:rsidRPr="00184604">
          <w:rPr>
            <w:rStyle w:val="Hypertextovprepojenie"/>
            <w:rFonts w:ascii="Times New Roman" w:hAnsi="Times New Roman" w:cs="Times New Roman"/>
            <w:noProof/>
          </w:rPr>
          <w:t>3.1.</w:t>
        </w:r>
        <w:r w:rsidR="00783505">
          <w:rPr>
            <w:rFonts w:eastAsiaTheme="minorEastAsia"/>
            <w:noProof/>
            <w:lang w:eastAsia="sk-SK"/>
          </w:rPr>
          <w:tab/>
        </w:r>
        <w:r w:rsidR="00783505" w:rsidRPr="00184604">
          <w:rPr>
            <w:rStyle w:val="Hypertextovprepojenie"/>
            <w:rFonts w:ascii="Times New Roman" w:hAnsi="Times New Roman" w:cs="Times New Roman"/>
            <w:noProof/>
          </w:rPr>
          <w:t>Horizontálne opatrenia</w:t>
        </w:r>
        <w:r w:rsidR="00783505">
          <w:rPr>
            <w:noProof/>
            <w:webHidden/>
          </w:rPr>
          <w:tab/>
        </w:r>
        <w:r w:rsidR="00783505">
          <w:rPr>
            <w:noProof/>
            <w:webHidden/>
          </w:rPr>
          <w:fldChar w:fldCharType="begin"/>
        </w:r>
        <w:r w:rsidR="00783505">
          <w:rPr>
            <w:noProof/>
            <w:webHidden/>
          </w:rPr>
          <w:instrText xml:space="preserve"> PAGEREF _Toc477345363 \h </w:instrText>
        </w:r>
        <w:r w:rsidR="00783505">
          <w:rPr>
            <w:noProof/>
            <w:webHidden/>
          </w:rPr>
        </w:r>
        <w:r w:rsidR="00783505">
          <w:rPr>
            <w:noProof/>
            <w:webHidden/>
          </w:rPr>
          <w:fldChar w:fldCharType="separate"/>
        </w:r>
        <w:r w:rsidR="00A267BF">
          <w:rPr>
            <w:noProof/>
            <w:webHidden/>
          </w:rPr>
          <w:t>35</w:t>
        </w:r>
        <w:r w:rsidR="00783505">
          <w:rPr>
            <w:noProof/>
            <w:webHidden/>
          </w:rPr>
          <w:fldChar w:fldCharType="end"/>
        </w:r>
      </w:hyperlink>
    </w:p>
    <w:p w14:paraId="7A9F4FCB" w14:textId="3FAB454F" w:rsidR="00783505" w:rsidRDefault="00560387">
      <w:pPr>
        <w:pStyle w:val="Obsah3"/>
        <w:rPr>
          <w:rFonts w:eastAsiaTheme="minorEastAsia"/>
          <w:noProof/>
          <w:lang w:eastAsia="sk-SK"/>
        </w:rPr>
      </w:pPr>
      <w:hyperlink w:anchor="_Toc477345364" w:history="1">
        <w:r w:rsidR="00783505" w:rsidRPr="00184604">
          <w:rPr>
            <w:rStyle w:val="Hypertextovprepojenie"/>
            <w:rFonts w:ascii="Times New Roman" w:hAnsi="Times New Roman" w:cs="Times New Roman"/>
            <w:noProof/>
          </w:rPr>
          <w:t>3.1.1.</w:t>
        </w:r>
        <w:r w:rsidR="00783505">
          <w:rPr>
            <w:rFonts w:eastAsiaTheme="minorEastAsia"/>
            <w:noProof/>
            <w:lang w:eastAsia="sk-SK"/>
          </w:rPr>
          <w:tab/>
        </w:r>
        <w:r w:rsidR="00783505" w:rsidRPr="00184604">
          <w:rPr>
            <w:rStyle w:val="Hypertextovprepojenie"/>
            <w:rFonts w:ascii="Times New Roman" w:hAnsi="Times New Roman" w:cs="Times New Roman"/>
            <w:noProof/>
          </w:rPr>
          <w:t>Povinné schémy energetickej efektívnosti a alternatívne politické opatrenia (článok 7 SEE)</w:t>
        </w:r>
        <w:r w:rsidR="00783505">
          <w:rPr>
            <w:noProof/>
            <w:webHidden/>
          </w:rPr>
          <w:tab/>
        </w:r>
        <w:r w:rsidR="00783505">
          <w:rPr>
            <w:noProof/>
            <w:webHidden/>
          </w:rPr>
          <w:fldChar w:fldCharType="begin"/>
        </w:r>
        <w:r w:rsidR="00783505">
          <w:rPr>
            <w:noProof/>
            <w:webHidden/>
          </w:rPr>
          <w:instrText xml:space="preserve"> PAGEREF _Toc477345364 \h </w:instrText>
        </w:r>
        <w:r w:rsidR="00783505">
          <w:rPr>
            <w:noProof/>
            <w:webHidden/>
          </w:rPr>
        </w:r>
        <w:r w:rsidR="00783505">
          <w:rPr>
            <w:noProof/>
            <w:webHidden/>
          </w:rPr>
          <w:fldChar w:fldCharType="separate"/>
        </w:r>
        <w:r w:rsidR="00A267BF">
          <w:rPr>
            <w:noProof/>
            <w:webHidden/>
          </w:rPr>
          <w:t>35</w:t>
        </w:r>
        <w:r w:rsidR="00783505">
          <w:rPr>
            <w:noProof/>
            <w:webHidden/>
          </w:rPr>
          <w:fldChar w:fldCharType="end"/>
        </w:r>
      </w:hyperlink>
    </w:p>
    <w:p w14:paraId="4CC50685" w14:textId="48248CEE" w:rsidR="00783505" w:rsidRDefault="00560387">
      <w:pPr>
        <w:pStyle w:val="Obsah4"/>
        <w:rPr>
          <w:rFonts w:eastAsiaTheme="minorEastAsia"/>
          <w:noProof/>
          <w:lang w:eastAsia="sk-SK"/>
        </w:rPr>
      </w:pPr>
      <w:hyperlink w:anchor="_Toc477345365" w:history="1">
        <w:r w:rsidR="00783505" w:rsidRPr="00184604">
          <w:rPr>
            <w:rStyle w:val="Hypertextovprepojenie"/>
            <w:rFonts w:ascii="Times New Roman" w:eastAsia="Times New Roman" w:hAnsi="Times New Roman" w:cs="Times New Roman"/>
            <w:noProof/>
            <w:lang w:eastAsia="sk-SK"/>
          </w:rPr>
          <w:t>3.1.1.1.</w:t>
        </w:r>
        <w:r w:rsidR="00783505">
          <w:rPr>
            <w:rFonts w:eastAsiaTheme="minorEastAsia"/>
            <w:noProof/>
            <w:lang w:eastAsia="sk-SK"/>
          </w:rPr>
          <w:tab/>
        </w:r>
        <w:r w:rsidR="00783505" w:rsidRPr="00184604">
          <w:rPr>
            <w:rStyle w:val="Hypertextovprepojenie"/>
            <w:rFonts w:ascii="Times New Roman" w:eastAsia="Times New Roman" w:hAnsi="Times New Roman" w:cs="Times New Roman"/>
            <w:noProof/>
            <w:lang w:eastAsia="sk-SK"/>
          </w:rPr>
          <w:t>Celkové úspory energie počas obdobia povinnosti</w:t>
        </w:r>
        <w:r w:rsidR="00783505">
          <w:rPr>
            <w:noProof/>
            <w:webHidden/>
          </w:rPr>
          <w:tab/>
        </w:r>
        <w:r w:rsidR="00783505">
          <w:rPr>
            <w:noProof/>
            <w:webHidden/>
          </w:rPr>
          <w:fldChar w:fldCharType="begin"/>
        </w:r>
        <w:r w:rsidR="00783505">
          <w:rPr>
            <w:noProof/>
            <w:webHidden/>
          </w:rPr>
          <w:instrText xml:space="preserve"> PAGEREF _Toc477345365 \h </w:instrText>
        </w:r>
        <w:r w:rsidR="00783505">
          <w:rPr>
            <w:noProof/>
            <w:webHidden/>
          </w:rPr>
        </w:r>
        <w:r w:rsidR="00783505">
          <w:rPr>
            <w:noProof/>
            <w:webHidden/>
          </w:rPr>
          <w:fldChar w:fldCharType="separate"/>
        </w:r>
        <w:r w:rsidR="00A267BF">
          <w:rPr>
            <w:noProof/>
            <w:webHidden/>
          </w:rPr>
          <w:t>35</w:t>
        </w:r>
        <w:r w:rsidR="00783505">
          <w:rPr>
            <w:noProof/>
            <w:webHidden/>
          </w:rPr>
          <w:fldChar w:fldCharType="end"/>
        </w:r>
      </w:hyperlink>
    </w:p>
    <w:p w14:paraId="3D980C2F" w14:textId="5F66B0CF" w:rsidR="00783505" w:rsidRDefault="00560387">
      <w:pPr>
        <w:pStyle w:val="Obsah4"/>
        <w:rPr>
          <w:rFonts w:eastAsiaTheme="minorEastAsia"/>
          <w:noProof/>
          <w:lang w:eastAsia="sk-SK"/>
        </w:rPr>
      </w:pPr>
      <w:hyperlink w:anchor="_Toc477345366" w:history="1">
        <w:r w:rsidR="00783505" w:rsidRPr="00184604">
          <w:rPr>
            <w:rStyle w:val="Hypertextovprepojenie"/>
            <w:rFonts w:ascii="Times New Roman" w:eastAsia="Times New Roman" w:hAnsi="Times New Roman" w:cs="Times New Roman"/>
            <w:noProof/>
            <w:lang w:eastAsia="sk-SK"/>
          </w:rPr>
          <w:t>3.1.1.2.</w:t>
        </w:r>
        <w:r w:rsidR="00783505">
          <w:rPr>
            <w:rFonts w:eastAsiaTheme="minorEastAsia"/>
            <w:noProof/>
            <w:lang w:eastAsia="sk-SK"/>
          </w:rPr>
          <w:tab/>
        </w:r>
        <w:r w:rsidR="00783505" w:rsidRPr="00184604">
          <w:rPr>
            <w:rStyle w:val="Hypertextovprepojenie"/>
            <w:rFonts w:ascii="Times New Roman" w:eastAsia="Times New Roman" w:hAnsi="Times New Roman" w:cs="Times New Roman"/>
            <w:noProof/>
            <w:lang w:eastAsia="sk-SK"/>
          </w:rPr>
          <w:t>Národná povinná schéma energetickej efektívnosti podľa článku 7 ods. 1</w:t>
        </w:r>
        <w:r w:rsidR="00783505">
          <w:rPr>
            <w:noProof/>
            <w:webHidden/>
          </w:rPr>
          <w:tab/>
        </w:r>
        <w:r w:rsidR="00783505">
          <w:rPr>
            <w:noProof/>
            <w:webHidden/>
          </w:rPr>
          <w:fldChar w:fldCharType="begin"/>
        </w:r>
        <w:r w:rsidR="00783505">
          <w:rPr>
            <w:noProof/>
            <w:webHidden/>
          </w:rPr>
          <w:instrText xml:space="preserve"> PAGEREF _Toc477345366 \h </w:instrText>
        </w:r>
        <w:r w:rsidR="00783505">
          <w:rPr>
            <w:noProof/>
            <w:webHidden/>
          </w:rPr>
        </w:r>
        <w:r w:rsidR="00783505">
          <w:rPr>
            <w:noProof/>
            <w:webHidden/>
          </w:rPr>
          <w:fldChar w:fldCharType="separate"/>
        </w:r>
        <w:r w:rsidR="00A267BF">
          <w:rPr>
            <w:noProof/>
            <w:webHidden/>
          </w:rPr>
          <w:t>36</w:t>
        </w:r>
        <w:r w:rsidR="00783505">
          <w:rPr>
            <w:noProof/>
            <w:webHidden/>
          </w:rPr>
          <w:fldChar w:fldCharType="end"/>
        </w:r>
      </w:hyperlink>
    </w:p>
    <w:p w14:paraId="0D18482F" w14:textId="78F13907" w:rsidR="00783505" w:rsidRDefault="00560387">
      <w:pPr>
        <w:pStyle w:val="Obsah4"/>
        <w:rPr>
          <w:rFonts w:eastAsiaTheme="minorEastAsia"/>
          <w:noProof/>
          <w:lang w:eastAsia="sk-SK"/>
        </w:rPr>
      </w:pPr>
      <w:hyperlink w:anchor="_Toc477345367" w:history="1">
        <w:r w:rsidR="00783505" w:rsidRPr="00184604">
          <w:rPr>
            <w:rStyle w:val="Hypertextovprepojenie"/>
            <w:rFonts w:ascii="Times New Roman" w:eastAsia="Times New Roman" w:hAnsi="Times New Roman" w:cs="Times New Roman"/>
            <w:noProof/>
            <w:lang w:eastAsia="sk-SK"/>
          </w:rPr>
          <w:t>3.1.1.3.</w:t>
        </w:r>
        <w:r w:rsidR="00783505">
          <w:rPr>
            <w:rFonts w:eastAsiaTheme="minorEastAsia"/>
            <w:noProof/>
            <w:lang w:eastAsia="sk-SK"/>
          </w:rPr>
          <w:tab/>
        </w:r>
        <w:r w:rsidR="00783505" w:rsidRPr="00184604">
          <w:rPr>
            <w:rStyle w:val="Hypertextovprepojenie"/>
            <w:rFonts w:ascii="Times New Roman" w:eastAsia="Times New Roman" w:hAnsi="Times New Roman" w:cs="Times New Roman"/>
            <w:noProof/>
            <w:lang w:eastAsia="sk-SK"/>
          </w:rPr>
          <w:t>Alternatívne politické opatrenia prijaté na účely uplatňovania čl. 7 ods. 9 a čl. 20 ods. 6</w:t>
        </w:r>
        <w:r w:rsidR="00783505">
          <w:rPr>
            <w:noProof/>
            <w:webHidden/>
          </w:rPr>
          <w:tab/>
        </w:r>
        <w:r w:rsidR="00783505">
          <w:rPr>
            <w:noProof/>
            <w:webHidden/>
          </w:rPr>
          <w:fldChar w:fldCharType="begin"/>
        </w:r>
        <w:r w:rsidR="00783505">
          <w:rPr>
            <w:noProof/>
            <w:webHidden/>
          </w:rPr>
          <w:instrText xml:space="preserve"> PAGEREF _Toc477345367 \h </w:instrText>
        </w:r>
        <w:r w:rsidR="00783505">
          <w:rPr>
            <w:noProof/>
            <w:webHidden/>
          </w:rPr>
        </w:r>
        <w:r w:rsidR="00783505">
          <w:rPr>
            <w:noProof/>
            <w:webHidden/>
          </w:rPr>
          <w:fldChar w:fldCharType="separate"/>
        </w:r>
        <w:r w:rsidR="00A267BF">
          <w:rPr>
            <w:noProof/>
            <w:webHidden/>
          </w:rPr>
          <w:t>36</w:t>
        </w:r>
        <w:r w:rsidR="00783505">
          <w:rPr>
            <w:noProof/>
            <w:webHidden/>
          </w:rPr>
          <w:fldChar w:fldCharType="end"/>
        </w:r>
      </w:hyperlink>
    </w:p>
    <w:p w14:paraId="7795F622" w14:textId="043E87B2" w:rsidR="00783505" w:rsidRDefault="00560387">
      <w:pPr>
        <w:pStyle w:val="Obsah4"/>
        <w:rPr>
          <w:rFonts w:eastAsiaTheme="minorEastAsia"/>
          <w:noProof/>
          <w:lang w:eastAsia="sk-SK"/>
        </w:rPr>
      </w:pPr>
      <w:hyperlink w:anchor="_Toc477345368" w:history="1">
        <w:r w:rsidR="00783505" w:rsidRPr="00184604">
          <w:rPr>
            <w:rStyle w:val="Hypertextovprepojenie"/>
            <w:rFonts w:ascii="Times New Roman" w:eastAsia="Times New Roman" w:hAnsi="Times New Roman" w:cs="Times New Roman"/>
            <w:noProof/>
            <w:lang w:eastAsia="sk-SK"/>
          </w:rPr>
          <w:t>3.1.1.4.</w:t>
        </w:r>
        <w:r w:rsidR="00783505">
          <w:rPr>
            <w:rFonts w:eastAsiaTheme="minorEastAsia"/>
            <w:noProof/>
            <w:lang w:eastAsia="sk-SK"/>
          </w:rPr>
          <w:tab/>
        </w:r>
        <w:r w:rsidR="00783505" w:rsidRPr="00184604">
          <w:rPr>
            <w:rStyle w:val="Hypertextovprepojenie"/>
            <w:rFonts w:ascii="Times New Roman" w:eastAsia="Times New Roman" w:hAnsi="Times New Roman" w:cs="Times New Roman"/>
            <w:noProof/>
            <w:lang w:eastAsia="sk-SK"/>
          </w:rPr>
          <w:t>Zverejnené úspory energie dosiahnuté v dôsledku vykonávania povinnej schémy energetickej efektívnosti</w:t>
        </w:r>
        <w:r w:rsidR="00783505">
          <w:rPr>
            <w:noProof/>
            <w:webHidden/>
          </w:rPr>
          <w:tab/>
        </w:r>
        <w:r w:rsidR="00783505">
          <w:rPr>
            <w:noProof/>
            <w:webHidden/>
          </w:rPr>
          <w:fldChar w:fldCharType="begin"/>
        </w:r>
        <w:r w:rsidR="00783505">
          <w:rPr>
            <w:noProof/>
            <w:webHidden/>
          </w:rPr>
          <w:instrText xml:space="preserve"> PAGEREF _Toc477345368 \h </w:instrText>
        </w:r>
        <w:r w:rsidR="00783505">
          <w:rPr>
            <w:noProof/>
            <w:webHidden/>
          </w:rPr>
        </w:r>
        <w:r w:rsidR="00783505">
          <w:rPr>
            <w:noProof/>
            <w:webHidden/>
          </w:rPr>
          <w:fldChar w:fldCharType="separate"/>
        </w:r>
        <w:r w:rsidR="00A267BF">
          <w:rPr>
            <w:noProof/>
            <w:webHidden/>
          </w:rPr>
          <w:t>38</w:t>
        </w:r>
        <w:r w:rsidR="00783505">
          <w:rPr>
            <w:noProof/>
            <w:webHidden/>
          </w:rPr>
          <w:fldChar w:fldCharType="end"/>
        </w:r>
      </w:hyperlink>
    </w:p>
    <w:p w14:paraId="4F1065FE" w14:textId="3A7BBDEC" w:rsidR="00783505" w:rsidRDefault="00560387">
      <w:pPr>
        <w:pStyle w:val="Obsah4"/>
        <w:rPr>
          <w:rFonts w:eastAsiaTheme="minorEastAsia"/>
          <w:noProof/>
          <w:lang w:eastAsia="sk-SK"/>
        </w:rPr>
      </w:pPr>
      <w:hyperlink w:anchor="_Toc477345369" w:history="1">
        <w:r w:rsidR="00783505" w:rsidRPr="00184604">
          <w:rPr>
            <w:rStyle w:val="Hypertextovprepojenie"/>
            <w:rFonts w:ascii="Times New Roman" w:eastAsia="Times New Roman" w:hAnsi="Times New Roman" w:cs="Times New Roman"/>
            <w:noProof/>
            <w:lang w:eastAsia="sk-SK"/>
          </w:rPr>
          <w:t>3.1.1.5.</w:t>
        </w:r>
        <w:r w:rsidR="00783505">
          <w:rPr>
            <w:rFonts w:eastAsiaTheme="minorEastAsia"/>
            <w:noProof/>
            <w:lang w:eastAsia="sk-SK"/>
          </w:rPr>
          <w:tab/>
        </w:r>
        <w:r w:rsidR="00783505" w:rsidRPr="00184604">
          <w:rPr>
            <w:rStyle w:val="Hypertextovprepojenie"/>
            <w:rFonts w:ascii="Times New Roman" w:eastAsia="Times New Roman" w:hAnsi="Times New Roman" w:cs="Times New Roman"/>
            <w:noProof/>
            <w:lang w:eastAsia="sk-SK"/>
          </w:rPr>
          <w:t>Zverejnené úspory energie dosiahnuté v dôsledku vykonávania alternatívnych politických opatrení</w:t>
        </w:r>
        <w:r w:rsidR="00783505">
          <w:rPr>
            <w:noProof/>
            <w:webHidden/>
          </w:rPr>
          <w:tab/>
        </w:r>
        <w:r w:rsidR="00783505">
          <w:rPr>
            <w:noProof/>
            <w:webHidden/>
          </w:rPr>
          <w:fldChar w:fldCharType="begin"/>
        </w:r>
        <w:r w:rsidR="00783505">
          <w:rPr>
            <w:noProof/>
            <w:webHidden/>
          </w:rPr>
          <w:instrText xml:space="preserve"> PAGEREF _Toc477345369 \h </w:instrText>
        </w:r>
        <w:r w:rsidR="00783505">
          <w:rPr>
            <w:noProof/>
            <w:webHidden/>
          </w:rPr>
        </w:r>
        <w:r w:rsidR="00783505">
          <w:rPr>
            <w:noProof/>
            <w:webHidden/>
          </w:rPr>
          <w:fldChar w:fldCharType="separate"/>
        </w:r>
        <w:r w:rsidR="00A267BF">
          <w:rPr>
            <w:noProof/>
            <w:webHidden/>
          </w:rPr>
          <w:t>38</w:t>
        </w:r>
        <w:r w:rsidR="00783505">
          <w:rPr>
            <w:noProof/>
            <w:webHidden/>
          </w:rPr>
          <w:fldChar w:fldCharType="end"/>
        </w:r>
      </w:hyperlink>
    </w:p>
    <w:p w14:paraId="4325B3FD" w14:textId="4C621E05" w:rsidR="00783505" w:rsidRDefault="00560387">
      <w:pPr>
        <w:pStyle w:val="Obsah4"/>
        <w:rPr>
          <w:rFonts w:eastAsiaTheme="minorEastAsia"/>
          <w:noProof/>
          <w:lang w:eastAsia="sk-SK"/>
        </w:rPr>
      </w:pPr>
      <w:hyperlink w:anchor="_Toc477345370" w:history="1">
        <w:r w:rsidR="00783505" w:rsidRPr="00184604">
          <w:rPr>
            <w:rStyle w:val="Hypertextovprepojenie"/>
            <w:rFonts w:ascii="Times New Roman" w:eastAsia="Times New Roman" w:hAnsi="Times New Roman" w:cs="Times New Roman"/>
            <w:noProof/>
            <w:lang w:eastAsia="sk-SK"/>
          </w:rPr>
          <w:t>3.1.1.6.</w:t>
        </w:r>
        <w:r w:rsidR="00783505">
          <w:rPr>
            <w:rFonts w:eastAsiaTheme="minorEastAsia"/>
            <w:noProof/>
            <w:lang w:eastAsia="sk-SK"/>
          </w:rPr>
          <w:tab/>
        </w:r>
        <w:r w:rsidR="00783505" w:rsidRPr="00184604">
          <w:rPr>
            <w:rStyle w:val="Hypertextovprepojenie"/>
            <w:rFonts w:ascii="Times New Roman" w:eastAsia="Times New Roman" w:hAnsi="Times New Roman" w:cs="Times New Roman"/>
            <w:noProof/>
            <w:lang w:eastAsia="sk-SK"/>
          </w:rPr>
          <w:t>Podrobnosti o vnútroštátnych koeficientoch zvolených podľa prílohy IV k SEE</w:t>
        </w:r>
        <w:r w:rsidR="00783505">
          <w:rPr>
            <w:noProof/>
            <w:webHidden/>
          </w:rPr>
          <w:tab/>
        </w:r>
        <w:r w:rsidR="00783505">
          <w:rPr>
            <w:noProof/>
            <w:webHidden/>
          </w:rPr>
          <w:fldChar w:fldCharType="begin"/>
        </w:r>
        <w:r w:rsidR="00783505">
          <w:rPr>
            <w:noProof/>
            <w:webHidden/>
          </w:rPr>
          <w:instrText xml:space="preserve"> PAGEREF _Toc477345370 \h </w:instrText>
        </w:r>
        <w:r w:rsidR="00783505">
          <w:rPr>
            <w:noProof/>
            <w:webHidden/>
          </w:rPr>
        </w:r>
        <w:r w:rsidR="00783505">
          <w:rPr>
            <w:noProof/>
            <w:webHidden/>
          </w:rPr>
          <w:fldChar w:fldCharType="separate"/>
        </w:r>
        <w:r w:rsidR="00A267BF">
          <w:rPr>
            <w:noProof/>
            <w:webHidden/>
          </w:rPr>
          <w:t>39</w:t>
        </w:r>
        <w:r w:rsidR="00783505">
          <w:rPr>
            <w:noProof/>
            <w:webHidden/>
          </w:rPr>
          <w:fldChar w:fldCharType="end"/>
        </w:r>
      </w:hyperlink>
    </w:p>
    <w:p w14:paraId="1876CE46" w14:textId="3640D48F" w:rsidR="00783505" w:rsidRDefault="00560387">
      <w:pPr>
        <w:pStyle w:val="Obsah4"/>
        <w:rPr>
          <w:rFonts w:eastAsiaTheme="minorEastAsia"/>
          <w:noProof/>
          <w:lang w:eastAsia="sk-SK"/>
        </w:rPr>
      </w:pPr>
      <w:hyperlink w:anchor="_Toc477345371" w:history="1">
        <w:r w:rsidR="00783505" w:rsidRPr="00184604">
          <w:rPr>
            <w:rStyle w:val="Hypertextovprepojenie"/>
            <w:rFonts w:ascii="Times New Roman" w:eastAsia="Times New Roman" w:hAnsi="Times New Roman" w:cs="Times New Roman"/>
            <w:noProof/>
            <w:lang w:eastAsia="sk-SK"/>
          </w:rPr>
          <w:t>3.1.1.7.</w:t>
        </w:r>
        <w:r w:rsidR="00783505">
          <w:rPr>
            <w:rFonts w:eastAsiaTheme="minorEastAsia"/>
            <w:noProof/>
            <w:lang w:eastAsia="sk-SK"/>
          </w:rPr>
          <w:tab/>
        </w:r>
        <w:r w:rsidR="00783505" w:rsidRPr="00184604">
          <w:rPr>
            <w:rStyle w:val="Hypertextovprepojenie"/>
            <w:rFonts w:ascii="Times New Roman" w:eastAsia="Times New Roman" w:hAnsi="Times New Roman" w:cs="Times New Roman"/>
            <w:noProof/>
            <w:lang w:eastAsia="sk-SK"/>
          </w:rPr>
          <w:t>Informácie o akýchkoľvek metódach, okrem metódy stanovenej v prílohe V časti 2  písm. e) k SEE, použitých na zohľadnenie životnosti úspor energie</w:t>
        </w:r>
        <w:r w:rsidR="00783505">
          <w:rPr>
            <w:noProof/>
            <w:webHidden/>
          </w:rPr>
          <w:tab/>
        </w:r>
        <w:r w:rsidR="00783505">
          <w:rPr>
            <w:noProof/>
            <w:webHidden/>
          </w:rPr>
          <w:fldChar w:fldCharType="begin"/>
        </w:r>
        <w:r w:rsidR="00783505">
          <w:rPr>
            <w:noProof/>
            <w:webHidden/>
          </w:rPr>
          <w:instrText xml:space="preserve"> PAGEREF _Toc477345371 \h </w:instrText>
        </w:r>
        <w:r w:rsidR="00783505">
          <w:rPr>
            <w:noProof/>
            <w:webHidden/>
          </w:rPr>
        </w:r>
        <w:r w:rsidR="00783505">
          <w:rPr>
            <w:noProof/>
            <w:webHidden/>
          </w:rPr>
          <w:fldChar w:fldCharType="separate"/>
        </w:r>
        <w:r w:rsidR="00A267BF">
          <w:rPr>
            <w:noProof/>
            <w:webHidden/>
          </w:rPr>
          <w:t>40</w:t>
        </w:r>
        <w:r w:rsidR="00783505">
          <w:rPr>
            <w:noProof/>
            <w:webHidden/>
          </w:rPr>
          <w:fldChar w:fldCharType="end"/>
        </w:r>
      </w:hyperlink>
    </w:p>
    <w:p w14:paraId="20D41359" w14:textId="3213524A" w:rsidR="00783505" w:rsidRDefault="00560387">
      <w:pPr>
        <w:pStyle w:val="Obsah3"/>
        <w:rPr>
          <w:rFonts w:eastAsiaTheme="minorEastAsia"/>
          <w:noProof/>
          <w:lang w:eastAsia="sk-SK"/>
        </w:rPr>
      </w:pPr>
      <w:hyperlink w:anchor="_Toc477345372" w:history="1">
        <w:r w:rsidR="00783505" w:rsidRPr="00184604">
          <w:rPr>
            <w:rStyle w:val="Hypertextovprepojenie"/>
            <w:rFonts w:ascii="Times New Roman" w:hAnsi="Times New Roman" w:cs="Times New Roman"/>
            <w:noProof/>
          </w:rPr>
          <w:t>3.1.2.</w:t>
        </w:r>
        <w:r w:rsidR="00783505">
          <w:rPr>
            <w:rFonts w:eastAsiaTheme="minorEastAsia"/>
            <w:noProof/>
            <w:lang w:eastAsia="sk-SK"/>
          </w:rPr>
          <w:tab/>
        </w:r>
        <w:r w:rsidR="00783505" w:rsidRPr="00184604">
          <w:rPr>
            <w:rStyle w:val="Hypertextovprepojenie"/>
            <w:rFonts w:ascii="Times New Roman" w:hAnsi="Times New Roman" w:cs="Times New Roman"/>
            <w:noProof/>
          </w:rPr>
          <w:t>Energetické audity a systémy energetického manažérstva (článok 8 SEE)</w:t>
        </w:r>
        <w:r w:rsidR="00783505">
          <w:rPr>
            <w:noProof/>
            <w:webHidden/>
          </w:rPr>
          <w:tab/>
        </w:r>
        <w:r w:rsidR="00783505">
          <w:rPr>
            <w:noProof/>
            <w:webHidden/>
          </w:rPr>
          <w:fldChar w:fldCharType="begin"/>
        </w:r>
        <w:r w:rsidR="00783505">
          <w:rPr>
            <w:noProof/>
            <w:webHidden/>
          </w:rPr>
          <w:instrText xml:space="preserve"> PAGEREF _Toc477345372 \h </w:instrText>
        </w:r>
        <w:r w:rsidR="00783505">
          <w:rPr>
            <w:noProof/>
            <w:webHidden/>
          </w:rPr>
        </w:r>
        <w:r w:rsidR="00783505">
          <w:rPr>
            <w:noProof/>
            <w:webHidden/>
          </w:rPr>
          <w:fldChar w:fldCharType="separate"/>
        </w:r>
        <w:r w:rsidR="00A267BF">
          <w:rPr>
            <w:noProof/>
            <w:webHidden/>
          </w:rPr>
          <w:t>40</w:t>
        </w:r>
        <w:r w:rsidR="00783505">
          <w:rPr>
            <w:noProof/>
            <w:webHidden/>
          </w:rPr>
          <w:fldChar w:fldCharType="end"/>
        </w:r>
      </w:hyperlink>
    </w:p>
    <w:p w14:paraId="02F6EE7D" w14:textId="6591F890" w:rsidR="00783505" w:rsidRDefault="00560387">
      <w:pPr>
        <w:pStyle w:val="Obsah3"/>
        <w:rPr>
          <w:rFonts w:eastAsiaTheme="minorEastAsia"/>
          <w:noProof/>
          <w:lang w:eastAsia="sk-SK"/>
        </w:rPr>
      </w:pPr>
      <w:hyperlink w:anchor="_Toc477345373" w:history="1">
        <w:r w:rsidR="00783505" w:rsidRPr="00184604">
          <w:rPr>
            <w:rStyle w:val="Hypertextovprepojenie"/>
            <w:rFonts w:ascii="Times New Roman" w:hAnsi="Times New Roman" w:cs="Times New Roman"/>
            <w:noProof/>
          </w:rPr>
          <w:t>3.1.3.</w:t>
        </w:r>
        <w:r w:rsidR="00783505">
          <w:rPr>
            <w:rFonts w:eastAsiaTheme="minorEastAsia"/>
            <w:noProof/>
            <w:lang w:eastAsia="sk-SK"/>
          </w:rPr>
          <w:tab/>
        </w:r>
        <w:r w:rsidR="00783505" w:rsidRPr="00184604">
          <w:rPr>
            <w:rStyle w:val="Hypertextovprepojenie"/>
            <w:rFonts w:ascii="Times New Roman" w:hAnsi="Times New Roman" w:cs="Times New Roman"/>
            <w:noProof/>
          </w:rPr>
          <w:t>Meranie a vyúčtovanie (články 9 až 11 SEE)</w:t>
        </w:r>
        <w:r w:rsidR="00783505">
          <w:rPr>
            <w:noProof/>
            <w:webHidden/>
          </w:rPr>
          <w:tab/>
        </w:r>
        <w:r w:rsidR="00783505">
          <w:rPr>
            <w:noProof/>
            <w:webHidden/>
          </w:rPr>
          <w:fldChar w:fldCharType="begin"/>
        </w:r>
        <w:r w:rsidR="00783505">
          <w:rPr>
            <w:noProof/>
            <w:webHidden/>
          </w:rPr>
          <w:instrText xml:space="preserve"> PAGEREF _Toc477345373 \h </w:instrText>
        </w:r>
        <w:r w:rsidR="00783505">
          <w:rPr>
            <w:noProof/>
            <w:webHidden/>
          </w:rPr>
        </w:r>
        <w:r w:rsidR="00783505">
          <w:rPr>
            <w:noProof/>
            <w:webHidden/>
          </w:rPr>
          <w:fldChar w:fldCharType="separate"/>
        </w:r>
        <w:r w:rsidR="00A267BF">
          <w:rPr>
            <w:noProof/>
            <w:webHidden/>
          </w:rPr>
          <w:t>41</w:t>
        </w:r>
        <w:r w:rsidR="00783505">
          <w:rPr>
            <w:noProof/>
            <w:webHidden/>
          </w:rPr>
          <w:fldChar w:fldCharType="end"/>
        </w:r>
      </w:hyperlink>
    </w:p>
    <w:p w14:paraId="5627EAE1" w14:textId="1F29A0BC" w:rsidR="00783505" w:rsidRDefault="00560387">
      <w:pPr>
        <w:pStyle w:val="Obsah3"/>
        <w:rPr>
          <w:rFonts w:eastAsiaTheme="minorEastAsia"/>
          <w:noProof/>
          <w:lang w:eastAsia="sk-SK"/>
        </w:rPr>
      </w:pPr>
      <w:hyperlink w:anchor="_Toc477345374" w:history="1">
        <w:r w:rsidR="00783505" w:rsidRPr="00184604">
          <w:rPr>
            <w:rStyle w:val="Hypertextovprepojenie"/>
            <w:rFonts w:ascii="Times New Roman" w:hAnsi="Times New Roman" w:cs="Times New Roman"/>
            <w:noProof/>
          </w:rPr>
          <w:t>3.1.4.</w:t>
        </w:r>
        <w:r w:rsidR="00783505">
          <w:rPr>
            <w:rFonts w:eastAsiaTheme="minorEastAsia"/>
            <w:noProof/>
            <w:lang w:eastAsia="sk-SK"/>
          </w:rPr>
          <w:tab/>
        </w:r>
        <w:r w:rsidR="00783505" w:rsidRPr="00184604">
          <w:rPr>
            <w:rStyle w:val="Hypertextovprepojenie"/>
            <w:rFonts w:ascii="Times New Roman" w:hAnsi="Times New Roman" w:cs="Times New Roman"/>
            <w:noProof/>
          </w:rPr>
          <w:t>Programy na informovanie a odborná príprava pre spotrebiteľov (články 12 a 17 SEE)</w:t>
        </w:r>
        <w:r w:rsidR="00783505">
          <w:rPr>
            <w:noProof/>
            <w:webHidden/>
          </w:rPr>
          <w:tab/>
        </w:r>
        <w:r w:rsidR="00783505">
          <w:rPr>
            <w:noProof/>
            <w:webHidden/>
          </w:rPr>
          <w:fldChar w:fldCharType="begin"/>
        </w:r>
        <w:r w:rsidR="00783505">
          <w:rPr>
            <w:noProof/>
            <w:webHidden/>
          </w:rPr>
          <w:instrText xml:space="preserve"> PAGEREF _Toc477345374 \h </w:instrText>
        </w:r>
        <w:r w:rsidR="00783505">
          <w:rPr>
            <w:noProof/>
            <w:webHidden/>
          </w:rPr>
        </w:r>
        <w:r w:rsidR="00783505">
          <w:rPr>
            <w:noProof/>
            <w:webHidden/>
          </w:rPr>
          <w:fldChar w:fldCharType="separate"/>
        </w:r>
        <w:r w:rsidR="00A267BF">
          <w:rPr>
            <w:noProof/>
            <w:webHidden/>
          </w:rPr>
          <w:t>41</w:t>
        </w:r>
        <w:r w:rsidR="00783505">
          <w:rPr>
            <w:noProof/>
            <w:webHidden/>
          </w:rPr>
          <w:fldChar w:fldCharType="end"/>
        </w:r>
      </w:hyperlink>
    </w:p>
    <w:p w14:paraId="546A9FCB" w14:textId="231D1566" w:rsidR="00783505" w:rsidRDefault="00560387">
      <w:pPr>
        <w:pStyle w:val="Obsah3"/>
        <w:rPr>
          <w:rFonts w:eastAsiaTheme="minorEastAsia"/>
          <w:noProof/>
          <w:lang w:eastAsia="sk-SK"/>
        </w:rPr>
      </w:pPr>
      <w:hyperlink w:anchor="_Toc477345375" w:history="1">
        <w:r w:rsidR="00783505" w:rsidRPr="00184604">
          <w:rPr>
            <w:rStyle w:val="Hypertextovprepojenie"/>
            <w:rFonts w:ascii="Times New Roman" w:hAnsi="Times New Roman" w:cs="Times New Roman"/>
            <w:noProof/>
          </w:rPr>
          <w:t>3.1.5.</w:t>
        </w:r>
        <w:r w:rsidR="00783505">
          <w:rPr>
            <w:rFonts w:eastAsiaTheme="minorEastAsia"/>
            <w:noProof/>
            <w:lang w:eastAsia="sk-SK"/>
          </w:rPr>
          <w:tab/>
        </w:r>
        <w:r w:rsidR="00783505" w:rsidRPr="00184604">
          <w:rPr>
            <w:rStyle w:val="Hypertextovprepojenie"/>
            <w:rFonts w:ascii="Times New Roman" w:hAnsi="Times New Roman" w:cs="Times New Roman"/>
            <w:noProof/>
          </w:rPr>
          <w:t>Dostupnosť systémov kvalifikácie, akreditačných a certifikačných systémov (článok 16 SEE)</w:t>
        </w:r>
        <w:r w:rsidR="00783505">
          <w:rPr>
            <w:noProof/>
            <w:webHidden/>
          </w:rPr>
          <w:tab/>
        </w:r>
        <w:r w:rsidR="00783505">
          <w:rPr>
            <w:noProof/>
            <w:webHidden/>
          </w:rPr>
          <w:fldChar w:fldCharType="begin"/>
        </w:r>
        <w:r w:rsidR="00783505">
          <w:rPr>
            <w:noProof/>
            <w:webHidden/>
          </w:rPr>
          <w:instrText xml:space="preserve"> PAGEREF _Toc477345375 \h </w:instrText>
        </w:r>
        <w:r w:rsidR="00783505">
          <w:rPr>
            <w:noProof/>
            <w:webHidden/>
          </w:rPr>
        </w:r>
        <w:r w:rsidR="00783505">
          <w:rPr>
            <w:noProof/>
            <w:webHidden/>
          </w:rPr>
          <w:fldChar w:fldCharType="separate"/>
        </w:r>
        <w:r w:rsidR="00A267BF">
          <w:rPr>
            <w:noProof/>
            <w:webHidden/>
          </w:rPr>
          <w:t>42</w:t>
        </w:r>
        <w:r w:rsidR="00783505">
          <w:rPr>
            <w:noProof/>
            <w:webHidden/>
          </w:rPr>
          <w:fldChar w:fldCharType="end"/>
        </w:r>
      </w:hyperlink>
    </w:p>
    <w:p w14:paraId="1981085D" w14:textId="04C9D7D9" w:rsidR="00783505" w:rsidRDefault="00560387">
      <w:pPr>
        <w:pStyle w:val="Obsah3"/>
        <w:rPr>
          <w:rFonts w:eastAsiaTheme="minorEastAsia"/>
          <w:noProof/>
          <w:lang w:eastAsia="sk-SK"/>
        </w:rPr>
      </w:pPr>
      <w:hyperlink w:anchor="_Toc477345376" w:history="1">
        <w:r w:rsidR="00783505" w:rsidRPr="00184604">
          <w:rPr>
            <w:rStyle w:val="Hypertextovprepojenie"/>
            <w:rFonts w:ascii="Times New Roman" w:hAnsi="Times New Roman" w:cs="Times New Roman"/>
            <w:noProof/>
          </w:rPr>
          <w:t>3.1.6.</w:t>
        </w:r>
        <w:r w:rsidR="00783505">
          <w:rPr>
            <w:rFonts w:eastAsiaTheme="minorEastAsia"/>
            <w:noProof/>
            <w:lang w:eastAsia="sk-SK"/>
          </w:rPr>
          <w:tab/>
        </w:r>
        <w:r w:rsidR="00783505" w:rsidRPr="00184604">
          <w:rPr>
            <w:rStyle w:val="Hypertextovprepojenie"/>
            <w:rFonts w:ascii="Times New Roman" w:hAnsi="Times New Roman" w:cs="Times New Roman"/>
            <w:noProof/>
          </w:rPr>
          <w:t>Energetické služby (článok 18 SEE)</w:t>
        </w:r>
        <w:r w:rsidR="00783505">
          <w:rPr>
            <w:noProof/>
            <w:webHidden/>
          </w:rPr>
          <w:tab/>
        </w:r>
        <w:r w:rsidR="00783505">
          <w:rPr>
            <w:noProof/>
            <w:webHidden/>
          </w:rPr>
          <w:fldChar w:fldCharType="begin"/>
        </w:r>
        <w:r w:rsidR="00783505">
          <w:rPr>
            <w:noProof/>
            <w:webHidden/>
          </w:rPr>
          <w:instrText xml:space="preserve"> PAGEREF _Toc477345376 \h </w:instrText>
        </w:r>
        <w:r w:rsidR="00783505">
          <w:rPr>
            <w:noProof/>
            <w:webHidden/>
          </w:rPr>
        </w:r>
        <w:r w:rsidR="00783505">
          <w:rPr>
            <w:noProof/>
            <w:webHidden/>
          </w:rPr>
          <w:fldChar w:fldCharType="separate"/>
        </w:r>
        <w:r w:rsidR="00A267BF">
          <w:rPr>
            <w:noProof/>
            <w:webHidden/>
          </w:rPr>
          <w:t>43</w:t>
        </w:r>
        <w:r w:rsidR="00783505">
          <w:rPr>
            <w:noProof/>
            <w:webHidden/>
          </w:rPr>
          <w:fldChar w:fldCharType="end"/>
        </w:r>
      </w:hyperlink>
    </w:p>
    <w:p w14:paraId="062A948E" w14:textId="19A32BCC" w:rsidR="00783505" w:rsidRDefault="00560387">
      <w:pPr>
        <w:pStyle w:val="Obsah4"/>
        <w:rPr>
          <w:rFonts w:eastAsiaTheme="minorEastAsia"/>
          <w:noProof/>
          <w:lang w:eastAsia="sk-SK"/>
        </w:rPr>
      </w:pPr>
      <w:hyperlink w:anchor="_Toc477345377" w:history="1">
        <w:r w:rsidR="00783505" w:rsidRPr="00184604">
          <w:rPr>
            <w:rStyle w:val="Hypertextovprepojenie"/>
            <w:rFonts w:ascii="Times New Roman" w:eastAsia="Times New Roman" w:hAnsi="Times New Roman" w:cs="Times New Roman"/>
            <w:noProof/>
            <w:lang w:eastAsia="sk-SK"/>
          </w:rPr>
          <w:t>3.1.6.1.</w:t>
        </w:r>
        <w:r w:rsidR="00783505">
          <w:rPr>
            <w:rFonts w:eastAsiaTheme="minorEastAsia"/>
            <w:noProof/>
            <w:lang w:eastAsia="sk-SK"/>
          </w:rPr>
          <w:tab/>
        </w:r>
        <w:r w:rsidR="00783505" w:rsidRPr="00184604">
          <w:rPr>
            <w:rStyle w:val="Hypertextovprepojenie"/>
            <w:rFonts w:ascii="Times New Roman" w:eastAsia="Times New Roman" w:hAnsi="Times New Roman" w:cs="Times New Roman"/>
            <w:noProof/>
            <w:lang w:eastAsia="sk-SK"/>
          </w:rPr>
          <w:t>Informácie o prijatých opatreniach a opatreniach, ktoré sa plánujú prijať na podporovanie energetických služieb</w:t>
        </w:r>
        <w:r w:rsidR="00783505">
          <w:rPr>
            <w:noProof/>
            <w:webHidden/>
          </w:rPr>
          <w:tab/>
        </w:r>
        <w:r w:rsidR="00783505">
          <w:rPr>
            <w:noProof/>
            <w:webHidden/>
          </w:rPr>
          <w:fldChar w:fldCharType="begin"/>
        </w:r>
        <w:r w:rsidR="00783505">
          <w:rPr>
            <w:noProof/>
            <w:webHidden/>
          </w:rPr>
          <w:instrText xml:space="preserve"> PAGEREF _Toc477345377 \h </w:instrText>
        </w:r>
        <w:r w:rsidR="00783505">
          <w:rPr>
            <w:noProof/>
            <w:webHidden/>
          </w:rPr>
        </w:r>
        <w:r w:rsidR="00783505">
          <w:rPr>
            <w:noProof/>
            <w:webHidden/>
          </w:rPr>
          <w:fldChar w:fldCharType="separate"/>
        </w:r>
        <w:r w:rsidR="00A267BF">
          <w:rPr>
            <w:noProof/>
            <w:webHidden/>
          </w:rPr>
          <w:t>43</w:t>
        </w:r>
        <w:r w:rsidR="00783505">
          <w:rPr>
            <w:noProof/>
            <w:webHidden/>
          </w:rPr>
          <w:fldChar w:fldCharType="end"/>
        </w:r>
      </w:hyperlink>
    </w:p>
    <w:p w14:paraId="2A91CAFA" w14:textId="1BA21610" w:rsidR="00783505" w:rsidRDefault="00560387">
      <w:pPr>
        <w:pStyle w:val="Obsah4"/>
        <w:rPr>
          <w:rFonts w:eastAsiaTheme="minorEastAsia"/>
          <w:noProof/>
          <w:lang w:eastAsia="sk-SK"/>
        </w:rPr>
      </w:pPr>
      <w:hyperlink w:anchor="_Toc477345378" w:history="1">
        <w:r w:rsidR="00783505" w:rsidRPr="00184604">
          <w:rPr>
            <w:rStyle w:val="Hypertextovprepojenie"/>
            <w:rFonts w:ascii="Times New Roman" w:eastAsia="Times New Roman" w:hAnsi="Times New Roman" w:cs="Times New Roman"/>
            <w:noProof/>
            <w:lang w:eastAsia="sk-SK"/>
          </w:rPr>
          <w:t>3.1.6.2.</w:t>
        </w:r>
        <w:r w:rsidR="00783505">
          <w:rPr>
            <w:rFonts w:eastAsiaTheme="minorEastAsia"/>
            <w:noProof/>
            <w:lang w:eastAsia="sk-SK"/>
          </w:rPr>
          <w:tab/>
        </w:r>
        <w:r w:rsidR="00783505" w:rsidRPr="00184604">
          <w:rPr>
            <w:rStyle w:val="Hypertextovprepojenie"/>
            <w:rFonts w:ascii="Times New Roman" w:eastAsia="Times New Roman" w:hAnsi="Times New Roman" w:cs="Times New Roman"/>
            <w:noProof/>
            <w:lang w:eastAsia="sk-SK"/>
          </w:rPr>
          <w:t>Kvalitatívny prehľad vnútroštátneho trhu s energetickými službami</w:t>
        </w:r>
        <w:r w:rsidR="00783505">
          <w:rPr>
            <w:noProof/>
            <w:webHidden/>
          </w:rPr>
          <w:tab/>
        </w:r>
        <w:r w:rsidR="00783505">
          <w:rPr>
            <w:noProof/>
            <w:webHidden/>
          </w:rPr>
          <w:fldChar w:fldCharType="begin"/>
        </w:r>
        <w:r w:rsidR="00783505">
          <w:rPr>
            <w:noProof/>
            <w:webHidden/>
          </w:rPr>
          <w:instrText xml:space="preserve"> PAGEREF _Toc477345378 \h </w:instrText>
        </w:r>
        <w:r w:rsidR="00783505">
          <w:rPr>
            <w:noProof/>
            <w:webHidden/>
          </w:rPr>
        </w:r>
        <w:r w:rsidR="00783505">
          <w:rPr>
            <w:noProof/>
            <w:webHidden/>
          </w:rPr>
          <w:fldChar w:fldCharType="separate"/>
        </w:r>
        <w:r w:rsidR="00A267BF">
          <w:rPr>
            <w:noProof/>
            <w:webHidden/>
          </w:rPr>
          <w:t>45</w:t>
        </w:r>
        <w:r w:rsidR="00783505">
          <w:rPr>
            <w:noProof/>
            <w:webHidden/>
          </w:rPr>
          <w:fldChar w:fldCharType="end"/>
        </w:r>
      </w:hyperlink>
    </w:p>
    <w:p w14:paraId="3624A5EC" w14:textId="2C4129F8" w:rsidR="00783505" w:rsidRDefault="00560387">
      <w:pPr>
        <w:pStyle w:val="Obsah3"/>
        <w:rPr>
          <w:rFonts w:eastAsiaTheme="minorEastAsia"/>
          <w:noProof/>
          <w:lang w:eastAsia="sk-SK"/>
        </w:rPr>
      </w:pPr>
      <w:hyperlink w:anchor="_Toc477345379" w:history="1">
        <w:r w:rsidR="00783505" w:rsidRPr="00184604">
          <w:rPr>
            <w:rStyle w:val="Hypertextovprepojenie"/>
            <w:rFonts w:ascii="Times New Roman" w:hAnsi="Times New Roman" w:cs="Times New Roman"/>
            <w:noProof/>
          </w:rPr>
          <w:t>3.1.7.</w:t>
        </w:r>
        <w:r w:rsidR="00783505">
          <w:rPr>
            <w:rFonts w:eastAsiaTheme="minorEastAsia"/>
            <w:noProof/>
            <w:lang w:eastAsia="sk-SK"/>
          </w:rPr>
          <w:tab/>
        </w:r>
        <w:r w:rsidR="00783505" w:rsidRPr="00184604">
          <w:rPr>
            <w:rStyle w:val="Hypertextovprepojenie"/>
            <w:rFonts w:ascii="Times New Roman" w:hAnsi="Times New Roman" w:cs="Times New Roman"/>
            <w:noProof/>
          </w:rPr>
          <w:t>Ďalšie opatrenia horizontálneho charakteru (články 19 a 20 SEE)</w:t>
        </w:r>
        <w:r w:rsidR="00783505">
          <w:rPr>
            <w:noProof/>
            <w:webHidden/>
          </w:rPr>
          <w:tab/>
        </w:r>
        <w:r w:rsidR="00783505">
          <w:rPr>
            <w:noProof/>
            <w:webHidden/>
          </w:rPr>
          <w:fldChar w:fldCharType="begin"/>
        </w:r>
        <w:r w:rsidR="00783505">
          <w:rPr>
            <w:noProof/>
            <w:webHidden/>
          </w:rPr>
          <w:instrText xml:space="preserve"> PAGEREF _Toc477345379 \h </w:instrText>
        </w:r>
        <w:r w:rsidR="00783505">
          <w:rPr>
            <w:noProof/>
            <w:webHidden/>
          </w:rPr>
        </w:r>
        <w:r w:rsidR="00783505">
          <w:rPr>
            <w:noProof/>
            <w:webHidden/>
          </w:rPr>
          <w:fldChar w:fldCharType="separate"/>
        </w:r>
        <w:r w:rsidR="00A267BF">
          <w:rPr>
            <w:noProof/>
            <w:webHidden/>
          </w:rPr>
          <w:t>45</w:t>
        </w:r>
        <w:r w:rsidR="00783505">
          <w:rPr>
            <w:noProof/>
            <w:webHidden/>
          </w:rPr>
          <w:fldChar w:fldCharType="end"/>
        </w:r>
      </w:hyperlink>
    </w:p>
    <w:p w14:paraId="36FE250D" w14:textId="0F02B065" w:rsidR="00783505" w:rsidRDefault="00560387">
      <w:pPr>
        <w:pStyle w:val="Obsah4"/>
        <w:rPr>
          <w:rFonts w:eastAsiaTheme="minorEastAsia"/>
          <w:noProof/>
          <w:lang w:eastAsia="sk-SK"/>
        </w:rPr>
      </w:pPr>
      <w:hyperlink w:anchor="_Toc477345380" w:history="1">
        <w:r w:rsidR="00783505" w:rsidRPr="00184604">
          <w:rPr>
            <w:rStyle w:val="Hypertextovprepojenie"/>
            <w:rFonts w:ascii="Times New Roman" w:eastAsia="Times New Roman" w:hAnsi="Times New Roman" w:cs="Times New Roman"/>
            <w:noProof/>
            <w:lang w:eastAsia="sk-SK"/>
          </w:rPr>
          <w:t>3.1.7.1.</w:t>
        </w:r>
        <w:r w:rsidR="00783505">
          <w:rPr>
            <w:rFonts w:eastAsiaTheme="minorEastAsia"/>
            <w:noProof/>
            <w:lang w:eastAsia="sk-SK"/>
          </w:rPr>
          <w:tab/>
        </w:r>
        <w:r w:rsidR="00783505" w:rsidRPr="00184604">
          <w:rPr>
            <w:rStyle w:val="Hypertextovprepojenie"/>
            <w:rFonts w:ascii="Times New Roman" w:eastAsia="Times New Roman" w:hAnsi="Times New Roman" w:cs="Times New Roman"/>
            <w:noProof/>
            <w:lang w:eastAsia="sk-SK"/>
          </w:rPr>
          <w:t>Opatrenia v oblasti energetickej efektívnosti podniknuté v záujme vykonávania článku 19 SEE.</w:t>
        </w:r>
        <w:r w:rsidR="00783505">
          <w:rPr>
            <w:noProof/>
            <w:webHidden/>
          </w:rPr>
          <w:tab/>
        </w:r>
        <w:r w:rsidR="00783505">
          <w:rPr>
            <w:noProof/>
            <w:webHidden/>
          </w:rPr>
          <w:fldChar w:fldCharType="begin"/>
        </w:r>
        <w:r w:rsidR="00783505">
          <w:rPr>
            <w:noProof/>
            <w:webHidden/>
          </w:rPr>
          <w:instrText xml:space="preserve"> PAGEREF _Toc477345380 \h </w:instrText>
        </w:r>
        <w:r w:rsidR="00783505">
          <w:rPr>
            <w:noProof/>
            <w:webHidden/>
          </w:rPr>
        </w:r>
        <w:r w:rsidR="00783505">
          <w:rPr>
            <w:noProof/>
            <w:webHidden/>
          </w:rPr>
          <w:fldChar w:fldCharType="separate"/>
        </w:r>
        <w:r w:rsidR="00A267BF">
          <w:rPr>
            <w:noProof/>
            <w:webHidden/>
          </w:rPr>
          <w:t>45</w:t>
        </w:r>
        <w:r w:rsidR="00783505">
          <w:rPr>
            <w:noProof/>
            <w:webHidden/>
          </w:rPr>
          <w:fldChar w:fldCharType="end"/>
        </w:r>
      </w:hyperlink>
    </w:p>
    <w:p w14:paraId="4EE04727" w14:textId="08371F0B" w:rsidR="00783505" w:rsidRDefault="00560387">
      <w:pPr>
        <w:pStyle w:val="Obsah4"/>
        <w:rPr>
          <w:rFonts w:eastAsiaTheme="minorEastAsia"/>
          <w:noProof/>
          <w:lang w:eastAsia="sk-SK"/>
        </w:rPr>
      </w:pPr>
      <w:hyperlink w:anchor="_Toc477345381" w:history="1">
        <w:r w:rsidR="00783505" w:rsidRPr="00184604">
          <w:rPr>
            <w:rStyle w:val="Hypertextovprepojenie"/>
            <w:rFonts w:ascii="Times New Roman" w:eastAsia="Times New Roman" w:hAnsi="Times New Roman" w:cs="Times New Roman"/>
            <w:noProof/>
            <w:lang w:eastAsia="sk-SK"/>
          </w:rPr>
          <w:t>3.1.7.2.</w:t>
        </w:r>
        <w:r w:rsidR="00783505">
          <w:rPr>
            <w:rFonts w:eastAsiaTheme="minorEastAsia"/>
            <w:noProof/>
            <w:lang w:eastAsia="sk-SK"/>
          </w:rPr>
          <w:tab/>
        </w:r>
        <w:r w:rsidR="00783505" w:rsidRPr="00184604">
          <w:rPr>
            <w:rStyle w:val="Hypertextovprepojenie"/>
            <w:rFonts w:ascii="Times New Roman" w:eastAsia="Times New Roman" w:hAnsi="Times New Roman" w:cs="Times New Roman"/>
            <w:noProof/>
            <w:lang w:eastAsia="sk-SK"/>
          </w:rPr>
          <w:t>Informácie o národnom fonde energetickej efektívnosti</w:t>
        </w:r>
        <w:r w:rsidR="00783505">
          <w:rPr>
            <w:noProof/>
            <w:webHidden/>
          </w:rPr>
          <w:tab/>
        </w:r>
        <w:r w:rsidR="00783505">
          <w:rPr>
            <w:noProof/>
            <w:webHidden/>
          </w:rPr>
          <w:fldChar w:fldCharType="begin"/>
        </w:r>
        <w:r w:rsidR="00783505">
          <w:rPr>
            <w:noProof/>
            <w:webHidden/>
          </w:rPr>
          <w:instrText xml:space="preserve"> PAGEREF _Toc477345381 \h </w:instrText>
        </w:r>
        <w:r w:rsidR="00783505">
          <w:rPr>
            <w:noProof/>
            <w:webHidden/>
          </w:rPr>
        </w:r>
        <w:r w:rsidR="00783505">
          <w:rPr>
            <w:noProof/>
            <w:webHidden/>
          </w:rPr>
          <w:fldChar w:fldCharType="separate"/>
        </w:r>
        <w:r w:rsidR="00A267BF">
          <w:rPr>
            <w:noProof/>
            <w:webHidden/>
          </w:rPr>
          <w:t>45</w:t>
        </w:r>
        <w:r w:rsidR="00783505">
          <w:rPr>
            <w:noProof/>
            <w:webHidden/>
          </w:rPr>
          <w:fldChar w:fldCharType="end"/>
        </w:r>
      </w:hyperlink>
    </w:p>
    <w:p w14:paraId="0D167E6F" w14:textId="6666088A" w:rsidR="00783505" w:rsidRDefault="00560387">
      <w:pPr>
        <w:pStyle w:val="Obsah4"/>
        <w:rPr>
          <w:rFonts w:eastAsiaTheme="minorEastAsia"/>
          <w:noProof/>
          <w:lang w:eastAsia="sk-SK"/>
        </w:rPr>
      </w:pPr>
      <w:hyperlink w:anchor="_Toc477345382" w:history="1">
        <w:r w:rsidR="00783505" w:rsidRPr="00184604">
          <w:rPr>
            <w:rStyle w:val="Hypertextovprepojenie"/>
            <w:rFonts w:ascii="Times New Roman" w:eastAsia="Times New Roman" w:hAnsi="Times New Roman" w:cs="Times New Roman"/>
            <w:noProof/>
            <w:lang w:eastAsia="sk-SK"/>
          </w:rPr>
          <w:t>3.1.7.3.</w:t>
        </w:r>
        <w:r w:rsidR="00783505">
          <w:rPr>
            <w:rFonts w:eastAsiaTheme="minorEastAsia"/>
            <w:noProof/>
            <w:lang w:eastAsia="sk-SK"/>
          </w:rPr>
          <w:tab/>
        </w:r>
        <w:r w:rsidR="00783505" w:rsidRPr="00184604">
          <w:rPr>
            <w:rStyle w:val="Hypertextovprepojenie"/>
            <w:rFonts w:ascii="Times New Roman" w:eastAsia="Times New Roman" w:hAnsi="Times New Roman" w:cs="Times New Roman"/>
            <w:noProof/>
            <w:lang w:eastAsia="sk-SK"/>
          </w:rPr>
          <w:t>Ostatné horizontálne opatrenia</w:t>
        </w:r>
        <w:r w:rsidR="00783505">
          <w:rPr>
            <w:noProof/>
            <w:webHidden/>
          </w:rPr>
          <w:tab/>
        </w:r>
        <w:r w:rsidR="00783505">
          <w:rPr>
            <w:noProof/>
            <w:webHidden/>
          </w:rPr>
          <w:fldChar w:fldCharType="begin"/>
        </w:r>
        <w:r w:rsidR="00783505">
          <w:rPr>
            <w:noProof/>
            <w:webHidden/>
          </w:rPr>
          <w:instrText xml:space="preserve"> PAGEREF _Toc477345382 \h </w:instrText>
        </w:r>
        <w:r w:rsidR="00783505">
          <w:rPr>
            <w:noProof/>
            <w:webHidden/>
          </w:rPr>
        </w:r>
        <w:r w:rsidR="00783505">
          <w:rPr>
            <w:noProof/>
            <w:webHidden/>
          </w:rPr>
          <w:fldChar w:fldCharType="separate"/>
        </w:r>
        <w:r w:rsidR="00A267BF">
          <w:rPr>
            <w:noProof/>
            <w:webHidden/>
          </w:rPr>
          <w:t>46</w:t>
        </w:r>
        <w:r w:rsidR="00783505">
          <w:rPr>
            <w:noProof/>
            <w:webHidden/>
          </w:rPr>
          <w:fldChar w:fldCharType="end"/>
        </w:r>
      </w:hyperlink>
    </w:p>
    <w:p w14:paraId="32FD24F1" w14:textId="33232B26" w:rsidR="00783505" w:rsidRDefault="00560387" w:rsidP="00A267BF">
      <w:pPr>
        <w:pStyle w:val="Obsah2"/>
        <w:rPr>
          <w:rFonts w:eastAsiaTheme="minorEastAsia"/>
          <w:noProof/>
          <w:lang w:eastAsia="sk-SK"/>
        </w:rPr>
      </w:pPr>
      <w:hyperlink w:anchor="_Toc477345383" w:history="1">
        <w:r w:rsidR="00783505" w:rsidRPr="00184604">
          <w:rPr>
            <w:rStyle w:val="Hypertextovprepojenie"/>
            <w:rFonts w:ascii="Times New Roman" w:hAnsi="Times New Roman" w:cs="Times New Roman"/>
            <w:noProof/>
          </w:rPr>
          <w:t>3.2.</w:t>
        </w:r>
        <w:r w:rsidR="00783505">
          <w:rPr>
            <w:rFonts w:eastAsiaTheme="minorEastAsia"/>
            <w:noProof/>
            <w:lang w:eastAsia="sk-SK"/>
          </w:rPr>
          <w:tab/>
        </w:r>
        <w:r w:rsidR="00783505" w:rsidRPr="00184604">
          <w:rPr>
            <w:rStyle w:val="Hypertextovprepojenie"/>
            <w:rFonts w:ascii="Times New Roman" w:hAnsi="Times New Roman" w:cs="Times New Roman"/>
            <w:noProof/>
          </w:rPr>
          <w:t>Energetická efektívnosť budov</w:t>
        </w:r>
        <w:r w:rsidR="00783505">
          <w:rPr>
            <w:noProof/>
            <w:webHidden/>
          </w:rPr>
          <w:tab/>
        </w:r>
        <w:r w:rsidR="00783505">
          <w:rPr>
            <w:noProof/>
            <w:webHidden/>
          </w:rPr>
          <w:fldChar w:fldCharType="begin"/>
        </w:r>
        <w:r w:rsidR="00783505">
          <w:rPr>
            <w:noProof/>
            <w:webHidden/>
          </w:rPr>
          <w:instrText xml:space="preserve"> PAGEREF _Toc477345383 \h </w:instrText>
        </w:r>
        <w:r w:rsidR="00783505">
          <w:rPr>
            <w:noProof/>
            <w:webHidden/>
          </w:rPr>
        </w:r>
        <w:r w:rsidR="00783505">
          <w:rPr>
            <w:noProof/>
            <w:webHidden/>
          </w:rPr>
          <w:fldChar w:fldCharType="separate"/>
        </w:r>
        <w:r w:rsidR="00A267BF">
          <w:rPr>
            <w:noProof/>
            <w:webHidden/>
          </w:rPr>
          <w:t>46</w:t>
        </w:r>
        <w:r w:rsidR="00783505">
          <w:rPr>
            <w:noProof/>
            <w:webHidden/>
          </w:rPr>
          <w:fldChar w:fldCharType="end"/>
        </w:r>
      </w:hyperlink>
    </w:p>
    <w:p w14:paraId="347F095E" w14:textId="50ED7EA5" w:rsidR="00783505" w:rsidRDefault="00560387">
      <w:pPr>
        <w:pStyle w:val="Obsah3"/>
        <w:rPr>
          <w:rFonts w:eastAsiaTheme="minorEastAsia"/>
          <w:noProof/>
          <w:lang w:eastAsia="sk-SK"/>
        </w:rPr>
      </w:pPr>
      <w:hyperlink w:anchor="_Toc477345384" w:history="1">
        <w:r w:rsidR="00783505" w:rsidRPr="00184604">
          <w:rPr>
            <w:rStyle w:val="Hypertextovprepojenie"/>
            <w:rFonts w:ascii="Times New Roman" w:hAnsi="Times New Roman" w:cs="Times New Roman"/>
            <w:noProof/>
          </w:rPr>
          <w:t>3.2.1.</w:t>
        </w:r>
        <w:r w:rsidR="00783505">
          <w:rPr>
            <w:rFonts w:eastAsiaTheme="minorEastAsia"/>
            <w:noProof/>
            <w:lang w:eastAsia="sk-SK"/>
          </w:rPr>
          <w:tab/>
        </w:r>
        <w:r w:rsidR="00783505" w:rsidRPr="00184604">
          <w:rPr>
            <w:rStyle w:val="Hypertextovprepojenie"/>
            <w:rFonts w:ascii="Times New Roman" w:hAnsi="Times New Roman" w:cs="Times New Roman"/>
            <w:noProof/>
          </w:rPr>
          <w:t>Stratégia obnovy budov (článok 4 SEE)</w:t>
        </w:r>
        <w:r w:rsidR="00783505">
          <w:rPr>
            <w:noProof/>
            <w:webHidden/>
          </w:rPr>
          <w:tab/>
        </w:r>
        <w:r w:rsidR="00783505">
          <w:rPr>
            <w:noProof/>
            <w:webHidden/>
          </w:rPr>
          <w:fldChar w:fldCharType="begin"/>
        </w:r>
        <w:r w:rsidR="00783505">
          <w:rPr>
            <w:noProof/>
            <w:webHidden/>
          </w:rPr>
          <w:instrText xml:space="preserve"> PAGEREF _Toc477345384 \h </w:instrText>
        </w:r>
        <w:r w:rsidR="00783505">
          <w:rPr>
            <w:noProof/>
            <w:webHidden/>
          </w:rPr>
        </w:r>
        <w:r w:rsidR="00783505">
          <w:rPr>
            <w:noProof/>
            <w:webHidden/>
          </w:rPr>
          <w:fldChar w:fldCharType="separate"/>
        </w:r>
        <w:r w:rsidR="00A267BF">
          <w:rPr>
            <w:noProof/>
            <w:webHidden/>
          </w:rPr>
          <w:t>46</w:t>
        </w:r>
        <w:r w:rsidR="00783505">
          <w:rPr>
            <w:noProof/>
            <w:webHidden/>
          </w:rPr>
          <w:fldChar w:fldCharType="end"/>
        </w:r>
      </w:hyperlink>
    </w:p>
    <w:p w14:paraId="0897307F" w14:textId="4C5DCFF5" w:rsidR="00783505" w:rsidRDefault="00560387">
      <w:pPr>
        <w:pStyle w:val="Obsah3"/>
        <w:rPr>
          <w:rFonts w:eastAsiaTheme="minorEastAsia"/>
          <w:noProof/>
          <w:lang w:eastAsia="sk-SK"/>
        </w:rPr>
      </w:pPr>
      <w:hyperlink w:anchor="_Toc477345385" w:history="1">
        <w:r w:rsidR="00783505" w:rsidRPr="00184604">
          <w:rPr>
            <w:rStyle w:val="Hypertextovprepojenie"/>
            <w:rFonts w:ascii="Times New Roman" w:hAnsi="Times New Roman" w:cs="Times New Roman"/>
            <w:noProof/>
          </w:rPr>
          <w:t>3.2.2.</w:t>
        </w:r>
        <w:r w:rsidR="00783505">
          <w:rPr>
            <w:rFonts w:eastAsiaTheme="minorEastAsia"/>
            <w:noProof/>
            <w:lang w:eastAsia="sk-SK"/>
          </w:rPr>
          <w:tab/>
        </w:r>
        <w:r w:rsidR="00783505" w:rsidRPr="00184604">
          <w:rPr>
            <w:rStyle w:val="Hypertextovprepojenie"/>
            <w:rFonts w:ascii="Times New Roman" w:hAnsi="Times New Roman" w:cs="Times New Roman"/>
            <w:noProof/>
          </w:rPr>
          <w:t>Ďalšia energetická efektívnosť v oblasti budov</w:t>
        </w:r>
        <w:r w:rsidR="00783505">
          <w:rPr>
            <w:noProof/>
            <w:webHidden/>
          </w:rPr>
          <w:tab/>
        </w:r>
        <w:r w:rsidR="00783505">
          <w:rPr>
            <w:noProof/>
            <w:webHidden/>
          </w:rPr>
          <w:fldChar w:fldCharType="begin"/>
        </w:r>
        <w:r w:rsidR="00783505">
          <w:rPr>
            <w:noProof/>
            <w:webHidden/>
          </w:rPr>
          <w:instrText xml:space="preserve"> PAGEREF _Toc477345385 \h </w:instrText>
        </w:r>
        <w:r w:rsidR="00783505">
          <w:rPr>
            <w:noProof/>
            <w:webHidden/>
          </w:rPr>
        </w:r>
        <w:r w:rsidR="00783505">
          <w:rPr>
            <w:noProof/>
            <w:webHidden/>
          </w:rPr>
          <w:fldChar w:fldCharType="separate"/>
        </w:r>
        <w:r w:rsidR="00A267BF">
          <w:rPr>
            <w:noProof/>
            <w:webHidden/>
          </w:rPr>
          <w:t>46</w:t>
        </w:r>
        <w:r w:rsidR="00783505">
          <w:rPr>
            <w:noProof/>
            <w:webHidden/>
          </w:rPr>
          <w:fldChar w:fldCharType="end"/>
        </w:r>
      </w:hyperlink>
    </w:p>
    <w:p w14:paraId="2B2C2758" w14:textId="79D86548" w:rsidR="00783505" w:rsidRDefault="00560387" w:rsidP="00AF5415">
      <w:pPr>
        <w:pStyle w:val="Obsah2"/>
        <w:rPr>
          <w:rFonts w:eastAsiaTheme="minorEastAsia"/>
          <w:noProof/>
          <w:lang w:eastAsia="sk-SK"/>
        </w:rPr>
      </w:pPr>
      <w:hyperlink w:anchor="_Toc477345386" w:history="1">
        <w:r w:rsidR="00783505" w:rsidRPr="00184604">
          <w:rPr>
            <w:rStyle w:val="Hypertextovprepojenie"/>
            <w:rFonts w:ascii="Times New Roman" w:hAnsi="Times New Roman" w:cs="Times New Roman"/>
            <w:noProof/>
          </w:rPr>
          <w:t>3.3.</w:t>
        </w:r>
        <w:r w:rsidR="00783505">
          <w:rPr>
            <w:rFonts w:eastAsiaTheme="minorEastAsia"/>
            <w:noProof/>
            <w:lang w:eastAsia="sk-SK"/>
          </w:rPr>
          <w:tab/>
        </w:r>
        <w:r w:rsidR="00783505" w:rsidRPr="00184604">
          <w:rPr>
            <w:rStyle w:val="Hypertextovprepojenie"/>
            <w:rFonts w:ascii="Times New Roman" w:hAnsi="Times New Roman" w:cs="Times New Roman"/>
            <w:noProof/>
          </w:rPr>
          <w:t>Energetická efektívnosť vo verejných subjektoch</w:t>
        </w:r>
        <w:r w:rsidR="00783505">
          <w:rPr>
            <w:noProof/>
            <w:webHidden/>
          </w:rPr>
          <w:tab/>
        </w:r>
        <w:r w:rsidR="00783505">
          <w:rPr>
            <w:noProof/>
            <w:webHidden/>
          </w:rPr>
          <w:fldChar w:fldCharType="begin"/>
        </w:r>
        <w:r w:rsidR="00783505">
          <w:rPr>
            <w:noProof/>
            <w:webHidden/>
          </w:rPr>
          <w:instrText xml:space="preserve"> PAGEREF _Toc477345386 \h </w:instrText>
        </w:r>
        <w:r w:rsidR="00783505">
          <w:rPr>
            <w:noProof/>
            <w:webHidden/>
          </w:rPr>
        </w:r>
        <w:r w:rsidR="00783505">
          <w:rPr>
            <w:noProof/>
            <w:webHidden/>
          </w:rPr>
          <w:fldChar w:fldCharType="separate"/>
        </w:r>
        <w:r w:rsidR="00A267BF">
          <w:rPr>
            <w:noProof/>
            <w:webHidden/>
          </w:rPr>
          <w:t>47</w:t>
        </w:r>
        <w:r w:rsidR="00783505">
          <w:rPr>
            <w:noProof/>
            <w:webHidden/>
          </w:rPr>
          <w:fldChar w:fldCharType="end"/>
        </w:r>
      </w:hyperlink>
    </w:p>
    <w:p w14:paraId="57EE1F14" w14:textId="44492186" w:rsidR="00783505" w:rsidRDefault="00560387">
      <w:pPr>
        <w:pStyle w:val="Obsah3"/>
        <w:rPr>
          <w:rFonts w:eastAsiaTheme="minorEastAsia"/>
          <w:noProof/>
          <w:lang w:eastAsia="sk-SK"/>
        </w:rPr>
      </w:pPr>
      <w:hyperlink w:anchor="_Toc477345387" w:history="1">
        <w:r w:rsidR="00783505" w:rsidRPr="00184604">
          <w:rPr>
            <w:rStyle w:val="Hypertextovprepojenie"/>
            <w:rFonts w:ascii="Times New Roman" w:hAnsi="Times New Roman" w:cs="Times New Roman"/>
            <w:noProof/>
          </w:rPr>
          <w:t>3.3.1.</w:t>
        </w:r>
        <w:r w:rsidR="00783505">
          <w:rPr>
            <w:rFonts w:eastAsiaTheme="minorEastAsia"/>
            <w:noProof/>
            <w:lang w:eastAsia="sk-SK"/>
          </w:rPr>
          <w:tab/>
        </w:r>
        <w:r w:rsidR="00783505" w:rsidRPr="00184604">
          <w:rPr>
            <w:rStyle w:val="Hypertextovprepojenie"/>
            <w:rFonts w:ascii="Times New Roman" w:hAnsi="Times New Roman" w:cs="Times New Roman"/>
            <w:noProof/>
          </w:rPr>
          <w:t>Budovy ústredných orgánov štátnej správy (článok 5 SEE)</w:t>
        </w:r>
        <w:r w:rsidR="00783505">
          <w:rPr>
            <w:noProof/>
            <w:webHidden/>
          </w:rPr>
          <w:tab/>
        </w:r>
        <w:r w:rsidR="00783505">
          <w:rPr>
            <w:noProof/>
            <w:webHidden/>
          </w:rPr>
          <w:fldChar w:fldCharType="begin"/>
        </w:r>
        <w:r w:rsidR="00783505">
          <w:rPr>
            <w:noProof/>
            <w:webHidden/>
          </w:rPr>
          <w:instrText xml:space="preserve"> PAGEREF _Toc477345387 \h </w:instrText>
        </w:r>
        <w:r w:rsidR="00783505">
          <w:rPr>
            <w:noProof/>
            <w:webHidden/>
          </w:rPr>
        </w:r>
        <w:r w:rsidR="00783505">
          <w:rPr>
            <w:noProof/>
            <w:webHidden/>
          </w:rPr>
          <w:fldChar w:fldCharType="separate"/>
        </w:r>
        <w:r w:rsidR="00A267BF">
          <w:rPr>
            <w:noProof/>
            <w:webHidden/>
          </w:rPr>
          <w:t>47</w:t>
        </w:r>
        <w:r w:rsidR="00783505">
          <w:rPr>
            <w:noProof/>
            <w:webHidden/>
          </w:rPr>
          <w:fldChar w:fldCharType="end"/>
        </w:r>
      </w:hyperlink>
    </w:p>
    <w:p w14:paraId="652B2060" w14:textId="24CE2A74" w:rsidR="00783505" w:rsidRDefault="00560387">
      <w:pPr>
        <w:pStyle w:val="Obsah3"/>
        <w:rPr>
          <w:rFonts w:eastAsiaTheme="minorEastAsia"/>
          <w:noProof/>
          <w:lang w:eastAsia="sk-SK"/>
        </w:rPr>
      </w:pPr>
      <w:hyperlink w:anchor="_Toc477345388" w:history="1">
        <w:r w:rsidR="00783505" w:rsidRPr="00184604">
          <w:rPr>
            <w:rStyle w:val="Hypertextovprepojenie"/>
            <w:rFonts w:ascii="Times New Roman" w:hAnsi="Times New Roman" w:cs="Times New Roman"/>
            <w:noProof/>
          </w:rPr>
          <w:t>3.3.2.</w:t>
        </w:r>
        <w:r w:rsidR="00783505">
          <w:rPr>
            <w:rFonts w:eastAsiaTheme="minorEastAsia"/>
            <w:noProof/>
            <w:lang w:eastAsia="sk-SK"/>
          </w:rPr>
          <w:tab/>
        </w:r>
        <w:r w:rsidR="00783505" w:rsidRPr="00184604">
          <w:rPr>
            <w:rStyle w:val="Hypertextovprepojenie"/>
            <w:rFonts w:ascii="Times New Roman" w:hAnsi="Times New Roman" w:cs="Times New Roman"/>
            <w:noProof/>
          </w:rPr>
          <w:t>Budovy ostatných verejných subjektov (článok 5 SEE)</w:t>
        </w:r>
        <w:r w:rsidR="00783505">
          <w:rPr>
            <w:noProof/>
            <w:webHidden/>
          </w:rPr>
          <w:tab/>
        </w:r>
        <w:r w:rsidR="00783505">
          <w:rPr>
            <w:noProof/>
            <w:webHidden/>
          </w:rPr>
          <w:fldChar w:fldCharType="begin"/>
        </w:r>
        <w:r w:rsidR="00783505">
          <w:rPr>
            <w:noProof/>
            <w:webHidden/>
          </w:rPr>
          <w:instrText xml:space="preserve"> PAGEREF _Toc477345388 \h </w:instrText>
        </w:r>
        <w:r w:rsidR="00783505">
          <w:rPr>
            <w:noProof/>
            <w:webHidden/>
          </w:rPr>
        </w:r>
        <w:r w:rsidR="00783505">
          <w:rPr>
            <w:noProof/>
            <w:webHidden/>
          </w:rPr>
          <w:fldChar w:fldCharType="separate"/>
        </w:r>
        <w:r w:rsidR="00A267BF">
          <w:rPr>
            <w:noProof/>
            <w:webHidden/>
          </w:rPr>
          <w:t>48</w:t>
        </w:r>
        <w:r w:rsidR="00783505">
          <w:rPr>
            <w:noProof/>
            <w:webHidden/>
          </w:rPr>
          <w:fldChar w:fldCharType="end"/>
        </w:r>
      </w:hyperlink>
    </w:p>
    <w:p w14:paraId="4285E21C" w14:textId="0684D38C" w:rsidR="00783505" w:rsidRDefault="00560387">
      <w:pPr>
        <w:pStyle w:val="Obsah4"/>
        <w:rPr>
          <w:rFonts w:eastAsiaTheme="minorEastAsia"/>
          <w:noProof/>
          <w:lang w:eastAsia="sk-SK"/>
        </w:rPr>
      </w:pPr>
      <w:hyperlink w:anchor="_Toc477345389" w:history="1">
        <w:r w:rsidR="00783505" w:rsidRPr="00184604">
          <w:rPr>
            <w:rStyle w:val="Hypertextovprepojenie"/>
            <w:rFonts w:ascii="Times New Roman" w:eastAsia="Times New Roman" w:hAnsi="Times New Roman" w:cs="Times New Roman"/>
            <w:noProof/>
            <w:lang w:eastAsia="sk-SK"/>
          </w:rPr>
          <w:t>3.3.2.1.</w:t>
        </w:r>
        <w:r w:rsidR="00783505">
          <w:rPr>
            <w:rFonts w:eastAsiaTheme="minorEastAsia"/>
            <w:noProof/>
            <w:lang w:eastAsia="sk-SK"/>
          </w:rPr>
          <w:tab/>
        </w:r>
        <w:r w:rsidR="00783505" w:rsidRPr="00184604">
          <w:rPr>
            <w:rStyle w:val="Hypertextovprepojenie"/>
            <w:rFonts w:ascii="Times New Roman" w:eastAsia="Times New Roman" w:hAnsi="Times New Roman" w:cs="Times New Roman"/>
            <w:noProof/>
            <w:lang w:eastAsia="sk-SK"/>
          </w:rPr>
          <w:t>Verejné objekty a subjekty - informácie o prijatých opatreniach na prijatie plánov energetickej efektívnosti</w:t>
        </w:r>
        <w:r w:rsidR="00783505">
          <w:rPr>
            <w:noProof/>
            <w:webHidden/>
          </w:rPr>
          <w:tab/>
        </w:r>
        <w:r w:rsidR="00783505">
          <w:rPr>
            <w:noProof/>
            <w:webHidden/>
          </w:rPr>
          <w:fldChar w:fldCharType="begin"/>
        </w:r>
        <w:r w:rsidR="00783505">
          <w:rPr>
            <w:noProof/>
            <w:webHidden/>
          </w:rPr>
          <w:instrText xml:space="preserve"> PAGEREF _Toc477345389 \h </w:instrText>
        </w:r>
        <w:r w:rsidR="00783505">
          <w:rPr>
            <w:noProof/>
            <w:webHidden/>
          </w:rPr>
        </w:r>
        <w:r w:rsidR="00783505">
          <w:rPr>
            <w:noProof/>
            <w:webHidden/>
          </w:rPr>
          <w:fldChar w:fldCharType="separate"/>
        </w:r>
        <w:r w:rsidR="00A267BF">
          <w:rPr>
            <w:noProof/>
            <w:webHidden/>
          </w:rPr>
          <w:t>48</w:t>
        </w:r>
        <w:r w:rsidR="00783505">
          <w:rPr>
            <w:noProof/>
            <w:webHidden/>
          </w:rPr>
          <w:fldChar w:fldCharType="end"/>
        </w:r>
      </w:hyperlink>
    </w:p>
    <w:p w14:paraId="254020D8" w14:textId="2ADE2AD7" w:rsidR="00783505" w:rsidRDefault="00560387">
      <w:pPr>
        <w:pStyle w:val="Obsah4"/>
        <w:rPr>
          <w:rFonts w:eastAsiaTheme="minorEastAsia"/>
          <w:noProof/>
          <w:lang w:eastAsia="sk-SK"/>
        </w:rPr>
      </w:pPr>
      <w:hyperlink w:anchor="_Toc477345390" w:history="1">
        <w:r w:rsidR="00783505" w:rsidRPr="00184604">
          <w:rPr>
            <w:rStyle w:val="Hypertextovprepojenie"/>
            <w:rFonts w:ascii="Times New Roman" w:eastAsia="Times New Roman" w:hAnsi="Times New Roman" w:cs="Times New Roman"/>
            <w:noProof/>
            <w:lang w:eastAsia="sk-SK"/>
          </w:rPr>
          <w:t>3.3.2.2.</w:t>
        </w:r>
        <w:r w:rsidR="00783505">
          <w:rPr>
            <w:rFonts w:eastAsiaTheme="minorEastAsia"/>
            <w:noProof/>
            <w:lang w:eastAsia="sk-SK"/>
          </w:rPr>
          <w:tab/>
        </w:r>
        <w:r w:rsidR="00783505" w:rsidRPr="00184604">
          <w:rPr>
            <w:rStyle w:val="Hypertextovprepojenie"/>
            <w:rFonts w:ascii="Times New Roman" w:eastAsia="Times New Roman" w:hAnsi="Times New Roman" w:cs="Times New Roman"/>
            <w:noProof/>
            <w:lang w:eastAsia="sk-SK"/>
          </w:rPr>
          <w:t>Zoznam verejných subjektov, ktoré vypracovali akčný plán energetickej efektívnosti</w:t>
        </w:r>
        <w:r w:rsidR="00783505">
          <w:rPr>
            <w:noProof/>
            <w:webHidden/>
          </w:rPr>
          <w:tab/>
        </w:r>
        <w:r w:rsidR="00783505">
          <w:rPr>
            <w:noProof/>
            <w:webHidden/>
          </w:rPr>
          <w:fldChar w:fldCharType="begin"/>
        </w:r>
        <w:r w:rsidR="00783505">
          <w:rPr>
            <w:noProof/>
            <w:webHidden/>
          </w:rPr>
          <w:instrText xml:space="preserve"> PAGEREF _Toc477345390 \h </w:instrText>
        </w:r>
        <w:r w:rsidR="00783505">
          <w:rPr>
            <w:noProof/>
            <w:webHidden/>
          </w:rPr>
        </w:r>
        <w:r w:rsidR="00783505">
          <w:rPr>
            <w:noProof/>
            <w:webHidden/>
          </w:rPr>
          <w:fldChar w:fldCharType="separate"/>
        </w:r>
        <w:r w:rsidR="00A267BF">
          <w:rPr>
            <w:noProof/>
            <w:webHidden/>
          </w:rPr>
          <w:t>48</w:t>
        </w:r>
        <w:r w:rsidR="00783505">
          <w:rPr>
            <w:noProof/>
            <w:webHidden/>
          </w:rPr>
          <w:fldChar w:fldCharType="end"/>
        </w:r>
      </w:hyperlink>
    </w:p>
    <w:p w14:paraId="2838BBB0" w14:textId="77CAF72C" w:rsidR="00783505" w:rsidRDefault="00560387">
      <w:pPr>
        <w:pStyle w:val="Obsah3"/>
        <w:rPr>
          <w:rFonts w:eastAsiaTheme="minorEastAsia"/>
          <w:noProof/>
          <w:lang w:eastAsia="sk-SK"/>
        </w:rPr>
      </w:pPr>
      <w:hyperlink w:anchor="_Toc477345391" w:history="1">
        <w:r w:rsidR="00783505" w:rsidRPr="00184604">
          <w:rPr>
            <w:rStyle w:val="Hypertextovprepojenie"/>
            <w:rFonts w:ascii="Times New Roman" w:hAnsi="Times New Roman" w:cs="Times New Roman"/>
            <w:noProof/>
          </w:rPr>
          <w:t>3.3.3.</w:t>
        </w:r>
        <w:r w:rsidR="00783505">
          <w:rPr>
            <w:rFonts w:eastAsiaTheme="minorEastAsia"/>
            <w:noProof/>
            <w:lang w:eastAsia="sk-SK"/>
          </w:rPr>
          <w:tab/>
        </w:r>
        <w:r w:rsidR="00783505" w:rsidRPr="00184604">
          <w:rPr>
            <w:rStyle w:val="Hypertextovprepojenie"/>
            <w:rFonts w:ascii="Times New Roman" w:hAnsi="Times New Roman" w:cs="Times New Roman"/>
            <w:noProof/>
          </w:rPr>
          <w:t>Obstarávanie verejnými subjektmi (článok 6 SEE)</w:t>
        </w:r>
        <w:r w:rsidR="00783505">
          <w:rPr>
            <w:noProof/>
            <w:webHidden/>
          </w:rPr>
          <w:tab/>
        </w:r>
        <w:r w:rsidR="00783505">
          <w:rPr>
            <w:noProof/>
            <w:webHidden/>
          </w:rPr>
          <w:fldChar w:fldCharType="begin"/>
        </w:r>
        <w:r w:rsidR="00783505">
          <w:rPr>
            <w:noProof/>
            <w:webHidden/>
          </w:rPr>
          <w:instrText xml:space="preserve"> PAGEREF _Toc477345391 \h </w:instrText>
        </w:r>
        <w:r w:rsidR="00783505">
          <w:rPr>
            <w:noProof/>
            <w:webHidden/>
          </w:rPr>
        </w:r>
        <w:r w:rsidR="00783505">
          <w:rPr>
            <w:noProof/>
            <w:webHidden/>
          </w:rPr>
          <w:fldChar w:fldCharType="separate"/>
        </w:r>
        <w:r w:rsidR="00A267BF">
          <w:rPr>
            <w:noProof/>
            <w:webHidden/>
          </w:rPr>
          <w:t>48</w:t>
        </w:r>
        <w:r w:rsidR="00783505">
          <w:rPr>
            <w:noProof/>
            <w:webHidden/>
          </w:rPr>
          <w:fldChar w:fldCharType="end"/>
        </w:r>
      </w:hyperlink>
    </w:p>
    <w:p w14:paraId="238511C7" w14:textId="3DA00CDE" w:rsidR="00783505" w:rsidRDefault="00560387" w:rsidP="00A267BF">
      <w:pPr>
        <w:pStyle w:val="Obsah2"/>
        <w:rPr>
          <w:rFonts w:eastAsiaTheme="minorEastAsia"/>
          <w:noProof/>
          <w:lang w:eastAsia="sk-SK"/>
        </w:rPr>
      </w:pPr>
      <w:hyperlink w:anchor="_Toc477345392" w:history="1">
        <w:r w:rsidR="00783505" w:rsidRPr="00184604">
          <w:rPr>
            <w:rStyle w:val="Hypertextovprepojenie"/>
            <w:rFonts w:ascii="Times New Roman" w:hAnsi="Times New Roman" w:cs="Times New Roman"/>
            <w:noProof/>
          </w:rPr>
          <w:t>3.4.</w:t>
        </w:r>
        <w:r w:rsidR="00783505">
          <w:rPr>
            <w:rFonts w:eastAsiaTheme="minorEastAsia"/>
            <w:noProof/>
            <w:lang w:eastAsia="sk-SK"/>
          </w:rPr>
          <w:tab/>
        </w:r>
        <w:r w:rsidR="00783505" w:rsidRPr="00184604">
          <w:rPr>
            <w:rStyle w:val="Hypertextovprepojenie"/>
            <w:rFonts w:ascii="Times New Roman" w:hAnsi="Times New Roman" w:cs="Times New Roman"/>
            <w:noProof/>
          </w:rPr>
          <w:t>Ďalšie opatrenia zamerané na efektívnosť konečného využitia energie v priemysle a doprave</w:t>
        </w:r>
        <w:r w:rsidR="00783505">
          <w:rPr>
            <w:noProof/>
            <w:webHidden/>
          </w:rPr>
          <w:tab/>
        </w:r>
        <w:r w:rsidR="00783505">
          <w:rPr>
            <w:noProof/>
            <w:webHidden/>
          </w:rPr>
          <w:fldChar w:fldCharType="begin"/>
        </w:r>
        <w:r w:rsidR="00783505">
          <w:rPr>
            <w:noProof/>
            <w:webHidden/>
          </w:rPr>
          <w:instrText xml:space="preserve"> PAGEREF _Toc477345392 \h </w:instrText>
        </w:r>
        <w:r w:rsidR="00783505">
          <w:rPr>
            <w:noProof/>
            <w:webHidden/>
          </w:rPr>
        </w:r>
        <w:r w:rsidR="00783505">
          <w:rPr>
            <w:noProof/>
            <w:webHidden/>
          </w:rPr>
          <w:fldChar w:fldCharType="separate"/>
        </w:r>
        <w:r w:rsidR="00A267BF">
          <w:rPr>
            <w:noProof/>
            <w:webHidden/>
          </w:rPr>
          <w:t>49</w:t>
        </w:r>
        <w:r w:rsidR="00783505">
          <w:rPr>
            <w:noProof/>
            <w:webHidden/>
          </w:rPr>
          <w:fldChar w:fldCharType="end"/>
        </w:r>
      </w:hyperlink>
    </w:p>
    <w:p w14:paraId="4307B3AB" w14:textId="2CDC4A2D" w:rsidR="00783505" w:rsidRDefault="00560387">
      <w:pPr>
        <w:pStyle w:val="Obsah3"/>
        <w:rPr>
          <w:rFonts w:eastAsiaTheme="minorEastAsia"/>
          <w:noProof/>
          <w:lang w:eastAsia="sk-SK"/>
        </w:rPr>
      </w:pPr>
      <w:hyperlink w:anchor="_Toc477345393" w:history="1">
        <w:r w:rsidR="00783505" w:rsidRPr="00184604">
          <w:rPr>
            <w:rStyle w:val="Hypertextovprepojenie"/>
            <w:rFonts w:ascii="Times New Roman" w:eastAsia="Times New Roman" w:hAnsi="Times New Roman" w:cs="Times New Roman"/>
            <w:noProof/>
            <w:lang w:eastAsia="sk-SK"/>
          </w:rPr>
          <w:t>3.4.1.</w:t>
        </w:r>
        <w:r w:rsidR="00783505">
          <w:rPr>
            <w:rFonts w:eastAsiaTheme="minorEastAsia"/>
            <w:noProof/>
            <w:lang w:eastAsia="sk-SK"/>
          </w:rPr>
          <w:tab/>
        </w:r>
        <w:r w:rsidR="00783505" w:rsidRPr="00184604">
          <w:rPr>
            <w:rStyle w:val="Hypertextovprepojenie"/>
            <w:rFonts w:ascii="Times New Roman" w:eastAsia="Times New Roman" w:hAnsi="Times New Roman" w:cs="Times New Roman"/>
            <w:noProof/>
            <w:lang w:eastAsia="sk-SK"/>
          </w:rPr>
          <w:t>Podrobnosti o významných opatreniach na zvýšenie energetickej efektívnosti v priemysle</w:t>
        </w:r>
        <w:r w:rsidR="00783505">
          <w:rPr>
            <w:noProof/>
            <w:webHidden/>
          </w:rPr>
          <w:tab/>
        </w:r>
        <w:r w:rsidR="00783505">
          <w:rPr>
            <w:noProof/>
            <w:webHidden/>
          </w:rPr>
          <w:fldChar w:fldCharType="begin"/>
        </w:r>
        <w:r w:rsidR="00783505">
          <w:rPr>
            <w:noProof/>
            <w:webHidden/>
          </w:rPr>
          <w:instrText xml:space="preserve"> PAGEREF _Toc477345393 \h </w:instrText>
        </w:r>
        <w:r w:rsidR="00783505">
          <w:rPr>
            <w:noProof/>
            <w:webHidden/>
          </w:rPr>
        </w:r>
        <w:r w:rsidR="00783505">
          <w:rPr>
            <w:noProof/>
            <w:webHidden/>
          </w:rPr>
          <w:fldChar w:fldCharType="separate"/>
        </w:r>
        <w:r w:rsidR="00A267BF">
          <w:rPr>
            <w:noProof/>
            <w:webHidden/>
          </w:rPr>
          <w:t>49</w:t>
        </w:r>
        <w:r w:rsidR="00783505">
          <w:rPr>
            <w:noProof/>
            <w:webHidden/>
          </w:rPr>
          <w:fldChar w:fldCharType="end"/>
        </w:r>
      </w:hyperlink>
    </w:p>
    <w:p w14:paraId="19847FB0" w14:textId="669B3848" w:rsidR="00783505" w:rsidRDefault="00560387">
      <w:pPr>
        <w:pStyle w:val="Obsah3"/>
        <w:rPr>
          <w:rFonts w:eastAsiaTheme="minorEastAsia"/>
          <w:noProof/>
          <w:lang w:eastAsia="sk-SK"/>
        </w:rPr>
      </w:pPr>
      <w:hyperlink w:anchor="_Toc477345394" w:history="1">
        <w:r w:rsidR="00783505" w:rsidRPr="00184604">
          <w:rPr>
            <w:rStyle w:val="Hypertextovprepojenie"/>
            <w:rFonts w:ascii="Times New Roman" w:eastAsia="Times New Roman" w:hAnsi="Times New Roman" w:cs="Times New Roman"/>
            <w:noProof/>
            <w:lang w:eastAsia="sk-SK"/>
          </w:rPr>
          <w:t>3.4.2.</w:t>
        </w:r>
        <w:r w:rsidR="00783505">
          <w:rPr>
            <w:rFonts w:eastAsiaTheme="minorEastAsia"/>
            <w:noProof/>
            <w:lang w:eastAsia="sk-SK"/>
          </w:rPr>
          <w:tab/>
        </w:r>
        <w:r w:rsidR="00783505" w:rsidRPr="00184604">
          <w:rPr>
            <w:rStyle w:val="Hypertextovprepojenie"/>
            <w:rFonts w:ascii="Times New Roman" w:eastAsia="Times New Roman" w:hAnsi="Times New Roman" w:cs="Times New Roman"/>
            <w:noProof/>
            <w:lang w:eastAsia="sk-SK"/>
          </w:rPr>
          <w:t>Podrobnosti o významných opatreniach na zvýšenie energetickej efektívnosti v osobnej a nákladnej doprave</w:t>
        </w:r>
        <w:r w:rsidR="00783505">
          <w:rPr>
            <w:noProof/>
            <w:webHidden/>
          </w:rPr>
          <w:tab/>
        </w:r>
        <w:r w:rsidR="00783505">
          <w:rPr>
            <w:noProof/>
            <w:webHidden/>
          </w:rPr>
          <w:fldChar w:fldCharType="begin"/>
        </w:r>
        <w:r w:rsidR="00783505">
          <w:rPr>
            <w:noProof/>
            <w:webHidden/>
          </w:rPr>
          <w:instrText xml:space="preserve"> PAGEREF _Toc477345394 \h </w:instrText>
        </w:r>
        <w:r w:rsidR="00783505">
          <w:rPr>
            <w:noProof/>
            <w:webHidden/>
          </w:rPr>
        </w:r>
        <w:r w:rsidR="00783505">
          <w:rPr>
            <w:noProof/>
            <w:webHidden/>
          </w:rPr>
          <w:fldChar w:fldCharType="separate"/>
        </w:r>
        <w:r w:rsidR="00A267BF">
          <w:rPr>
            <w:noProof/>
            <w:webHidden/>
          </w:rPr>
          <w:t>49</w:t>
        </w:r>
        <w:r w:rsidR="00783505">
          <w:rPr>
            <w:noProof/>
            <w:webHidden/>
          </w:rPr>
          <w:fldChar w:fldCharType="end"/>
        </w:r>
      </w:hyperlink>
    </w:p>
    <w:p w14:paraId="0B23513E" w14:textId="30B628DF" w:rsidR="00783505" w:rsidRDefault="00560387">
      <w:pPr>
        <w:pStyle w:val="Obsah3"/>
        <w:rPr>
          <w:rFonts w:eastAsiaTheme="minorEastAsia"/>
          <w:noProof/>
          <w:lang w:eastAsia="sk-SK"/>
        </w:rPr>
      </w:pPr>
      <w:hyperlink w:anchor="_Toc477345395" w:history="1">
        <w:r w:rsidR="00783505" w:rsidRPr="00184604">
          <w:rPr>
            <w:rStyle w:val="Hypertextovprepojenie"/>
            <w:rFonts w:ascii="Times New Roman" w:eastAsia="Times New Roman" w:hAnsi="Times New Roman" w:cs="Times New Roman"/>
            <w:noProof/>
            <w:lang w:eastAsia="sk-SK"/>
          </w:rPr>
          <w:t>3.4.3.</w:t>
        </w:r>
        <w:r w:rsidR="00783505">
          <w:rPr>
            <w:rFonts w:eastAsiaTheme="minorEastAsia"/>
            <w:noProof/>
            <w:lang w:eastAsia="sk-SK"/>
          </w:rPr>
          <w:tab/>
        </w:r>
        <w:r w:rsidR="00783505" w:rsidRPr="00184604">
          <w:rPr>
            <w:rStyle w:val="Hypertextovprepojenie"/>
            <w:rFonts w:ascii="Times New Roman" w:eastAsia="Times New Roman" w:hAnsi="Times New Roman" w:cs="Times New Roman"/>
            <w:noProof/>
            <w:lang w:eastAsia="sk-SK"/>
          </w:rPr>
          <w:t>Podrobnosti o významných opatreniach zameraných na energetickej efektívnosti konečného využitia energie v priemysle</w:t>
        </w:r>
        <w:r w:rsidR="00783505">
          <w:rPr>
            <w:noProof/>
            <w:webHidden/>
          </w:rPr>
          <w:tab/>
        </w:r>
        <w:r w:rsidR="00783505">
          <w:rPr>
            <w:noProof/>
            <w:webHidden/>
          </w:rPr>
          <w:fldChar w:fldCharType="begin"/>
        </w:r>
        <w:r w:rsidR="00783505">
          <w:rPr>
            <w:noProof/>
            <w:webHidden/>
          </w:rPr>
          <w:instrText xml:space="preserve"> PAGEREF _Toc477345395 \h </w:instrText>
        </w:r>
        <w:r w:rsidR="00783505">
          <w:rPr>
            <w:noProof/>
            <w:webHidden/>
          </w:rPr>
        </w:r>
        <w:r w:rsidR="00783505">
          <w:rPr>
            <w:noProof/>
            <w:webHidden/>
          </w:rPr>
          <w:fldChar w:fldCharType="separate"/>
        </w:r>
        <w:r w:rsidR="00A267BF">
          <w:rPr>
            <w:noProof/>
            <w:webHidden/>
          </w:rPr>
          <w:t>49</w:t>
        </w:r>
        <w:r w:rsidR="00783505">
          <w:rPr>
            <w:noProof/>
            <w:webHidden/>
          </w:rPr>
          <w:fldChar w:fldCharType="end"/>
        </w:r>
      </w:hyperlink>
    </w:p>
    <w:p w14:paraId="64F063E1" w14:textId="61473FE9" w:rsidR="00783505" w:rsidRDefault="00560387" w:rsidP="00AF5415">
      <w:pPr>
        <w:pStyle w:val="Obsah2"/>
        <w:rPr>
          <w:rFonts w:eastAsiaTheme="minorEastAsia"/>
          <w:noProof/>
          <w:lang w:eastAsia="sk-SK"/>
        </w:rPr>
      </w:pPr>
      <w:hyperlink w:anchor="_Toc477345396" w:history="1">
        <w:r w:rsidR="00783505" w:rsidRPr="00184604">
          <w:rPr>
            <w:rStyle w:val="Hypertextovprepojenie"/>
            <w:rFonts w:ascii="Times New Roman" w:hAnsi="Times New Roman" w:cs="Times New Roman"/>
            <w:noProof/>
          </w:rPr>
          <w:t>3.5.</w:t>
        </w:r>
        <w:r w:rsidR="00783505">
          <w:rPr>
            <w:rFonts w:eastAsiaTheme="minorEastAsia"/>
            <w:noProof/>
            <w:lang w:eastAsia="sk-SK"/>
          </w:rPr>
          <w:tab/>
        </w:r>
        <w:r w:rsidR="00783505" w:rsidRPr="00184604">
          <w:rPr>
            <w:rStyle w:val="Hypertextovprepojenie"/>
            <w:rFonts w:ascii="Times New Roman" w:hAnsi="Times New Roman" w:cs="Times New Roman"/>
            <w:noProof/>
          </w:rPr>
          <w:t>Podpora efektívneho vykurovania a chladenia</w:t>
        </w:r>
        <w:r w:rsidR="00783505">
          <w:rPr>
            <w:noProof/>
            <w:webHidden/>
          </w:rPr>
          <w:tab/>
        </w:r>
        <w:r w:rsidR="00783505">
          <w:rPr>
            <w:noProof/>
            <w:webHidden/>
          </w:rPr>
          <w:fldChar w:fldCharType="begin"/>
        </w:r>
        <w:r w:rsidR="00783505">
          <w:rPr>
            <w:noProof/>
            <w:webHidden/>
          </w:rPr>
          <w:instrText xml:space="preserve"> PAGEREF _Toc477345396 \h </w:instrText>
        </w:r>
        <w:r w:rsidR="00783505">
          <w:rPr>
            <w:noProof/>
            <w:webHidden/>
          </w:rPr>
        </w:r>
        <w:r w:rsidR="00783505">
          <w:rPr>
            <w:noProof/>
            <w:webHidden/>
          </w:rPr>
          <w:fldChar w:fldCharType="separate"/>
        </w:r>
        <w:r w:rsidR="00A267BF">
          <w:rPr>
            <w:noProof/>
            <w:webHidden/>
          </w:rPr>
          <w:t>50</w:t>
        </w:r>
        <w:r w:rsidR="00783505">
          <w:rPr>
            <w:noProof/>
            <w:webHidden/>
          </w:rPr>
          <w:fldChar w:fldCharType="end"/>
        </w:r>
      </w:hyperlink>
    </w:p>
    <w:p w14:paraId="75349CF4" w14:textId="501BF815" w:rsidR="00783505" w:rsidRDefault="00560387">
      <w:pPr>
        <w:pStyle w:val="Obsah3"/>
        <w:rPr>
          <w:rFonts w:eastAsiaTheme="minorEastAsia"/>
          <w:noProof/>
          <w:lang w:eastAsia="sk-SK"/>
        </w:rPr>
      </w:pPr>
      <w:hyperlink w:anchor="_Toc477345397" w:history="1">
        <w:r w:rsidR="00783505" w:rsidRPr="00184604">
          <w:rPr>
            <w:rStyle w:val="Hypertextovprepojenie"/>
            <w:rFonts w:ascii="Times New Roman" w:hAnsi="Times New Roman" w:cs="Times New Roman"/>
            <w:noProof/>
          </w:rPr>
          <w:t>3.5.1.</w:t>
        </w:r>
        <w:r w:rsidR="00783505">
          <w:rPr>
            <w:rFonts w:eastAsiaTheme="minorEastAsia"/>
            <w:noProof/>
            <w:lang w:eastAsia="sk-SK"/>
          </w:rPr>
          <w:tab/>
        </w:r>
        <w:r w:rsidR="00783505" w:rsidRPr="00184604">
          <w:rPr>
            <w:rStyle w:val="Hypertextovprepojenie"/>
            <w:rFonts w:ascii="Times New Roman" w:hAnsi="Times New Roman" w:cs="Times New Roman"/>
            <w:noProof/>
          </w:rPr>
          <w:t>Komplexné posúdenie (článok 14 SEE)</w:t>
        </w:r>
        <w:r w:rsidR="00783505">
          <w:rPr>
            <w:noProof/>
            <w:webHidden/>
          </w:rPr>
          <w:tab/>
        </w:r>
        <w:r w:rsidR="00783505">
          <w:rPr>
            <w:noProof/>
            <w:webHidden/>
          </w:rPr>
          <w:fldChar w:fldCharType="begin"/>
        </w:r>
        <w:r w:rsidR="00783505">
          <w:rPr>
            <w:noProof/>
            <w:webHidden/>
          </w:rPr>
          <w:instrText xml:space="preserve"> PAGEREF _Toc477345397 \h </w:instrText>
        </w:r>
        <w:r w:rsidR="00783505">
          <w:rPr>
            <w:noProof/>
            <w:webHidden/>
          </w:rPr>
        </w:r>
        <w:r w:rsidR="00783505">
          <w:rPr>
            <w:noProof/>
            <w:webHidden/>
          </w:rPr>
          <w:fldChar w:fldCharType="separate"/>
        </w:r>
        <w:r w:rsidR="00A267BF">
          <w:rPr>
            <w:noProof/>
            <w:webHidden/>
          </w:rPr>
          <w:t>50</w:t>
        </w:r>
        <w:r w:rsidR="00783505">
          <w:rPr>
            <w:noProof/>
            <w:webHidden/>
          </w:rPr>
          <w:fldChar w:fldCharType="end"/>
        </w:r>
      </w:hyperlink>
    </w:p>
    <w:p w14:paraId="7E764442" w14:textId="0E6D51FB" w:rsidR="00783505" w:rsidRDefault="00560387">
      <w:pPr>
        <w:pStyle w:val="Obsah4"/>
        <w:rPr>
          <w:rFonts w:eastAsiaTheme="minorEastAsia"/>
          <w:noProof/>
          <w:lang w:eastAsia="sk-SK"/>
        </w:rPr>
      </w:pPr>
      <w:hyperlink w:anchor="_Toc477345398" w:history="1">
        <w:r w:rsidR="00783505" w:rsidRPr="00184604">
          <w:rPr>
            <w:rStyle w:val="Hypertextovprepojenie"/>
            <w:rFonts w:ascii="Times New Roman" w:eastAsia="Times New Roman" w:hAnsi="Times New Roman" w:cs="Times New Roman"/>
            <w:noProof/>
            <w:lang w:eastAsia="sk-SK"/>
          </w:rPr>
          <w:t>3.5.1.1.</w:t>
        </w:r>
        <w:r w:rsidR="00783505">
          <w:rPr>
            <w:rFonts w:eastAsiaTheme="minorEastAsia"/>
            <w:noProof/>
            <w:lang w:eastAsia="sk-SK"/>
          </w:rPr>
          <w:tab/>
        </w:r>
        <w:r w:rsidR="00783505" w:rsidRPr="00184604">
          <w:rPr>
            <w:rStyle w:val="Hypertextovprepojenie"/>
            <w:rFonts w:ascii="Times New Roman" w:eastAsia="Times New Roman" w:hAnsi="Times New Roman" w:cs="Times New Roman"/>
            <w:noProof/>
            <w:lang w:eastAsia="sk-SK"/>
          </w:rPr>
          <w:t>Posúdenie pokroku dosiahnutého vo vykonávaní komplexného posúdenia potenciálu vysokoúčinnej KVET a efektívneho CZTaCH</w:t>
        </w:r>
        <w:r w:rsidR="00783505">
          <w:rPr>
            <w:noProof/>
            <w:webHidden/>
          </w:rPr>
          <w:tab/>
        </w:r>
        <w:r w:rsidR="00783505">
          <w:rPr>
            <w:noProof/>
            <w:webHidden/>
          </w:rPr>
          <w:fldChar w:fldCharType="begin"/>
        </w:r>
        <w:r w:rsidR="00783505">
          <w:rPr>
            <w:noProof/>
            <w:webHidden/>
          </w:rPr>
          <w:instrText xml:space="preserve"> PAGEREF _Toc477345398 \h </w:instrText>
        </w:r>
        <w:r w:rsidR="00783505">
          <w:rPr>
            <w:noProof/>
            <w:webHidden/>
          </w:rPr>
        </w:r>
        <w:r w:rsidR="00783505">
          <w:rPr>
            <w:noProof/>
            <w:webHidden/>
          </w:rPr>
          <w:fldChar w:fldCharType="separate"/>
        </w:r>
        <w:r w:rsidR="00A267BF">
          <w:rPr>
            <w:noProof/>
            <w:webHidden/>
          </w:rPr>
          <w:t>50</w:t>
        </w:r>
        <w:r w:rsidR="00783505">
          <w:rPr>
            <w:noProof/>
            <w:webHidden/>
          </w:rPr>
          <w:fldChar w:fldCharType="end"/>
        </w:r>
      </w:hyperlink>
    </w:p>
    <w:p w14:paraId="1A258F7D" w14:textId="3559507A" w:rsidR="00783505" w:rsidRDefault="00560387">
      <w:pPr>
        <w:pStyle w:val="Obsah4"/>
        <w:rPr>
          <w:rFonts w:eastAsiaTheme="minorEastAsia"/>
          <w:noProof/>
          <w:lang w:eastAsia="sk-SK"/>
        </w:rPr>
      </w:pPr>
      <w:hyperlink w:anchor="_Toc477345399" w:history="1">
        <w:r w:rsidR="00783505" w:rsidRPr="00184604">
          <w:rPr>
            <w:rStyle w:val="Hypertextovprepojenie"/>
            <w:rFonts w:ascii="Times New Roman" w:eastAsia="Times New Roman" w:hAnsi="Times New Roman" w:cs="Times New Roman"/>
            <w:noProof/>
            <w:lang w:eastAsia="sk-SK"/>
          </w:rPr>
          <w:t>3.5.1.2.</w:t>
        </w:r>
        <w:r w:rsidR="00783505">
          <w:rPr>
            <w:rFonts w:eastAsiaTheme="minorEastAsia"/>
            <w:noProof/>
            <w:lang w:eastAsia="sk-SK"/>
          </w:rPr>
          <w:tab/>
        </w:r>
        <w:r w:rsidR="00783505" w:rsidRPr="00184604">
          <w:rPr>
            <w:rStyle w:val="Hypertextovprepojenie"/>
            <w:rFonts w:ascii="Times New Roman" w:eastAsia="Times New Roman" w:hAnsi="Times New Roman" w:cs="Times New Roman"/>
            <w:noProof/>
            <w:lang w:eastAsia="sk-SK"/>
          </w:rPr>
          <w:t>Opis postupu a metodiky, ktoré ste použili pri vykonaní analýzy nákladov a prínosov s cieľom splniť kritéria prílohy IX k SEE</w:t>
        </w:r>
        <w:r w:rsidR="00783505">
          <w:rPr>
            <w:noProof/>
            <w:webHidden/>
          </w:rPr>
          <w:tab/>
        </w:r>
        <w:r w:rsidR="00783505">
          <w:rPr>
            <w:noProof/>
            <w:webHidden/>
          </w:rPr>
          <w:fldChar w:fldCharType="begin"/>
        </w:r>
        <w:r w:rsidR="00783505">
          <w:rPr>
            <w:noProof/>
            <w:webHidden/>
          </w:rPr>
          <w:instrText xml:space="preserve"> PAGEREF _Toc477345399 \h </w:instrText>
        </w:r>
        <w:r w:rsidR="00783505">
          <w:rPr>
            <w:noProof/>
            <w:webHidden/>
          </w:rPr>
        </w:r>
        <w:r w:rsidR="00783505">
          <w:rPr>
            <w:noProof/>
            <w:webHidden/>
          </w:rPr>
          <w:fldChar w:fldCharType="separate"/>
        </w:r>
        <w:r w:rsidR="00A267BF">
          <w:rPr>
            <w:noProof/>
            <w:webHidden/>
          </w:rPr>
          <w:t>51</w:t>
        </w:r>
        <w:r w:rsidR="00783505">
          <w:rPr>
            <w:noProof/>
            <w:webHidden/>
          </w:rPr>
          <w:fldChar w:fldCharType="end"/>
        </w:r>
      </w:hyperlink>
    </w:p>
    <w:p w14:paraId="2DFE7D76" w14:textId="7EEE2170" w:rsidR="00783505" w:rsidRDefault="00560387">
      <w:pPr>
        <w:pStyle w:val="Obsah3"/>
        <w:rPr>
          <w:rFonts w:eastAsiaTheme="minorEastAsia"/>
          <w:noProof/>
          <w:lang w:eastAsia="sk-SK"/>
        </w:rPr>
      </w:pPr>
      <w:hyperlink w:anchor="_Toc477345400" w:history="1">
        <w:r w:rsidR="00783505" w:rsidRPr="00184604">
          <w:rPr>
            <w:rStyle w:val="Hypertextovprepojenie"/>
            <w:rFonts w:ascii="Times New Roman" w:hAnsi="Times New Roman" w:cs="Times New Roman"/>
            <w:noProof/>
          </w:rPr>
          <w:t>3.5.2.</w:t>
        </w:r>
        <w:r w:rsidR="00783505">
          <w:rPr>
            <w:rFonts w:eastAsiaTheme="minorEastAsia"/>
            <w:noProof/>
            <w:lang w:eastAsia="sk-SK"/>
          </w:rPr>
          <w:tab/>
        </w:r>
        <w:r w:rsidR="00783505" w:rsidRPr="00184604">
          <w:rPr>
            <w:rStyle w:val="Hypertextovprepojenie"/>
            <w:rFonts w:ascii="Times New Roman" w:hAnsi="Times New Roman" w:cs="Times New Roman"/>
            <w:noProof/>
          </w:rPr>
          <w:t>Ďalšie opatrenia na efektívne vykurovanie a chladenie (článok 14 SEE)</w:t>
        </w:r>
        <w:r w:rsidR="00783505">
          <w:rPr>
            <w:noProof/>
            <w:webHidden/>
          </w:rPr>
          <w:tab/>
        </w:r>
        <w:r w:rsidR="00783505">
          <w:rPr>
            <w:noProof/>
            <w:webHidden/>
          </w:rPr>
          <w:fldChar w:fldCharType="begin"/>
        </w:r>
        <w:r w:rsidR="00783505">
          <w:rPr>
            <w:noProof/>
            <w:webHidden/>
          </w:rPr>
          <w:instrText xml:space="preserve"> PAGEREF _Toc477345400 \h </w:instrText>
        </w:r>
        <w:r w:rsidR="00783505">
          <w:rPr>
            <w:noProof/>
            <w:webHidden/>
          </w:rPr>
        </w:r>
        <w:r w:rsidR="00783505">
          <w:rPr>
            <w:noProof/>
            <w:webHidden/>
          </w:rPr>
          <w:fldChar w:fldCharType="separate"/>
        </w:r>
        <w:r w:rsidR="00A267BF">
          <w:rPr>
            <w:noProof/>
            <w:webHidden/>
          </w:rPr>
          <w:t>52</w:t>
        </w:r>
        <w:r w:rsidR="00783505">
          <w:rPr>
            <w:noProof/>
            <w:webHidden/>
          </w:rPr>
          <w:fldChar w:fldCharType="end"/>
        </w:r>
      </w:hyperlink>
    </w:p>
    <w:p w14:paraId="171FE38C" w14:textId="02CC0AB2" w:rsidR="00783505" w:rsidRDefault="00560387" w:rsidP="00AF5415">
      <w:pPr>
        <w:pStyle w:val="Obsah2"/>
        <w:rPr>
          <w:rFonts w:eastAsiaTheme="minorEastAsia"/>
          <w:noProof/>
          <w:lang w:eastAsia="sk-SK"/>
        </w:rPr>
      </w:pPr>
      <w:hyperlink w:anchor="_Toc477345401" w:history="1">
        <w:r w:rsidR="00783505" w:rsidRPr="00184604">
          <w:rPr>
            <w:rStyle w:val="Hypertextovprepojenie"/>
            <w:rFonts w:ascii="Times New Roman" w:hAnsi="Times New Roman" w:cs="Times New Roman"/>
            <w:noProof/>
          </w:rPr>
          <w:t>3.6.</w:t>
        </w:r>
        <w:r w:rsidR="00783505">
          <w:rPr>
            <w:rFonts w:eastAsiaTheme="minorEastAsia"/>
            <w:noProof/>
            <w:lang w:eastAsia="sk-SK"/>
          </w:rPr>
          <w:tab/>
        </w:r>
        <w:r w:rsidR="00783505" w:rsidRPr="00184604">
          <w:rPr>
            <w:rStyle w:val="Hypertextovprepojenie"/>
            <w:rFonts w:ascii="Times New Roman" w:hAnsi="Times New Roman" w:cs="Times New Roman"/>
            <w:noProof/>
          </w:rPr>
          <w:t>Premena, prenos a distribúcia energie a reakcia strany spotreby</w:t>
        </w:r>
        <w:r w:rsidR="00783505">
          <w:rPr>
            <w:noProof/>
            <w:webHidden/>
          </w:rPr>
          <w:tab/>
        </w:r>
        <w:r w:rsidR="00783505">
          <w:rPr>
            <w:noProof/>
            <w:webHidden/>
          </w:rPr>
          <w:fldChar w:fldCharType="begin"/>
        </w:r>
        <w:r w:rsidR="00783505">
          <w:rPr>
            <w:noProof/>
            <w:webHidden/>
          </w:rPr>
          <w:instrText xml:space="preserve"> PAGEREF _Toc477345401 \h </w:instrText>
        </w:r>
        <w:r w:rsidR="00783505">
          <w:rPr>
            <w:noProof/>
            <w:webHidden/>
          </w:rPr>
        </w:r>
        <w:r w:rsidR="00783505">
          <w:rPr>
            <w:noProof/>
            <w:webHidden/>
          </w:rPr>
          <w:fldChar w:fldCharType="separate"/>
        </w:r>
        <w:r w:rsidR="00A267BF">
          <w:rPr>
            <w:noProof/>
            <w:webHidden/>
          </w:rPr>
          <w:t>53</w:t>
        </w:r>
        <w:r w:rsidR="00783505">
          <w:rPr>
            <w:noProof/>
            <w:webHidden/>
          </w:rPr>
          <w:fldChar w:fldCharType="end"/>
        </w:r>
      </w:hyperlink>
    </w:p>
    <w:p w14:paraId="3D6936DE" w14:textId="16B1E7AB" w:rsidR="00783505" w:rsidRDefault="00560387">
      <w:pPr>
        <w:pStyle w:val="Obsah3"/>
        <w:rPr>
          <w:rFonts w:eastAsiaTheme="minorEastAsia"/>
          <w:noProof/>
          <w:lang w:eastAsia="sk-SK"/>
        </w:rPr>
      </w:pPr>
      <w:hyperlink w:anchor="_Toc477345402" w:history="1">
        <w:r w:rsidR="00783505" w:rsidRPr="00184604">
          <w:rPr>
            <w:rStyle w:val="Hypertextovprepojenie"/>
            <w:rFonts w:ascii="Times New Roman" w:hAnsi="Times New Roman" w:cs="Times New Roman"/>
            <w:noProof/>
          </w:rPr>
          <w:t>3.6.1.</w:t>
        </w:r>
        <w:r w:rsidR="00783505">
          <w:rPr>
            <w:rFonts w:eastAsiaTheme="minorEastAsia"/>
            <w:noProof/>
            <w:lang w:eastAsia="sk-SK"/>
          </w:rPr>
          <w:tab/>
        </w:r>
        <w:r w:rsidR="00783505" w:rsidRPr="00184604">
          <w:rPr>
            <w:rStyle w:val="Hypertextovprepojenie"/>
            <w:rFonts w:ascii="Times New Roman" w:hAnsi="Times New Roman" w:cs="Times New Roman"/>
            <w:noProof/>
          </w:rPr>
          <w:t>Kritéria energetickej efektívnosti pri sieťových tarifách a sieťovej regulácii (článok 15 SEE)</w:t>
        </w:r>
        <w:r w:rsidR="00783505">
          <w:rPr>
            <w:noProof/>
            <w:webHidden/>
          </w:rPr>
          <w:tab/>
        </w:r>
        <w:r w:rsidR="00783505">
          <w:rPr>
            <w:noProof/>
            <w:webHidden/>
          </w:rPr>
          <w:fldChar w:fldCharType="begin"/>
        </w:r>
        <w:r w:rsidR="00783505">
          <w:rPr>
            <w:noProof/>
            <w:webHidden/>
          </w:rPr>
          <w:instrText xml:space="preserve"> PAGEREF _Toc477345402 \h </w:instrText>
        </w:r>
        <w:r w:rsidR="00783505">
          <w:rPr>
            <w:noProof/>
            <w:webHidden/>
          </w:rPr>
        </w:r>
        <w:r w:rsidR="00783505">
          <w:rPr>
            <w:noProof/>
            <w:webHidden/>
          </w:rPr>
          <w:fldChar w:fldCharType="separate"/>
        </w:r>
        <w:r w:rsidR="00A267BF">
          <w:rPr>
            <w:noProof/>
            <w:webHidden/>
          </w:rPr>
          <w:t>56</w:t>
        </w:r>
        <w:r w:rsidR="00783505">
          <w:rPr>
            <w:noProof/>
            <w:webHidden/>
          </w:rPr>
          <w:fldChar w:fldCharType="end"/>
        </w:r>
      </w:hyperlink>
    </w:p>
    <w:p w14:paraId="086AC7A8" w14:textId="408A47D6" w:rsidR="00783505" w:rsidRDefault="00560387">
      <w:pPr>
        <w:pStyle w:val="Obsah4"/>
        <w:rPr>
          <w:rFonts w:eastAsiaTheme="minorEastAsia"/>
          <w:noProof/>
          <w:lang w:eastAsia="sk-SK"/>
        </w:rPr>
      </w:pPr>
      <w:hyperlink w:anchor="_Toc477345403" w:history="1">
        <w:r w:rsidR="00783505" w:rsidRPr="00184604">
          <w:rPr>
            <w:rStyle w:val="Hypertextovprepojenie"/>
            <w:rFonts w:ascii="Times New Roman" w:eastAsia="Times New Roman" w:hAnsi="Times New Roman" w:cs="Times New Roman"/>
            <w:noProof/>
            <w:lang w:eastAsia="sk-SK"/>
          </w:rPr>
          <w:t>3.6.1.1.</w:t>
        </w:r>
        <w:r w:rsidR="00783505">
          <w:rPr>
            <w:rFonts w:eastAsiaTheme="minorEastAsia"/>
            <w:noProof/>
            <w:lang w:eastAsia="sk-SK"/>
          </w:rPr>
          <w:tab/>
        </w:r>
        <w:r w:rsidR="00783505" w:rsidRPr="00184604">
          <w:rPr>
            <w:rStyle w:val="Hypertextovprepojenie"/>
            <w:rFonts w:ascii="Times New Roman" w:eastAsia="Times New Roman" w:hAnsi="Times New Roman" w:cs="Times New Roman"/>
            <w:noProof/>
            <w:lang w:eastAsia="sk-SK"/>
          </w:rPr>
          <w:t>Opis plánovaných alebo prijatých opatrení na zabezpečenie toho, aby sa odstránili stimuly v tarifách, ktoré poškodzujú celkovú efektívnosť výroby, prenosu, distribúcie a dodávky elektriny (článok 15 ods. 4 SEE)</w:t>
        </w:r>
        <w:r w:rsidR="00783505">
          <w:rPr>
            <w:noProof/>
            <w:webHidden/>
          </w:rPr>
          <w:tab/>
        </w:r>
        <w:r w:rsidR="00783505">
          <w:rPr>
            <w:noProof/>
            <w:webHidden/>
          </w:rPr>
          <w:fldChar w:fldCharType="begin"/>
        </w:r>
        <w:r w:rsidR="00783505">
          <w:rPr>
            <w:noProof/>
            <w:webHidden/>
          </w:rPr>
          <w:instrText xml:space="preserve"> PAGEREF _Toc477345403 \h </w:instrText>
        </w:r>
        <w:r w:rsidR="00783505">
          <w:rPr>
            <w:noProof/>
            <w:webHidden/>
          </w:rPr>
        </w:r>
        <w:r w:rsidR="00783505">
          <w:rPr>
            <w:noProof/>
            <w:webHidden/>
          </w:rPr>
          <w:fldChar w:fldCharType="separate"/>
        </w:r>
        <w:r w:rsidR="00A267BF">
          <w:rPr>
            <w:noProof/>
            <w:webHidden/>
          </w:rPr>
          <w:t>56</w:t>
        </w:r>
        <w:r w:rsidR="00783505">
          <w:rPr>
            <w:noProof/>
            <w:webHidden/>
          </w:rPr>
          <w:fldChar w:fldCharType="end"/>
        </w:r>
      </w:hyperlink>
    </w:p>
    <w:p w14:paraId="037A25D1" w14:textId="46B55644" w:rsidR="00783505" w:rsidRDefault="00560387">
      <w:pPr>
        <w:pStyle w:val="Obsah4"/>
        <w:rPr>
          <w:rFonts w:eastAsiaTheme="minorEastAsia"/>
          <w:noProof/>
          <w:lang w:eastAsia="sk-SK"/>
        </w:rPr>
      </w:pPr>
      <w:hyperlink w:anchor="_Toc477345404" w:history="1">
        <w:r w:rsidR="00783505" w:rsidRPr="00184604">
          <w:rPr>
            <w:rStyle w:val="Hypertextovprepojenie"/>
            <w:rFonts w:ascii="Times New Roman" w:eastAsia="Times New Roman" w:hAnsi="Times New Roman" w:cs="Times New Roman"/>
            <w:noProof/>
            <w:lang w:eastAsia="sk-SK"/>
          </w:rPr>
          <w:t>3.6.1.2.</w:t>
        </w:r>
        <w:r w:rsidR="00783505">
          <w:rPr>
            <w:rFonts w:eastAsiaTheme="minorEastAsia"/>
            <w:noProof/>
            <w:lang w:eastAsia="sk-SK"/>
          </w:rPr>
          <w:tab/>
        </w:r>
        <w:r w:rsidR="00783505" w:rsidRPr="00184604">
          <w:rPr>
            <w:rStyle w:val="Hypertextovprepojenie"/>
            <w:rFonts w:ascii="Times New Roman" w:eastAsia="Times New Roman" w:hAnsi="Times New Roman" w:cs="Times New Roman"/>
            <w:noProof/>
            <w:lang w:eastAsia="sk-SK"/>
          </w:rPr>
          <w:t>Opis plánovaných alebo prijatých opatrení na stimuláciu prevádzkovateľov sietí zvyšovať efektívnosť pri navrhovaní a prevádzke infraštruktúry (článok 15 ods.4 SEE)</w:t>
        </w:r>
        <w:r w:rsidR="00783505">
          <w:rPr>
            <w:noProof/>
            <w:webHidden/>
          </w:rPr>
          <w:tab/>
        </w:r>
        <w:r w:rsidR="00783505">
          <w:rPr>
            <w:noProof/>
            <w:webHidden/>
          </w:rPr>
          <w:fldChar w:fldCharType="begin"/>
        </w:r>
        <w:r w:rsidR="00783505">
          <w:rPr>
            <w:noProof/>
            <w:webHidden/>
          </w:rPr>
          <w:instrText xml:space="preserve"> PAGEREF _Toc477345404 \h </w:instrText>
        </w:r>
        <w:r w:rsidR="00783505">
          <w:rPr>
            <w:noProof/>
            <w:webHidden/>
          </w:rPr>
        </w:r>
        <w:r w:rsidR="00783505">
          <w:rPr>
            <w:noProof/>
            <w:webHidden/>
          </w:rPr>
          <w:fldChar w:fldCharType="separate"/>
        </w:r>
        <w:r w:rsidR="00A267BF">
          <w:rPr>
            <w:noProof/>
            <w:webHidden/>
          </w:rPr>
          <w:t>56</w:t>
        </w:r>
        <w:r w:rsidR="00783505">
          <w:rPr>
            <w:noProof/>
            <w:webHidden/>
          </w:rPr>
          <w:fldChar w:fldCharType="end"/>
        </w:r>
      </w:hyperlink>
    </w:p>
    <w:p w14:paraId="000975BB" w14:textId="36949930" w:rsidR="00783505" w:rsidRDefault="00560387">
      <w:pPr>
        <w:pStyle w:val="Obsah4"/>
        <w:rPr>
          <w:rFonts w:eastAsiaTheme="minorEastAsia"/>
          <w:noProof/>
          <w:lang w:eastAsia="sk-SK"/>
        </w:rPr>
      </w:pPr>
      <w:hyperlink w:anchor="_Toc477345405" w:history="1">
        <w:r w:rsidR="00783505" w:rsidRPr="00184604">
          <w:rPr>
            <w:rStyle w:val="Hypertextovprepojenie"/>
            <w:rFonts w:ascii="Times New Roman" w:eastAsia="Times New Roman" w:hAnsi="Times New Roman" w:cs="Times New Roman"/>
            <w:noProof/>
            <w:lang w:eastAsia="sk-SK"/>
          </w:rPr>
          <w:t>3.6.1.3.</w:t>
        </w:r>
        <w:r w:rsidR="00783505">
          <w:rPr>
            <w:rFonts w:eastAsiaTheme="minorEastAsia"/>
            <w:noProof/>
            <w:lang w:eastAsia="sk-SK"/>
          </w:rPr>
          <w:tab/>
        </w:r>
        <w:r w:rsidR="00783505" w:rsidRPr="00184604">
          <w:rPr>
            <w:rStyle w:val="Hypertextovprepojenie"/>
            <w:rFonts w:ascii="Times New Roman" w:eastAsia="Times New Roman" w:hAnsi="Times New Roman" w:cs="Times New Roman"/>
            <w:noProof/>
            <w:lang w:eastAsia="sk-SK"/>
          </w:rPr>
          <w:t>Opis plánovaných alebo prijatých opatrení na zabezpečenie toho, aby sa prostredníctvom taríf dodávateľom umožnilo zlepšiť účasť odberateľov na efektívnosti systému vrátane reakcie strany spotreby (článok 15 ods.4 SEE)</w:t>
        </w:r>
        <w:r w:rsidR="00783505">
          <w:rPr>
            <w:noProof/>
            <w:webHidden/>
          </w:rPr>
          <w:tab/>
        </w:r>
        <w:r w:rsidR="00783505">
          <w:rPr>
            <w:noProof/>
            <w:webHidden/>
          </w:rPr>
          <w:fldChar w:fldCharType="begin"/>
        </w:r>
        <w:r w:rsidR="00783505">
          <w:rPr>
            <w:noProof/>
            <w:webHidden/>
          </w:rPr>
          <w:instrText xml:space="preserve"> PAGEREF _Toc477345405 \h </w:instrText>
        </w:r>
        <w:r w:rsidR="00783505">
          <w:rPr>
            <w:noProof/>
            <w:webHidden/>
          </w:rPr>
        </w:r>
        <w:r w:rsidR="00783505">
          <w:rPr>
            <w:noProof/>
            <w:webHidden/>
          </w:rPr>
          <w:fldChar w:fldCharType="separate"/>
        </w:r>
        <w:r w:rsidR="00A267BF">
          <w:rPr>
            <w:noProof/>
            <w:webHidden/>
          </w:rPr>
          <w:t>57</w:t>
        </w:r>
        <w:r w:rsidR="00783505">
          <w:rPr>
            <w:noProof/>
            <w:webHidden/>
          </w:rPr>
          <w:fldChar w:fldCharType="end"/>
        </w:r>
      </w:hyperlink>
    </w:p>
    <w:p w14:paraId="05F64042" w14:textId="3B08C997" w:rsidR="00783505" w:rsidRDefault="00560387">
      <w:pPr>
        <w:pStyle w:val="Obsah3"/>
        <w:rPr>
          <w:rFonts w:eastAsiaTheme="minorEastAsia"/>
          <w:noProof/>
          <w:lang w:eastAsia="sk-SK"/>
        </w:rPr>
      </w:pPr>
      <w:hyperlink w:anchor="_Toc477345406" w:history="1">
        <w:r w:rsidR="00783505" w:rsidRPr="00184604">
          <w:rPr>
            <w:rStyle w:val="Hypertextovprepojenie"/>
            <w:rFonts w:ascii="Times New Roman" w:hAnsi="Times New Roman" w:cs="Times New Roman"/>
            <w:noProof/>
          </w:rPr>
          <w:t>3.6.2.</w:t>
        </w:r>
        <w:r w:rsidR="00783505">
          <w:rPr>
            <w:rFonts w:eastAsiaTheme="minorEastAsia"/>
            <w:noProof/>
            <w:lang w:eastAsia="sk-SK"/>
          </w:rPr>
          <w:tab/>
        </w:r>
        <w:r w:rsidR="00783505" w:rsidRPr="00184604">
          <w:rPr>
            <w:rStyle w:val="Hypertextovprepojenie"/>
            <w:rFonts w:ascii="Times New Roman" w:hAnsi="Times New Roman" w:cs="Times New Roman"/>
            <w:noProof/>
          </w:rPr>
          <w:t>Uľahčenie a podpora reakcie strany spotreby (článok 15 SEE)</w:t>
        </w:r>
        <w:r w:rsidR="00783505">
          <w:rPr>
            <w:noProof/>
            <w:webHidden/>
          </w:rPr>
          <w:tab/>
        </w:r>
        <w:r w:rsidR="00783505">
          <w:rPr>
            <w:noProof/>
            <w:webHidden/>
          </w:rPr>
          <w:fldChar w:fldCharType="begin"/>
        </w:r>
        <w:r w:rsidR="00783505">
          <w:rPr>
            <w:noProof/>
            <w:webHidden/>
          </w:rPr>
          <w:instrText xml:space="preserve"> PAGEREF _Toc477345406 \h </w:instrText>
        </w:r>
        <w:r w:rsidR="00783505">
          <w:rPr>
            <w:noProof/>
            <w:webHidden/>
          </w:rPr>
        </w:r>
        <w:r w:rsidR="00783505">
          <w:rPr>
            <w:noProof/>
            <w:webHidden/>
          </w:rPr>
          <w:fldChar w:fldCharType="separate"/>
        </w:r>
        <w:r w:rsidR="00A267BF">
          <w:rPr>
            <w:noProof/>
            <w:webHidden/>
          </w:rPr>
          <w:t>57</w:t>
        </w:r>
        <w:r w:rsidR="00783505">
          <w:rPr>
            <w:noProof/>
            <w:webHidden/>
          </w:rPr>
          <w:fldChar w:fldCharType="end"/>
        </w:r>
      </w:hyperlink>
    </w:p>
    <w:p w14:paraId="530BD5BB" w14:textId="715A428B" w:rsidR="00783505" w:rsidRDefault="00560387">
      <w:pPr>
        <w:pStyle w:val="Obsah3"/>
        <w:rPr>
          <w:rFonts w:eastAsiaTheme="minorEastAsia"/>
          <w:noProof/>
          <w:lang w:eastAsia="sk-SK"/>
        </w:rPr>
      </w:pPr>
      <w:hyperlink w:anchor="_Toc477345407" w:history="1">
        <w:r w:rsidR="00783505" w:rsidRPr="00184604">
          <w:rPr>
            <w:rStyle w:val="Hypertextovprepojenie"/>
            <w:rFonts w:ascii="Times New Roman" w:hAnsi="Times New Roman" w:cs="Times New Roman"/>
            <w:noProof/>
          </w:rPr>
          <w:t>3.6.3.</w:t>
        </w:r>
        <w:r w:rsidR="00783505">
          <w:rPr>
            <w:rFonts w:eastAsiaTheme="minorEastAsia"/>
            <w:noProof/>
            <w:lang w:eastAsia="sk-SK"/>
          </w:rPr>
          <w:tab/>
        </w:r>
        <w:r w:rsidR="00783505" w:rsidRPr="00184604">
          <w:rPr>
            <w:rStyle w:val="Hypertextovprepojenie"/>
            <w:rFonts w:ascii="Times New Roman" w:hAnsi="Times New Roman" w:cs="Times New Roman"/>
            <w:noProof/>
          </w:rPr>
          <w:t>Energetická efektívnosť pri vytváraní a regulácií sietí (článok 15 SEE)</w:t>
        </w:r>
        <w:r w:rsidR="00783505">
          <w:rPr>
            <w:noProof/>
            <w:webHidden/>
          </w:rPr>
          <w:tab/>
        </w:r>
        <w:r w:rsidR="00783505">
          <w:rPr>
            <w:noProof/>
            <w:webHidden/>
          </w:rPr>
          <w:fldChar w:fldCharType="begin"/>
        </w:r>
        <w:r w:rsidR="00783505">
          <w:rPr>
            <w:noProof/>
            <w:webHidden/>
          </w:rPr>
          <w:instrText xml:space="preserve"> PAGEREF _Toc477345407 \h </w:instrText>
        </w:r>
        <w:r w:rsidR="00783505">
          <w:rPr>
            <w:noProof/>
            <w:webHidden/>
          </w:rPr>
        </w:r>
        <w:r w:rsidR="00783505">
          <w:rPr>
            <w:noProof/>
            <w:webHidden/>
          </w:rPr>
          <w:fldChar w:fldCharType="separate"/>
        </w:r>
        <w:r w:rsidR="00A267BF">
          <w:rPr>
            <w:noProof/>
            <w:webHidden/>
          </w:rPr>
          <w:t>57</w:t>
        </w:r>
        <w:r w:rsidR="00783505">
          <w:rPr>
            <w:noProof/>
            <w:webHidden/>
          </w:rPr>
          <w:fldChar w:fldCharType="end"/>
        </w:r>
      </w:hyperlink>
    </w:p>
    <w:p w14:paraId="08133F72" w14:textId="5D31D9B6" w:rsidR="00783505" w:rsidRDefault="00560387">
      <w:pPr>
        <w:pStyle w:val="Obsah1"/>
        <w:tabs>
          <w:tab w:val="right" w:leader="dot" w:pos="9062"/>
        </w:tabs>
        <w:rPr>
          <w:rFonts w:eastAsiaTheme="minorEastAsia"/>
          <w:noProof/>
          <w:lang w:eastAsia="sk-SK"/>
        </w:rPr>
      </w:pPr>
      <w:hyperlink w:anchor="_Toc477345408" w:history="1">
        <w:r w:rsidR="00783505" w:rsidRPr="00783505">
          <w:rPr>
            <w:rStyle w:val="Hypertextovprepojenie"/>
            <w:rFonts w:ascii="Times New Roman" w:hAnsi="Times New Roman" w:cs="Times New Roman"/>
            <w:noProof/>
          </w:rPr>
          <w:t>Záver</w:t>
        </w:r>
        <w:r w:rsidR="00783505">
          <w:rPr>
            <w:noProof/>
            <w:webHidden/>
          </w:rPr>
          <w:tab/>
        </w:r>
        <w:r w:rsidR="00783505">
          <w:rPr>
            <w:noProof/>
            <w:webHidden/>
          </w:rPr>
          <w:fldChar w:fldCharType="begin"/>
        </w:r>
        <w:r w:rsidR="00783505">
          <w:rPr>
            <w:noProof/>
            <w:webHidden/>
          </w:rPr>
          <w:instrText xml:space="preserve"> PAGEREF _Toc477345408 \h </w:instrText>
        </w:r>
        <w:r w:rsidR="00783505">
          <w:rPr>
            <w:noProof/>
            <w:webHidden/>
          </w:rPr>
        </w:r>
        <w:r w:rsidR="00783505">
          <w:rPr>
            <w:noProof/>
            <w:webHidden/>
          </w:rPr>
          <w:fldChar w:fldCharType="separate"/>
        </w:r>
        <w:r w:rsidR="00A267BF">
          <w:rPr>
            <w:noProof/>
            <w:webHidden/>
          </w:rPr>
          <w:t>58</w:t>
        </w:r>
        <w:r w:rsidR="00783505">
          <w:rPr>
            <w:noProof/>
            <w:webHidden/>
          </w:rPr>
          <w:fldChar w:fldCharType="end"/>
        </w:r>
      </w:hyperlink>
    </w:p>
    <w:p w14:paraId="45449619" w14:textId="6C719BC6" w:rsidR="0067687B" w:rsidRPr="007577DE" w:rsidRDefault="00B639A9" w:rsidP="0067687B">
      <w:pPr>
        <w:rPr>
          <w:rFonts w:ascii="Times New Roman" w:hAnsi="Times New Roman" w:cs="Times New Roman"/>
          <w:b/>
          <w:sz w:val="24"/>
          <w:szCs w:val="24"/>
        </w:rPr>
      </w:pPr>
      <w:r w:rsidRPr="000578FE">
        <w:rPr>
          <w:rFonts w:ascii="Times New Roman" w:hAnsi="Times New Roman" w:cs="Times New Roman"/>
        </w:rPr>
        <w:lastRenderedPageBreak/>
        <w:fldChar w:fldCharType="end"/>
      </w:r>
      <w:r w:rsidR="00987231" w:rsidRPr="007577DE">
        <w:rPr>
          <w:rFonts w:ascii="Times New Roman" w:hAnsi="Times New Roman" w:cs="Times New Roman"/>
          <w:b/>
          <w:sz w:val="24"/>
          <w:szCs w:val="24"/>
        </w:rPr>
        <w:t xml:space="preserve">Zoznam </w:t>
      </w:r>
      <w:r w:rsidR="002E09E2">
        <w:rPr>
          <w:rFonts w:ascii="Times New Roman" w:hAnsi="Times New Roman" w:cs="Times New Roman"/>
          <w:b/>
          <w:sz w:val="24"/>
          <w:szCs w:val="24"/>
        </w:rPr>
        <w:t>pr</w:t>
      </w:r>
      <w:r w:rsidR="00987231" w:rsidRPr="007577DE">
        <w:rPr>
          <w:rFonts w:ascii="Times New Roman" w:hAnsi="Times New Roman" w:cs="Times New Roman"/>
          <w:b/>
          <w:sz w:val="24"/>
          <w:szCs w:val="24"/>
        </w:rPr>
        <w:t>íloh</w:t>
      </w:r>
    </w:p>
    <w:p w14:paraId="25BE21A6" w14:textId="5D411DB6" w:rsidR="00AD7E8F" w:rsidRPr="007577DE" w:rsidRDefault="00AD7E8F">
      <w:pPr>
        <w:rPr>
          <w:rFonts w:ascii="Times New Roman" w:hAnsi="Times New Roman" w:cs="Times New Roman"/>
        </w:rPr>
      </w:pPr>
      <w:r w:rsidRPr="007577DE">
        <w:rPr>
          <w:rFonts w:ascii="Times New Roman" w:hAnsi="Times New Roman" w:cs="Times New Roman"/>
        </w:rPr>
        <w:t xml:space="preserve">Príloha č. 1: Vyhodnotenie plnenia opatrení za roky 2014-2016 </w:t>
      </w:r>
    </w:p>
    <w:p w14:paraId="4D089B44" w14:textId="4F2B042C" w:rsidR="00AD7E8F" w:rsidRPr="007577DE" w:rsidRDefault="00921F40">
      <w:pPr>
        <w:rPr>
          <w:rFonts w:ascii="Times New Roman" w:hAnsi="Times New Roman" w:cs="Times New Roman"/>
        </w:rPr>
      </w:pPr>
      <w:r w:rsidRPr="007577DE">
        <w:rPr>
          <w:rFonts w:ascii="Times New Roman" w:hAnsi="Times New Roman" w:cs="Times New Roman"/>
        </w:rPr>
        <w:t>Príloha</w:t>
      </w:r>
      <w:r w:rsidR="00AD7E8F" w:rsidRPr="007577DE">
        <w:rPr>
          <w:rFonts w:ascii="Times New Roman" w:hAnsi="Times New Roman" w:cs="Times New Roman"/>
        </w:rPr>
        <w:t xml:space="preserve"> č. 2: Plán</w:t>
      </w:r>
      <w:r w:rsidR="002E09E2" w:rsidRPr="007577DE">
        <w:rPr>
          <w:rFonts w:ascii="Times New Roman" w:hAnsi="Times New Roman" w:cs="Times New Roman"/>
        </w:rPr>
        <w:t>ované</w:t>
      </w:r>
      <w:r w:rsidR="00AD7E8F" w:rsidRPr="007577DE">
        <w:rPr>
          <w:rFonts w:ascii="Times New Roman" w:hAnsi="Times New Roman" w:cs="Times New Roman"/>
        </w:rPr>
        <w:t xml:space="preserve"> opatren</w:t>
      </w:r>
      <w:r w:rsidR="002E09E2" w:rsidRPr="007577DE">
        <w:rPr>
          <w:rFonts w:ascii="Times New Roman" w:hAnsi="Times New Roman" w:cs="Times New Roman"/>
        </w:rPr>
        <w:t>ia</w:t>
      </w:r>
      <w:r w:rsidR="00AD7E8F" w:rsidRPr="007577DE">
        <w:rPr>
          <w:rFonts w:ascii="Times New Roman" w:hAnsi="Times New Roman" w:cs="Times New Roman"/>
        </w:rPr>
        <w:t xml:space="preserve"> na roky 2017-2019 s výhľadom do roku 2020 </w:t>
      </w:r>
    </w:p>
    <w:p w14:paraId="749F86AD" w14:textId="4DC145AA" w:rsidR="00316509" w:rsidRPr="007577DE" w:rsidRDefault="00316509">
      <w:pPr>
        <w:rPr>
          <w:rFonts w:ascii="Times New Roman" w:hAnsi="Times New Roman" w:cs="Times New Roman"/>
        </w:rPr>
      </w:pPr>
      <w:r w:rsidRPr="007577DE">
        <w:rPr>
          <w:rFonts w:ascii="Times New Roman" w:hAnsi="Times New Roman" w:cs="Times New Roman"/>
        </w:rPr>
        <w:t>Príloha č. 3: Prehľad horizontálnych opatrení v rokoch 2014-2016</w:t>
      </w:r>
    </w:p>
    <w:p w14:paraId="23EFAA47" w14:textId="4CDFCB8A" w:rsidR="00C5546D" w:rsidRPr="007577DE" w:rsidRDefault="00AD7E8F">
      <w:pPr>
        <w:rPr>
          <w:rFonts w:ascii="Times New Roman" w:hAnsi="Times New Roman" w:cs="Times New Roman"/>
        </w:rPr>
      </w:pPr>
      <w:r w:rsidRPr="007577DE">
        <w:rPr>
          <w:rFonts w:ascii="Times New Roman" w:hAnsi="Times New Roman" w:cs="Times New Roman"/>
        </w:rPr>
        <w:t xml:space="preserve">Príloha č. </w:t>
      </w:r>
      <w:r w:rsidR="00316509" w:rsidRPr="007577DE">
        <w:rPr>
          <w:rFonts w:ascii="Times New Roman" w:hAnsi="Times New Roman" w:cs="Times New Roman"/>
        </w:rPr>
        <w:t>4</w:t>
      </w:r>
      <w:r w:rsidRPr="007577DE">
        <w:rPr>
          <w:rFonts w:ascii="Times New Roman" w:hAnsi="Times New Roman" w:cs="Times New Roman"/>
        </w:rPr>
        <w:t xml:space="preserve">: </w:t>
      </w:r>
      <w:r w:rsidR="00B60651" w:rsidRPr="00E97D86">
        <w:rPr>
          <w:rFonts w:ascii="Times New Roman" w:hAnsi="Times New Roman" w:cs="Times New Roman"/>
        </w:rPr>
        <w:t xml:space="preserve">Ročná správa o pokroku pri </w:t>
      </w:r>
      <w:r w:rsidR="001D06C9">
        <w:rPr>
          <w:rFonts w:ascii="Times New Roman" w:hAnsi="Times New Roman" w:cs="Times New Roman"/>
        </w:rPr>
        <w:t>dosahovaní</w:t>
      </w:r>
      <w:r w:rsidR="001D06C9" w:rsidRPr="00E97D86">
        <w:rPr>
          <w:rFonts w:ascii="Times New Roman" w:hAnsi="Times New Roman" w:cs="Times New Roman"/>
        </w:rPr>
        <w:t xml:space="preserve"> </w:t>
      </w:r>
      <w:r w:rsidR="00B60651" w:rsidRPr="00E97D86">
        <w:rPr>
          <w:rFonts w:ascii="Times New Roman" w:hAnsi="Times New Roman" w:cs="Times New Roman"/>
        </w:rPr>
        <w:t>národných cieľov energetickej efektívnosti za rok 2016</w:t>
      </w:r>
    </w:p>
    <w:p w14:paraId="05E99EA7" w14:textId="585D6B86" w:rsidR="007F7379" w:rsidRPr="007577DE" w:rsidRDefault="00DD2C1A" w:rsidP="008C48EE">
      <w:pPr>
        <w:rPr>
          <w:rFonts w:ascii="Times New Roman" w:hAnsi="Times New Roman" w:cs="Times New Roman"/>
        </w:rPr>
      </w:pPr>
      <w:r w:rsidRPr="007577DE">
        <w:rPr>
          <w:rFonts w:ascii="Times New Roman" w:hAnsi="Times New Roman" w:cs="Times New Roman"/>
        </w:rPr>
        <w:t>Príloha č. 5</w:t>
      </w:r>
      <w:r w:rsidR="007F7379" w:rsidRPr="007577DE">
        <w:rPr>
          <w:rFonts w:ascii="Times New Roman" w:hAnsi="Times New Roman" w:cs="Times New Roman"/>
        </w:rPr>
        <w:t xml:space="preserve">: </w:t>
      </w:r>
      <w:r w:rsidR="00B60651" w:rsidRPr="00713304">
        <w:rPr>
          <w:rFonts w:ascii="Times New Roman" w:hAnsi="Times New Roman" w:cs="Times New Roman"/>
        </w:rPr>
        <w:t>Metodické tabuľky výpočtu úspor energie pre jednotlivé opatrenia</w:t>
      </w:r>
      <w:r w:rsidR="00B60651">
        <w:rPr>
          <w:rFonts w:ascii="Times New Roman" w:hAnsi="Times New Roman" w:cs="Times New Roman"/>
        </w:rPr>
        <w:t xml:space="preserve"> </w:t>
      </w:r>
    </w:p>
    <w:p w14:paraId="08AA91CE" w14:textId="0FC4A48E" w:rsidR="00987231" w:rsidRPr="009F2998" w:rsidRDefault="00987231" w:rsidP="008C48EE">
      <w:pPr>
        <w:rPr>
          <w:rFonts w:ascii="Times New Roman" w:hAnsi="Times New Roman" w:cs="Times New Roman"/>
          <w:b/>
        </w:rPr>
      </w:pPr>
      <w:r w:rsidRPr="009F2998">
        <w:rPr>
          <w:rFonts w:ascii="Times New Roman" w:hAnsi="Times New Roman" w:cs="Times New Roman"/>
          <w:b/>
        </w:rPr>
        <w:br w:type="page"/>
      </w:r>
    </w:p>
    <w:p w14:paraId="2C321853" w14:textId="38515AD0" w:rsidR="00525DB4" w:rsidRPr="000578FE" w:rsidRDefault="00525DB4" w:rsidP="00525DB4">
      <w:pPr>
        <w:pStyle w:val="Nadpis2"/>
        <w:numPr>
          <w:ilvl w:val="0"/>
          <w:numId w:val="0"/>
        </w:numPr>
        <w:rPr>
          <w:rFonts w:ascii="Times New Roman" w:hAnsi="Times New Roman" w:cs="Times New Roman"/>
          <w:color w:val="auto"/>
          <w:sz w:val="24"/>
          <w:szCs w:val="24"/>
        </w:rPr>
      </w:pPr>
      <w:bookmarkStart w:id="0" w:name="_Toc392220423"/>
      <w:bookmarkStart w:id="1" w:name="_Toc475963801"/>
      <w:bookmarkStart w:id="2" w:name="_Toc477345333"/>
      <w:r w:rsidRPr="000578FE">
        <w:rPr>
          <w:rFonts w:ascii="Times New Roman" w:hAnsi="Times New Roman" w:cs="Times New Roman"/>
          <w:color w:val="auto"/>
          <w:sz w:val="24"/>
          <w:szCs w:val="24"/>
        </w:rPr>
        <w:lastRenderedPageBreak/>
        <w:t>Použité skratky</w:t>
      </w:r>
      <w:bookmarkEnd w:id="0"/>
      <w:bookmarkEnd w:id="1"/>
      <w:bookmarkEnd w:id="2"/>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7466"/>
      </w:tblGrid>
      <w:tr w:rsidR="00525DB4" w:rsidRPr="009F2998" w14:paraId="507158DC" w14:textId="77777777" w:rsidTr="008C47DF">
        <w:trPr>
          <w:trHeight w:val="482"/>
        </w:trPr>
        <w:tc>
          <w:tcPr>
            <w:tcW w:w="885" w:type="pct"/>
          </w:tcPr>
          <w:p w14:paraId="18DBF8B4"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3AP</w:t>
            </w:r>
          </w:p>
        </w:tc>
        <w:tc>
          <w:tcPr>
            <w:tcW w:w="4115" w:type="pct"/>
          </w:tcPr>
          <w:p w14:paraId="49E0CEFB"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Tretí akčný plán – „Akčný plán energetickej efektívnosti na roky 2014-2016 s výhľadom do roku 2020“</w:t>
            </w:r>
          </w:p>
        </w:tc>
      </w:tr>
      <w:tr w:rsidR="00525DB4" w:rsidRPr="009F2998" w14:paraId="399BECC1" w14:textId="77777777" w:rsidTr="008C47DF">
        <w:trPr>
          <w:trHeight w:val="482"/>
        </w:trPr>
        <w:tc>
          <w:tcPr>
            <w:tcW w:w="885" w:type="pct"/>
          </w:tcPr>
          <w:p w14:paraId="276ADC6B"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4AP</w:t>
            </w:r>
          </w:p>
        </w:tc>
        <w:tc>
          <w:tcPr>
            <w:tcW w:w="4115" w:type="pct"/>
          </w:tcPr>
          <w:p w14:paraId="4996CF4F"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Štvrtý akčný plán – „Akčný plán energetickej efektívnosti na roky 2017-2019 s výhľadom do roku 2020“</w:t>
            </w:r>
          </w:p>
        </w:tc>
      </w:tr>
      <w:tr w:rsidR="00525DB4" w:rsidRPr="009F2998" w14:paraId="5865063C" w14:textId="77777777" w:rsidTr="008C47DF">
        <w:trPr>
          <w:trHeight w:val="482"/>
        </w:trPr>
        <w:tc>
          <w:tcPr>
            <w:tcW w:w="885" w:type="pct"/>
          </w:tcPr>
          <w:p w14:paraId="2DD686E6"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CZT</w:t>
            </w:r>
          </w:p>
        </w:tc>
        <w:tc>
          <w:tcPr>
            <w:tcW w:w="4115" w:type="pct"/>
          </w:tcPr>
          <w:p w14:paraId="1A01F6C8"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Centralizované zásobovanie teplom</w:t>
            </w:r>
          </w:p>
        </w:tc>
      </w:tr>
      <w:tr w:rsidR="00525DB4" w:rsidRPr="009F2998" w14:paraId="4696B3B8" w14:textId="77777777" w:rsidTr="008C47DF">
        <w:trPr>
          <w:trHeight w:val="482"/>
        </w:trPr>
        <w:tc>
          <w:tcPr>
            <w:tcW w:w="885" w:type="pct"/>
          </w:tcPr>
          <w:p w14:paraId="36AD12C0"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EBRD</w:t>
            </w:r>
          </w:p>
        </w:tc>
        <w:tc>
          <w:tcPr>
            <w:tcW w:w="4115" w:type="pct"/>
          </w:tcPr>
          <w:p w14:paraId="28B51942"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Európska banka pre obnovu a rozvoj</w:t>
            </w:r>
          </w:p>
        </w:tc>
      </w:tr>
      <w:tr w:rsidR="00525DB4" w:rsidRPr="009F2998" w14:paraId="415F9D89" w14:textId="77777777" w:rsidTr="008C47DF">
        <w:trPr>
          <w:trHeight w:val="482"/>
        </w:trPr>
        <w:tc>
          <w:tcPr>
            <w:tcW w:w="885" w:type="pct"/>
          </w:tcPr>
          <w:p w14:paraId="1E798345"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ECB</w:t>
            </w:r>
          </w:p>
        </w:tc>
        <w:tc>
          <w:tcPr>
            <w:tcW w:w="4115" w:type="pct"/>
          </w:tcPr>
          <w:p w14:paraId="36ADB759"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Energetický certifikát budovy</w:t>
            </w:r>
          </w:p>
        </w:tc>
      </w:tr>
      <w:tr w:rsidR="00525DB4" w:rsidRPr="009F2998" w14:paraId="27C8EE8F" w14:textId="77777777" w:rsidTr="008C47DF">
        <w:trPr>
          <w:trHeight w:val="482"/>
        </w:trPr>
        <w:tc>
          <w:tcPr>
            <w:tcW w:w="885" w:type="pct"/>
          </w:tcPr>
          <w:p w14:paraId="0C2B6032"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EHB</w:t>
            </w:r>
          </w:p>
        </w:tc>
        <w:tc>
          <w:tcPr>
            <w:tcW w:w="4115" w:type="pct"/>
          </w:tcPr>
          <w:p w14:paraId="77162651"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Energetická hospodárnosť budov</w:t>
            </w:r>
          </w:p>
        </w:tc>
      </w:tr>
      <w:tr w:rsidR="00525DB4" w:rsidRPr="009F2998" w14:paraId="22E6B737" w14:textId="77777777" w:rsidTr="008C47DF">
        <w:trPr>
          <w:trHeight w:val="482"/>
        </w:trPr>
        <w:tc>
          <w:tcPr>
            <w:tcW w:w="885" w:type="pct"/>
          </w:tcPr>
          <w:p w14:paraId="6274A49C"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EK</w:t>
            </w:r>
          </w:p>
        </w:tc>
        <w:tc>
          <w:tcPr>
            <w:tcW w:w="4115" w:type="pct"/>
          </w:tcPr>
          <w:p w14:paraId="2FDBEB82"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Európska komisia</w:t>
            </w:r>
          </w:p>
        </w:tc>
      </w:tr>
      <w:tr w:rsidR="00525DB4" w:rsidRPr="009F2998" w14:paraId="01E43074" w14:textId="77777777" w:rsidTr="008C47DF">
        <w:trPr>
          <w:trHeight w:val="482"/>
        </w:trPr>
        <w:tc>
          <w:tcPr>
            <w:tcW w:w="885" w:type="pct"/>
          </w:tcPr>
          <w:p w14:paraId="080F7C6B"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EMAS</w:t>
            </w:r>
          </w:p>
        </w:tc>
        <w:tc>
          <w:tcPr>
            <w:tcW w:w="4115" w:type="pct"/>
          </w:tcPr>
          <w:p w14:paraId="5524DAA1"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Systém environmentálneho manažérstva a auditu</w:t>
            </w:r>
          </w:p>
        </w:tc>
      </w:tr>
      <w:tr w:rsidR="00525DB4" w:rsidRPr="009F2998" w14:paraId="50E50B65" w14:textId="77777777" w:rsidTr="008C47DF">
        <w:trPr>
          <w:trHeight w:val="482"/>
        </w:trPr>
        <w:tc>
          <w:tcPr>
            <w:tcW w:w="885" w:type="pct"/>
          </w:tcPr>
          <w:p w14:paraId="2A237D14"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EPC</w:t>
            </w:r>
          </w:p>
        </w:tc>
        <w:tc>
          <w:tcPr>
            <w:tcW w:w="4115" w:type="pct"/>
          </w:tcPr>
          <w:p w14:paraId="2E821ED1"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 xml:space="preserve">Energy Performance Contracting </w:t>
            </w:r>
          </w:p>
        </w:tc>
      </w:tr>
      <w:tr w:rsidR="00525DB4" w:rsidRPr="009F2998" w14:paraId="1CBD1332" w14:textId="77777777" w:rsidTr="008C47DF">
        <w:trPr>
          <w:trHeight w:val="482"/>
        </w:trPr>
        <w:tc>
          <w:tcPr>
            <w:tcW w:w="885" w:type="pct"/>
          </w:tcPr>
          <w:p w14:paraId="7DF308DD"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ERDF</w:t>
            </w:r>
          </w:p>
        </w:tc>
        <w:tc>
          <w:tcPr>
            <w:tcW w:w="4115" w:type="pct"/>
          </w:tcPr>
          <w:p w14:paraId="6FA80B0E"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Európsky fond regionálneho rozvoja</w:t>
            </w:r>
          </w:p>
        </w:tc>
      </w:tr>
      <w:tr w:rsidR="00525DB4" w:rsidRPr="009F2998" w14:paraId="2BD7A126" w14:textId="77777777" w:rsidTr="008C47DF">
        <w:trPr>
          <w:trHeight w:val="482"/>
        </w:trPr>
        <w:tc>
          <w:tcPr>
            <w:tcW w:w="885" w:type="pct"/>
          </w:tcPr>
          <w:p w14:paraId="1C96296D"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EŠIF</w:t>
            </w:r>
          </w:p>
        </w:tc>
        <w:tc>
          <w:tcPr>
            <w:tcW w:w="4115" w:type="pct"/>
          </w:tcPr>
          <w:p w14:paraId="47C00048"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Európske štrukturálne a investičné fondy (2014-2020)</w:t>
            </w:r>
          </w:p>
        </w:tc>
      </w:tr>
      <w:tr w:rsidR="00525DB4" w:rsidRPr="009F2998" w14:paraId="4B5BBFE0" w14:textId="77777777" w:rsidTr="008C47DF">
        <w:trPr>
          <w:trHeight w:val="482"/>
        </w:trPr>
        <w:tc>
          <w:tcPr>
            <w:tcW w:w="885" w:type="pct"/>
          </w:tcPr>
          <w:p w14:paraId="0A4E043A"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 xml:space="preserve">IEE II. </w:t>
            </w:r>
          </w:p>
        </w:tc>
        <w:tc>
          <w:tcPr>
            <w:tcW w:w="4115" w:type="pct"/>
          </w:tcPr>
          <w:p w14:paraId="6E04DB3E"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Inteligentná energia Európa II. (podporný program EÚ)</w:t>
            </w:r>
          </w:p>
        </w:tc>
      </w:tr>
      <w:tr w:rsidR="00525DB4" w:rsidRPr="009F2998" w14:paraId="28148A10" w14:textId="77777777" w:rsidTr="008C47DF">
        <w:trPr>
          <w:trHeight w:val="482"/>
        </w:trPr>
        <w:tc>
          <w:tcPr>
            <w:tcW w:w="885" w:type="pct"/>
          </w:tcPr>
          <w:p w14:paraId="19DCD303"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IROP</w:t>
            </w:r>
          </w:p>
        </w:tc>
        <w:tc>
          <w:tcPr>
            <w:tcW w:w="4115" w:type="pct"/>
          </w:tcPr>
          <w:p w14:paraId="4797DD60"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Integrovaný regionálny operačný program (2014-2020)</w:t>
            </w:r>
          </w:p>
        </w:tc>
      </w:tr>
      <w:tr w:rsidR="00525DB4" w:rsidRPr="009F2998" w14:paraId="3029FBF0" w14:textId="77777777" w:rsidTr="008C47DF">
        <w:trPr>
          <w:trHeight w:val="482"/>
        </w:trPr>
        <w:tc>
          <w:tcPr>
            <w:tcW w:w="885" w:type="pct"/>
          </w:tcPr>
          <w:p w14:paraId="370147A7"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KB</w:t>
            </w:r>
          </w:p>
        </w:tc>
        <w:tc>
          <w:tcPr>
            <w:tcW w:w="4115" w:type="pct"/>
          </w:tcPr>
          <w:p w14:paraId="4726A237"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Komerčné banky</w:t>
            </w:r>
          </w:p>
        </w:tc>
      </w:tr>
      <w:tr w:rsidR="00525DB4" w:rsidRPr="009F2998" w14:paraId="713F5013" w14:textId="77777777" w:rsidTr="008C47DF">
        <w:trPr>
          <w:trHeight w:val="482"/>
        </w:trPr>
        <w:tc>
          <w:tcPr>
            <w:tcW w:w="885" w:type="pct"/>
          </w:tcPr>
          <w:p w14:paraId="55B2E580"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KES</w:t>
            </w:r>
          </w:p>
        </w:tc>
        <w:tc>
          <w:tcPr>
            <w:tcW w:w="4115" w:type="pct"/>
          </w:tcPr>
          <w:p w14:paraId="4B1B4BFF"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Konečná energetická spotreba</w:t>
            </w:r>
          </w:p>
        </w:tc>
      </w:tr>
      <w:tr w:rsidR="00525DB4" w:rsidRPr="009F2998" w14:paraId="56775A58" w14:textId="77777777" w:rsidTr="008C47DF">
        <w:trPr>
          <w:trHeight w:val="482"/>
        </w:trPr>
        <w:tc>
          <w:tcPr>
            <w:tcW w:w="885" w:type="pct"/>
          </w:tcPr>
          <w:p w14:paraId="24EFCBF6"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OP VaV</w:t>
            </w:r>
          </w:p>
        </w:tc>
        <w:tc>
          <w:tcPr>
            <w:tcW w:w="4115" w:type="pct"/>
          </w:tcPr>
          <w:p w14:paraId="1E7054F1"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Operačný program Veda a výskum (2007-2013)</w:t>
            </w:r>
          </w:p>
        </w:tc>
      </w:tr>
      <w:tr w:rsidR="00525DB4" w:rsidRPr="009F2998" w14:paraId="13DE9B23" w14:textId="77777777" w:rsidTr="008C47DF">
        <w:trPr>
          <w:trHeight w:val="482"/>
        </w:trPr>
        <w:tc>
          <w:tcPr>
            <w:tcW w:w="885" w:type="pct"/>
          </w:tcPr>
          <w:p w14:paraId="3BD1D609"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OP KaHR</w:t>
            </w:r>
          </w:p>
        </w:tc>
        <w:tc>
          <w:tcPr>
            <w:tcW w:w="4115" w:type="pct"/>
          </w:tcPr>
          <w:p w14:paraId="7C0CD89B"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Operačný program Konkurencieschopnosť a hospodársky rast (2007-2013)</w:t>
            </w:r>
          </w:p>
        </w:tc>
      </w:tr>
      <w:tr w:rsidR="00525DB4" w:rsidRPr="009F2998" w14:paraId="643ABAC9" w14:textId="77777777" w:rsidTr="008C47DF">
        <w:trPr>
          <w:trHeight w:val="482"/>
        </w:trPr>
        <w:tc>
          <w:tcPr>
            <w:tcW w:w="885" w:type="pct"/>
          </w:tcPr>
          <w:p w14:paraId="5DF245AF"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OP KŽP</w:t>
            </w:r>
          </w:p>
        </w:tc>
        <w:tc>
          <w:tcPr>
            <w:tcW w:w="4115" w:type="pct"/>
          </w:tcPr>
          <w:p w14:paraId="32683EB7"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Operačný program Kvalita životného prostredia (2014-2020)</w:t>
            </w:r>
          </w:p>
        </w:tc>
      </w:tr>
      <w:tr w:rsidR="00525DB4" w:rsidRPr="009F2998" w14:paraId="76C7F9C0" w14:textId="77777777" w:rsidTr="008C47DF">
        <w:trPr>
          <w:trHeight w:val="482"/>
        </w:trPr>
        <w:tc>
          <w:tcPr>
            <w:tcW w:w="885" w:type="pct"/>
          </w:tcPr>
          <w:p w14:paraId="3C1C95B9"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OZE</w:t>
            </w:r>
          </w:p>
        </w:tc>
        <w:tc>
          <w:tcPr>
            <w:tcW w:w="4115" w:type="pct"/>
          </w:tcPr>
          <w:p w14:paraId="2FA8B8D8"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Obnoviteľné zdroje energie</w:t>
            </w:r>
          </w:p>
        </w:tc>
      </w:tr>
      <w:tr w:rsidR="00525DB4" w:rsidRPr="009F2998" w14:paraId="3938D80F" w14:textId="77777777" w:rsidTr="008C47DF">
        <w:trPr>
          <w:trHeight w:val="482"/>
        </w:trPr>
        <w:tc>
          <w:tcPr>
            <w:tcW w:w="885" w:type="pct"/>
          </w:tcPr>
          <w:p w14:paraId="70C53F4C"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PES</w:t>
            </w:r>
          </w:p>
        </w:tc>
        <w:tc>
          <w:tcPr>
            <w:tcW w:w="4115" w:type="pct"/>
          </w:tcPr>
          <w:p w14:paraId="5A1A2CE3"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Primárna energetická spotreba</w:t>
            </w:r>
          </w:p>
        </w:tc>
      </w:tr>
      <w:tr w:rsidR="00525DB4" w:rsidRPr="009F2998" w14:paraId="122F090B" w14:textId="77777777" w:rsidTr="008C47DF">
        <w:trPr>
          <w:trHeight w:val="482"/>
        </w:trPr>
        <w:tc>
          <w:tcPr>
            <w:tcW w:w="885" w:type="pct"/>
          </w:tcPr>
          <w:p w14:paraId="54C577E3"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PHM</w:t>
            </w:r>
          </w:p>
        </w:tc>
        <w:tc>
          <w:tcPr>
            <w:tcW w:w="4115" w:type="pct"/>
          </w:tcPr>
          <w:p w14:paraId="36952166"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Pohonné hmoty</w:t>
            </w:r>
          </w:p>
        </w:tc>
      </w:tr>
      <w:tr w:rsidR="00525DB4" w:rsidRPr="009F2998" w14:paraId="19D7353B" w14:textId="77777777" w:rsidTr="008C47DF">
        <w:trPr>
          <w:trHeight w:val="482"/>
        </w:trPr>
        <w:tc>
          <w:tcPr>
            <w:tcW w:w="885" w:type="pct"/>
          </w:tcPr>
          <w:p w14:paraId="317AAD4F"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ROP</w:t>
            </w:r>
          </w:p>
        </w:tc>
        <w:tc>
          <w:tcPr>
            <w:tcW w:w="4115" w:type="pct"/>
          </w:tcPr>
          <w:p w14:paraId="4A578006"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Regionálny operačný program (2007-2013)</w:t>
            </w:r>
          </w:p>
        </w:tc>
      </w:tr>
      <w:tr w:rsidR="00525DB4" w:rsidRPr="009F2998" w14:paraId="26974694" w14:textId="77777777" w:rsidTr="008C47DF">
        <w:trPr>
          <w:trHeight w:val="482"/>
        </w:trPr>
        <w:tc>
          <w:tcPr>
            <w:tcW w:w="885" w:type="pct"/>
          </w:tcPr>
          <w:p w14:paraId="7021E41C"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ŠF</w:t>
            </w:r>
          </w:p>
        </w:tc>
        <w:tc>
          <w:tcPr>
            <w:tcW w:w="4115" w:type="pct"/>
          </w:tcPr>
          <w:p w14:paraId="5F38F18B"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Štrukturálne fondy (2007-2013)</w:t>
            </w:r>
          </w:p>
        </w:tc>
      </w:tr>
      <w:tr w:rsidR="00525DB4" w:rsidRPr="009F2998" w14:paraId="1C1592B3" w14:textId="77777777" w:rsidTr="008C47DF">
        <w:trPr>
          <w:trHeight w:val="482"/>
        </w:trPr>
        <w:tc>
          <w:tcPr>
            <w:tcW w:w="885" w:type="pct"/>
          </w:tcPr>
          <w:p w14:paraId="147B5085"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ŠFRB</w:t>
            </w:r>
          </w:p>
        </w:tc>
        <w:tc>
          <w:tcPr>
            <w:tcW w:w="4115" w:type="pct"/>
          </w:tcPr>
          <w:p w14:paraId="59CCACFF"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Štátny fond rozvoja bývania</w:t>
            </w:r>
          </w:p>
        </w:tc>
      </w:tr>
      <w:tr w:rsidR="00525DB4" w:rsidRPr="009F2998" w14:paraId="4AA44AD1" w14:textId="77777777" w:rsidTr="008C47DF">
        <w:trPr>
          <w:trHeight w:val="482"/>
        </w:trPr>
        <w:tc>
          <w:tcPr>
            <w:tcW w:w="885" w:type="pct"/>
          </w:tcPr>
          <w:p w14:paraId="02A98B43"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TIP</w:t>
            </w:r>
          </w:p>
        </w:tc>
        <w:tc>
          <w:tcPr>
            <w:tcW w:w="4115" w:type="pct"/>
          </w:tcPr>
          <w:p w14:paraId="3D503F97"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Terminál intermodálnej prepravy</w:t>
            </w:r>
          </w:p>
        </w:tc>
      </w:tr>
      <w:tr w:rsidR="00525DB4" w:rsidRPr="009F2998" w14:paraId="459E296A" w14:textId="77777777" w:rsidTr="008C47DF">
        <w:trPr>
          <w:trHeight w:val="482"/>
        </w:trPr>
        <w:tc>
          <w:tcPr>
            <w:tcW w:w="885" w:type="pct"/>
          </w:tcPr>
          <w:p w14:paraId="1BD6FEEE"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ÚOŠS</w:t>
            </w:r>
          </w:p>
        </w:tc>
        <w:tc>
          <w:tcPr>
            <w:tcW w:w="4115" w:type="pct"/>
          </w:tcPr>
          <w:p w14:paraId="21FEC37C" w14:textId="77777777" w:rsidR="00525DB4" w:rsidRPr="009F2998" w:rsidRDefault="00525DB4" w:rsidP="00F50FCB">
            <w:pPr>
              <w:spacing w:before="40" w:after="40"/>
              <w:rPr>
                <w:rFonts w:ascii="Times New Roman" w:hAnsi="Times New Roman" w:cs="Times New Roman"/>
              </w:rPr>
            </w:pPr>
            <w:r w:rsidRPr="009F2998">
              <w:rPr>
                <w:rFonts w:ascii="Times New Roman" w:hAnsi="Times New Roman" w:cs="Times New Roman"/>
              </w:rPr>
              <w:t>Ústredné orgány štátnej správy</w:t>
            </w:r>
          </w:p>
        </w:tc>
      </w:tr>
    </w:tbl>
    <w:p w14:paraId="5FA79847" w14:textId="77777777" w:rsidR="00525DB4" w:rsidRPr="009F2998" w:rsidRDefault="00525DB4" w:rsidP="00525DB4">
      <w:pPr>
        <w:rPr>
          <w:rFonts w:ascii="Times New Roman" w:hAnsi="Times New Roman" w:cs="Times New Roman"/>
        </w:rPr>
      </w:pPr>
    </w:p>
    <w:p w14:paraId="733F0DED" w14:textId="1D4D7E72" w:rsidR="0067687B" w:rsidRPr="009F2998" w:rsidRDefault="0067687B" w:rsidP="0067687B">
      <w:pPr>
        <w:rPr>
          <w:rFonts w:ascii="Times New Roman" w:hAnsi="Times New Roman" w:cs="Times New Roman"/>
        </w:rPr>
      </w:pPr>
    </w:p>
    <w:p w14:paraId="0BE4FAD9" w14:textId="6DDC9A48" w:rsidR="001D5205" w:rsidRPr="000578FE" w:rsidRDefault="009E267F" w:rsidP="00521990">
      <w:pPr>
        <w:pStyle w:val="Nadpis1"/>
        <w:numPr>
          <w:ilvl w:val="0"/>
          <w:numId w:val="0"/>
        </w:numPr>
        <w:ind w:left="432"/>
        <w:rPr>
          <w:rFonts w:ascii="Times New Roman" w:hAnsi="Times New Roman" w:cs="Times New Roman"/>
          <w:color w:val="auto"/>
        </w:rPr>
      </w:pPr>
      <w:bookmarkStart w:id="3" w:name="_Toc477345334"/>
      <w:r w:rsidRPr="000578FE">
        <w:rPr>
          <w:rFonts w:ascii="Times New Roman" w:hAnsi="Times New Roman" w:cs="Times New Roman"/>
          <w:color w:val="auto"/>
        </w:rPr>
        <w:lastRenderedPageBreak/>
        <w:t>Úvod</w:t>
      </w:r>
      <w:bookmarkEnd w:id="3"/>
    </w:p>
    <w:p w14:paraId="2D5AAF5D" w14:textId="77777777" w:rsidR="00625AAE" w:rsidRPr="009F2998" w:rsidRDefault="00625AAE" w:rsidP="00625AAE">
      <w:pPr>
        <w:jc w:val="both"/>
        <w:rPr>
          <w:rFonts w:ascii="Times New Roman" w:hAnsi="Times New Roman" w:cs="Times New Roman"/>
        </w:rPr>
      </w:pPr>
    </w:p>
    <w:p w14:paraId="6946566F" w14:textId="2C01D953" w:rsidR="00625AAE" w:rsidRPr="007577DE" w:rsidRDefault="00625AAE" w:rsidP="00625AAE">
      <w:pPr>
        <w:ind w:firstLine="432"/>
        <w:jc w:val="both"/>
        <w:rPr>
          <w:rFonts w:ascii="Times New Roman" w:hAnsi="Times New Roman" w:cs="Times New Roman"/>
          <w:sz w:val="24"/>
        </w:rPr>
      </w:pPr>
      <w:r w:rsidRPr="007577DE">
        <w:rPr>
          <w:rFonts w:ascii="Times New Roman" w:hAnsi="Times New Roman" w:cs="Times New Roman"/>
          <w:sz w:val="24"/>
        </w:rPr>
        <w:t>Akčný plán energetickej efektívnosti na roky 2017 – 2019 s výhľadom do roku 2020 (ďalej len „</w:t>
      </w:r>
      <w:r w:rsidR="0034774C" w:rsidRPr="007577DE">
        <w:rPr>
          <w:rFonts w:ascii="Times New Roman" w:hAnsi="Times New Roman" w:cs="Times New Roman"/>
          <w:sz w:val="24"/>
        </w:rPr>
        <w:t>4</w:t>
      </w:r>
      <w:r w:rsidRPr="007577DE">
        <w:rPr>
          <w:rFonts w:ascii="Times New Roman" w:hAnsi="Times New Roman" w:cs="Times New Roman"/>
          <w:sz w:val="24"/>
        </w:rPr>
        <w:t>AP“ alebo „</w:t>
      </w:r>
      <w:r w:rsidR="0034774C" w:rsidRPr="007577DE">
        <w:rPr>
          <w:rFonts w:ascii="Times New Roman" w:hAnsi="Times New Roman" w:cs="Times New Roman"/>
          <w:sz w:val="24"/>
        </w:rPr>
        <w:t>štvrtý</w:t>
      </w:r>
      <w:r w:rsidRPr="007577DE">
        <w:rPr>
          <w:rFonts w:ascii="Times New Roman" w:hAnsi="Times New Roman" w:cs="Times New Roman"/>
          <w:sz w:val="24"/>
        </w:rPr>
        <w:t xml:space="preserve"> akčný plán“) je vypracovaný podľa </w:t>
      </w:r>
      <w:r w:rsidR="00A52A72" w:rsidRPr="007577DE">
        <w:rPr>
          <w:rFonts w:ascii="Times New Roman" w:hAnsi="Times New Roman" w:cs="Times New Roman"/>
          <w:sz w:val="24"/>
        </w:rPr>
        <w:t>§ 4 zákona č. 321/2014 Z. z. o energetickej efektívnosti a o zmene a doplnení niektorých zákonov</w:t>
      </w:r>
      <w:r w:rsidRPr="007577DE">
        <w:rPr>
          <w:rFonts w:ascii="Times New Roman" w:hAnsi="Times New Roman" w:cs="Times New Roman"/>
          <w:sz w:val="24"/>
        </w:rPr>
        <w:t xml:space="preserve"> </w:t>
      </w:r>
      <w:r w:rsidR="00E5437E">
        <w:rPr>
          <w:rFonts w:ascii="Times New Roman" w:hAnsi="Times New Roman" w:cs="Times New Roman"/>
          <w:sz w:val="24"/>
        </w:rPr>
        <w:t>a</w:t>
      </w:r>
      <w:r w:rsidRPr="007577DE">
        <w:rPr>
          <w:rFonts w:ascii="Times New Roman" w:hAnsi="Times New Roman" w:cs="Times New Roman"/>
          <w:sz w:val="24"/>
        </w:rPr>
        <w:t xml:space="preserve"> článku 24 smernice 2012/27/EÚ o energetickej efektívnosti.</w:t>
      </w:r>
      <w:r w:rsidRPr="007577DE">
        <w:rPr>
          <w:rStyle w:val="Odkaznapoznmkupodiarou"/>
          <w:rFonts w:ascii="Times New Roman" w:hAnsi="Times New Roman" w:cs="Times New Roman"/>
          <w:sz w:val="24"/>
        </w:rPr>
        <w:t xml:space="preserve"> </w:t>
      </w:r>
      <w:r w:rsidRPr="007577DE">
        <w:rPr>
          <w:rStyle w:val="Odkaznapoznmkupodiarou"/>
          <w:rFonts w:ascii="Times New Roman" w:hAnsi="Times New Roman" w:cs="Times New Roman"/>
          <w:sz w:val="24"/>
        </w:rPr>
        <w:footnoteReference w:id="1"/>
      </w:r>
      <w:r w:rsidRPr="007577DE">
        <w:rPr>
          <w:rFonts w:ascii="Times New Roman" w:hAnsi="Times New Roman" w:cs="Times New Roman"/>
          <w:sz w:val="24"/>
        </w:rPr>
        <w:t xml:space="preserve">  </w:t>
      </w:r>
    </w:p>
    <w:p w14:paraId="230E43C6" w14:textId="09B3CF21" w:rsidR="00625AAE" w:rsidRPr="007577DE" w:rsidRDefault="00E5437E" w:rsidP="00625AAE">
      <w:pPr>
        <w:ind w:firstLine="432"/>
        <w:jc w:val="both"/>
        <w:rPr>
          <w:rFonts w:ascii="Times New Roman" w:hAnsi="Times New Roman" w:cs="Times New Roman"/>
          <w:sz w:val="24"/>
        </w:rPr>
      </w:pPr>
      <w:r>
        <w:rPr>
          <w:rFonts w:ascii="Times New Roman" w:hAnsi="Times New Roman" w:cs="Times New Roman"/>
          <w:sz w:val="24"/>
        </w:rPr>
        <w:t>Tento</w:t>
      </w:r>
      <w:r w:rsidRPr="007577DE">
        <w:rPr>
          <w:rFonts w:ascii="Times New Roman" w:hAnsi="Times New Roman" w:cs="Times New Roman"/>
          <w:sz w:val="24"/>
        </w:rPr>
        <w:t xml:space="preserve"> </w:t>
      </w:r>
      <w:r w:rsidR="00625AAE" w:rsidRPr="007577DE">
        <w:rPr>
          <w:rFonts w:ascii="Times New Roman" w:hAnsi="Times New Roman" w:cs="Times New Roman"/>
          <w:sz w:val="24"/>
        </w:rPr>
        <w:t>akčný plán je v poradí štvrtým vykonávacím opatrením Koncepcie energetickej efektívnosti (prijatá uznesením vlády SR č. 576</w:t>
      </w:r>
      <w:r w:rsidR="00B40851">
        <w:rPr>
          <w:rFonts w:ascii="Times New Roman" w:hAnsi="Times New Roman" w:cs="Times New Roman"/>
          <w:sz w:val="24"/>
        </w:rPr>
        <w:t>/2007)</w:t>
      </w:r>
      <w:r w:rsidR="00625AAE" w:rsidRPr="007577DE">
        <w:rPr>
          <w:rFonts w:ascii="Times New Roman" w:hAnsi="Times New Roman" w:cs="Times New Roman"/>
          <w:sz w:val="24"/>
        </w:rPr>
        <w:t>, a plynulo nadväzuje na predchádzajúce tri akčné plány. Vypracovanie akčných plánov energetickej efektívnosti pôvodne vyplýva zo smernice 2006/32/ES o energetickej účinnosti konečného využitia energie a energetických službách</w:t>
      </w:r>
      <w:r w:rsidR="00DF60D9" w:rsidRPr="007577DE">
        <w:rPr>
          <w:rStyle w:val="Odkaznapoznmkupodiarou"/>
          <w:rFonts w:ascii="Times New Roman" w:hAnsi="Times New Roman" w:cs="Times New Roman"/>
          <w:sz w:val="24"/>
        </w:rPr>
        <w:footnoteReference w:id="2"/>
      </w:r>
      <w:r w:rsidR="00625AAE" w:rsidRPr="007577DE">
        <w:rPr>
          <w:rFonts w:ascii="Times New Roman" w:hAnsi="Times New Roman" w:cs="Times New Roman"/>
          <w:sz w:val="24"/>
        </w:rPr>
        <w:t xml:space="preserve">, pričom smernica 2012/27/EÚ o energetickej efektívnosti na túto povinnosť nadväzuje, predlžuje povinnosť predkladať akčné plány a rozširuje rozsah akčných plánov. </w:t>
      </w:r>
    </w:p>
    <w:p w14:paraId="79A8F482" w14:textId="2A304180" w:rsidR="00A360A9" w:rsidRPr="007577DE" w:rsidRDefault="00753713" w:rsidP="00A360A9">
      <w:pPr>
        <w:ind w:firstLine="432"/>
        <w:jc w:val="both"/>
        <w:rPr>
          <w:rFonts w:ascii="Times New Roman" w:hAnsi="Times New Roman" w:cs="Times New Roman"/>
          <w:sz w:val="24"/>
        </w:rPr>
      </w:pPr>
      <w:r w:rsidRPr="007577DE">
        <w:rPr>
          <w:rFonts w:ascii="Times New Roman" w:hAnsi="Times New Roman" w:cs="Times New Roman"/>
          <w:sz w:val="24"/>
        </w:rPr>
        <w:t>S</w:t>
      </w:r>
      <w:r w:rsidR="00A360A9" w:rsidRPr="007577DE">
        <w:rPr>
          <w:rFonts w:ascii="Times New Roman" w:hAnsi="Times New Roman" w:cs="Times New Roman"/>
          <w:sz w:val="24"/>
        </w:rPr>
        <w:t xml:space="preserve">mernica 2012/27/EÚ stanovuje aj povinnosť každoročne pripravovať ročné správy o pokroku pri </w:t>
      </w:r>
      <w:r w:rsidR="001D06C9">
        <w:rPr>
          <w:rFonts w:ascii="Times New Roman" w:hAnsi="Times New Roman" w:cs="Times New Roman"/>
          <w:sz w:val="24"/>
        </w:rPr>
        <w:t>dosahovaní</w:t>
      </w:r>
      <w:r w:rsidR="001D06C9" w:rsidRPr="007577DE">
        <w:rPr>
          <w:rFonts w:ascii="Times New Roman" w:hAnsi="Times New Roman" w:cs="Times New Roman"/>
          <w:sz w:val="24"/>
        </w:rPr>
        <w:t xml:space="preserve"> </w:t>
      </w:r>
      <w:r w:rsidR="00A360A9" w:rsidRPr="007577DE">
        <w:rPr>
          <w:rFonts w:ascii="Times New Roman" w:hAnsi="Times New Roman" w:cs="Times New Roman"/>
          <w:sz w:val="24"/>
        </w:rPr>
        <w:t>národných cieľov energetickej efektívnosti (ďalej „ročné správy“). V rámci ročných správ sa vyhodnocujú opatrenia a ich vplyv na úspory energie za predchádzajúci</w:t>
      </w:r>
      <w:r w:rsidR="00E5437E">
        <w:rPr>
          <w:rFonts w:ascii="Times New Roman" w:hAnsi="Times New Roman" w:cs="Times New Roman"/>
          <w:sz w:val="24"/>
        </w:rPr>
        <w:t xml:space="preserve"> kalendárny</w:t>
      </w:r>
      <w:r w:rsidR="00A360A9" w:rsidRPr="007577DE">
        <w:rPr>
          <w:rFonts w:ascii="Times New Roman" w:hAnsi="Times New Roman" w:cs="Times New Roman"/>
          <w:sz w:val="24"/>
        </w:rPr>
        <w:t xml:space="preserve"> rok, ako aj plnenie stanovených cieľov</w:t>
      </w:r>
      <w:r w:rsidR="00E5437E">
        <w:rPr>
          <w:rFonts w:ascii="Times New Roman" w:hAnsi="Times New Roman" w:cs="Times New Roman"/>
          <w:sz w:val="24"/>
        </w:rPr>
        <w:t>. R</w:t>
      </w:r>
      <w:r w:rsidR="00A360A9" w:rsidRPr="007577DE">
        <w:rPr>
          <w:rFonts w:ascii="Times New Roman" w:hAnsi="Times New Roman" w:cs="Times New Roman"/>
          <w:sz w:val="24"/>
        </w:rPr>
        <w:t xml:space="preserve">očná správa za rok 2016 je súčasťou </w:t>
      </w:r>
      <w:r w:rsidR="00E5437E">
        <w:rPr>
          <w:rFonts w:ascii="Times New Roman" w:hAnsi="Times New Roman" w:cs="Times New Roman"/>
          <w:sz w:val="24"/>
        </w:rPr>
        <w:t>tohto</w:t>
      </w:r>
      <w:r w:rsidR="00E5437E" w:rsidRPr="007577DE">
        <w:rPr>
          <w:rFonts w:ascii="Times New Roman" w:hAnsi="Times New Roman" w:cs="Times New Roman"/>
          <w:sz w:val="24"/>
        </w:rPr>
        <w:t xml:space="preserve"> </w:t>
      </w:r>
      <w:r w:rsidR="00A360A9" w:rsidRPr="007577DE">
        <w:rPr>
          <w:rFonts w:ascii="Times New Roman" w:hAnsi="Times New Roman" w:cs="Times New Roman"/>
          <w:sz w:val="24"/>
        </w:rPr>
        <w:t>akčného plánu (</w:t>
      </w:r>
      <w:r w:rsidR="001653AA" w:rsidRPr="007577DE">
        <w:rPr>
          <w:rFonts w:ascii="Times New Roman" w:hAnsi="Times New Roman" w:cs="Times New Roman"/>
          <w:sz w:val="24"/>
        </w:rPr>
        <w:t>pozri</w:t>
      </w:r>
      <w:r w:rsidR="00B60651" w:rsidRPr="00B60651">
        <w:rPr>
          <w:rFonts w:ascii="Times New Roman" w:hAnsi="Times New Roman" w:cs="Times New Roman"/>
          <w:sz w:val="24"/>
        </w:rPr>
        <w:t xml:space="preserve"> Príloha č. 4</w:t>
      </w:r>
      <w:r w:rsidR="00A360A9" w:rsidRPr="007577DE">
        <w:rPr>
          <w:rFonts w:ascii="Times New Roman" w:hAnsi="Times New Roman" w:cs="Times New Roman"/>
          <w:sz w:val="24"/>
        </w:rPr>
        <w:t xml:space="preserve">). </w:t>
      </w:r>
    </w:p>
    <w:p w14:paraId="3AC93C54" w14:textId="01C1E749" w:rsidR="00625AAE" w:rsidRPr="007577DE" w:rsidRDefault="00625AAE" w:rsidP="00625AAE">
      <w:pPr>
        <w:ind w:firstLine="432"/>
        <w:jc w:val="both"/>
        <w:rPr>
          <w:rFonts w:ascii="Times New Roman" w:hAnsi="Times New Roman" w:cs="Times New Roman"/>
          <w:sz w:val="24"/>
        </w:rPr>
      </w:pPr>
      <w:r w:rsidRPr="007577DE">
        <w:rPr>
          <w:rFonts w:ascii="Times New Roman" w:hAnsi="Times New Roman" w:cs="Times New Roman"/>
          <w:sz w:val="24"/>
        </w:rPr>
        <w:t xml:space="preserve">Cieľom akčných plánov je vyhodnotenie opatrení energetickej efektívnosti za predchádzajúce 3-ročné obdobie, vyhodnotenie </w:t>
      </w:r>
      <w:r w:rsidR="00A360A9" w:rsidRPr="007577DE">
        <w:rPr>
          <w:rFonts w:ascii="Times New Roman" w:hAnsi="Times New Roman" w:cs="Times New Roman"/>
          <w:sz w:val="24"/>
        </w:rPr>
        <w:t xml:space="preserve">plnenia </w:t>
      </w:r>
      <w:r w:rsidRPr="007577DE">
        <w:rPr>
          <w:rFonts w:ascii="Times New Roman" w:hAnsi="Times New Roman" w:cs="Times New Roman"/>
          <w:sz w:val="24"/>
        </w:rPr>
        <w:t>cieľov úspor</w:t>
      </w:r>
      <w:r w:rsidR="00A360A9" w:rsidRPr="007577DE">
        <w:rPr>
          <w:rFonts w:ascii="Times New Roman" w:hAnsi="Times New Roman" w:cs="Times New Roman"/>
          <w:sz w:val="24"/>
        </w:rPr>
        <w:t xml:space="preserve"> energie</w:t>
      </w:r>
      <w:r w:rsidR="00114C2E" w:rsidRPr="007577DE">
        <w:rPr>
          <w:rFonts w:ascii="Times New Roman" w:hAnsi="Times New Roman" w:cs="Times New Roman"/>
          <w:sz w:val="24"/>
        </w:rPr>
        <w:t xml:space="preserve"> a</w:t>
      </w:r>
      <w:r w:rsidRPr="007577DE">
        <w:rPr>
          <w:rFonts w:ascii="Times New Roman" w:hAnsi="Times New Roman" w:cs="Times New Roman"/>
          <w:sz w:val="24"/>
        </w:rPr>
        <w:t xml:space="preserve"> plánovanie opatrení na plnenie stanovených cieľov v oblasti energetickej efektívnosti</w:t>
      </w:r>
      <w:r w:rsidR="00A360A9" w:rsidRPr="007577DE">
        <w:rPr>
          <w:rFonts w:ascii="Times New Roman" w:hAnsi="Times New Roman" w:cs="Times New Roman"/>
          <w:sz w:val="24"/>
        </w:rPr>
        <w:t xml:space="preserve"> na ďalšie obdobie</w:t>
      </w:r>
      <w:r w:rsidRPr="007577DE">
        <w:rPr>
          <w:rFonts w:ascii="Times New Roman" w:hAnsi="Times New Roman" w:cs="Times New Roman"/>
          <w:sz w:val="24"/>
        </w:rPr>
        <w:t xml:space="preserve">.  Akčné plány informujú </w:t>
      </w:r>
      <w:r w:rsidR="00114C2E" w:rsidRPr="007577DE">
        <w:rPr>
          <w:rFonts w:ascii="Times New Roman" w:hAnsi="Times New Roman" w:cs="Times New Roman"/>
          <w:sz w:val="24"/>
        </w:rPr>
        <w:t xml:space="preserve">aj </w:t>
      </w:r>
      <w:r w:rsidRPr="007577DE">
        <w:rPr>
          <w:rFonts w:ascii="Times New Roman" w:hAnsi="Times New Roman" w:cs="Times New Roman"/>
          <w:sz w:val="24"/>
        </w:rPr>
        <w:t>o implementácii vybraných ustanovení smernice 2012/27/EÚ.</w:t>
      </w:r>
    </w:p>
    <w:p w14:paraId="68FD1E32" w14:textId="14460A43" w:rsidR="00A360A9" w:rsidRPr="007577DE" w:rsidRDefault="00493D49" w:rsidP="00A360A9">
      <w:pPr>
        <w:ind w:firstLine="432"/>
        <w:jc w:val="both"/>
        <w:rPr>
          <w:rFonts w:ascii="Times New Roman" w:hAnsi="Times New Roman" w:cs="Times New Roman"/>
          <w:sz w:val="24"/>
        </w:rPr>
      </w:pPr>
      <w:r w:rsidRPr="007577DE">
        <w:rPr>
          <w:rFonts w:ascii="Times New Roman" w:hAnsi="Times New Roman" w:cs="Times New Roman"/>
          <w:sz w:val="24"/>
        </w:rPr>
        <w:t>Výsledky štvrtého akčného plánu sú dôležité pre</w:t>
      </w:r>
      <w:r w:rsidR="00A360A9" w:rsidRPr="007577DE">
        <w:rPr>
          <w:rFonts w:ascii="Times New Roman" w:hAnsi="Times New Roman" w:cs="Times New Roman"/>
          <w:sz w:val="24"/>
        </w:rPr>
        <w:t xml:space="preserve"> vyhodnotenie opatrení energetickej efektívnosti na národnej úrovni a priebežné plnenie stanovených cieľov</w:t>
      </w:r>
      <w:r w:rsidR="00E5437E">
        <w:rPr>
          <w:rFonts w:ascii="Times New Roman" w:hAnsi="Times New Roman" w:cs="Times New Roman"/>
          <w:sz w:val="24"/>
        </w:rPr>
        <w:t xml:space="preserve"> a</w:t>
      </w:r>
      <w:r w:rsidR="00A360A9" w:rsidRPr="007577DE">
        <w:rPr>
          <w:rFonts w:ascii="Times New Roman" w:hAnsi="Times New Roman" w:cs="Times New Roman"/>
          <w:sz w:val="24"/>
        </w:rPr>
        <w:t xml:space="preserve"> pre plánovanie opatrení </w:t>
      </w:r>
      <w:r w:rsidR="00114C2E" w:rsidRPr="007577DE">
        <w:rPr>
          <w:rFonts w:ascii="Times New Roman" w:hAnsi="Times New Roman" w:cs="Times New Roman"/>
          <w:sz w:val="24"/>
        </w:rPr>
        <w:t>potrebných na splnenie stanovených cieľov do roku 2020.</w:t>
      </w:r>
      <w:r w:rsidR="00A360A9" w:rsidRPr="007577DE">
        <w:rPr>
          <w:rFonts w:ascii="Times New Roman" w:hAnsi="Times New Roman" w:cs="Times New Roman"/>
          <w:sz w:val="24"/>
        </w:rPr>
        <w:t xml:space="preserve">  </w:t>
      </w:r>
    </w:p>
    <w:p w14:paraId="517C60FE" w14:textId="0C2BE0C2" w:rsidR="00A360A9" w:rsidRPr="007577DE" w:rsidRDefault="00A360A9" w:rsidP="00A360A9">
      <w:pPr>
        <w:ind w:firstLine="432"/>
        <w:jc w:val="both"/>
        <w:rPr>
          <w:rFonts w:ascii="Times New Roman" w:hAnsi="Times New Roman" w:cs="Times New Roman"/>
          <w:sz w:val="24"/>
        </w:rPr>
      </w:pPr>
      <w:r w:rsidRPr="007577DE">
        <w:rPr>
          <w:rFonts w:ascii="Times New Roman" w:hAnsi="Times New Roman" w:cs="Times New Roman"/>
          <w:sz w:val="24"/>
        </w:rPr>
        <w:t xml:space="preserve">Opatrenia energetickej efektívnosti prispievajú k zvyšovaniu energetickej bezpečnosti, </w:t>
      </w:r>
      <w:r w:rsidR="00E5437E">
        <w:rPr>
          <w:rFonts w:ascii="Times New Roman" w:hAnsi="Times New Roman" w:cs="Times New Roman"/>
          <w:sz w:val="24"/>
        </w:rPr>
        <w:t xml:space="preserve">k </w:t>
      </w:r>
      <w:r w:rsidRPr="007577DE">
        <w:rPr>
          <w:rFonts w:ascii="Times New Roman" w:hAnsi="Times New Roman" w:cs="Times New Roman"/>
          <w:sz w:val="24"/>
        </w:rPr>
        <w:t xml:space="preserve">znižovaniu produkcie skleníkových plynov a iných znečisťujúcich látok, ako aj k zvyšovaniu zamestnanosti, zvyšovaniu konkurencieschopnosti podnikov a znižovaniu nákladov na energiu  pre domácnosti. </w:t>
      </w:r>
    </w:p>
    <w:p w14:paraId="071369D0" w14:textId="20ED1676" w:rsidR="00625AAE" w:rsidRPr="009F2998" w:rsidRDefault="00625AAE" w:rsidP="000745A8">
      <w:pPr>
        <w:ind w:firstLine="432"/>
        <w:jc w:val="both"/>
        <w:rPr>
          <w:rFonts w:ascii="Times New Roman" w:hAnsi="Times New Roman" w:cs="Times New Roman"/>
        </w:rPr>
      </w:pPr>
      <w:r w:rsidRPr="007577DE">
        <w:rPr>
          <w:rFonts w:ascii="Times New Roman" w:hAnsi="Times New Roman" w:cs="Times New Roman"/>
          <w:sz w:val="24"/>
        </w:rPr>
        <w:t xml:space="preserve">Predložený štvrtý akčný plán </w:t>
      </w:r>
      <w:r w:rsidR="001653AA" w:rsidRPr="007577DE">
        <w:rPr>
          <w:rFonts w:ascii="Times New Roman" w:hAnsi="Times New Roman" w:cs="Times New Roman"/>
          <w:sz w:val="24"/>
        </w:rPr>
        <w:t xml:space="preserve">bol vypracovaný </w:t>
      </w:r>
      <w:r w:rsidRPr="007577DE">
        <w:rPr>
          <w:rFonts w:ascii="Times New Roman" w:hAnsi="Times New Roman" w:cs="Times New Roman"/>
          <w:sz w:val="24"/>
        </w:rPr>
        <w:t xml:space="preserve">v spolupráci </w:t>
      </w:r>
      <w:r w:rsidR="00922ACD" w:rsidRPr="007577DE">
        <w:rPr>
          <w:rFonts w:ascii="Times New Roman" w:hAnsi="Times New Roman" w:cs="Times New Roman"/>
          <w:sz w:val="24"/>
        </w:rPr>
        <w:t>s relevantnými rezortmi</w:t>
      </w:r>
      <w:r w:rsidRPr="007577DE">
        <w:rPr>
          <w:rFonts w:ascii="Times New Roman" w:hAnsi="Times New Roman" w:cs="Times New Roman"/>
          <w:sz w:val="24"/>
        </w:rPr>
        <w:t xml:space="preserve"> v rámci Stálej medzirezortnej pracovnej skupiny pre prípravu akčných plánov energetickej efektívnosti</w:t>
      </w:r>
      <w:r w:rsidR="00E5437E">
        <w:rPr>
          <w:rFonts w:ascii="Times New Roman" w:hAnsi="Times New Roman" w:cs="Times New Roman"/>
          <w:sz w:val="24"/>
        </w:rPr>
        <w:t xml:space="preserve"> a</w:t>
      </w:r>
      <w:r w:rsidR="00EE72FA">
        <w:rPr>
          <w:rFonts w:ascii="Times New Roman" w:hAnsi="Times New Roman" w:cs="Times New Roman"/>
          <w:sz w:val="24"/>
        </w:rPr>
        <w:t xml:space="preserve"> </w:t>
      </w:r>
      <w:r w:rsidRPr="007577DE">
        <w:rPr>
          <w:rFonts w:ascii="Times New Roman" w:hAnsi="Times New Roman" w:cs="Times New Roman"/>
          <w:sz w:val="24"/>
        </w:rPr>
        <w:t xml:space="preserve">v súčinnosti s nominovanými kontaktnými osobami zodpovednými </w:t>
      </w:r>
      <w:r w:rsidR="00E62C96" w:rsidRPr="007577DE">
        <w:rPr>
          <w:rFonts w:ascii="Times New Roman" w:hAnsi="Times New Roman" w:cs="Times New Roman"/>
          <w:sz w:val="24"/>
        </w:rPr>
        <w:t>za poskytovanie údajov prevádzkovateľovi monitorovacieho systému energetickej efektívnosti (podľa úlohy č. B. 3 uznesenia vlády č. 350/2014</w:t>
      </w:r>
      <w:r w:rsidR="00B40851">
        <w:rPr>
          <w:rFonts w:ascii="Times New Roman" w:hAnsi="Times New Roman" w:cs="Times New Roman"/>
          <w:sz w:val="24"/>
        </w:rPr>
        <w:t>),</w:t>
      </w:r>
      <w:r w:rsidR="00E62C96" w:rsidRPr="007577DE">
        <w:rPr>
          <w:rFonts w:ascii="Times New Roman" w:hAnsi="Times New Roman" w:cs="Times New Roman"/>
          <w:sz w:val="24"/>
        </w:rPr>
        <w:t xml:space="preserve"> </w:t>
      </w:r>
      <w:r w:rsidR="00EE72FA">
        <w:rPr>
          <w:rFonts w:ascii="Times New Roman" w:hAnsi="Times New Roman" w:cs="Times New Roman"/>
          <w:sz w:val="24"/>
        </w:rPr>
        <w:t xml:space="preserve">ako aj </w:t>
      </w:r>
      <w:r w:rsidR="00114C2E" w:rsidRPr="007577DE">
        <w:rPr>
          <w:rFonts w:ascii="Times New Roman" w:hAnsi="Times New Roman" w:cs="Times New Roman"/>
          <w:sz w:val="24"/>
        </w:rPr>
        <w:t xml:space="preserve">so </w:t>
      </w:r>
      <w:r w:rsidR="00E62C96" w:rsidRPr="007577DE">
        <w:rPr>
          <w:rFonts w:ascii="Times New Roman" w:hAnsi="Times New Roman" w:cs="Times New Roman"/>
          <w:sz w:val="24"/>
        </w:rPr>
        <w:t>zástupcami releva</w:t>
      </w:r>
      <w:r w:rsidR="002200AF" w:rsidRPr="007577DE">
        <w:rPr>
          <w:rFonts w:ascii="Times New Roman" w:hAnsi="Times New Roman" w:cs="Times New Roman"/>
          <w:sz w:val="24"/>
        </w:rPr>
        <w:t>n</w:t>
      </w:r>
      <w:r w:rsidR="00E62C96" w:rsidRPr="007577DE">
        <w:rPr>
          <w:rFonts w:ascii="Times New Roman" w:hAnsi="Times New Roman" w:cs="Times New Roman"/>
          <w:sz w:val="24"/>
        </w:rPr>
        <w:t xml:space="preserve">tných organizácií s vplyvom na úspory energie. </w:t>
      </w:r>
    </w:p>
    <w:p w14:paraId="50C6BADD" w14:textId="6F9DFBAA" w:rsidR="00943154" w:rsidRPr="009F2998" w:rsidRDefault="00943154">
      <w:pPr>
        <w:rPr>
          <w:rFonts w:ascii="Times New Roman" w:eastAsiaTheme="majorEastAsia" w:hAnsi="Times New Roman" w:cs="Times New Roman"/>
          <w:color w:val="2E74B5" w:themeColor="accent1" w:themeShade="BF"/>
          <w:sz w:val="32"/>
          <w:szCs w:val="32"/>
        </w:rPr>
      </w:pPr>
    </w:p>
    <w:p w14:paraId="6A78152C" w14:textId="35CF0BE2" w:rsidR="001D5205" w:rsidRPr="000578FE" w:rsidRDefault="001D5205" w:rsidP="00D20D75">
      <w:pPr>
        <w:pStyle w:val="Nadpis1"/>
        <w:rPr>
          <w:rFonts w:ascii="Times New Roman" w:hAnsi="Times New Roman" w:cs="Times New Roman"/>
          <w:b/>
          <w:color w:val="auto"/>
        </w:rPr>
      </w:pPr>
      <w:bookmarkStart w:id="4" w:name="_Toc477345335"/>
      <w:r w:rsidRPr="000578FE">
        <w:rPr>
          <w:rFonts w:ascii="Times New Roman" w:hAnsi="Times New Roman" w:cs="Times New Roman"/>
          <w:b/>
          <w:color w:val="auto"/>
        </w:rPr>
        <w:lastRenderedPageBreak/>
        <w:t>Prehľad národných cieľov energetickej efektívno</w:t>
      </w:r>
      <w:r w:rsidR="001947AB" w:rsidRPr="000578FE">
        <w:rPr>
          <w:rFonts w:ascii="Times New Roman" w:hAnsi="Times New Roman" w:cs="Times New Roman"/>
          <w:b/>
          <w:color w:val="auto"/>
        </w:rPr>
        <w:t xml:space="preserve">sti a úspor </w:t>
      </w:r>
      <w:r w:rsidR="00DB6D8C" w:rsidRPr="000578FE">
        <w:rPr>
          <w:rFonts w:ascii="Times New Roman" w:hAnsi="Times New Roman" w:cs="Times New Roman"/>
          <w:b/>
          <w:color w:val="auto"/>
        </w:rPr>
        <w:t>energie</w:t>
      </w:r>
      <w:bookmarkEnd w:id="4"/>
    </w:p>
    <w:p w14:paraId="1BD1179F" w14:textId="77777777" w:rsidR="009E267F" w:rsidRPr="00B40851" w:rsidRDefault="009E267F" w:rsidP="009E267F">
      <w:pPr>
        <w:rPr>
          <w:rFonts w:ascii="Times New Roman" w:hAnsi="Times New Roman" w:cs="Times New Roman"/>
        </w:rPr>
      </w:pPr>
    </w:p>
    <w:p w14:paraId="223D75A0" w14:textId="2FD89B73" w:rsidR="00CE2A36" w:rsidRPr="000578FE" w:rsidRDefault="00CE2A36" w:rsidP="00AF5415">
      <w:pPr>
        <w:pStyle w:val="Nadpis2"/>
        <w:keepNext w:val="0"/>
        <w:keepLines w:val="0"/>
        <w:numPr>
          <w:ilvl w:val="1"/>
          <w:numId w:val="30"/>
        </w:numPr>
        <w:rPr>
          <w:rFonts w:ascii="Times New Roman" w:hAnsi="Times New Roman" w:cs="Times New Roman"/>
          <w:color w:val="auto"/>
        </w:rPr>
      </w:pPr>
      <w:bookmarkStart w:id="5" w:name="_Toc477345336"/>
      <w:r w:rsidRPr="000578FE">
        <w:rPr>
          <w:rFonts w:ascii="Times New Roman" w:hAnsi="Times New Roman" w:cs="Times New Roman"/>
          <w:color w:val="auto"/>
        </w:rPr>
        <w:t>Aktuálny stav v oblasti energetickej efektívnosti</w:t>
      </w:r>
      <w:r w:rsidR="00EE3CD6" w:rsidRPr="000578FE">
        <w:rPr>
          <w:rFonts w:ascii="Times New Roman" w:hAnsi="Times New Roman" w:cs="Times New Roman"/>
          <w:color w:val="auto"/>
        </w:rPr>
        <w:t xml:space="preserve"> v SR</w:t>
      </w:r>
      <w:bookmarkEnd w:id="5"/>
    </w:p>
    <w:p w14:paraId="19A83A17" w14:textId="4C2F9882" w:rsidR="00BB3100" w:rsidRDefault="00031099" w:rsidP="00856490">
      <w:pPr>
        <w:jc w:val="both"/>
        <w:rPr>
          <w:rFonts w:ascii="Times New Roman" w:hAnsi="Times New Roman" w:cs="Times New Roman"/>
          <w:sz w:val="24"/>
          <w:szCs w:val="24"/>
        </w:rPr>
      </w:pPr>
      <w:r w:rsidRPr="00856490">
        <w:rPr>
          <w:rFonts w:ascii="Times New Roman" w:hAnsi="Times New Roman" w:cs="Times New Roman"/>
          <w:sz w:val="24"/>
          <w:szCs w:val="24"/>
        </w:rPr>
        <w:t>Strategickým cieľom Energetickej politiky SR</w:t>
      </w:r>
      <w:r w:rsidR="00CA6E08">
        <w:rPr>
          <w:rFonts w:ascii="Times New Roman" w:hAnsi="Times New Roman" w:cs="Times New Roman"/>
          <w:sz w:val="24"/>
          <w:szCs w:val="24"/>
        </w:rPr>
        <w:t>, schválenou vládou SR</w:t>
      </w:r>
      <w:r w:rsidR="00CA6E08" w:rsidRPr="00CA6E08">
        <w:rPr>
          <w:rFonts w:ascii="Times New Roman" w:hAnsi="Times New Roman" w:cs="Times New Roman"/>
          <w:sz w:val="24"/>
          <w:szCs w:val="24"/>
        </w:rPr>
        <w:t xml:space="preserve"> uznesením č. 548/2014</w:t>
      </w:r>
      <w:r w:rsidRPr="00856490">
        <w:rPr>
          <w:rFonts w:ascii="Times New Roman" w:hAnsi="Times New Roman" w:cs="Times New Roman"/>
          <w:sz w:val="24"/>
          <w:szCs w:val="24"/>
        </w:rPr>
        <w:t xml:space="preserve">, je dosiahnuť konkurencieschopnú nízkouhlíkovú energetiku zabezpečujúcu bezpečnú spoľahlivú a efektívnu dodávku všetkých foriem energie za prijateľné ceny s prihliadnutím na ochranu odberateľa a trvalo udržateľný rozvoj. </w:t>
      </w:r>
      <w:r w:rsidR="00BB3100" w:rsidRPr="00BC636F">
        <w:rPr>
          <w:rFonts w:ascii="Times New Roman" w:hAnsi="Times New Roman" w:cs="Times New Roman"/>
          <w:sz w:val="24"/>
          <w:szCs w:val="24"/>
        </w:rPr>
        <w:t xml:space="preserve">Energetická efektívnosť </w:t>
      </w:r>
      <w:r w:rsidR="00BB3100">
        <w:rPr>
          <w:rFonts w:ascii="Times New Roman" w:hAnsi="Times New Roman" w:cs="Times New Roman"/>
          <w:sz w:val="24"/>
          <w:szCs w:val="24"/>
        </w:rPr>
        <w:t xml:space="preserve">synergicky </w:t>
      </w:r>
      <w:r w:rsidR="00BB3100" w:rsidRPr="00BC636F">
        <w:rPr>
          <w:rFonts w:ascii="Times New Roman" w:hAnsi="Times New Roman" w:cs="Times New Roman"/>
          <w:sz w:val="24"/>
          <w:szCs w:val="24"/>
        </w:rPr>
        <w:t xml:space="preserve">prispieva </w:t>
      </w:r>
      <w:r w:rsidR="00BB3100">
        <w:rPr>
          <w:rFonts w:ascii="Times New Roman" w:hAnsi="Times New Roman" w:cs="Times New Roman"/>
          <w:sz w:val="24"/>
          <w:szCs w:val="24"/>
        </w:rPr>
        <w:t>k znižovaniu</w:t>
      </w:r>
      <w:r w:rsidR="00BB3100" w:rsidRPr="00BC636F">
        <w:rPr>
          <w:rFonts w:ascii="Times New Roman" w:hAnsi="Times New Roman" w:cs="Times New Roman"/>
          <w:sz w:val="24"/>
          <w:szCs w:val="24"/>
        </w:rPr>
        <w:t xml:space="preserve"> energetickej náročnosti ekonomiky</w:t>
      </w:r>
      <w:r w:rsidR="00BB3100">
        <w:rPr>
          <w:rFonts w:ascii="Times New Roman" w:hAnsi="Times New Roman" w:cs="Times New Roman"/>
          <w:sz w:val="24"/>
          <w:szCs w:val="24"/>
        </w:rPr>
        <w:t>,</w:t>
      </w:r>
      <w:r w:rsidR="00BB3100" w:rsidRPr="00BC636F">
        <w:rPr>
          <w:rFonts w:ascii="Times New Roman" w:hAnsi="Times New Roman" w:cs="Times New Roman"/>
          <w:sz w:val="24"/>
          <w:szCs w:val="24"/>
        </w:rPr>
        <w:t xml:space="preserve"> prispieva k zvyšovaniu energetickej bezpečnosti a má vplyv aj na znižovanie prevádzkových nákladov energetických podnikov, a v neposlednom rade úspory primárnych energetických zdrojov prispievajú k zmierňovaniu dopadov energetiky na životné prostredie. Okrem toho prínosy energetickej efektívnosti prispievajú aj k iným politikám ako je to napríklad v prípade zamestnanosti.</w:t>
      </w:r>
    </w:p>
    <w:p w14:paraId="6C4DE37F" w14:textId="184D8439" w:rsidR="00CA6E08" w:rsidRPr="00CA6E08" w:rsidRDefault="00BB3100" w:rsidP="00CA6E08">
      <w:pPr>
        <w:jc w:val="both"/>
        <w:rPr>
          <w:rFonts w:ascii="Times New Roman" w:hAnsi="Times New Roman" w:cs="Times New Roman"/>
          <w:sz w:val="24"/>
          <w:szCs w:val="24"/>
        </w:rPr>
      </w:pPr>
      <w:r w:rsidRPr="00BB3100">
        <w:rPr>
          <w:rFonts w:ascii="Times New Roman" w:hAnsi="Times New Roman" w:cs="Times New Roman"/>
          <w:sz w:val="24"/>
          <w:szCs w:val="24"/>
        </w:rPr>
        <w:t>Energetická</w:t>
      </w:r>
      <w:r>
        <w:rPr>
          <w:rFonts w:ascii="Times New Roman" w:hAnsi="Times New Roman" w:cs="Times New Roman"/>
          <w:sz w:val="24"/>
          <w:szCs w:val="24"/>
        </w:rPr>
        <w:t xml:space="preserve"> náročnosť SR má v posledných 15</w:t>
      </w:r>
      <w:r w:rsidR="00CE2A36">
        <w:rPr>
          <w:rFonts w:ascii="Times New Roman" w:hAnsi="Times New Roman" w:cs="Times New Roman"/>
          <w:sz w:val="24"/>
          <w:szCs w:val="24"/>
        </w:rPr>
        <w:t xml:space="preserve"> rokoch klesajúci trend. </w:t>
      </w:r>
      <w:r w:rsidR="00CE2A36" w:rsidRPr="00BB3100">
        <w:rPr>
          <w:rFonts w:ascii="Times New Roman" w:hAnsi="Times New Roman" w:cs="Times New Roman"/>
          <w:sz w:val="24"/>
          <w:szCs w:val="24"/>
        </w:rPr>
        <w:t>O významnom pokroku v znižovaní energetickej náročnosti svedčí jej vývoj v rokoch 2000-2015, kedy podľa údajov Eurostatu (2017) SR znížila energetickú náročnosť o 50,8 %</w:t>
      </w:r>
      <w:r w:rsidR="00CE2A36">
        <w:rPr>
          <w:rFonts w:ascii="Times New Roman" w:hAnsi="Times New Roman" w:cs="Times New Roman"/>
          <w:sz w:val="24"/>
          <w:szCs w:val="24"/>
        </w:rPr>
        <w:t>. V</w:t>
      </w:r>
      <w:r w:rsidR="00CE2A36" w:rsidRPr="00CE2A36">
        <w:rPr>
          <w:rFonts w:ascii="Times New Roman" w:hAnsi="Times New Roman" w:cs="Times New Roman"/>
          <w:sz w:val="24"/>
          <w:szCs w:val="24"/>
        </w:rPr>
        <w:t xml:space="preserve"> období rokov 2006-2012</w:t>
      </w:r>
      <w:r w:rsidR="00CE2A36">
        <w:rPr>
          <w:rFonts w:ascii="Times New Roman" w:hAnsi="Times New Roman" w:cs="Times New Roman"/>
          <w:sz w:val="24"/>
          <w:szCs w:val="24"/>
        </w:rPr>
        <w:t xml:space="preserve"> bolo</w:t>
      </w:r>
      <w:r w:rsidR="00CE2A36" w:rsidRPr="00CE2A36">
        <w:rPr>
          <w:rFonts w:ascii="Times New Roman" w:hAnsi="Times New Roman" w:cs="Times New Roman"/>
          <w:sz w:val="24"/>
          <w:szCs w:val="24"/>
        </w:rPr>
        <w:t xml:space="preserve"> zníženie</w:t>
      </w:r>
      <w:r w:rsidR="00CE2A36">
        <w:rPr>
          <w:rFonts w:ascii="Times New Roman" w:hAnsi="Times New Roman" w:cs="Times New Roman"/>
          <w:sz w:val="24"/>
          <w:szCs w:val="24"/>
        </w:rPr>
        <w:t xml:space="preserve"> energetickej náročnosti</w:t>
      </w:r>
      <w:r w:rsidR="00CE2A36" w:rsidRPr="00CE2A36">
        <w:rPr>
          <w:rFonts w:ascii="Times New Roman" w:hAnsi="Times New Roman" w:cs="Times New Roman"/>
          <w:sz w:val="24"/>
          <w:szCs w:val="24"/>
        </w:rPr>
        <w:t xml:space="preserve"> o viac ako 27%</w:t>
      </w:r>
      <w:r w:rsidR="00CE2A36">
        <w:rPr>
          <w:rFonts w:ascii="Times New Roman" w:hAnsi="Times New Roman" w:cs="Times New Roman"/>
          <w:sz w:val="24"/>
          <w:szCs w:val="24"/>
        </w:rPr>
        <w:t>,</w:t>
      </w:r>
      <w:r w:rsidR="00CE2A36" w:rsidRPr="00CE2A36">
        <w:rPr>
          <w:rFonts w:ascii="Times New Roman" w:hAnsi="Times New Roman" w:cs="Times New Roman"/>
          <w:sz w:val="24"/>
          <w:szCs w:val="24"/>
        </w:rPr>
        <w:t xml:space="preserve"> </w:t>
      </w:r>
      <w:r w:rsidR="00CE2A36">
        <w:rPr>
          <w:rFonts w:ascii="Times New Roman" w:hAnsi="Times New Roman" w:cs="Times New Roman"/>
          <w:sz w:val="24"/>
          <w:szCs w:val="24"/>
        </w:rPr>
        <w:t xml:space="preserve">čo </w:t>
      </w:r>
      <w:r w:rsidR="00CE2A36" w:rsidRPr="00CE2A36">
        <w:rPr>
          <w:rFonts w:ascii="Times New Roman" w:hAnsi="Times New Roman" w:cs="Times New Roman"/>
          <w:sz w:val="24"/>
          <w:szCs w:val="24"/>
        </w:rPr>
        <w:t xml:space="preserve">predstavuje najväčšie </w:t>
      </w:r>
      <w:r w:rsidR="00CE2A36">
        <w:rPr>
          <w:rFonts w:ascii="Times New Roman" w:hAnsi="Times New Roman" w:cs="Times New Roman"/>
          <w:sz w:val="24"/>
          <w:szCs w:val="24"/>
        </w:rPr>
        <w:t>zníženie</w:t>
      </w:r>
      <w:r w:rsidR="00CE2A36" w:rsidRPr="00CE2A36">
        <w:rPr>
          <w:rFonts w:ascii="Times New Roman" w:hAnsi="Times New Roman" w:cs="Times New Roman"/>
          <w:sz w:val="24"/>
          <w:szCs w:val="24"/>
        </w:rPr>
        <w:t xml:space="preserve"> v EÚ-28 v danom období. Tento pozitívny vývoj je okrem iného výsledkom úspešnej reštrukturalizácie priemyslu, zavedenia nízkoenergetických výrobných procesov v priemysle a zlepšovania tepelnotechnických vlastností budov a obmenou  spotrebičov za úspornejšie.</w:t>
      </w:r>
      <w:r w:rsidR="00CE2A36">
        <w:rPr>
          <w:rFonts w:ascii="Times New Roman" w:hAnsi="Times New Roman" w:cs="Times New Roman"/>
          <w:sz w:val="24"/>
          <w:szCs w:val="24"/>
        </w:rPr>
        <w:t xml:space="preserve"> </w:t>
      </w:r>
      <w:r w:rsidRPr="00BB3100">
        <w:rPr>
          <w:rFonts w:ascii="Times New Roman" w:hAnsi="Times New Roman" w:cs="Times New Roman"/>
          <w:sz w:val="24"/>
          <w:szCs w:val="24"/>
        </w:rPr>
        <w:t xml:space="preserve">Slovenská </w:t>
      </w:r>
      <w:r>
        <w:rPr>
          <w:rFonts w:ascii="Times New Roman" w:hAnsi="Times New Roman" w:cs="Times New Roman"/>
          <w:sz w:val="24"/>
          <w:szCs w:val="24"/>
        </w:rPr>
        <w:t xml:space="preserve">republika má </w:t>
      </w:r>
      <w:r w:rsidR="00CE2A36">
        <w:rPr>
          <w:rFonts w:ascii="Times New Roman" w:hAnsi="Times New Roman" w:cs="Times New Roman"/>
          <w:sz w:val="24"/>
          <w:szCs w:val="24"/>
        </w:rPr>
        <w:t xml:space="preserve">však napriek tejto skutočnosti </w:t>
      </w:r>
      <w:r>
        <w:rPr>
          <w:rFonts w:ascii="Times New Roman" w:hAnsi="Times New Roman" w:cs="Times New Roman"/>
          <w:sz w:val="24"/>
          <w:szCs w:val="24"/>
        </w:rPr>
        <w:t>siedmu</w:t>
      </w:r>
      <w:r w:rsidRPr="00BB3100">
        <w:rPr>
          <w:rFonts w:ascii="Times New Roman" w:hAnsi="Times New Roman" w:cs="Times New Roman"/>
          <w:sz w:val="24"/>
          <w:szCs w:val="24"/>
        </w:rPr>
        <w:t xml:space="preserve"> najvyššiu energetickú náročnosť n</w:t>
      </w:r>
      <w:r w:rsidR="00CE2A36">
        <w:rPr>
          <w:rFonts w:ascii="Times New Roman" w:hAnsi="Times New Roman" w:cs="Times New Roman"/>
          <w:sz w:val="24"/>
          <w:szCs w:val="24"/>
        </w:rPr>
        <w:t xml:space="preserve">a základe stálych cien v EÚ- 28. </w:t>
      </w:r>
      <w:r w:rsidRPr="00BB3100">
        <w:rPr>
          <w:rFonts w:ascii="Times New Roman" w:hAnsi="Times New Roman" w:cs="Times New Roman"/>
          <w:sz w:val="24"/>
          <w:szCs w:val="24"/>
        </w:rPr>
        <w:t>Tento fakt je daný najmä štruktúrou priemyslu</w:t>
      </w:r>
      <w:r w:rsidR="00CE2A36">
        <w:rPr>
          <w:rFonts w:ascii="Times New Roman" w:hAnsi="Times New Roman" w:cs="Times New Roman"/>
          <w:sz w:val="24"/>
          <w:szCs w:val="24"/>
        </w:rPr>
        <w:t xml:space="preserve"> v SR</w:t>
      </w:r>
      <w:r w:rsidRPr="00BB3100">
        <w:rPr>
          <w:rFonts w:ascii="Times New Roman" w:hAnsi="Times New Roman" w:cs="Times New Roman"/>
          <w:sz w:val="24"/>
          <w:szCs w:val="24"/>
        </w:rPr>
        <w:t xml:space="preserve">, kde má veľký podiel priemysel s vysokou energetickou náročnosťou. </w:t>
      </w:r>
      <w:r w:rsidR="00CA6E08">
        <w:rPr>
          <w:rFonts w:ascii="Times New Roman" w:hAnsi="Times New Roman" w:cs="Times New Roman"/>
          <w:sz w:val="24"/>
          <w:szCs w:val="24"/>
        </w:rPr>
        <w:t xml:space="preserve">Prioritou SR v oblasti </w:t>
      </w:r>
      <w:r w:rsidR="00CA6E08" w:rsidRPr="00CA6E08">
        <w:rPr>
          <w:rFonts w:ascii="Times New Roman" w:hAnsi="Times New Roman" w:cs="Times New Roman"/>
          <w:sz w:val="24"/>
          <w:szCs w:val="24"/>
        </w:rPr>
        <w:t xml:space="preserve">energetickej efektívnosti je </w:t>
      </w:r>
      <w:r w:rsidR="00CA6E08">
        <w:rPr>
          <w:rFonts w:ascii="Times New Roman" w:hAnsi="Times New Roman" w:cs="Times New Roman"/>
          <w:sz w:val="24"/>
          <w:szCs w:val="24"/>
        </w:rPr>
        <w:t xml:space="preserve">ďalšie </w:t>
      </w:r>
      <w:r w:rsidR="00CA6E08" w:rsidRPr="00CA6E08">
        <w:rPr>
          <w:rFonts w:ascii="Times New Roman" w:hAnsi="Times New Roman" w:cs="Times New Roman"/>
          <w:sz w:val="24"/>
          <w:szCs w:val="24"/>
        </w:rPr>
        <w:t xml:space="preserve">znižovanie energetickej náročnosti ekonomiky SR </w:t>
      </w:r>
      <w:r w:rsidR="00CA6E08">
        <w:rPr>
          <w:rFonts w:ascii="Times New Roman" w:hAnsi="Times New Roman" w:cs="Times New Roman"/>
          <w:sz w:val="24"/>
          <w:szCs w:val="24"/>
        </w:rPr>
        <w:t xml:space="preserve">so zámerom dosiahnuť </w:t>
      </w:r>
      <w:r w:rsidR="00CA6E08" w:rsidRPr="00CA6E08">
        <w:rPr>
          <w:rFonts w:ascii="Times New Roman" w:hAnsi="Times New Roman" w:cs="Times New Roman"/>
          <w:sz w:val="24"/>
          <w:szCs w:val="24"/>
        </w:rPr>
        <w:t xml:space="preserve">úroveň európskeho priemeru. </w:t>
      </w:r>
    </w:p>
    <w:p w14:paraId="28E1A5E6" w14:textId="455894C1" w:rsidR="00E25557" w:rsidRPr="00856490" w:rsidRDefault="00BB3100" w:rsidP="00E25557">
      <w:pPr>
        <w:jc w:val="both"/>
        <w:rPr>
          <w:rFonts w:ascii="Times New Roman" w:hAnsi="Times New Roman" w:cs="Times New Roman"/>
        </w:rPr>
      </w:pPr>
      <w:r w:rsidRPr="009F2998">
        <w:rPr>
          <w:rFonts w:ascii="Times New Roman" w:hAnsi="Times New Roman" w:cs="Times New Roman"/>
          <w:noProof/>
          <w:lang w:eastAsia="sk-SK"/>
        </w:rPr>
        <mc:AlternateContent>
          <mc:Choice Requires="wps">
            <w:drawing>
              <wp:anchor distT="0" distB="0" distL="114300" distR="114300" simplePos="0" relativeHeight="251678720" behindDoc="0" locked="0" layoutInCell="1" allowOverlap="1" wp14:anchorId="04121B49" wp14:editId="7773CA61">
                <wp:simplePos x="0" y="0"/>
                <wp:positionH relativeFrom="column">
                  <wp:posOffset>2852420</wp:posOffset>
                </wp:positionH>
                <wp:positionV relativeFrom="paragraph">
                  <wp:posOffset>782320</wp:posOffset>
                </wp:positionV>
                <wp:extent cx="914400" cy="342900"/>
                <wp:effectExtent l="0" t="0" r="361950" b="247650"/>
                <wp:wrapNone/>
                <wp:docPr id="6" name="Bublina v tvare zaobleného obdĺžnik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wedgeRoundRectCallout">
                          <a:avLst>
                            <a:gd name="adj1" fmla="val 82848"/>
                            <a:gd name="adj2" fmla="val 105926"/>
                            <a:gd name="adj3" fmla="val 16667"/>
                          </a:avLst>
                        </a:prstGeom>
                        <a:solidFill>
                          <a:srgbClr val="FFFFFF"/>
                        </a:solidFill>
                        <a:ln w="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02AB3D" w14:textId="77777777" w:rsidR="00CB1B49" w:rsidRDefault="00CB1B49" w:rsidP="00BB3100">
                            <w:r>
                              <w:t>Slovensko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21B4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ublina v tvare zaobleného obdĺžnika 6" o:spid="_x0000_s1026" type="#_x0000_t62" style="position:absolute;left:0;text-align:left;margin-left:224.6pt;margin-top:61.6pt;width:1in;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" adj="28695,33680" strokeweight="0">
                <v:textbox>
                  <w:txbxContent>
                    <w:p w14:paraId="0802AB3D" w14:textId="77777777" w:rsidR="00CB1B49" w:rsidRDefault="00CB1B49" w:rsidP="00BB3100">
                      <w:r>
                        <w:t>Slovensko</w:t>
                      </w:r>
                    </w:p>
                  </w:txbxContent>
                </v:textbox>
              </v:shape>
            </w:pict>
          </mc:Fallback>
        </mc:AlternateContent>
      </w:r>
      <w:r w:rsidRPr="009F2998">
        <w:rPr>
          <w:rFonts w:ascii="Times New Roman" w:hAnsi="Times New Roman" w:cs="Times New Roman"/>
          <w:noProof/>
          <w:lang w:eastAsia="sk-SK"/>
        </w:rPr>
        <mc:AlternateContent>
          <mc:Choice Requires="wps">
            <w:drawing>
              <wp:anchor distT="0" distB="0" distL="114300" distR="114300" simplePos="0" relativeHeight="251680768" behindDoc="0" locked="0" layoutInCell="1" allowOverlap="1" wp14:anchorId="4FA4696D" wp14:editId="5D63552C">
                <wp:simplePos x="0" y="0"/>
                <wp:positionH relativeFrom="column">
                  <wp:posOffset>3939540</wp:posOffset>
                </wp:positionH>
                <wp:positionV relativeFrom="paragraph">
                  <wp:posOffset>1293495</wp:posOffset>
                </wp:positionV>
                <wp:extent cx="285008" cy="961901"/>
                <wp:effectExtent l="0" t="0" r="20320" b="10160"/>
                <wp:wrapNone/>
                <wp:docPr id="9" name="Ová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008" cy="961901"/>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2670C1" id="Ovál 9" o:spid="_x0000_s1026" style="position:absolute;margin-left:310.2pt;margin-top:101.85pt;width:22.45pt;height:7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" filled="f" fillcolor="black" strokecolor="red" strokeweight="1.5pt"/>
            </w:pict>
          </mc:Fallback>
        </mc:AlternateContent>
      </w:r>
      <w:r w:rsidRPr="00BB3100">
        <w:rPr>
          <w:rFonts w:ascii="Times New Roman" w:hAnsi="Times New Roman" w:cs="Times New Roman"/>
          <w:noProof/>
          <w:lang w:eastAsia="sk-SK"/>
        </w:rPr>
        <w:t xml:space="preserve"> </w:t>
      </w:r>
      <w:r w:rsidR="00E25557">
        <w:rPr>
          <w:rFonts w:ascii="Times New Roman" w:hAnsi="Times New Roman" w:cs="Times New Roman"/>
        </w:rPr>
        <w:t xml:space="preserve">Graf č. 1: </w:t>
      </w:r>
      <w:r w:rsidR="00E25557" w:rsidRPr="00856490">
        <w:rPr>
          <w:rFonts w:ascii="Times New Roman" w:hAnsi="Times New Roman" w:cs="Times New Roman"/>
        </w:rPr>
        <w:t>Porovnanie energetickej náročnosti SR a krajín EÚ</w:t>
      </w:r>
    </w:p>
    <w:p w14:paraId="60A1D519" w14:textId="159A595F" w:rsidR="00BB3100" w:rsidRDefault="00BB3100" w:rsidP="00BB3100">
      <w:pPr>
        <w:jc w:val="both"/>
        <w:rPr>
          <w:rFonts w:ascii="Times New Roman" w:hAnsi="Times New Roman" w:cs="Times New Roman"/>
          <w:sz w:val="24"/>
          <w:szCs w:val="24"/>
        </w:rPr>
      </w:pPr>
      <w:r w:rsidRPr="009F2998">
        <w:rPr>
          <w:rFonts w:ascii="Times New Roman" w:hAnsi="Times New Roman" w:cs="Times New Roman"/>
          <w:noProof/>
          <w:lang w:eastAsia="sk-SK"/>
        </w:rPr>
        <w:drawing>
          <wp:inline distT="0" distB="0" distL="0" distR="0" wp14:anchorId="42DCF0FA" wp14:editId="71B8F513">
            <wp:extent cx="5760720" cy="2364494"/>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364494"/>
                    </a:xfrm>
                    <a:prstGeom prst="rect">
                      <a:avLst/>
                    </a:prstGeom>
                    <a:noFill/>
                  </pic:spPr>
                </pic:pic>
              </a:graphicData>
            </a:graphic>
          </wp:inline>
        </w:drawing>
      </w:r>
    </w:p>
    <w:p w14:paraId="3B790C47" w14:textId="2C7D34FF" w:rsidR="00BB3100" w:rsidRPr="00AF5415" w:rsidRDefault="00BB3100" w:rsidP="00BB3100">
      <w:pPr>
        <w:jc w:val="both"/>
        <w:rPr>
          <w:rFonts w:ascii="Times New Roman" w:hAnsi="Times New Roman" w:cs="Times New Roman"/>
          <w:sz w:val="24"/>
          <w:szCs w:val="20"/>
        </w:rPr>
      </w:pPr>
      <w:r w:rsidRPr="00AF5415">
        <w:rPr>
          <w:rFonts w:ascii="Times New Roman" w:hAnsi="Times New Roman" w:cs="Times New Roman"/>
          <w:sz w:val="24"/>
          <w:szCs w:val="20"/>
        </w:rPr>
        <w:t>Zdroj: Eurostat (2017)</w:t>
      </w:r>
    </w:p>
    <w:p w14:paraId="0790B21B" w14:textId="7A7B83C8" w:rsidR="00EE3CD6" w:rsidRDefault="00CE2A36">
      <w:pPr>
        <w:jc w:val="both"/>
        <w:rPr>
          <w:rFonts w:ascii="Times New Roman" w:hAnsi="Times New Roman" w:cs="Times New Roman"/>
          <w:sz w:val="24"/>
          <w:szCs w:val="24"/>
        </w:rPr>
      </w:pPr>
      <w:r w:rsidRPr="00CE2A36">
        <w:rPr>
          <w:rFonts w:ascii="Times New Roman" w:hAnsi="Times New Roman" w:cs="Times New Roman"/>
          <w:sz w:val="24"/>
          <w:szCs w:val="24"/>
        </w:rPr>
        <w:t xml:space="preserve">Slovenská republika transponovala celý </w:t>
      </w:r>
      <w:r w:rsidR="00EE3CD6">
        <w:rPr>
          <w:rFonts w:ascii="Times New Roman" w:hAnsi="Times New Roman" w:cs="Times New Roman"/>
          <w:sz w:val="24"/>
          <w:szCs w:val="24"/>
        </w:rPr>
        <w:t xml:space="preserve">strategický a </w:t>
      </w:r>
      <w:r w:rsidRPr="00CE2A36">
        <w:rPr>
          <w:rFonts w:ascii="Times New Roman" w:hAnsi="Times New Roman" w:cs="Times New Roman"/>
          <w:sz w:val="24"/>
          <w:szCs w:val="24"/>
        </w:rPr>
        <w:t>legislatívny rámec Európskej únie v ob</w:t>
      </w:r>
      <w:r>
        <w:rPr>
          <w:rFonts w:ascii="Times New Roman" w:hAnsi="Times New Roman" w:cs="Times New Roman"/>
          <w:sz w:val="24"/>
          <w:szCs w:val="24"/>
        </w:rPr>
        <w:t>lasti energetickej efektívnosti do národného strategického a legislatívneho rámca</w:t>
      </w:r>
      <w:r w:rsidR="00EE3CD6">
        <w:rPr>
          <w:rFonts w:ascii="Times New Roman" w:hAnsi="Times New Roman" w:cs="Times New Roman"/>
          <w:sz w:val="24"/>
          <w:szCs w:val="24"/>
        </w:rPr>
        <w:t>.</w:t>
      </w:r>
      <w:r w:rsidRPr="00CE2A36">
        <w:rPr>
          <w:rFonts w:ascii="Times New Roman" w:hAnsi="Times New Roman" w:cs="Times New Roman"/>
          <w:sz w:val="24"/>
          <w:szCs w:val="24"/>
        </w:rPr>
        <w:t xml:space="preserve"> Základnými implementačnými nástrojmi pre oblasť energetickej efektívnosti sú akčné plány </w:t>
      </w:r>
      <w:r w:rsidRPr="00CE2A36">
        <w:rPr>
          <w:rFonts w:ascii="Times New Roman" w:hAnsi="Times New Roman" w:cs="Times New Roman"/>
          <w:sz w:val="24"/>
          <w:szCs w:val="24"/>
        </w:rPr>
        <w:lastRenderedPageBreak/>
        <w:t>energetickej efektívnosti</w:t>
      </w:r>
      <w:r w:rsidR="00EE3CD6">
        <w:rPr>
          <w:rFonts w:ascii="Times New Roman" w:hAnsi="Times New Roman" w:cs="Times New Roman"/>
          <w:sz w:val="24"/>
          <w:szCs w:val="24"/>
        </w:rPr>
        <w:t>, ktoré vyhodnocujú opatrenia energetickej efektívnosti, ako aj nastavujú nové opatrenia na plnenie cieľov úspor energie. SR m</w:t>
      </w:r>
      <w:r w:rsidR="00EE72FA">
        <w:rPr>
          <w:rFonts w:ascii="Times New Roman" w:hAnsi="Times New Roman" w:cs="Times New Roman"/>
          <w:sz w:val="24"/>
          <w:szCs w:val="24"/>
        </w:rPr>
        <w:t>á</w:t>
      </w:r>
      <w:r w:rsidR="00EE3CD6">
        <w:rPr>
          <w:rFonts w:ascii="Times New Roman" w:hAnsi="Times New Roman" w:cs="Times New Roman"/>
          <w:sz w:val="24"/>
          <w:szCs w:val="24"/>
        </w:rPr>
        <w:t xml:space="preserve"> vybudovaný systematizovaný mechanizmus riadenia, plánovania a monitorovania energetickej efektívnosti. Ministerstvo hospodárstva SR je generálnym koordinátorom agendy zameranej na úspory energie a má </w:t>
      </w:r>
      <w:r w:rsidR="00EE72FA">
        <w:rPr>
          <w:rFonts w:ascii="Times New Roman" w:hAnsi="Times New Roman" w:cs="Times New Roman"/>
          <w:sz w:val="24"/>
          <w:szCs w:val="24"/>
        </w:rPr>
        <w:t>na tento</w:t>
      </w:r>
      <w:r w:rsidR="00EE3CD6">
        <w:rPr>
          <w:rFonts w:ascii="Times New Roman" w:hAnsi="Times New Roman" w:cs="Times New Roman"/>
          <w:sz w:val="24"/>
          <w:szCs w:val="24"/>
        </w:rPr>
        <w:t xml:space="preserve"> účel zriadenú medzirezortnú pracovnú skupinu s účasťou všetkých relevantných ústredných orgánov štátnej správy. </w:t>
      </w:r>
    </w:p>
    <w:p w14:paraId="2E5F360C" w14:textId="77777777" w:rsidR="00554A46" w:rsidRPr="009F2998" w:rsidRDefault="00554A46" w:rsidP="009E267F">
      <w:pPr>
        <w:rPr>
          <w:rFonts w:ascii="Times New Roman" w:hAnsi="Times New Roman" w:cs="Times New Roman"/>
        </w:rPr>
      </w:pPr>
    </w:p>
    <w:p w14:paraId="3F83F20C" w14:textId="41077BD2" w:rsidR="0089091E" w:rsidRPr="000578FE" w:rsidRDefault="00375545" w:rsidP="00AF5415">
      <w:pPr>
        <w:pStyle w:val="Nadpis2"/>
        <w:keepNext w:val="0"/>
        <w:keepLines w:val="0"/>
        <w:numPr>
          <w:ilvl w:val="1"/>
          <w:numId w:val="30"/>
        </w:numPr>
        <w:rPr>
          <w:rFonts w:ascii="Times New Roman" w:hAnsi="Times New Roman" w:cs="Times New Roman"/>
          <w:color w:val="auto"/>
        </w:rPr>
      </w:pPr>
      <w:bookmarkStart w:id="6" w:name="_Toc477345337"/>
      <w:r w:rsidRPr="000578FE">
        <w:rPr>
          <w:rFonts w:ascii="Times New Roman" w:hAnsi="Times New Roman" w:cs="Times New Roman"/>
          <w:color w:val="auto"/>
        </w:rPr>
        <w:t xml:space="preserve">Národné ciele v oblasti energetickej efektívnosti </w:t>
      </w:r>
      <w:r w:rsidR="00521990" w:rsidRPr="000578FE">
        <w:rPr>
          <w:rFonts w:ascii="Times New Roman" w:hAnsi="Times New Roman" w:cs="Times New Roman"/>
          <w:color w:val="auto"/>
        </w:rPr>
        <w:t>a</w:t>
      </w:r>
      <w:r w:rsidR="00DC6977" w:rsidRPr="000578FE">
        <w:rPr>
          <w:rFonts w:ascii="Times New Roman" w:hAnsi="Times New Roman" w:cs="Times New Roman"/>
          <w:color w:val="auto"/>
        </w:rPr>
        <w:t> </w:t>
      </w:r>
      <w:r w:rsidR="00521990" w:rsidRPr="000578FE">
        <w:rPr>
          <w:rFonts w:ascii="Times New Roman" w:hAnsi="Times New Roman" w:cs="Times New Roman"/>
          <w:color w:val="auto"/>
        </w:rPr>
        <w:t>úspor</w:t>
      </w:r>
      <w:r w:rsidR="00DC6977" w:rsidRPr="000578FE">
        <w:rPr>
          <w:rFonts w:ascii="Times New Roman" w:hAnsi="Times New Roman" w:cs="Times New Roman"/>
          <w:color w:val="auto"/>
        </w:rPr>
        <w:t xml:space="preserve"> energie</w:t>
      </w:r>
      <w:bookmarkEnd w:id="6"/>
    </w:p>
    <w:p w14:paraId="2C27B0B7" w14:textId="23AE39B3" w:rsidR="00DC6977" w:rsidRPr="007577DE" w:rsidRDefault="00DC6977" w:rsidP="00B30BD9">
      <w:pPr>
        <w:rPr>
          <w:rFonts w:ascii="Times New Roman" w:hAnsi="Times New Roman" w:cs="Times New Roman"/>
          <w:sz w:val="24"/>
        </w:rPr>
      </w:pPr>
      <w:r w:rsidRPr="007577DE">
        <w:rPr>
          <w:rFonts w:ascii="Times New Roman" w:hAnsi="Times New Roman" w:cs="Times New Roman"/>
          <w:sz w:val="24"/>
        </w:rPr>
        <w:t xml:space="preserve">V oblasti energetickej efektívnosti boli stanovené dva typy národných cieľov: </w:t>
      </w:r>
    </w:p>
    <w:p w14:paraId="04CB1803" w14:textId="37F3FAF2" w:rsidR="00DC6977" w:rsidRDefault="00DC6977" w:rsidP="007157D7">
      <w:pPr>
        <w:pStyle w:val="Odsekzoznamu"/>
        <w:numPr>
          <w:ilvl w:val="0"/>
          <w:numId w:val="11"/>
        </w:numPr>
        <w:spacing w:before="120" w:after="0" w:line="264" w:lineRule="auto"/>
        <w:jc w:val="both"/>
        <w:rPr>
          <w:rFonts w:ascii="Times New Roman" w:hAnsi="Times New Roman" w:cs="Times New Roman"/>
          <w:b/>
          <w:sz w:val="24"/>
        </w:rPr>
      </w:pPr>
      <w:r w:rsidRPr="007577DE">
        <w:rPr>
          <w:rFonts w:ascii="Times New Roman" w:hAnsi="Times New Roman" w:cs="Times New Roman"/>
          <w:b/>
          <w:sz w:val="24"/>
        </w:rPr>
        <w:t>ciele podľa smernice 2006/32/ES o energetických službách</w:t>
      </w:r>
      <w:r w:rsidR="00F50FCB" w:rsidRPr="007577DE">
        <w:rPr>
          <w:rFonts w:ascii="Times New Roman" w:hAnsi="Times New Roman" w:cs="Times New Roman"/>
          <w:b/>
          <w:sz w:val="24"/>
        </w:rPr>
        <w:t>,</w:t>
      </w:r>
    </w:p>
    <w:p w14:paraId="32524DF6" w14:textId="19040ECD" w:rsidR="00554A46" w:rsidRPr="00856490" w:rsidRDefault="00EE3CD6" w:rsidP="0093333F">
      <w:pPr>
        <w:spacing w:before="120" w:after="0" w:line="264" w:lineRule="auto"/>
        <w:jc w:val="both"/>
        <w:rPr>
          <w:rFonts w:ascii="Times New Roman" w:hAnsi="Times New Roman" w:cs="Times New Roman"/>
          <w:sz w:val="24"/>
          <w:u w:val="single"/>
        </w:rPr>
      </w:pPr>
      <w:r>
        <w:rPr>
          <w:rFonts w:ascii="Times New Roman" w:hAnsi="Times New Roman" w:cs="Times New Roman"/>
          <w:sz w:val="24"/>
        </w:rPr>
        <w:t>Na základe</w:t>
      </w:r>
      <w:r w:rsidR="0093333F" w:rsidRPr="00856490">
        <w:rPr>
          <w:rFonts w:ascii="Times New Roman" w:hAnsi="Times New Roman" w:cs="Times New Roman"/>
          <w:sz w:val="24"/>
        </w:rPr>
        <w:t xml:space="preserve"> smernice 2006/32/ES o energetických službách boli </w:t>
      </w:r>
      <w:r>
        <w:rPr>
          <w:rFonts w:ascii="Times New Roman" w:hAnsi="Times New Roman" w:cs="Times New Roman"/>
          <w:sz w:val="24"/>
        </w:rPr>
        <w:t xml:space="preserve">ciele energetickej efektívnosti </w:t>
      </w:r>
      <w:r w:rsidR="0093333F" w:rsidRPr="00856490">
        <w:rPr>
          <w:rFonts w:ascii="Times New Roman" w:hAnsi="Times New Roman" w:cs="Times New Roman"/>
          <w:sz w:val="24"/>
        </w:rPr>
        <w:t>stanovené</w:t>
      </w:r>
      <w:r>
        <w:rPr>
          <w:rFonts w:ascii="Times New Roman" w:hAnsi="Times New Roman" w:cs="Times New Roman"/>
          <w:sz w:val="24"/>
        </w:rPr>
        <w:t xml:space="preserve"> ciele</w:t>
      </w:r>
      <w:r w:rsidR="0093333F" w:rsidRPr="00856490">
        <w:rPr>
          <w:rFonts w:ascii="Times New Roman" w:hAnsi="Times New Roman" w:cs="Times New Roman"/>
          <w:sz w:val="24"/>
        </w:rPr>
        <w:t xml:space="preserve"> v Koncepcii energetickej efektívnosti schválenej uznesením vlády SR č.</w:t>
      </w:r>
      <w:r>
        <w:rPr>
          <w:rFonts w:ascii="Times New Roman" w:hAnsi="Times New Roman" w:cs="Times New Roman"/>
          <w:sz w:val="24"/>
        </w:rPr>
        <w:t> </w:t>
      </w:r>
      <w:r w:rsidR="0093333F" w:rsidRPr="00856490">
        <w:rPr>
          <w:rFonts w:ascii="Times New Roman" w:hAnsi="Times New Roman" w:cs="Times New Roman"/>
          <w:sz w:val="24"/>
        </w:rPr>
        <w:t xml:space="preserve">576/2007 </w:t>
      </w:r>
      <w:r w:rsidR="0093333F">
        <w:rPr>
          <w:rFonts w:ascii="Times New Roman" w:hAnsi="Times New Roman" w:cs="Times New Roman"/>
          <w:sz w:val="24"/>
        </w:rPr>
        <w:t>na obdobie rokov 2007 až 2016 (9 rokov)</w:t>
      </w:r>
      <w:r w:rsidR="0093333F" w:rsidRPr="00856490">
        <w:rPr>
          <w:rFonts w:ascii="Times New Roman" w:hAnsi="Times New Roman" w:cs="Times New Roman"/>
          <w:sz w:val="24"/>
        </w:rPr>
        <w:t>.</w:t>
      </w:r>
      <w:r w:rsidR="0093333F">
        <w:rPr>
          <w:rFonts w:ascii="Times New Roman" w:hAnsi="Times New Roman" w:cs="Times New Roman"/>
          <w:sz w:val="24"/>
        </w:rPr>
        <w:t xml:space="preserve"> Ročný cieľ úspor v sledovanom  období bol stanovený vo výške 1 %  </w:t>
      </w:r>
      <w:r w:rsidR="00554A46">
        <w:rPr>
          <w:rFonts w:ascii="Times New Roman" w:hAnsi="Times New Roman" w:cs="Times New Roman"/>
          <w:sz w:val="24"/>
        </w:rPr>
        <w:t xml:space="preserve">priemernej konečnej energetickej </w:t>
      </w:r>
      <w:r w:rsidR="0093333F">
        <w:rPr>
          <w:rFonts w:ascii="Times New Roman" w:hAnsi="Times New Roman" w:cs="Times New Roman"/>
          <w:sz w:val="24"/>
        </w:rPr>
        <w:t>s</w:t>
      </w:r>
      <w:r w:rsidR="0093333F" w:rsidRPr="0093333F">
        <w:rPr>
          <w:rFonts w:ascii="Times New Roman" w:hAnsi="Times New Roman" w:cs="Times New Roman"/>
          <w:sz w:val="24"/>
        </w:rPr>
        <w:t xml:space="preserve">potreby </w:t>
      </w:r>
      <w:r w:rsidR="00554A46">
        <w:rPr>
          <w:rFonts w:ascii="Times New Roman" w:hAnsi="Times New Roman" w:cs="Times New Roman"/>
          <w:sz w:val="24"/>
        </w:rPr>
        <w:t>rokov</w:t>
      </w:r>
      <w:r w:rsidR="0093333F" w:rsidRPr="0093333F">
        <w:rPr>
          <w:rFonts w:ascii="Times New Roman" w:hAnsi="Times New Roman" w:cs="Times New Roman"/>
          <w:sz w:val="24"/>
        </w:rPr>
        <w:t xml:space="preserve"> 2001-2005</w:t>
      </w:r>
      <w:r w:rsidR="0093333F">
        <w:rPr>
          <w:rFonts w:ascii="Times New Roman" w:hAnsi="Times New Roman" w:cs="Times New Roman"/>
          <w:sz w:val="24"/>
        </w:rPr>
        <w:t xml:space="preserve"> </w:t>
      </w:r>
      <w:r w:rsidR="00554A46">
        <w:rPr>
          <w:rFonts w:ascii="Times New Roman" w:hAnsi="Times New Roman" w:cs="Times New Roman"/>
          <w:sz w:val="24"/>
        </w:rPr>
        <w:t xml:space="preserve">(3 122 TJ/rok). </w:t>
      </w:r>
      <w:r w:rsidR="00554A46" w:rsidRPr="00A34300">
        <w:rPr>
          <w:rFonts w:ascii="Times New Roman" w:hAnsi="Times New Roman" w:cs="Times New Roman"/>
          <w:sz w:val="24"/>
        </w:rPr>
        <w:t>Za 9 rokov</w:t>
      </w:r>
      <w:r w:rsidR="00A34300">
        <w:rPr>
          <w:rFonts w:ascii="Times New Roman" w:hAnsi="Times New Roman" w:cs="Times New Roman"/>
          <w:sz w:val="24"/>
        </w:rPr>
        <w:t>, t.</w:t>
      </w:r>
      <w:r w:rsidR="00637612">
        <w:rPr>
          <w:rFonts w:ascii="Times New Roman" w:hAnsi="Times New Roman" w:cs="Times New Roman"/>
          <w:sz w:val="24"/>
        </w:rPr>
        <w:t xml:space="preserve"> </w:t>
      </w:r>
      <w:r w:rsidR="00A34300">
        <w:rPr>
          <w:rFonts w:ascii="Times New Roman" w:hAnsi="Times New Roman" w:cs="Times New Roman"/>
          <w:sz w:val="24"/>
        </w:rPr>
        <w:t xml:space="preserve">j. </w:t>
      </w:r>
      <w:r w:rsidR="00A34300" w:rsidRPr="00856490">
        <w:rPr>
          <w:rFonts w:ascii="Times New Roman" w:hAnsi="Times New Roman" w:cs="Times New Roman"/>
          <w:sz w:val="24"/>
          <w:u w:val="single"/>
        </w:rPr>
        <w:t>do roku 2016</w:t>
      </w:r>
      <w:r w:rsidR="00A34300" w:rsidRPr="00A34300">
        <w:rPr>
          <w:rFonts w:ascii="Times New Roman" w:hAnsi="Times New Roman" w:cs="Times New Roman"/>
          <w:sz w:val="24"/>
          <w:u w:val="single"/>
        </w:rPr>
        <w:t xml:space="preserve"> </w:t>
      </w:r>
      <w:r w:rsidR="00554A46" w:rsidRPr="00856490">
        <w:rPr>
          <w:rFonts w:ascii="Times New Roman" w:hAnsi="Times New Roman" w:cs="Times New Roman"/>
          <w:sz w:val="24"/>
          <w:u w:val="single"/>
        </w:rPr>
        <w:t xml:space="preserve"> bolo potrebné</w:t>
      </w:r>
      <w:r w:rsidR="00A34300">
        <w:rPr>
          <w:rFonts w:ascii="Times New Roman" w:hAnsi="Times New Roman" w:cs="Times New Roman"/>
          <w:sz w:val="24"/>
          <w:u w:val="single"/>
        </w:rPr>
        <w:t xml:space="preserve"> v SR</w:t>
      </w:r>
      <w:r w:rsidR="00554A46" w:rsidRPr="00856490">
        <w:rPr>
          <w:rFonts w:ascii="Times New Roman" w:hAnsi="Times New Roman" w:cs="Times New Roman"/>
          <w:sz w:val="24"/>
          <w:u w:val="single"/>
        </w:rPr>
        <w:t xml:space="preserve"> dosiahnuť úspory vo výške 9 % priemernej konečnej energetickej spotreby rokov 2001-2005 (28 098 TJ).</w:t>
      </w:r>
    </w:p>
    <w:p w14:paraId="0D497BBA" w14:textId="77777777" w:rsidR="00736531" w:rsidRDefault="0093333F" w:rsidP="00856490">
      <w:pPr>
        <w:spacing w:before="120" w:after="0" w:line="264" w:lineRule="auto"/>
        <w:jc w:val="both"/>
        <w:rPr>
          <w:rFonts w:ascii="Times New Roman" w:hAnsi="Times New Roman" w:cs="Times New Roman"/>
          <w:sz w:val="24"/>
        </w:rPr>
      </w:pPr>
      <w:r w:rsidRPr="00856490">
        <w:rPr>
          <w:rFonts w:ascii="Times New Roman" w:hAnsi="Times New Roman" w:cs="Times New Roman"/>
          <w:sz w:val="24"/>
        </w:rPr>
        <w:t>Tieto ciele boli upravené o podiel spotreby energie spoločností, ktoré sa podieľajú na obchodovaní s emisnými kvótami skleníkových plynov podľa smernice 2003/87/ES a zverejnené v Akčnom pláne energetickej efektívnosti na roky 2014-2016 s výhľadom do roku 2020.  Tieto ciele sú podľa čl. 27 smernice 2012/27/EÚ platné do 01.01.2017 a vyhodnocujú sa v rámci tohto akčného plánu.</w:t>
      </w:r>
      <w:r w:rsidR="00736531">
        <w:rPr>
          <w:rFonts w:ascii="Times New Roman" w:hAnsi="Times New Roman" w:cs="Times New Roman"/>
          <w:sz w:val="24"/>
        </w:rPr>
        <w:t xml:space="preserve"> </w:t>
      </w:r>
    </w:p>
    <w:p w14:paraId="1110C1C9" w14:textId="4B7722A3" w:rsidR="0093333F" w:rsidRDefault="00736531" w:rsidP="00856490">
      <w:pPr>
        <w:spacing w:before="120" w:after="0" w:line="264" w:lineRule="auto"/>
        <w:jc w:val="both"/>
        <w:rPr>
          <w:rFonts w:ascii="Times New Roman" w:hAnsi="Times New Roman" w:cs="Times New Roman"/>
          <w:sz w:val="24"/>
        </w:rPr>
      </w:pPr>
      <w:r>
        <w:rPr>
          <w:rFonts w:ascii="Times New Roman" w:hAnsi="Times New Roman" w:cs="Times New Roman"/>
          <w:sz w:val="24"/>
        </w:rPr>
        <w:t xml:space="preserve">Vyhodnotenie plnenia cieľa podľa smernice 2006/32/ES je možné v rámci tohto AP vyhodnotiť takmer v plnom rozsahu, nakoľko vyhodnocovacie obdobie sa končí rokom 2016. Finálna korekcia bude vykonaná v priebehu roku 2017, kedy budú k dispozícii všetky potrebné údaje za rok 2016. </w:t>
      </w:r>
    </w:p>
    <w:p w14:paraId="137B6C11" w14:textId="77777777" w:rsidR="00A34300" w:rsidRDefault="00A34300" w:rsidP="00856490">
      <w:pPr>
        <w:spacing w:before="120" w:after="0" w:line="264" w:lineRule="auto"/>
        <w:jc w:val="both"/>
        <w:rPr>
          <w:rFonts w:ascii="Times New Roman" w:hAnsi="Times New Roman" w:cs="Times New Roman"/>
          <w:sz w:val="24"/>
        </w:rPr>
      </w:pPr>
    </w:p>
    <w:p w14:paraId="7EDAE0FF" w14:textId="25EEF97F" w:rsidR="00DC6977" w:rsidRPr="007577DE" w:rsidRDefault="00D20D75" w:rsidP="007157D7">
      <w:pPr>
        <w:pStyle w:val="Odsekzoznamu"/>
        <w:numPr>
          <w:ilvl w:val="0"/>
          <w:numId w:val="11"/>
        </w:numPr>
        <w:spacing w:before="120" w:after="0" w:line="264" w:lineRule="auto"/>
        <w:jc w:val="both"/>
        <w:rPr>
          <w:rFonts w:ascii="Times New Roman" w:hAnsi="Times New Roman" w:cs="Times New Roman"/>
          <w:b/>
          <w:sz w:val="24"/>
        </w:rPr>
      </w:pPr>
      <w:r w:rsidRPr="007577DE">
        <w:rPr>
          <w:rFonts w:ascii="Times New Roman" w:hAnsi="Times New Roman" w:cs="Times New Roman"/>
          <w:b/>
          <w:sz w:val="24"/>
        </w:rPr>
        <w:t>ciele podľa smernice 2012/27/EÚ o energetickej efektívnosti</w:t>
      </w:r>
      <w:r w:rsidR="00F50FCB" w:rsidRPr="007577DE">
        <w:rPr>
          <w:rFonts w:ascii="Times New Roman" w:hAnsi="Times New Roman" w:cs="Times New Roman"/>
          <w:b/>
          <w:sz w:val="24"/>
        </w:rPr>
        <w:t>.</w:t>
      </w:r>
    </w:p>
    <w:p w14:paraId="730D0DF4" w14:textId="77FDC35C" w:rsidR="006C62E5" w:rsidRPr="007577DE" w:rsidRDefault="006C62E5" w:rsidP="006C62E5">
      <w:pPr>
        <w:jc w:val="both"/>
        <w:rPr>
          <w:rFonts w:ascii="Times New Roman" w:hAnsi="Times New Roman" w:cs="Times New Roman"/>
          <w:sz w:val="24"/>
        </w:rPr>
      </w:pPr>
      <w:r w:rsidRPr="007577DE">
        <w:rPr>
          <w:rFonts w:ascii="Times New Roman" w:hAnsi="Times New Roman" w:cs="Times New Roman"/>
          <w:sz w:val="24"/>
        </w:rPr>
        <w:t xml:space="preserve">Na základe smernice 2012/27/EÚ o energetickej efektívnosti boli stanovené nasledujúce ciele v oblasti úspor energie: </w:t>
      </w:r>
    </w:p>
    <w:p w14:paraId="012DB82B" w14:textId="16739BCA" w:rsidR="006C62E5" w:rsidRPr="007577DE" w:rsidRDefault="006C62E5" w:rsidP="007157D7">
      <w:pPr>
        <w:pStyle w:val="Odsekzoznamu"/>
        <w:numPr>
          <w:ilvl w:val="0"/>
          <w:numId w:val="12"/>
        </w:numPr>
        <w:spacing w:before="120" w:after="0" w:line="264" w:lineRule="auto"/>
        <w:ind w:hanging="217"/>
        <w:jc w:val="both"/>
        <w:rPr>
          <w:rFonts w:ascii="Times New Roman" w:hAnsi="Times New Roman" w:cs="Times New Roman"/>
          <w:sz w:val="24"/>
        </w:rPr>
      </w:pPr>
      <w:r w:rsidRPr="007577DE">
        <w:rPr>
          <w:rFonts w:ascii="Times New Roman" w:hAnsi="Times New Roman" w:cs="Times New Roman"/>
          <w:b/>
          <w:sz w:val="24"/>
        </w:rPr>
        <w:t>národný indikatívny cieľ energetickej efektívnosti</w:t>
      </w:r>
      <w:r w:rsidRPr="007577DE">
        <w:rPr>
          <w:rFonts w:ascii="Times New Roman" w:hAnsi="Times New Roman" w:cs="Times New Roman"/>
          <w:sz w:val="24"/>
        </w:rPr>
        <w:t xml:space="preserve"> </w:t>
      </w:r>
      <w:r w:rsidR="00A34300">
        <w:rPr>
          <w:rFonts w:ascii="Times New Roman" w:hAnsi="Times New Roman" w:cs="Times New Roman"/>
          <w:sz w:val="24"/>
        </w:rPr>
        <w:t>–</w:t>
      </w:r>
      <w:r w:rsidRPr="007577DE">
        <w:rPr>
          <w:rFonts w:ascii="Times New Roman" w:hAnsi="Times New Roman" w:cs="Times New Roman"/>
          <w:sz w:val="24"/>
        </w:rPr>
        <w:t xml:space="preserve"> </w:t>
      </w:r>
      <w:r w:rsidR="00A34300">
        <w:rPr>
          <w:rFonts w:ascii="Times New Roman" w:hAnsi="Times New Roman" w:cs="Times New Roman"/>
          <w:sz w:val="24"/>
        </w:rPr>
        <w:t xml:space="preserve">vzťahuje sa na obdobie do roku 2020 a je </w:t>
      </w:r>
      <w:r w:rsidRPr="007577DE">
        <w:rPr>
          <w:rFonts w:ascii="Times New Roman" w:hAnsi="Times New Roman" w:cs="Times New Roman"/>
          <w:sz w:val="24"/>
        </w:rPr>
        <w:t xml:space="preserve">vyjadrený vo forme </w:t>
      </w:r>
      <w:r w:rsidRPr="00856490">
        <w:rPr>
          <w:rFonts w:ascii="Times New Roman" w:hAnsi="Times New Roman" w:cs="Times New Roman"/>
          <w:sz w:val="24"/>
          <w:u w:val="single"/>
        </w:rPr>
        <w:t>absolútnej hodnoty primárnej energetickej spotreby</w:t>
      </w:r>
      <w:r w:rsidR="00A34300" w:rsidRPr="00856490">
        <w:rPr>
          <w:rFonts w:ascii="Times New Roman" w:hAnsi="Times New Roman" w:cs="Times New Roman"/>
          <w:sz w:val="24"/>
          <w:u w:val="single"/>
        </w:rPr>
        <w:t xml:space="preserve"> v roku 2020</w:t>
      </w:r>
      <w:r w:rsidR="00A34300">
        <w:rPr>
          <w:rFonts w:ascii="Times New Roman" w:hAnsi="Times New Roman" w:cs="Times New Roman"/>
          <w:sz w:val="24"/>
        </w:rPr>
        <w:t xml:space="preserve"> </w:t>
      </w:r>
      <w:r w:rsidR="00A34300" w:rsidRPr="00A34300">
        <w:rPr>
          <w:rFonts w:ascii="Times New Roman" w:hAnsi="Times New Roman" w:cs="Times New Roman"/>
          <w:sz w:val="24"/>
        </w:rPr>
        <w:t xml:space="preserve">v porovnaní s referenčným scenárom PRIMES 2007 </w:t>
      </w:r>
      <w:r w:rsidR="00EE3CD6">
        <w:rPr>
          <w:rFonts w:ascii="Times New Roman" w:hAnsi="Times New Roman" w:cs="Times New Roman"/>
          <w:sz w:val="24"/>
        </w:rPr>
        <w:t>(</w:t>
      </w:r>
      <w:r w:rsidR="00A34300" w:rsidRPr="00856490">
        <w:rPr>
          <w:rFonts w:ascii="Times New Roman" w:hAnsi="Times New Roman" w:cs="Times New Roman"/>
          <w:sz w:val="24"/>
          <w:u w:val="single"/>
        </w:rPr>
        <w:t>20</w:t>
      </w:r>
      <w:r w:rsidR="00EE3CD6" w:rsidRPr="00856490">
        <w:rPr>
          <w:rFonts w:ascii="Times New Roman" w:hAnsi="Times New Roman" w:cs="Times New Roman"/>
          <w:sz w:val="24"/>
          <w:u w:val="single"/>
        </w:rPr>
        <w:t xml:space="preserve"> %</w:t>
      </w:r>
      <w:r w:rsidR="00A34300" w:rsidRPr="00856490">
        <w:rPr>
          <w:rFonts w:ascii="Times New Roman" w:hAnsi="Times New Roman" w:cs="Times New Roman"/>
          <w:sz w:val="24"/>
          <w:u w:val="single"/>
        </w:rPr>
        <w:t xml:space="preserve"> -</w:t>
      </w:r>
      <w:r w:rsidR="00EE3CD6" w:rsidRPr="00856490">
        <w:rPr>
          <w:rFonts w:ascii="Times New Roman" w:hAnsi="Times New Roman" w:cs="Times New Roman"/>
          <w:sz w:val="24"/>
          <w:u w:val="single"/>
        </w:rPr>
        <w:t xml:space="preserve"> </w:t>
      </w:r>
      <w:r w:rsidR="00A34300" w:rsidRPr="00856490">
        <w:rPr>
          <w:rFonts w:ascii="Times New Roman" w:hAnsi="Times New Roman" w:cs="Times New Roman"/>
          <w:sz w:val="24"/>
          <w:u w:val="single"/>
        </w:rPr>
        <w:t>686 PJ</w:t>
      </w:r>
      <w:r w:rsidR="00EE3CD6">
        <w:rPr>
          <w:rFonts w:ascii="Times New Roman" w:hAnsi="Times New Roman" w:cs="Times New Roman"/>
          <w:sz w:val="24"/>
        </w:rPr>
        <w:t>)</w:t>
      </w:r>
      <w:r w:rsidRPr="007577DE">
        <w:rPr>
          <w:rFonts w:ascii="Times New Roman" w:hAnsi="Times New Roman" w:cs="Times New Roman"/>
          <w:sz w:val="24"/>
        </w:rPr>
        <w:t xml:space="preserve"> a </w:t>
      </w:r>
      <w:r w:rsidRPr="00856490">
        <w:rPr>
          <w:rFonts w:ascii="Times New Roman" w:hAnsi="Times New Roman" w:cs="Times New Roman"/>
          <w:sz w:val="24"/>
          <w:u w:val="single"/>
        </w:rPr>
        <w:t>absolútnej hodnoty konečnej energetickej spotreby</w:t>
      </w:r>
      <w:r w:rsidR="00A34300" w:rsidRPr="00856490">
        <w:rPr>
          <w:rFonts w:ascii="Times New Roman" w:hAnsi="Times New Roman" w:cs="Times New Roman"/>
          <w:sz w:val="24"/>
          <w:u w:val="single"/>
        </w:rPr>
        <w:t xml:space="preserve"> v roku 2020</w:t>
      </w:r>
      <w:r w:rsidR="00A34300" w:rsidRPr="00A34300">
        <w:rPr>
          <w:rFonts w:ascii="Times New Roman" w:hAnsi="Times New Roman" w:cs="Times New Roman"/>
          <w:sz w:val="24"/>
        </w:rPr>
        <w:t xml:space="preserve"> v porovnaní s referenčným scenárom PRIMES 2007</w:t>
      </w:r>
      <w:r w:rsidR="00EE3CD6">
        <w:rPr>
          <w:rFonts w:ascii="Times New Roman" w:hAnsi="Times New Roman" w:cs="Times New Roman"/>
          <w:sz w:val="24"/>
        </w:rPr>
        <w:t xml:space="preserve"> (</w:t>
      </w:r>
      <w:r w:rsidR="00A34300" w:rsidRPr="00856490">
        <w:rPr>
          <w:rFonts w:ascii="Times New Roman" w:hAnsi="Times New Roman" w:cs="Times New Roman"/>
          <w:sz w:val="24"/>
          <w:u w:val="single"/>
        </w:rPr>
        <w:t xml:space="preserve">31 % - </w:t>
      </w:r>
      <w:r w:rsidR="00EE3CD6" w:rsidRPr="00856490">
        <w:rPr>
          <w:rFonts w:ascii="Times New Roman" w:hAnsi="Times New Roman" w:cs="Times New Roman"/>
          <w:sz w:val="24"/>
          <w:u w:val="single"/>
        </w:rPr>
        <w:t>387</w:t>
      </w:r>
      <w:r w:rsidRPr="00856490">
        <w:rPr>
          <w:rFonts w:ascii="Times New Roman" w:hAnsi="Times New Roman" w:cs="Times New Roman"/>
          <w:sz w:val="24"/>
          <w:u w:val="single"/>
        </w:rPr>
        <w:t xml:space="preserve"> </w:t>
      </w:r>
      <w:r w:rsidR="00A34300" w:rsidRPr="00856490">
        <w:rPr>
          <w:rFonts w:ascii="Times New Roman" w:hAnsi="Times New Roman" w:cs="Times New Roman"/>
          <w:sz w:val="24"/>
          <w:u w:val="single"/>
        </w:rPr>
        <w:t>PJ</w:t>
      </w:r>
      <w:r w:rsidR="00A34300">
        <w:rPr>
          <w:rFonts w:ascii="Times New Roman" w:hAnsi="Times New Roman" w:cs="Times New Roman"/>
          <w:sz w:val="24"/>
        </w:rPr>
        <w:t xml:space="preserve">) </w:t>
      </w:r>
      <w:r w:rsidRPr="007577DE">
        <w:rPr>
          <w:rFonts w:ascii="Times New Roman" w:hAnsi="Times New Roman" w:cs="Times New Roman"/>
          <w:sz w:val="24"/>
        </w:rPr>
        <w:t>podľa čl. 3 smernice</w:t>
      </w:r>
      <w:r w:rsidR="00F50FCB" w:rsidRPr="007577DE">
        <w:rPr>
          <w:rFonts w:ascii="Times New Roman" w:hAnsi="Times New Roman" w:cs="Times New Roman"/>
          <w:sz w:val="24"/>
        </w:rPr>
        <w:t xml:space="preserve"> – pozri </w:t>
      </w:r>
      <w:r w:rsidR="00B15B1E" w:rsidRPr="007577DE">
        <w:rPr>
          <w:rFonts w:ascii="Times New Roman" w:hAnsi="Times New Roman" w:cs="Times New Roman"/>
          <w:sz w:val="24"/>
        </w:rPr>
        <w:t>časť 1.</w:t>
      </w:r>
      <w:r w:rsidR="00940967">
        <w:rPr>
          <w:rFonts w:ascii="Times New Roman" w:hAnsi="Times New Roman" w:cs="Times New Roman"/>
          <w:sz w:val="24"/>
        </w:rPr>
        <w:t>3.</w:t>
      </w:r>
      <w:r w:rsidR="00EE3CD6">
        <w:rPr>
          <w:rFonts w:ascii="Times New Roman" w:hAnsi="Times New Roman" w:cs="Times New Roman"/>
          <w:sz w:val="24"/>
        </w:rPr>
        <w:t>2</w:t>
      </w:r>
      <w:r w:rsidR="00B15B1E" w:rsidRPr="007577DE">
        <w:rPr>
          <w:rFonts w:ascii="Times New Roman" w:hAnsi="Times New Roman" w:cs="Times New Roman"/>
          <w:sz w:val="24"/>
        </w:rPr>
        <w:t>.1</w:t>
      </w:r>
      <w:r w:rsidR="00A34300">
        <w:rPr>
          <w:rFonts w:ascii="Times New Roman" w:hAnsi="Times New Roman" w:cs="Times New Roman"/>
          <w:sz w:val="24"/>
        </w:rPr>
        <w:t>,</w:t>
      </w:r>
    </w:p>
    <w:p w14:paraId="51FF0976" w14:textId="7F79D4D7" w:rsidR="006C62E5" w:rsidRPr="007577DE" w:rsidRDefault="006C62E5" w:rsidP="007157D7">
      <w:pPr>
        <w:pStyle w:val="Odsekzoznamu"/>
        <w:numPr>
          <w:ilvl w:val="0"/>
          <w:numId w:val="12"/>
        </w:numPr>
        <w:spacing w:before="120" w:after="0" w:line="264" w:lineRule="auto"/>
        <w:ind w:hanging="217"/>
        <w:jc w:val="both"/>
        <w:rPr>
          <w:rFonts w:ascii="Times New Roman" w:hAnsi="Times New Roman" w:cs="Times New Roman"/>
          <w:sz w:val="24"/>
        </w:rPr>
      </w:pPr>
      <w:r w:rsidRPr="007577DE">
        <w:rPr>
          <w:rFonts w:ascii="Times New Roman" w:hAnsi="Times New Roman" w:cs="Times New Roman"/>
          <w:b/>
          <w:sz w:val="24"/>
        </w:rPr>
        <w:t>cieľ úspor energie budov</w:t>
      </w:r>
      <w:r w:rsidRPr="007577DE">
        <w:rPr>
          <w:rFonts w:ascii="Times New Roman" w:hAnsi="Times New Roman" w:cs="Times New Roman"/>
          <w:sz w:val="24"/>
        </w:rPr>
        <w:t xml:space="preserve"> - zodpovedá každoročnej obnove vo výške 3 % z celkovej podlahovej plochy budov vlastnených a využívaných ÚOŠS</w:t>
      </w:r>
      <w:r w:rsidR="008D1A3A" w:rsidRPr="007577DE">
        <w:rPr>
          <w:rFonts w:ascii="Times New Roman" w:hAnsi="Times New Roman" w:cs="Times New Roman"/>
          <w:sz w:val="24"/>
        </w:rPr>
        <w:t xml:space="preserve"> aspoň</w:t>
      </w:r>
      <w:r w:rsidRPr="007577DE">
        <w:rPr>
          <w:rFonts w:ascii="Times New Roman" w:hAnsi="Times New Roman" w:cs="Times New Roman"/>
          <w:sz w:val="24"/>
        </w:rPr>
        <w:t xml:space="preserve"> na minimálne požiadavky energetickej hospodárnosti budov</w:t>
      </w:r>
      <w:r w:rsidR="00960F09">
        <w:rPr>
          <w:rFonts w:ascii="Times New Roman" w:hAnsi="Times New Roman" w:cs="Times New Roman"/>
          <w:sz w:val="24"/>
        </w:rPr>
        <w:t xml:space="preserve">. </w:t>
      </w:r>
      <w:r w:rsidR="00960F09" w:rsidRPr="000578FE">
        <w:rPr>
          <w:rFonts w:ascii="Times New Roman" w:hAnsi="Times New Roman" w:cs="Times New Roman"/>
          <w:sz w:val="24"/>
        </w:rPr>
        <w:t xml:space="preserve">SR bude plniť </w:t>
      </w:r>
      <w:r w:rsidR="00EE72FA" w:rsidRPr="000578FE">
        <w:rPr>
          <w:rFonts w:ascii="Times New Roman" w:hAnsi="Times New Roman" w:cs="Times New Roman"/>
          <w:sz w:val="24"/>
        </w:rPr>
        <w:t xml:space="preserve">cieľ </w:t>
      </w:r>
      <w:r w:rsidR="00960F09" w:rsidRPr="000578FE">
        <w:rPr>
          <w:rFonts w:ascii="Times New Roman" w:hAnsi="Times New Roman" w:cs="Times New Roman"/>
          <w:sz w:val="24"/>
        </w:rPr>
        <w:t xml:space="preserve">alternatívnym prístupom </w:t>
      </w:r>
      <w:r w:rsidR="00EE72FA" w:rsidRPr="000578FE">
        <w:rPr>
          <w:rFonts w:ascii="Times New Roman" w:hAnsi="Times New Roman" w:cs="Times New Roman"/>
          <w:sz w:val="24"/>
        </w:rPr>
        <w:t xml:space="preserve">zohľadnením </w:t>
      </w:r>
      <w:r w:rsidR="00960F09" w:rsidRPr="000578FE">
        <w:rPr>
          <w:rFonts w:ascii="Times New Roman" w:hAnsi="Times New Roman" w:cs="Times New Roman"/>
          <w:sz w:val="24"/>
        </w:rPr>
        <w:t>všetkých verejných budov</w:t>
      </w:r>
      <w:r w:rsidRPr="00EE72FA">
        <w:rPr>
          <w:rFonts w:ascii="Times New Roman" w:hAnsi="Times New Roman" w:cs="Times New Roman"/>
          <w:sz w:val="24"/>
        </w:rPr>
        <w:t xml:space="preserve"> </w:t>
      </w:r>
      <w:r w:rsidR="00736531" w:rsidRPr="00EE72FA">
        <w:rPr>
          <w:rFonts w:ascii="Times New Roman" w:hAnsi="Times New Roman" w:cs="Times New Roman"/>
          <w:sz w:val="24"/>
        </w:rPr>
        <w:t xml:space="preserve">a  hodnota </w:t>
      </w:r>
      <w:r w:rsidR="00960F09" w:rsidRPr="00EE72FA">
        <w:rPr>
          <w:rFonts w:ascii="Times New Roman" w:hAnsi="Times New Roman" w:cs="Times New Roman"/>
          <w:sz w:val="24"/>
        </w:rPr>
        <w:t>cieľa</w:t>
      </w:r>
      <w:r w:rsidR="00960F09">
        <w:rPr>
          <w:rFonts w:ascii="Times New Roman" w:hAnsi="Times New Roman" w:cs="Times New Roman"/>
          <w:sz w:val="24"/>
        </w:rPr>
        <w:t xml:space="preserve"> </w:t>
      </w:r>
      <w:r w:rsidR="00736531">
        <w:rPr>
          <w:rFonts w:ascii="Times New Roman" w:hAnsi="Times New Roman" w:cs="Times New Roman"/>
          <w:sz w:val="24"/>
        </w:rPr>
        <w:t xml:space="preserve">v SR </w:t>
      </w:r>
      <w:r w:rsidR="00960F09">
        <w:rPr>
          <w:rFonts w:ascii="Times New Roman" w:hAnsi="Times New Roman" w:cs="Times New Roman"/>
          <w:sz w:val="24"/>
        </w:rPr>
        <w:t>bola stanovená vo výške</w:t>
      </w:r>
      <w:r w:rsidR="00736531">
        <w:rPr>
          <w:rFonts w:ascii="Times New Roman" w:hAnsi="Times New Roman" w:cs="Times New Roman"/>
          <w:sz w:val="24"/>
        </w:rPr>
        <w:t xml:space="preserve"> </w:t>
      </w:r>
      <w:r w:rsidR="00736531" w:rsidRPr="00736531">
        <w:rPr>
          <w:rFonts w:ascii="Times New Roman" w:hAnsi="Times New Roman" w:cs="Times New Roman"/>
          <w:sz w:val="24"/>
        </w:rPr>
        <w:t>52,17 GWh/rok, t.</w:t>
      </w:r>
      <w:r w:rsidR="00960F09">
        <w:rPr>
          <w:rFonts w:ascii="Times New Roman" w:hAnsi="Times New Roman" w:cs="Times New Roman"/>
          <w:sz w:val="24"/>
        </w:rPr>
        <w:t xml:space="preserve"> </w:t>
      </w:r>
      <w:r w:rsidR="00736531" w:rsidRPr="00736531">
        <w:rPr>
          <w:rFonts w:ascii="Times New Roman" w:hAnsi="Times New Roman" w:cs="Times New Roman"/>
          <w:sz w:val="24"/>
        </w:rPr>
        <w:t>j,</w:t>
      </w:r>
      <w:r w:rsidR="00736531" w:rsidRPr="00856490">
        <w:rPr>
          <w:rFonts w:ascii="Times New Roman" w:hAnsi="Times New Roman" w:cs="Times New Roman"/>
          <w:sz w:val="24"/>
          <w:u w:val="single"/>
        </w:rPr>
        <w:t xml:space="preserve"> do roku 2020 365,19 GWh</w:t>
      </w:r>
      <w:r w:rsidR="00736531">
        <w:rPr>
          <w:rFonts w:ascii="Times New Roman" w:hAnsi="Times New Roman" w:cs="Times New Roman"/>
          <w:sz w:val="24"/>
        </w:rPr>
        <w:t xml:space="preserve"> </w:t>
      </w:r>
      <w:r w:rsidRPr="007577DE">
        <w:rPr>
          <w:rFonts w:ascii="Times New Roman" w:hAnsi="Times New Roman" w:cs="Times New Roman"/>
          <w:sz w:val="24"/>
        </w:rPr>
        <w:t>(podľa čl. 5 smernice</w:t>
      </w:r>
      <w:r w:rsidR="007E2DDF" w:rsidRPr="007577DE">
        <w:rPr>
          <w:rFonts w:ascii="Times New Roman" w:hAnsi="Times New Roman" w:cs="Times New Roman"/>
          <w:sz w:val="24"/>
        </w:rPr>
        <w:t xml:space="preserve"> – pozri </w:t>
      </w:r>
      <w:r w:rsidR="00B15B1E" w:rsidRPr="007577DE">
        <w:rPr>
          <w:rFonts w:ascii="Times New Roman" w:hAnsi="Times New Roman" w:cs="Times New Roman"/>
          <w:sz w:val="24"/>
        </w:rPr>
        <w:t xml:space="preserve">časť </w:t>
      </w:r>
      <w:r w:rsidR="00F46A88" w:rsidRPr="007577DE">
        <w:rPr>
          <w:rFonts w:ascii="Times New Roman" w:hAnsi="Times New Roman" w:cs="Times New Roman"/>
          <w:sz w:val="24"/>
        </w:rPr>
        <w:t>1.</w:t>
      </w:r>
      <w:r w:rsidR="00940967">
        <w:rPr>
          <w:rFonts w:ascii="Times New Roman" w:hAnsi="Times New Roman" w:cs="Times New Roman"/>
          <w:sz w:val="24"/>
        </w:rPr>
        <w:t>3.</w:t>
      </w:r>
      <w:r w:rsidR="00F46A88" w:rsidRPr="007577DE">
        <w:rPr>
          <w:rFonts w:ascii="Times New Roman" w:hAnsi="Times New Roman" w:cs="Times New Roman"/>
          <w:sz w:val="24"/>
        </w:rPr>
        <w:t>2.2</w:t>
      </w:r>
      <w:r w:rsidR="00B15B1E" w:rsidRPr="007577DE">
        <w:rPr>
          <w:rFonts w:ascii="Times New Roman" w:hAnsi="Times New Roman" w:cs="Times New Roman"/>
          <w:sz w:val="24"/>
        </w:rPr>
        <w:t>)</w:t>
      </w:r>
      <w:r w:rsidRPr="007577DE">
        <w:rPr>
          <w:rFonts w:ascii="Times New Roman" w:hAnsi="Times New Roman" w:cs="Times New Roman"/>
          <w:sz w:val="24"/>
        </w:rPr>
        <w:t>,</w:t>
      </w:r>
    </w:p>
    <w:p w14:paraId="401AC46B" w14:textId="0DDC0299" w:rsidR="006C62E5" w:rsidRDefault="006C62E5" w:rsidP="007157D7">
      <w:pPr>
        <w:pStyle w:val="Odsekzoznamu"/>
        <w:numPr>
          <w:ilvl w:val="0"/>
          <w:numId w:val="12"/>
        </w:numPr>
        <w:spacing w:before="120" w:after="0" w:line="264" w:lineRule="auto"/>
        <w:ind w:hanging="217"/>
        <w:jc w:val="both"/>
        <w:rPr>
          <w:rFonts w:ascii="Times New Roman" w:hAnsi="Times New Roman" w:cs="Times New Roman"/>
          <w:sz w:val="24"/>
        </w:rPr>
      </w:pPr>
      <w:r w:rsidRPr="007577DE">
        <w:rPr>
          <w:rFonts w:ascii="Times New Roman" w:hAnsi="Times New Roman" w:cs="Times New Roman"/>
          <w:b/>
          <w:sz w:val="24"/>
        </w:rPr>
        <w:lastRenderedPageBreak/>
        <w:t>cieľ úspor energie u konečného spotrebiteľa</w:t>
      </w:r>
      <w:r w:rsidRPr="007577DE">
        <w:rPr>
          <w:rFonts w:ascii="Times New Roman" w:hAnsi="Times New Roman" w:cs="Times New Roman"/>
          <w:sz w:val="24"/>
        </w:rPr>
        <w:t xml:space="preserve"> – stanovený vo výške 1,5 % z ročného predaja energie koncovým odberateľom u každého dodávateľa energie</w:t>
      </w:r>
      <w:r w:rsidR="00605701">
        <w:rPr>
          <w:rFonts w:ascii="Times New Roman" w:hAnsi="Times New Roman" w:cs="Times New Roman"/>
          <w:sz w:val="24"/>
        </w:rPr>
        <w:t>. Ročná hodnota pre SR bola vypočítaná vo výške 948,75 GWh/rok, t.</w:t>
      </w:r>
      <w:r w:rsidR="00EE72FA">
        <w:rPr>
          <w:rFonts w:ascii="Times New Roman" w:hAnsi="Times New Roman" w:cs="Times New Roman"/>
          <w:sz w:val="24"/>
        </w:rPr>
        <w:t> </w:t>
      </w:r>
      <w:r w:rsidR="00605701">
        <w:rPr>
          <w:rFonts w:ascii="Times New Roman" w:hAnsi="Times New Roman" w:cs="Times New Roman"/>
          <w:sz w:val="24"/>
        </w:rPr>
        <w:t>j. celkov</w:t>
      </w:r>
      <w:r w:rsidR="007F10A4">
        <w:rPr>
          <w:rFonts w:ascii="Times New Roman" w:hAnsi="Times New Roman" w:cs="Times New Roman"/>
          <w:sz w:val="24"/>
        </w:rPr>
        <w:t>é</w:t>
      </w:r>
      <w:r w:rsidR="00605701">
        <w:rPr>
          <w:rFonts w:ascii="Times New Roman" w:hAnsi="Times New Roman" w:cs="Times New Roman"/>
          <w:sz w:val="24"/>
        </w:rPr>
        <w:t xml:space="preserve"> </w:t>
      </w:r>
      <w:r w:rsidR="007F10A4">
        <w:rPr>
          <w:rFonts w:ascii="Times New Roman" w:hAnsi="Times New Roman" w:cs="Times New Roman"/>
          <w:sz w:val="24"/>
        </w:rPr>
        <w:t xml:space="preserve">kumulované úspory energie </w:t>
      </w:r>
      <w:r w:rsidR="00605701">
        <w:rPr>
          <w:rFonts w:ascii="Times New Roman" w:hAnsi="Times New Roman" w:cs="Times New Roman"/>
          <w:sz w:val="24"/>
        </w:rPr>
        <w:t xml:space="preserve">do roku 2020 </w:t>
      </w:r>
      <w:r w:rsidR="007F10A4">
        <w:rPr>
          <w:rFonts w:ascii="Times New Roman" w:hAnsi="Times New Roman" w:cs="Times New Roman"/>
          <w:sz w:val="24"/>
        </w:rPr>
        <w:t xml:space="preserve">sú </w:t>
      </w:r>
      <w:r w:rsidR="00605701" w:rsidRPr="00856490">
        <w:rPr>
          <w:rFonts w:ascii="Times New Roman" w:hAnsi="Times New Roman" w:cs="Times New Roman"/>
          <w:sz w:val="24"/>
          <w:u w:val="single"/>
        </w:rPr>
        <w:t>26 565 GWh</w:t>
      </w:r>
      <w:r w:rsidR="00605701">
        <w:rPr>
          <w:rFonts w:ascii="Times New Roman" w:hAnsi="Times New Roman" w:cs="Times New Roman"/>
          <w:sz w:val="24"/>
        </w:rPr>
        <w:t xml:space="preserve"> </w:t>
      </w:r>
      <w:r w:rsidRPr="007577DE">
        <w:rPr>
          <w:rFonts w:ascii="Times New Roman" w:hAnsi="Times New Roman" w:cs="Times New Roman"/>
          <w:sz w:val="24"/>
        </w:rPr>
        <w:t>(podľa čl. 7 smernice</w:t>
      </w:r>
      <w:r w:rsidR="007E2DDF" w:rsidRPr="007577DE">
        <w:rPr>
          <w:rFonts w:ascii="Times New Roman" w:hAnsi="Times New Roman" w:cs="Times New Roman"/>
          <w:sz w:val="24"/>
        </w:rPr>
        <w:t xml:space="preserve"> – pozri </w:t>
      </w:r>
      <w:r w:rsidR="00B15B1E" w:rsidRPr="007577DE">
        <w:rPr>
          <w:rFonts w:ascii="Times New Roman" w:hAnsi="Times New Roman" w:cs="Times New Roman"/>
          <w:sz w:val="24"/>
        </w:rPr>
        <w:t>časť 1.</w:t>
      </w:r>
      <w:r w:rsidR="00940967">
        <w:rPr>
          <w:rFonts w:ascii="Times New Roman" w:hAnsi="Times New Roman" w:cs="Times New Roman"/>
          <w:sz w:val="24"/>
        </w:rPr>
        <w:t>3.</w:t>
      </w:r>
      <w:r w:rsidR="00B15B1E" w:rsidRPr="007577DE">
        <w:rPr>
          <w:rFonts w:ascii="Times New Roman" w:hAnsi="Times New Roman" w:cs="Times New Roman"/>
          <w:sz w:val="24"/>
        </w:rPr>
        <w:t>2.</w:t>
      </w:r>
      <w:r w:rsidR="00940967">
        <w:rPr>
          <w:rFonts w:ascii="Times New Roman" w:hAnsi="Times New Roman" w:cs="Times New Roman"/>
          <w:sz w:val="24"/>
        </w:rPr>
        <w:t>3</w:t>
      </w:r>
      <w:r w:rsidR="00B15B1E" w:rsidRPr="007577DE">
        <w:rPr>
          <w:rFonts w:ascii="Times New Roman" w:hAnsi="Times New Roman" w:cs="Times New Roman"/>
          <w:sz w:val="24"/>
        </w:rPr>
        <w:t>)</w:t>
      </w:r>
      <w:r w:rsidRPr="007577DE">
        <w:rPr>
          <w:rFonts w:ascii="Times New Roman" w:hAnsi="Times New Roman" w:cs="Times New Roman"/>
          <w:sz w:val="24"/>
        </w:rPr>
        <w:t>.</w:t>
      </w:r>
    </w:p>
    <w:p w14:paraId="33F15FE2" w14:textId="77777777" w:rsidR="00605701" w:rsidRDefault="00605701" w:rsidP="00B40851">
      <w:pPr>
        <w:pStyle w:val="Odsekzoznamu"/>
        <w:ind w:left="0" w:hanging="217"/>
        <w:jc w:val="both"/>
        <w:rPr>
          <w:rFonts w:ascii="Times New Roman" w:hAnsi="Times New Roman" w:cs="Times New Roman"/>
          <w:sz w:val="24"/>
        </w:rPr>
      </w:pPr>
    </w:p>
    <w:p w14:paraId="4BADAEF0" w14:textId="48FF8BDC" w:rsidR="00736531" w:rsidRDefault="00736531" w:rsidP="00856490">
      <w:pPr>
        <w:pStyle w:val="Odsekzoznamu"/>
        <w:ind w:left="0"/>
        <w:jc w:val="both"/>
        <w:rPr>
          <w:rFonts w:ascii="Times New Roman" w:hAnsi="Times New Roman" w:cs="Times New Roman"/>
          <w:sz w:val="24"/>
        </w:rPr>
      </w:pPr>
      <w:r w:rsidRPr="00736531">
        <w:rPr>
          <w:rFonts w:ascii="Times New Roman" w:hAnsi="Times New Roman" w:cs="Times New Roman"/>
          <w:sz w:val="24"/>
        </w:rPr>
        <w:t>Vyhodnotenie plnenia</w:t>
      </w:r>
      <w:r>
        <w:rPr>
          <w:rFonts w:ascii="Times New Roman" w:hAnsi="Times New Roman" w:cs="Times New Roman"/>
          <w:sz w:val="24"/>
        </w:rPr>
        <w:t xml:space="preserve"> jednotlivých cieľov</w:t>
      </w:r>
      <w:r w:rsidRPr="00736531">
        <w:rPr>
          <w:rFonts w:ascii="Times New Roman" w:hAnsi="Times New Roman" w:cs="Times New Roman"/>
          <w:sz w:val="24"/>
        </w:rPr>
        <w:t xml:space="preserve"> </w:t>
      </w:r>
      <w:r>
        <w:rPr>
          <w:rFonts w:ascii="Times New Roman" w:hAnsi="Times New Roman" w:cs="Times New Roman"/>
          <w:sz w:val="24"/>
        </w:rPr>
        <w:t>podľa smernice 2012/27/EÚ</w:t>
      </w:r>
      <w:r w:rsidRPr="00736531">
        <w:rPr>
          <w:rFonts w:ascii="Times New Roman" w:hAnsi="Times New Roman" w:cs="Times New Roman"/>
          <w:sz w:val="24"/>
        </w:rPr>
        <w:t xml:space="preserve"> </w:t>
      </w:r>
      <w:r>
        <w:rPr>
          <w:rFonts w:ascii="Times New Roman" w:hAnsi="Times New Roman" w:cs="Times New Roman"/>
          <w:sz w:val="24"/>
        </w:rPr>
        <w:t xml:space="preserve">za rok 2016 </w:t>
      </w:r>
      <w:r w:rsidR="00605701">
        <w:rPr>
          <w:rFonts w:ascii="Times New Roman" w:hAnsi="Times New Roman" w:cs="Times New Roman"/>
          <w:sz w:val="24"/>
        </w:rPr>
        <w:t>v tomto AP je priebežným monitoringom progresu a sledovaním</w:t>
      </w:r>
      <w:r>
        <w:rPr>
          <w:rFonts w:ascii="Times New Roman" w:hAnsi="Times New Roman" w:cs="Times New Roman"/>
          <w:sz w:val="24"/>
        </w:rPr>
        <w:t xml:space="preserve"> trajekt</w:t>
      </w:r>
      <w:r w:rsidR="00605701">
        <w:rPr>
          <w:rFonts w:ascii="Times New Roman" w:hAnsi="Times New Roman" w:cs="Times New Roman"/>
          <w:sz w:val="24"/>
        </w:rPr>
        <w:t>órie</w:t>
      </w:r>
      <w:r>
        <w:rPr>
          <w:rFonts w:ascii="Times New Roman" w:hAnsi="Times New Roman" w:cs="Times New Roman"/>
          <w:sz w:val="24"/>
        </w:rPr>
        <w:t xml:space="preserve"> dosahovania cieľov</w:t>
      </w:r>
      <w:r w:rsidR="00605701">
        <w:rPr>
          <w:rFonts w:ascii="Times New Roman" w:hAnsi="Times New Roman" w:cs="Times New Roman"/>
          <w:sz w:val="24"/>
        </w:rPr>
        <w:t xml:space="preserve"> v SR v</w:t>
      </w:r>
      <w:r>
        <w:rPr>
          <w:rFonts w:ascii="Times New Roman" w:hAnsi="Times New Roman" w:cs="Times New Roman"/>
          <w:sz w:val="24"/>
        </w:rPr>
        <w:t> roku 2020.</w:t>
      </w:r>
    </w:p>
    <w:p w14:paraId="288CF060" w14:textId="77777777" w:rsidR="00FD6B11" w:rsidRDefault="00FD6B11" w:rsidP="00856490">
      <w:pPr>
        <w:rPr>
          <w:rFonts w:ascii="Times New Roman" w:hAnsi="Times New Roman" w:cs="Times New Roman"/>
          <w:sz w:val="24"/>
        </w:rPr>
      </w:pPr>
    </w:p>
    <w:p w14:paraId="76F3D461" w14:textId="6732C582" w:rsidR="00FD6B11" w:rsidRPr="00AF5415" w:rsidRDefault="00FD6B11" w:rsidP="00AF5415">
      <w:pPr>
        <w:pStyle w:val="Nadpis2"/>
        <w:numPr>
          <w:ilvl w:val="1"/>
          <w:numId w:val="30"/>
        </w:numPr>
        <w:rPr>
          <w:rFonts w:ascii="Times New Roman" w:hAnsi="Times New Roman" w:cs="Times New Roman"/>
          <w:color w:val="auto"/>
        </w:rPr>
      </w:pPr>
      <w:bookmarkStart w:id="7" w:name="_Toc477345338"/>
      <w:r w:rsidRPr="00CB1B49">
        <w:rPr>
          <w:rFonts w:ascii="Times New Roman" w:hAnsi="Times New Roman" w:cs="Times New Roman"/>
          <w:color w:val="auto"/>
        </w:rPr>
        <w:t xml:space="preserve">Vyhodnotenie </w:t>
      </w:r>
      <w:r w:rsidR="00ED31CE" w:rsidRPr="00CB1B49">
        <w:rPr>
          <w:rFonts w:ascii="Times New Roman" w:hAnsi="Times New Roman" w:cs="Times New Roman"/>
          <w:color w:val="auto"/>
        </w:rPr>
        <w:t xml:space="preserve">národných </w:t>
      </w:r>
      <w:r w:rsidRPr="00CB1B49">
        <w:rPr>
          <w:rFonts w:ascii="Times New Roman" w:hAnsi="Times New Roman" w:cs="Times New Roman"/>
          <w:color w:val="auto"/>
        </w:rPr>
        <w:t xml:space="preserve">cieľov </w:t>
      </w:r>
      <w:r w:rsidR="00ED31CE" w:rsidRPr="00CB1B49">
        <w:rPr>
          <w:rFonts w:ascii="Times New Roman" w:hAnsi="Times New Roman" w:cs="Times New Roman"/>
          <w:color w:val="auto"/>
        </w:rPr>
        <w:t>energetickej efektívnosti a úspor energie</w:t>
      </w:r>
      <w:bookmarkEnd w:id="7"/>
      <w:r w:rsidR="00ED31CE" w:rsidRPr="00CB1B49" w:rsidDel="00013057">
        <w:rPr>
          <w:rFonts w:ascii="Times New Roman" w:hAnsi="Times New Roman" w:cs="Times New Roman"/>
          <w:color w:val="auto"/>
        </w:rPr>
        <w:t xml:space="preserve"> </w:t>
      </w:r>
    </w:p>
    <w:p w14:paraId="35B33FCE" w14:textId="5B050832" w:rsidR="00FD6B11" w:rsidRPr="000578FE" w:rsidRDefault="00013057" w:rsidP="00AF5415">
      <w:pPr>
        <w:pStyle w:val="Nadpis3"/>
        <w:numPr>
          <w:ilvl w:val="2"/>
          <w:numId w:val="30"/>
        </w:numPr>
        <w:rPr>
          <w:rFonts w:ascii="Times New Roman" w:hAnsi="Times New Roman" w:cs="Times New Roman"/>
          <w:color w:val="auto"/>
        </w:rPr>
      </w:pPr>
      <w:bookmarkStart w:id="8" w:name="_Toc477345339"/>
      <w:r w:rsidRPr="000578FE">
        <w:rPr>
          <w:rFonts w:ascii="Times New Roman" w:hAnsi="Times New Roman" w:cs="Times New Roman"/>
          <w:color w:val="auto"/>
        </w:rPr>
        <w:t>Vyhodnotenie cieľov úspor energie podľa smernice 2006/32/ES</w:t>
      </w:r>
      <w:bookmarkEnd w:id="8"/>
    </w:p>
    <w:p w14:paraId="1E3C2774" w14:textId="30B4992B" w:rsidR="00FD6B11" w:rsidRDefault="00FD6B11" w:rsidP="00FD6B11">
      <w:pPr>
        <w:jc w:val="both"/>
        <w:rPr>
          <w:rFonts w:ascii="Times New Roman" w:hAnsi="Times New Roman" w:cs="Times New Roman"/>
          <w:sz w:val="24"/>
          <w:szCs w:val="24"/>
        </w:rPr>
      </w:pPr>
      <w:r w:rsidRPr="00FD6B11">
        <w:rPr>
          <w:rFonts w:ascii="Times New Roman" w:hAnsi="Times New Roman" w:cs="Times New Roman"/>
          <w:sz w:val="24"/>
          <w:szCs w:val="24"/>
        </w:rPr>
        <w:t>V Koncepcii energetickej efektívnosti (júl 2007) sú stanovené ciele úspor energie do roku 2016.</w:t>
      </w:r>
      <w:r w:rsidRPr="00FD6B11">
        <w:rPr>
          <w:rFonts w:ascii="Times New Roman" w:hAnsi="Times New Roman" w:cs="Times New Roman"/>
          <w:sz w:val="24"/>
          <w:szCs w:val="24"/>
          <w:vertAlign w:val="superscript"/>
        </w:rPr>
        <w:footnoteReference w:id="3"/>
      </w:r>
      <w:r w:rsidRPr="00FD6B11">
        <w:rPr>
          <w:rFonts w:ascii="Times New Roman" w:hAnsi="Times New Roman" w:cs="Times New Roman"/>
          <w:sz w:val="24"/>
          <w:szCs w:val="24"/>
        </w:rPr>
        <w:t xml:space="preserve"> Ciele do roku 2016 boli vypočítané ako úspora energie vo výške 9 % z priemernej hodnoty konečnej energetickej spotreby v rokoch 2001-2005. Tieto boli v druhom akčnom pláne upravené odčítaním podielu spotreby spoločností, ktoré sa podieľajú na obchodovaní s emisnými kvótami skleníkových plynov podľa smernice 2003/87/ES</w:t>
      </w:r>
      <w:r w:rsidRPr="00FD6B11">
        <w:rPr>
          <w:rFonts w:ascii="Times New Roman" w:hAnsi="Times New Roman" w:cs="Times New Roman"/>
          <w:sz w:val="24"/>
          <w:szCs w:val="24"/>
          <w:vertAlign w:val="superscript"/>
        </w:rPr>
        <w:footnoteReference w:id="4"/>
      </w:r>
      <w:r w:rsidRPr="00FD6B11">
        <w:rPr>
          <w:rFonts w:ascii="Times New Roman" w:hAnsi="Times New Roman" w:cs="Times New Roman"/>
          <w:sz w:val="24"/>
          <w:szCs w:val="24"/>
        </w:rPr>
        <w:t xml:space="preserve"> (spoločností ETS). Výsledné ciele sú uvedené v tabuľke č. 1.</w:t>
      </w:r>
    </w:p>
    <w:p w14:paraId="0E07DD05" w14:textId="1BE7C78F" w:rsidR="007F10A4" w:rsidRPr="00FD6B11" w:rsidRDefault="007F10A4" w:rsidP="00FD6B11">
      <w:pPr>
        <w:jc w:val="both"/>
        <w:rPr>
          <w:rFonts w:ascii="Times New Roman" w:hAnsi="Times New Roman" w:cs="Times New Roman"/>
          <w:sz w:val="24"/>
          <w:szCs w:val="24"/>
        </w:rPr>
      </w:pPr>
      <w:r>
        <w:rPr>
          <w:rFonts w:ascii="Times New Roman" w:hAnsi="Times New Roman" w:cs="Times New Roman"/>
          <w:sz w:val="24"/>
          <w:szCs w:val="24"/>
        </w:rPr>
        <w:t xml:space="preserve">Tabuľka č. 1: </w:t>
      </w:r>
      <w:r w:rsidRPr="00FD6B11">
        <w:rPr>
          <w:rFonts w:ascii="Times New Roman" w:hAnsi="Times New Roman" w:cs="Times New Roman"/>
        </w:rPr>
        <w:t>Ciele úspor energie stanovené v strategických materiáloch SR podľa smernice 2006/32/ES</w:t>
      </w:r>
      <w:r w:rsidRPr="00FD6B11">
        <w:rPr>
          <w:rFonts w:ascii="Times New Roman" w:hAnsi="Times New Roman" w:cs="Times New Roman"/>
          <w:vertAlign w:val="superscript"/>
        </w:rPr>
        <w:footnoteReference w:id="5"/>
      </w:r>
      <w:r w:rsidRPr="00FD6B11">
        <w:rPr>
          <w:rFonts w:ascii="Times New Roman" w:hAnsi="Times New Roman" w:cs="Times New Roman"/>
        </w:rPr>
        <w:t xml:space="preserve"> a ich plnenie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2"/>
        <w:gridCol w:w="1002"/>
        <w:gridCol w:w="2409"/>
        <w:gridCol w:w="2409"/>
      </w:tblGrid>
      <w:tr w:rsidR="00FD6B11" w:rsidRPr="00FD6B11" w14:paraId="42681C9D" w14:textId="77777777" w:rsidTr="003D6195">
        <w:trPr>
          <w:trHeight w:val="255"/>
        </w:trPr>
        <w:tc>
          <w:tcPr>
            <w:tcW w:w="178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4C258D3" w14:textId="77777777" w:rsidR="00FD6B11" w:rsidRPr="00FD6B11" w:rsidRDefault="00FD6B11" w:rsidP="00FD6B11">
            <w:pPr>
              <w:spacing w:after="0" w:line="240" w:lineRule="auto"/>
              <w:jc w:val="center"/>
              <w:rPr>
                <w:rFonts w:ascii="Times New Roman" w:hAnsi="Times New Roman" w:cs="Times New Roman"/>
                <w:b/>
              </w:rPr>
            </w:pPr>
            <w:r w:rsidRPr="00FD6B11">
              <w:rPr>
                <w:rFonts w:ascii="Times New Roman" w:hAnsi="Times New Roman" w:cs="Times New Roman"/>
                <w:b/>
              </w:rPr>
              <w:t>Ukazovateľ</w:t>
            </w:r>
          </w:p>
        </w:tc>
        <w:tc>
          <w:tcPr>
            <w:tcW w:w="3211"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D64C4D" w14:textId="77777777" w:rsidR="00FD6B11" w:rsidRPr="00FD6B11" w:rsidRDefault="00FD6B11" w:rsidP="00FD6B11">
            <w:pPr>
              <w:spacing w:after="0" w:line="240" w:lineRule="auto"/>
              <w:ind w:right="-803"/>
              <w:jc w:val="center"/>
              <w:rPr>
                <w:rFonts w:ascii="Times New Roman" w:hAnsi="Times New Roman" w:cs="Times New Roman"/>
                <w:b/>
              </w:rPr>
            </w:pPr>
            <w:r w:rsidRPr="00FD6B11">
              <w:rPr>
                <w:rFonts w:ascii="Times New Roman" w:hAnsi="Times New Roman" w:cs="Times New Roman"/>
                <w:b/>
              </w:rPr>
              <w:t>Úspory energie na základe</w:t>
            </w:r>
          </w:p>
          <w:p w14:paraId="6E3A01E8" w14:textId="77777777" w:rsidR="00FD6B11" w:rsidRPr="00FD6B11" w:rsidRDefault="00FD6B11" w:rsidP="00FD6B11">
            <w:pPr>
              <w:spacing w:after="0" w:line="240" w:lineRule="auto"/>
              <w:ind w:right="-803"/>
              <w:jc w:val="center"/>
              <w:rPr>
                <w:rFonts w:ascii="Times New Roman" w:hAnsi="Times New Roman" w:cs="Times New Roman"/>
                <w:b/>
              </w:rPr>
            </w:pPr>
            <w:r w:rsidRPr="00FD6B11">
              <w:rPr>
                <w:rFonts w:ascii="Times New Roman" w:hAnsi="Times New Roman" w:cs="Times New Roman"/>
                <w:b/>
              </w:rPr>
              <w:t>prepočítanej priemernej KES v rokoch 2001-2005</w:t>
            </w:r>
          </w:p>
        </w:tc>
      </w:tr>
      <w:tr w:rsidR="00FD6B11" w:rsidRPr="00FD6B11" w14:paraId="39ECB69F" w14:textId="77777777" w:rsidTr="003D6195">
        <w:trPr>
          <w:trHeight w:val="255"/>
        </w:trPr>
        <w:tc>
          <w:tcPr>
            <w:tcW w:w="1789" w:type="pct"/>
            <w:vMerge/>
            <w:tcBorders>
              <w:top w:val="single" w:sz="4" w:space="0" w:color="auto"/>
              <w:left w:val="single" w:sz="4" w:space="0" w:color="auto"/>
              <w:bottom w:val="single" w:sz="4" w:space="0" w:color="auto"/>
              <w:right w:val="single" w:sz="4" w:space="0" w:color="auto"/>
            </w:tcBorders>
            <w:vAlign w:val="center"/>
            <w:hideMark/>
          </w:tcPr>
          <w:p w14:paraId="2F1E8C47" w14:textId="77777777" w:rsidR="00FD6B11" w:rsidRPr="00FD6B11" w:rsidRDefault="00FD6B11" w:rsidP="00FD6B11">
            <w:pPr>
              <w:spacing w:after="0" w:line="240" w:lineRule="auto"/>
              <w:jc w:val="center"/>
              <w:rPr>
                <w:rFonts w:ascii="Times New Roman" w:hAnsi="Times New Roman" w:cs="Times New Roman"/>
                <w:b/>
              </w:rPr>
            </w:pPr>
          </w:p>
        </w:tc>
        <w:tc>
          <w:tcPr>
            <w:tcW w:w="5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F84015" w14:textId="77777777" w:rsidR="00FD6B11" w:rsidRPr="00FD6B11" w:rsidRDefault="00FD6B11" w:rsidP="00FD6B11">
            <w:pPr>
              <w:spacing w:after="0" w:line="240" w:lineRule="auto"/>
              <w:jc w:val="center"/>
              <w:rPr>
                <w:rFonts w:ascii="Times New Roman" w:hAnsi="Times New Roman" w:cs="Times New Roman"/>
                <w:b/>
              </w:rPr>
            </w:pPr>
            <w:r w:rsidRPr="00FD6B11">
              <w:rPr>
                <w:rFonts w:ascii="Times New Roman" w:hAnsi="Times New Roman" w:cs="Times New Roman"/>
                <w:b/>
              </w:rPr>
              <w:t>[%]</w:t>
            </w:r>
          </w:p>
        </w:tc>
        <w:tc>
          <w:tcPr>
            <w:tcW w:w="132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BF399F" w14:textId="77777777" w:rsidR="00FD6B11" w:rsidRPr="00FD6B11" w:rsidRDefault="00FD6B11" w:rsidP="00FD6B11">
            <w:pPr>
              <w:spacing w:after="0" w:line="240" w:lineRule="auto"/>
              <w:jc w:val="center"/>
              <w:rPr>
                <w:rFonts w:ascii="Times New Roman" w:hAnsi="Times New Roman" w:cs="Times New Roman"/>
                <w:b/>
              </w:rPr>
            </w:pPr>
            <w:r w:rsidRPr="00FD6B11">
              <w:rPr>
                <w:rFonts w:ascii="Times New Roman" w:hAnsi="Times New Roman" w:cs="Times New Roman"/>
                <w:b/>
              </w:rPr>
              <w:t>Plán [TJ]</w:t>
            </w:r>
          </w:p>
        </w:tc>
        <w:tc>
          <w:tcPr>
            <w:tcW w:w="13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127A5B" w14:textId="77777777" w:rsidR="00FD6B11" w:rsidRPr="00FD6B11" w:rsidRDefault="00FD6B11" w:rsidP="00FD6B11">
            <w:pPr>
              <w:spacing w:after="0" w:line="240" w:lineRule="auto"/>
              <w:jc w:val="center"/>
              <w:rPr>
                <w:rFonts w:ascii="Times New Roman" w:hAnsi="Times New Roman" w:cs="Times New Roman"/>
                <w:b/>
              </w:rPr>
            </w:pPr>
            <w:r w:rsidRPr="00FD6B11">
              <w:rPr>
                <w:rFonts w:ascii="Times New Roman" w:hAnsi="Times New Roman" w:cs="Times New Roman"/>
                <w:b/>
              </w:rPr>
              <w:t>Plnenie [TJ]</w:t>
            </w:r>
          </w:p>
        </w:tc>
      </w:tr>
      <w:tr w:rsidR="00FD6B11" w:rsidRPr="00FD6B11" w14:paraId="4A6FBA3F" w14:textId="77777777" w:rsidTr="003D6195">
        <w:trPr>
          <w:trHeight w:hRule="exact" w:val="301"/>
        </w:trPr>
        <w:tc>
          <w:tcPr>
            <w:tcW w:w="1789" w:type="pct"/>
            <w:tcBorders>
              <w:top w:val="single" w:sz="4" w:space="0" w:color="auto"/>
              <w:left w:val="single" w:sz="4" w:space="0" w:color="auto"/>
              <w:bottom w:val="single" w:sz="4" w:space="0" w:color="auto"/>
              <w:right w:val="single" w:sz="4" w:space="0" w:color="auto"/>
            </w:tcBorders>
            <w:noWrap/>
            <w:vAlign w:val="center"/>
            <w:hideMark/>
          </w:tcPr>
          <w:p w14:paraId="4926C921" w14:textId="77777777" w:rsidR="00FD6B11" w:rsidRPr="00FD6B11" w:rsidRDefault="00FD6B11" w:rsidP="00FD6B11">
            <w:pPr>
              <w:spacing w:after="0" w:line="240" w:lineRule="auto"/>
              <w:rPr>
                <w:rFonts w:ascii="Times New Roman" w:hAnsi="Times New Roman" w:cs="Times New Roman"/>
              </w:rPr>
            </w:pPr>
            <w:r w:rsidRPr="00FD6B11">
              <w:rPr>
                <w:rFonts w:ascii="Times New Roman" w:hAnsi="Times New Roman" w:cs="Times New Roman"/>
              </w:rPr>
              <w:t xml:space="preserve">Ročný cieľ </w:t>
            </w:r>
          </w:p>
        </w:tc>
        <w:tc>
          <w:tcPr>
            <w:tcW w:w="553" w:type="pct"/>
            <w:tcBorders>
              <w:top w:val="single" w:sz="4" w:space="0" w:color="auto"/>
              <w:left w:val="single" w:sz="4" w:space="0" w:color="auto"/>
              <w:bottom w:val="single" w:sz="4" w:space="0" w:color="auto"/>
              <w:right w:val="single" w:sz="4" w:space="0" w:color="auto"/>
            </w:tcBorders>
            <w:vAlign w:val="center"/>
            <w:hideMark/>
          </w:tcPr>
          <w:p w14:paraId="6FFEC8E2" w14:textId="77777777" w:rsidR="00FD6B11" w:rsidRPr="00FD6B11" w:rsidRDefault="00FD6B11" w:rsidP="00FD6B11">
            <w:pPr>
              <w:tabs>
                <w:tab w:val="decimal" w:pos="650"/>
              </w:tabs>
              <w:spacing w:after="0" w:line="240" w:lineRule="auto"/>
              <w:jc w:val="right"/>
              <w:rPr>
                <w:rFonts w:ascii="Times New Roman" w:hAnsi="Times New Roman" w:cs="Times New Roman"/>
              </w:rPr>
            </w:pPr>
            <w:r w:rsidRPr="00FD6B11">
              <w:rPr>
                <w:rFonts w:ascii="Times New Roman" w:hAnsi="Times New Roman" w:cs="Times New Roman"/>
              </w:rPr>
              <w:t>1</w:t>
            </w:r>
          </w:p>
        </w:tc>
        <w:tc>
          <w:tcPr>
            <w:tcW w:w="1329" w:type="pct"/>
            <w:tcBorders>
              <w:top w:val="single" w:sz="4" w:space="0" w:color="auto"/>
              <w:left w:val="single" w:sz="4" w:space="0" w:color="auto"/>
              <w:bottom w:val="single" w:sz="4" w:space="0" w:color="auto"/>
              <w:right w:val="single" w:sz="4" w:space="0" w:color="auto"/>
            </w:tcBorders>
            <w:noWrap/>
            <w:vAlign w:val="center"/>
            <w:hideMark/>
          </w:tcPr>
          <w:p w14:paraId="1C6D7466" w14:textId="77777777" w:rsidR="00FD6B11" w:rsidRPr="00FD6B11" w:rsidRDefault="00FD6B11" w:rsidP="00FD6B11">
            <w:pPr>
              <w:tabs>
                <w:tab w:val="decimal" w:pos="650"/>
              </w:tabs>
              <w:spacing w:after="0" w:line="240" w:lineRule="auto"/>
              <w:jc w:val="right"/>
              <w:rPr>
                <w:rFonts w:ascii="Times New Roman" w:hAnsi="Times New Roman" w:cs="Times New Roman"/>
              </w:rPr>
            </w:pPr>
            <w:r w:rsidRPr="00FD6B11">
              <w:rPr>
                <w:rFonts w:ascii="Times New Roman" w:hAnsi="Times New Roman" w:cs="Times New Roman"/>
              </w:rPr>
              <w:t>3 122</w:t>
            </w:r>
          </w:p>
        </w:tc>
        <w:tc>
          <w:tcPr>
            <w:tcW w:w="1329" w:type="pct"/>
            <w:tcBorders>
              <w:top w:val="single" w:sz="4" w:space="0" w:color="auto"/>
              <w:left w:val="single" w:sz="4" w:space="0" w:color="auto"/>
              <w:bottom w:val="single" w:sz="4" w:space="0" w:color="auto"/>
              <w:right w:val="single" w:sz="4" w:space="0" w:color="auto"/>
            </w:tcBorders>
            <w:vAlign w:val="center"/>
          </w:tcPr>
          <w:p w14:paraId="2E172EEB" w14:textId="77777777" w:rsidR="00FD6B11" w:rsidRPr="00FD6B11" w:rsidRDefault="00FD6B11" w:rsidP="007157D7">
            <w:pPr>
              <w:numPr>
                <w:ilvl w:val="0"/>
                <w:numId w:val="8"/>
              </w:numPr>
              <w:tabs>
                <w:tab w:val="decimal" w:pos="650"/>
              </w:tabs>
              <w:spacing w:after="0" w:line="240" w:lineRule="auto"/>
              <w:contextualSpacing/>
              <w:jc w:val="right"/>
              <w:rPr>
                <w:rFonts w:ascii="Times New Roman" w:hAnsi="Times New Roman" w:cs="Times New Roman"/>
              </w:rPr>
            </w:pPr>
          </w:p>
        </w:tc>
      </w:tr>
      <w:tr w:rsidR="00FD6B11" w:rsidRPr="00FD6B11" w14:paraId="0CBEB30F" w14:textId="77777777" w:rsidTr="003D6195">
        <w:trPr>
          <w:trHeight w:hRule="exact" w:val="301"/>
        </w:trPr>
        <w:tc>
          <w:tcPr>
            <w:tcW w:w="1789" w:type="pct"/>
            <w:tcBorders>
              <w:top w:val="single" w:sz="4" w:space="0" w:color="auto"/>
              <w:left w:val="single" w:sz="4" w:space="0" w:color="auto"/>
              <w:bottom w:val="single" w:sz="4" w:space="0" w:color="auto"/>
              <w:right w:val="single" w:sz="4" w:space="0" w:color="auto"/>
            </w:tcBorders>
            <w:noWrap/>
            <w:vAlign w:val="center"/>
            <w:hideMark/>
          </w:tcPr>
          <w:p w14:paraId="3B48EAAA" w14:textId="77777777" w:rsidR="00FD6B11" w:rsidRPr="00FD6B11" w:rsidRDefault="00FD6B11" w:rsidP="00FD6B11">
            <w:pPr>
              <w:spacing w:after="0" w:line="240" w:lineRule="auto"/>
              <w:rPr>
                <w:rFonts w:ascii="Times New Roman" w:hAnsi="Times New Roman" w:cs="Times New Roman"/>
              </w:rPr>
            </w:pPr>
            <w:r w:rsidRPr="00FD6B11">
              <w:rPr>
                <w:rFonts w:ascii="Times New Roman" w:hAnsi="Times New Roman" w:cs="Times New Roman"/>
              </w:rPr>
              <w:t>Trojročný cieľ do roku 2010</w:t>
            </w:r>
            <w:r w:rsidRPr="00FD6B11">
              <w:rPr>
                <w:rFonts w:ascii="Times New Roman" w:hAnsi="Times New Roman" w:cs="Times New Roman"/>
                <w:vertAlign w:val="superscript"/>
              </w:rPr>
              <w:footnoteReference w:id="6"/>
            </w:r>
          </w:p>
        </w:tc>
        <w:tc>
          <w:tcPr>
            <w:tcW w:w="553" w:type="pct"/>
            <w:tcBorders>
              <w:top w:val="single" w:sz="4" w:space="0" w:color="auto"/>
              <w:left w:val="single" w:sz="4" w:space="0" w:color="auto"/>
              <w:bottom w:val="single" w:sz="4" w:space="0" w:color="auto"/>
              <w:right w:val="single" w:sz="4" w:space="0" w:color="auto"/>
            </w:tcBorders>
            <w:vAlign w:val="center"/>
            <w:hideMark/>
          </w:tcPr>
          <w:p w14:paraId="775F452F" w14:textId="77777777" w:rsidR="00FD6B11" w:rsidRPr="00FD6B11" w:rsidRDefault="00FD6B11" w:rsidP="00FD6B11">
            <w:pPr>
              <w:tabs>
                <w:tab w:val="decimal" w:pos="650"/>
              </w:tabs>
              <w:spacing w:after="0" w:line="240" w:lineRule="auto"/>
              <w:jc w:val="right"/>
              <w:rPr>
                <w:rFonts w:ascii="Times New Roman" w:hAnsi="Times New Roman" w:cs="Times New Roman"/>
              </w:rPr>
            </w:pPr>
            <w:r w:rsidRPr="00FD6B11">
              <w:rPr>
                <w:rFonts w:ascii="Times New Roman" w:hAnsi="Times New Roman" w:cs="Times New Roman"/>
              </w:rPr>
              <w:t>3</w:t>
            </w:r>
          </w:p>
        </w:tc>
        <w:tc>
          <w:tcPr>
            <w:tcW w:w="1329" w:type="pct"/>
            <w:tcBorders>
              <w:top w:val="single" w:sz="4" w:space="0" w:color="auto"/>
              <w:left w:val="single" w:sz="4" w:space="0" w:color="auto"/>
              <w:bottom w:val="single" w:sz="4" w:space="0" w:color="auto"/>
              <w:right w:val="single" w:sz="4" w:space="0" w:color="auto"/>
            </w:tcBorders>
            <w:noWrap/>
            <w:vAlign w:val="center"/>
            <w:hideMark/>
          </w:tcPr>
          <w:p w14:paraId="1CEE1C94" w14:textId="77777777" w:rsidR="00FD6B11" w:rsidRPr="00FD6B11" w:rsidRDefault="00FD6B11" w:rsidP="00FD6B11">
            <w:pPr>
              <w:tabs>
                <w:tab w:val="decimal" w:pos="650"/>
              </w:tabs>
              <w:spacing w:after="0" w:line="240" w:lineRule="auto"/>
              <w:jc w:val="right"/>
              <w:rPr>
                <w:rFonts w:ascii="Times New Roman" w:hAnsi="Times New Roman" w:cs="Times New Roman"/>
              </w:rPr>
            </w:pPr>
            <w:r w:rsidRPr="00FD6B11">
              <w:rPr>
                <w:rFonts w:ascii="Times New Roman" w:hAnsi="Times New Roman" w:cs="Times New Roman"/>
              </w:rPr>
              <w:t>9 366</w:t>
            </w:r>
          </w:p>
        </w:tc>
        <w:tc>
          <w:tcPr>
            <w:tcW w:w="1329" w:type="pct"/>
            <w:tcBorders>
              <w:top w:val="single" w:sz="4" w:space="0" w:color="auto"/>
              <w:left w:val="single" w:sz="4" w:space="0" w:color="auto"/>
              <w:bottom w:val="single" w:sz="4" w:space="0" w:color="auto"/>
              <w:right w:val="single" w:sz="4" w:space="0" w:color="auto"/>
            </w:tcBorders>
            <w:vAlign w:val="center"/>
          </w:tcPr>
          <w:p w14:paraId="75CB2105" w14:textId="77777777" w:rsidR="00FD6B11" w:rsidRPr="00FD6B11" w:rsidRDefault="00FD6B11" w:rsidP="00FD6B11">
            <w:pPr>
              <w:tabs>
                <w:tab w:val="decimal" w:pos="650"/>
              </w:tabs>
              <w:spacing w:after="0" w:line="240" w:lineRule="auto"/>
              <w:jc w:val="right"/>
              <w:rPr>
                <w:rFonts w:ascii="Times New Roman" w:hAnsi="Times New Roman" w:cs="Times New Roman"/>
              </w:rPr>
            </w:pPr>
            <w:r w:rsidRPr="00FD6B11">
              <w:rPr>
                <w:rFonts w:ascii="Times New Roman" w:hAnsi="Times New Roman" w:cs="Times New Roman"/>
              </w:rPr>
              <w:t>9 366</w:t>
            </w:r>
            <w:r w:rsidRPr="00FD6B11">
              <w:rPr>
                <w:rFonts w:ascii="Times New Roman" w:hAnsi="Times New Roman" w:cs="Times New Roman"/>
                <w:vertAlign w:val="superscript"/>
              </w:rPr>
              <w:footnoteReference w:id="7"/>
            </w:r>
          </w:p>
        </w:tc>
      </w:tr>
      <w:tr w:rsidR="00FD6B11" w:rsidRPr="00FD6B11" w14:paraId="6B4A6AAF" w14:textId="77777777" w:rsidTr="003D6195">
        <w:trPr>
          <w:trHeight w:hRule="exact" w:val="301"/>
        </w:trPr>
        <w:tc>
          <w:tcPr>
            <w:tcW w:w="1789" w:type="pct"/>
            <w:tcBorders>
              <w:top w:val="single" w:sz="4" w:space="0" w:color="auto"/>
              <w:left w:val="single" w:sz="4" w:space="0" w:color="auto"/>
              <w:bottom w:val="single" w:sz="4" w:space="0" w:color="auto"/>
              <w:right w:val="single" w:sz="4" w:space="0" w:color="auto"/>
            </w:tcBorders>
            <w:noWrap/>
            <w:vAlign w:val="center"/>
            <w:hideMark/>
          </w:tcPr>
          <w:p w14:paraId="0AE7EBD8" w14:textId="1B64CB55" w:rsidR="00FD6B11" w:rsidRPr="00FD6B11" w:rsidRDefault="00FD6B11">
            <w:pPr>
              <w:spacing w:after="0" w:line="240" w:lineRule="auto"/>
              <w:rPr>
                <w:rFonts w:ascii="Times New Roman" w:hAnsi="Times New Roman" w:cs="Times New Roman"/>
              </w:rPr>
            </w:pPr>
            <w:r w:rsidRPr="00FD6B11">
              <w:rPr>
                <w:rFonts w:ascii="Times New Roman" w:hAnsi="Times New Roman" w:cs="Times New Roman"/>
              </w:rPr>
              <w:t>Strednodobý cieľ do roku 2013</w:t>
            </w:r>
          </w:p>
        </w:tc>
        <w:tc>
          <w:tcPr>
            <w:tcW w:w="553" w:type="pct"/>
            <w:tcBorders>
              <w:top w:val="single" w:sz="4" w:space="0" w:color="auto"/>
              <w:left w:val="single" w:sz="4" w:space="0" w:color="auto"/>
              <w:bottom w:val="single" w:sz="4" w:space="0" w:color="auto"/>
              <w:right w:val="single" w:sz="4" w:space="0" w:color="auto"/>
            </w:tcBorders>
            <w:vAlign w:val="center"/>
            <w:hideMark/>
          </w:tcPr>
          <w:p w14:paraId="7E4F6314" w14:textId="77777777" w:rsidR="00FD6B11" w:rsidRPr="00FD6B11" w:rsidRDefault="00FD6B11" w:rsidP="00FD6B11">
            <w:pPr>
              <w:tabs>
                <w:tab w:val="decimal" w:pos="650"/>
              </w:tabs>
              <w:spacing w:after="0" w:line="240" w:lineRule="auto"/>
              <w:jc w:val="right"/>
              <w:rPr>
                <w:rFonts w:ascii="Times New Roman" w:hAnsi="Times New Roman" w:cs="Times New Roman"/>
              </w:rPr>
            </w:pPr>
            <w:r w:rsidRPr="00FD6B11">
              <w:rPr>
                <w:rFonts w:ascii="Times New Roman" w:hAnsi="Times New Roman" w:cs="Times New Roman"/>
                <w:color w:val="000000" w:themeColor="text1"/>
              </w:rPr>
              <w:t>5,7</w:t>
            </w:r>
          </w:p>
        </w:tc>
        <w:tc>
          <w:tcPr>
            <w:tcW w:w="1329" w:type="pct"/>
            <w:tcBorders>
              <w:top w:val="single" w:sz="4" w:space="0" w:color="auto"/>
              <w:left w:val="single" w:sz="4" w:space="0" w:color="auto"/>
              <w:bottom w:val="single" w:sz="4" w:space="0" w:color="auto"/>
              <w:right w:val="single" w:sz="4" w:space="0" w:color="auto"/>
            </w:tcBorders>
            <w:noWrap/>
            <w:vAlign w:val="center"/>
            <w:hideMark/>
          </w:tcPr>
          <w:p w14:paraId="4698FD83" w14:textId="77777777" w:rsidR="00FD6B11" w:rsidRPr="00FD6B11" w:rsidRDefault="00FD6B11" w:rsidP="00FD6B11">
            <w:pPr>
              <w:tabs>
                <w:tab w:val="decimal" w:pos="650"/>
              </w:tabs>
              <w:spacing w:after="0" w:line="240" w:lineRule="auto"/>
              <w:jc w:val="right"/>
              <w:rPr>
                <w:rFonts w:ascii="Times New Roman" w:hAnsi="Times New Roman" w:cs="Times New Roman"/>
              </w:rPr>
            </w:pPr>
            <w:r w:rsidRPr="00FD6B11">
              <w:rPr>
                <w:rFonts w:ascii="Times New Roman" w:hAnsi="Times New Roman" w:cs="Times New Roman"/>
              </w:rPr>
              <w:t>17 728</w:t>
            </w:r>
          </w:p>
        </w:tc>
        <w:tc>
          <w:tcPr>
            <w:tcW w:w="1329" w:type="pct"/>
            <w:tcBorders>
              <w:top w:val="single" w:sz="4" w:space="0" w:color="auto"/>
              <w:left w:val="single" w:sz="4" w:space="0" w:color="auto"/>
              <w:bottom w:val="single" w:sz="4" w:space="0" w:color="auto"/>
              <w:right w:val="single" w:sz="4" w:space="0" w:color="auto"/>
            </w:tcBorders>
            <w:vAlign w:val="center"/>
          </w:tcPr>
          <w:p w14:paraId="76425F2E" w14:textId="77777777" w:rsidR="00FD6B11" w:rsidRPr="00FD6B11" w:rsidRDefault="00FD6B11" w:rsidP="00FD6B11">
            <w:pPr>
              <w:jc w:val="right"/>
              <w:rPr>
                <w:rFonts w:ascii="Times New Roman" w:hAnsi="Times New Roman" w:cs="Times New Roman"/>
                <w:color w:val="000000"/>
              </w:rPr>
            </w:pPr>
            <w:r w:rsidRPr="00FD6B11">
              <w:rPr>
                <w:rFonts w:ascii="Times New Roman" w:hAnsi="Times New Roman" w:cs="Times New Roman"/>
                <w:color w:val="000000"/>
              </w:rPr>
              <w:t>16 093</w:t>
            </w:r>
            <w:r w:rsidRPr="00FD6B11">
              <w:rPr>
                <w:rFonts w:ascii="Times New Roman" w:hAnsi="Times New Roman" w:cs="Times New Roman"/>
                <w:color w:val="000000"/>
                <w:vertAlign w:val="superscript"/>
              </w:rPr>
              <w:footnoteReference w:id="8"/>
            </w:r>
          </w:p>
        </w:tc>
      </w:tr>
      <w:tr w:rsidR="00FD6B11" w:rsidRPr="00FD6B11" w14:paraId="5AADFC61" w14:textId="77777777" w:rsidTr="003D6195">
        <w:trPr>
          <w:trHeight w:hRule="exact" w:val="301"/>
        </w:trPr>
        <w:tc>
          <w:tcPr>
            <w:tcW w:w="1789" w:type="pct"/>
            <w:tcBorders>
              <w:top w:val="single" w:sz="4" w:space="0" w:color="auto"/>
              <w:left w:val="single" w:sz="4" w:space="0" w:color="auto"/>
              <w:bottom w:val="single" w:sz="4" w:space="0" w:color="auto"/>
              <w:right w:val="single" w:sz="4" w:space="0" w:color="auto"/>
            </w:tcBorders>
            <w:noWrap/>
            <w:vAlign w:val="center"/>
            <w:hideMark/>
          </w:tcPr>
          <w:p w14:paraId="20EBA8E6" w14:textId="04D94503" w:rsidR="00FD6B11" w:rsidRPr="00FD6B11" w:rsidRDefault="00FD6B11">
            <w:pPr>
              <w:spacing w:after="0" w:line="240" w:lineRule="auto"/>
              <w:rPr>
                <w:rFonts w:ascii="Times New Roman" w:hAnsi="Times New Roman" w:cs="Times New Roman"/>
                <w:b/>
              </w:rPr>
            </w:pPr>
            <w:r w:rsidRPr="00FD6B11">
              <w:rPr>
                <w:rFonts w:ascii="Times New Roman" w:hAnsi="Times New Roman" w:cs="Times New Roman"/>
                <w:b/>
              </w:rPr>
              <w:t>Dlhodobý cieľ do roku 2016</w:t>
            </w:r>
            <w:r w:rsidR="006C3CEE" w:rsidRPr="00FD6B11" w:rsidDel="006C3CEE">
              <w:rPr>
                <w:rFonts w:ascii="Times New Roman" w:hAnsi="Times New Roman" w:cs="Times New Roman"/>
                <w:b/>
              </w:rPr>
              <w:t xml:space="preserve"> </w:t>
            </w:r>
          </w:p>
        </w:tc>
        <w:tc>
          <w:tcPr>
            <w:tcW w:w="553" w:type="pct"/>
            <w:tcBorders>
              <w:top w:val="single" w:sz="4" w:space="0" w:color="auto"/>
              <w:left w:val="single" w:sz="4" w:space="0" w:color="auto"/>
              <w:bottom w:val="single" w:sz="4" w:space="0" w:color="auto"/>
              <w:right w:val="single" w:sz="4" w:space="0" w:color="auto"/>
            </w:tcBorders>
            <w:vAlign w:val="center"/>
            <w:hideMark/>
          </w:tcPr>
          <w:p w14:paraId="0BBB33A2" w14:textId="77777777" w:rsidR="00FD6B11" w:rsidRPr="00FD6B11" w:rsidRDefault="00FD6B11" w:rsidP="00FD6B11">
            <w:pPr>
              <w:tabs>
                <w:tab w:val="decimal" w:pos="650"/>
              </w:tabs>
              <w:spacing w:after="0" w:line="240" w:lineRule="auto"/>
              <w:jc w:val="right"/>
              <w:rPr>
                <w:rFonts w:ascii="Times New Roman" w:hAnsi="Times New Roman" w:cs="Times New Roman"/>
              </w:rPr>
            </w:pPr>
            <w:r w:rsidRPr="00FD6B11">
              <w:rPr>
                <w:rFonts w:ascii="Times New Roman" w:hAnsi="Times New Roman" w:cs="Times New Roman"/>
              </w:rPr>
              <w:t>9</w:t>
            </w:r>
          </w:p>
        </w:tc>
        <w:tc>
          <w:tcPr>
            <w:tcW w:w="1329" w:type="pct"/>
            <w:tcBorders>
              <w:top w:val="single" w:sz="4" w:space="0" w:color="auto"/>
              <w:left w:val="single" w:sz="4" w:space="0" w:color="auto"/>
              <w:bottom w:val="single" w:sz="4" w:space="0" w:color="auto"/>
              <w:right w:val="single" w:sz="4" w:space="0" w:color="auto"/>
            </w:tcBorders>
            <w:noWrap/>
            <w:vAlign w:val="center"/>
            <w:hideMark/>
          </w:tcPr>
          <w:p w14:paraId="27B88A8C" w14:textId="77777777" w:rsidR="00FD6B11" w:rsidRPr="00FD6B11" w:rsidRDefault="00FD6B11" w:rsidP="00FD6B11">
            <w:pPr>
              <w:tabs>
                <w:tab w:val="decimal" w:pos="650"/>
              </w:tabs>
              <w:spacing w:after="0" w:line="240" w:lineRule="auto"/>
              <w:jc w:val="right"/>
              <w:rPr>
                <w:rFonts w:ascii="Times New Roman" w:hAnsi="Times New Roman" w:cs="Times New Roman"/>
                <w:b/>
              </w:rPr>
            </w:pPr>
            <w:r w:rsidRPr="00FD6B11">
              <w:rPr>
                <w:rFonts w:ascii="Times New Roman" w:hAnsi="Times New Roman" w:cs="Times New Roman"/>
                <w:b/>
              </w:rPr>
              <w:t>28 098</w:t>
            </w:r>
          </w:p>
        </w:tc>
        <w:tc>
          <w:tcPr>
            <w:tcW w:w="1329" w:type="pct"/>
            <w:tcBorders>
              <w:top w:val="single" w:sz="4" w:space="0" w:color="auto"/>
              <w:left w:val="single" w:sz="4" w:space="0" w:color="auto"/>
              <w:bottom w:val="single" w:sz="4" w:space="0" w:color="auto"/>
              <w:right w:val="single" w:sz="4" w:space="0" w:color="auto"/>
            </w:tcBorders>
            <w:vAlign w:val="center"/>
          </w:tcPr>
          <w:p w14:paraId="6DA7D547" w14:textId="26B92BCA" w:rsidR="00FD6B11" w:rsidRPr="00FD6B11" w:rsidRDefault="00AD1953">
            <w:pPr>
              <w:tabs>
                <w:tab w:val="decimal" w:pos="650"/>
              </w:tabs>
              <w:spacing w:after="0" w:line="240" w:lineRule="auto"/>
              <w:jc w:val="right"/>
              <w:rPr>
                <w:rFonts w:ascii="Times New Roman" w:hAnsi="Times New Roman" w:cs="Times New Roman"/>
                <w:b/>
                <w:bCs/>
                <w:color w:val="000000"/>
              </w:rPr>
            </w:pPr>
            <w:r>
              <w:rPr>
                <w:rFonts w:ascii="Times New Roman" w:hAnsi="Times New Roman" w:cs="Times New Roman"/>
                <w:b/>
              </w:rPr>
              <w:t>26 158</w:t>
            </w:r>
            <w:r w:rsidR="00FD6B11" w:rsidRPr="00FD6B11">
              <w:rPr>
                <w:rFonts w:ascii="Times New Roman" w:hAnsi="Times New Roman" w:cs="Times New Roman"/>
                <w:b/>
                <w:vertAlign w:val="superscript"/>
              </w:rPr>
              <w:footnoteReference w:id="9"/>
            </w:r>
          </w:p>
        </w:tc>
      </w:tr>
      <w:tr w:rsidR="00FD6B11" w:rsidRPr="00FD6B11" w14:paraId="3A83CAD7" w14:textId="77777777" w:rsidTr="003D6195">
        <w:trPr>
          <w:trHeight w:hRule="exact" w:val="301"/>
        </w:trPr>
        <w:tc>
          <w:tcPr>
            <w:tcW w:w="1789" w:type="pct"/>
            <w:tcBorders>
              <w:top w:val="single" w:sz="4" w:space="0" w:color="auto"/>
              <w:left w:val="single" w:sz="4" w:space="0" w:color="auto"/>
              <w:bottom w:val="single" w:sz="4" w:space="0" w:color="auto"/>
              <w:right w:val="single" w:sz="4" w:space="0" w:color="auto"/>
            </w:tcBorders>
            <w:noWrap/>
            <w:vAlign w:val="center"/>
            <w:hideMark/>
          </w:tcPr>
          <w:p w14:paraId="5FB7EB2E" w14:textId="15B374BA" w:rsidR="00FD6B11" w:rsidRPr="00FD6B11" w:rsidRDefault="00FD6B11">
            <w:pPr>
              <w:spacing w:after="0" w:line="240" w:lineRule="auto"/>
              <w:rPr>
                <w:rFonts w:ascii="Times New Roman" w:hAnsi="Times New Roman" w:cs="Times New Roman"/>
              </w:rPr>
            </w:pPr>
            <w:r w:rsidRPr="00FD6B11">
              <w:rPr>
                <w:rFonts w:ascii="Times New Roman" w:hAnsi="Times New Roman" w:cs="Times New Roman"/>
              </w:rPr>
              <w:t>Dlhodobý cieľ do roku 2020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DC62AAA" w14:textId="77777777" w:rsidR="00FD6B11" w:rsidRPr="00FD6B11" w:rsidRDefault="00FD6B11" w:rsidP="00FD6B11">
            <w:pPr>
              <w:tabs>
                <w:tab w:val="decimal" w:pos="650"/>
              </w:tabs>
              <w:spacing w:after="0" w:line="240" w:lineRule="auto"/>
              <w:jc w:val="right"/>
              <w:rPr>
                <w:rFonts w:ascii="Times New Roman" w:hAnsi="Times New Roman" w:cs="Times New Roman"/>
              </w:rPr>
            </w:pPr>
            <w:r w:rsidRPr="00FD6B11">
              <w:rPr>
                <w:rFonts w:ascii="Times New Roman" w:hAnsi="Times New Roman" w:cs="Times New Roman"/>
              </w:rPr>
              <w:t>11</w:t>
            </w:r>
          </w:p>
        </w:tc>
        <w:tc>
          <w:tcPr>
            <w:tcW w:w="1329" w:type="pct"/>
            <w:tcBorders>
              <w:top w:val="single" w:sz="4" w:space="0" w:color="auto"/>
              <w:left w:val="single" w:sz="4" w:space="0" w:color="auto"/>
              <w:bottom w:val="single" w:sz="4" w:space="0" w:color="auto"/>
              <w:right w:val="single" w:sz="4" w:space="0" w:color="auto"/>
            </w:tcBorders>
            <w:noWrap/>
            <w:vAlign w:val="center"/>
            <w:hideMark/>
          </w:tcPr>
          <w:p w14:paraId="265F8544" w14:textId="77777777" w:rsidR="00FD6B11" w:rsidRPr="00FD6B11" w:rsidRDefault="00FD6B11" w:rsidP="00FD6B11">
            <w:pPr>
              <w:tabs>
                <w:tab w:val="decimal" w:pos="650"/>
              </w:tabs>
              <w:spacing w:after="0" w:line="240" w:lineRule="auto"/>
              <w:jc w:val="right"/>
              <w:rPr>
                <w:rFonts w:ascii="Times New Roman" w:hAnsi="Times New Roman" w:cs="Times New Roman"/>
              </w:rPr>
            </w:pPr>
            <w:r w:rsidRPr="00FD6B11">
              <w:rPr>
                <w:rFonts w:ascii="Times New Roman" w:hAnsi="Times New Roman" w:cs="Times New Roman"/>
              </w:rPr>
              <w:t>34 342</w:t>
            </w:r>
          </w:p>
        </w:tc>
        <w:tc>
          <w:tcPr>
            <w:tcW w:w="1329" w:type="pct"/>
            <w:tcBorders>
              <w:top w:val="single" w:sz="4" w:space="0" w:color="auto"/>
              <w:left w:val="single" w:sz="4" w:space="0" w:color="auto"/>
              <w:bottom w:val="single" w:sz="4" w:space="0" w:color="auto"/>
              <w:right w:val="single" w:sz="4" w:space="0" w:color="auto"/>
            </w:tcBorders>
            <w:vAlign w:val="center"/>
          </w:tcPr>
          <w:p w14:paraId="39883C73" w14:textId="77777777" w:rsidR="00FD6B11" w:rsidRPr="00FD6B11" w:rsidRDefault="00FD6B11" w:rsidP="00FD6B11">
            <w:pPr>
              <w:tabs>
                <w:tab w:val="decimal" w:pos="650"/>
              </w:tabs>
              <w:spacing w:after="0" w:line="240" w:lineRule="auto"/>
              <w:jc w:val="right"/>
              <w:rPr>
                <w:rFonts w:ascii="Times New Roman" w:hAnsi="Times New Roman" w:cs="Times New Roman"/>
              </w:rPr>
            </w:pPr>
            <w:r w:rsidRPr="00FD6B11">
              <w:rPr>
                <w:rFonts w:ascii="Times New Roman" w:hAnsi="Times New Roman" w:cs="Times New Roman"/>
              </w:rPr>
              <w:t>-</w:t>
            </w:r>
          </w:p>
        </w:tc>
      </w:tr>
    </w:tbl>
    <w:p w14:paraId="0AD53E75" w14:textId="77777777" w:rsidR="00FD6B11" w:rsidRPr="00FD6B11" w:rsidRDefault="00FD6B11" w:rsidP="00FD6B11">
      <w:pPr>
        <w:jc w:val="both"/>
        <w:rPr>
          <w:rFonts w:ascii="Times New Roman" w:hAnsi="Times New Roman" w:cs="Times New Roman"/>
          <w:sz w:val="18"/>
          <w:szCs w:val="18"/>
        </w:rPr>
      </w:pPr>
    </w:p>
    <w:p w14:paraId="31C9C9C6" w14:textId="552BAD45" w:rsidR="00FD6B11" w:rsidRDefault="00DD3E87" w:rsidP="00FD6B11">
      <w:pPr>
        <w:jc w:val="both"/>
        <w:rPr>
          <w:rFonts w:ascii="Times New Roman" w:hAnsi="Times New Roman" w:cs="Times New Roman"/>
          <w:sz w:val="24"/>
          <w:szCs w:val="24"/>
        </w:rPr>
      </w:pPr>
      <w:r>
        <w:rPr>
          <w:rFonts w:ascii="Times New Roman" w:hAnsi="Times New Roman" w:cs="Times New Roman"/>
          <w:sz w:val="24"/>
          <w:szCs w:val="24"/>
        </w:rPr>
        <w:t xml:space="preserve">Ročný cieľ pre sledované obdobie bol </w:t>
      </w:r>
      <w:r w:rsidR="00AC19B2">
        <w:rPr>
          <w:rFonts w:ascii="Times New Roman" w:hAnsi="Times New Roman" w:cs="Times New Roman"/>
          <w:sz w:val="24"/>
          <w:szCs w:val="24"/>
        </w:rPr>
        <w:t>stanovený</w:t>
      </w:r>
      <w:r>
        <w:rPr>
          <w:rFonts w:ascii="Times New Roman" w:hAnsi="Times New Roman" w:cs="Times New Roman"/>
          <w:sz w:val="24"/>
          <w:szCs w:val="24"/>
        </w:rPr>
        <w:t xml:space="preserve"> vo výške 3 122 TJ. V prvom trojročnom období 2008-2010 boli plánované úspory vo výške 9 366 TJ. </w:t>
      </w:r>
      <w:r w:rsidRPr="00AC19B2">
        <w:rPr>
          <w:rFonts w:ascii="Times New Roman" w:hAnsi="Times New Roman" w:cs="Times New Roman"/>
          <w:sz w:val="24"/>
          <w:szCs w:val="24"/>
        </w:rPr>
        <w:t>V ďalšom trojročnom období 2011-2013 sa mali pôvodne zabezpečiť úspory taktiež vo výške 9 366 TJ</w:t>
      </w:r>
      <w:r>
        <w:rPr>
          <w:rFonts w:ascii="Times New Roman" w:hAnsi="Times New Roman" w:cs="Times New Roman"/>
          <w:sz w:val="24"/>
          <w:szCs w:val="24"/>
        </w:rPr>
        <w:t xml:space="preserve">, čo sumárne by znamenalo úsporu energie od 2008-2013 vo výške 18 732 TJ. </w:t>
      </w:r>
      <w:r w:rsidR="00FD6B11" w:rsidRPr="00FD6B11">
        <w:rPr>
          <w:rFonts w:ascii="Times New Roman" w:hAnsi="Times New Roman" w:cs="Times New Roman"/>
          <w:sz w:val="24"/>
          <w:szCs w:val="24"/>
        </w:rPr>
        <w:t xml:space="preserve">Avšak vzhľadom na neexistenciu </w:t>
      </w:r>
      <w:r w:rsidR="00FD6B11" w:rsidRPr="00FD6B11">
        <w:rPr>
          <w:rFonts w:ascii="Times New Roman" w:hAnsi="Times New Roman" w:cs="Times New Roman"/>
          <w:sz w:val="24"/>
          <w:szCs w:val="24"/>
        </w:rPr>
        <w:lastRenderedPageBreak/>
        <w:t>stáleho podporného mechanizmu energetickej efektívnosti v danom období bol cieľ v druhom akčnom pláne stanovený iba vo výške 2,7 %</w:t>
      </w:r>
      <w:r>
        <w:rPr>
          <w:rFonts w:ascii="Times New Roman" w:hAnsi="Times New Roman" w:cs="Times New Roman"/>
          <w:sz w:val="24"/>
          <w:szCs w:val="24"/>
        </w:rPr>
        <w:t>, t.</w:t>
      </w:r>
      <w:r w:rsidR="00AC19B2">
        <w:rPr>
          <w:rFonts w:ascii="Times New Roman" w:hAnsi="Times New Roman" w:cs="Times New Roman"/>
          <w:sz w:val="24"/>
          <w:szCs w:val="24"/>
        </w:rPr>
        <w:t xml:space="preserve"> </w:t>
      </w:r>
      <w:r>
        <w:rPr>
          <w:rFonts w:ascii="Times New Roman" w:hAnsi="Times New Roman" w:cs="Times New Roman"/>
          <w:sz w:val="24"/>
          <w:szCs w:val="24"/>
        </w:rPr>
        <w:t>j. zníženie strednodobého</w:t>
      </w:r>
      <w:r w:rsidRPr="00DD3E87">
        <w:rPr>
          <w:rFonts w:ascii="Times New Roman" w:hAnsi="Times New Roman" w:cs="Times New Roman"/>
          <w:sz w:val="24"/>
          <w:szCs w:val="24"/>
        </w:rPr>
        <w:t xml:space="preserve"> cieľ</w:t>
      </w:r>
      <w:r>
        <w:rPr>
          <w:rFonts w:ascii="Times New Roman" w:hAnsi="Times New Roman" w:cs="Times New Roman"/>
          <w:sz w:val="24"/>
          <w:szCs w:val="24"/>
        </w:rPr>
        <w:t>a</w:t>
      </w:r>
      <w:r w:rsidRPr="00DD3E87">
        <w:rPr>
          <w:rFonts w:ascii="Times New Roman" w:hAnsi="Times New Roman" w:cs="Times New Roman"/>
          <w:sz w:val="24"/>
          <w:szCs w:val="24"/>
        </w:rPr>
        <w:t xml:space="preserve"> do roku 2013</w:t>
      </w:r>
      <w:r>
        <w:rPr>
          <w:rFonts w:ascii="Times New Roman" w:hAnsi="Times New Roman" w:cs="Times New Roman"/>
          <w:sz w:val="24"/>
          <w:szCs w:val="24"/>
        </w:rPr>
        <w:t xml:space="preserve"> celkom zo 6 % na 5,7 % z priemernej hodnoty </w:t>
      </w:r>
      <w:r w:rsidR="00FD6B11" w:rsidRPr="00FD6B11">
        <w:rPr>
          <w:rFonts w:ascii="Times New Roman" w:hAnsi="Times New Roman" w:cs="Times New Roman"/>
          <w:sz w:val="24"/>
          <w:szCs w:val="24"/>
        </w:rPr>
        <w:t>KES</w:t>
      </w:r>
      <w:r w:rsidR="00FD6B11" w:rsidRPr="004E746F">
        <w:rPr>
          <w:rFonts w:ascii="Times New Roman" w:hAnsi="Times New Roman" w:cs="Times New Roman"/>
          <w:sz w:val="24"/>
          <w:szCs w:val="24"/>
          <w:vertAlign w:val="subscript"/>
        </w:rPr>
        <w:t>2001-2005</w:t>
      </w:r>
      <w:r>
        <w:rPr>
          <w:rFonts w:ascii="Times New Roman" w:hAnsi="Times New Roman" w:cs="Times New Roman"/>
          <w:sz w:val="24"/>
          <w:szCs w:val="24"/>
        </w:rPr>
        <w:t>.</w:t>
      </w:r>
      <w:r w:rsidR="00FD6B11" w:rsidRPr="00FD6B11">
        <w:rPr>
          <w:rFonts w:ascii="Times New Roman" w:hAnsi="Times New Roman" w:cs="Times New Roman"/>
          <w:sz w:val="24"/>
          <w:szCs w:val="24"/>
        </w:rPr>
        <w:t xml:space="preserve"> </w:t>
      </w:r>
      <w:r>
        <w:rPr>
          <w:rFonts w:ascii="Times New Roman" w:hAnsi="Times New Roman" w:cs="Times New Roman"/>
          <w:sz w:val="24"/>
          <w:szCs w:val="24"/>
        </w:rPr>
        <w:t>Celková plánovaná hodnota od 2008-2013 bola vypočítaná vo výške 17 728 TJ.</w:t>
      </w:r>
    </w:p>
    <w:p w14:paraId="128A3F36" w14:textId="697584C3" w:rsidR="00274656" w:rsidRDefault="00274656" w:rsidP="00074593">
      <w:pPr>
        <w:jc w:val="both"/>
        <w:rPr>
          <w:rFonts w:ascii="Times New Roman" w:hAnsi="Times New Roman" w:cs="Times New Roman"/>
          <w:sz w:val="24"/>
          <w:szCs w:val="24"/>
        </w:rPr>
      </w:pPr>
      <w:r>
        <w:rPr>
          <w:rFonts w:ascii="Times New Roman" w:hAnsi="Times New Roman" w:cs="Times New Roman"/>
          <w:sz w:val="24"/>
          <w:szCs w:val="24"/>
        </w:rPr>
        <w:t xml:space="preserve">Dlhodobý cieľ na roky 2008-2016 vo výške 9 % na základe </w:t>
      </w:r>
      <w:r w:rsidR="00AC19B2">
        <w:rPr>
          <w:rFonts w:ascii="Times New Roman" w:hAnsi="Times New Roman" w:cs="Times New Roman"/>
          <w:sz w:val="24"/>
          <w:szCs w:val="24"/>
        </w:rPr>
        <w:t>stanoveného ročného cieľa úspor</w:t>
      </w:r>
      <w:r>
        <w:rPr>
          <w:rFonts w:ascii="Times New Roman" w:hAnsi="Times New Roman" w:cs="Times New Roman"/>
          <w:sz w:val="24"/>
          <w:szCs w:val="24"/>
        </w:rPr>
        <w:t xml:space="preserve"> predstavuje 28 098 TJ. Skutočná dosiahnutá úspora energie bola vo výške </w:t>
      </w:r>
      <w:r w:rsidR="00AD1953" w:rsidRPr="00AD1953">
        <w:rPr>
          <w:rFonts w:ascii="Times New Roman" w:hAnsi="Times New Roman" w:cs="Times New Roman"/>
          <w:sz w:val="24"/>
          <w:szCs w:val="24"/>
        </w:rPr>
        <w:t>26 158</w:t>
      </w:r>
      <w:r w:rsidR="0036420D">
        <w:rPr>
          <w:rFonts w:ascii="Times New Roman" w:hAnsi="Times New Roman" w:cs="Times New Roman"/>
          <w:sz w:val="24"/>
          <w:szCs w:val="24"/>
        </w:rPr>
        <w:t xml:space="preserve"> </w:t>
      </w:r>
      <w:r>
        <w:rPr>
          <w:rFonts w:ascii="Times New Roman" w:hAnsi="Times New Roman" w:cs="Times New Roman"/>
          <w:sz w:val="24"/>
          <w:szCs w:val="24"/>
        </w:rPr>
        <w:t>TJ, t.</w:t>
      </w:r>
      <w:r w:rsidR="00F25B12">
        <w:rPr>
          <w:rFonts w:ascii="Times New Roman" w:hAnsi="Times New Roman" w:cs="Times New Roman"/>
          <w:sz w:val="24"/>
          <w:szCs w:val="24"/>
        </w:rPr>
        <w:t xml:space="preserve"> </w:t>
      </w:r>
      <w:r>
        <w:rPr>
          <w:rFonts w:ascii="Times New Roman" w:hAnsi="Times New Roman" w:cs="Times New Roman"/>
          <w:sz w:val="24"/>
          <w:szCs w:val="24"/>
        </w:rPr>
        <w:t xml:space="preserve">j. </w:t>
      </w:r>
      <w:r w:rsidRPr="001B1483">
        <w:rPr>
          <w:rFonts w:ascii="Times New Roman" w:hAnsi="Times New Roman" w:cs="Times New Roman"/>
          <w:b/>
          <w:sz w:val="24"/>
          <w:szCs w:val="24"/>
        </w:rPr>
        <w:t xml:space="preserve">plnenie na úrovni </w:t>
      </w:r>
      <w:r w:rsidR="00AD1953" w:rsidRPr="00AD1953">
        <w:rPr>
          <w:rFonts w:ascii="Times New Roman" w:hAnsi="Times New Roman" w:cs="Times New Roman"/>
          <w:b/>
          <w:sz w:val="24"/>
          <w:szCs w:val="24"/>
        </w:rPr>
        <w:t>93,1%</w:t>
      </w:r>
      <w:r w:rsidR="000576BD">
        <w:rPr>
          <w:rFonts w:ascii="Times New Roman" w:hAnsi="Times New Roman" w:cs="Times New Roman"/>
          <w:b/>
          <w:sz w:val="24"/>
          <w:szCs w:val="24"/>
        </w:rPr>
        <w:t xml:space="preserve"> plánovaného cieľa</w:t>
      </w:r>
      <w:r>
        <w:rPr>
          <w:rFonts w:ascii="Times New Roman" w:hAnsi="Times New Roman" w:cs="Times New Roman"/>
          <w:sz w:val="24"/>
          <w:szCs w:val="24"/>
        </w:rPr>
        <w:t xml:space="preserve">. </w:t>
      </w:r>
    </w:p>
    <w:p w14:paraId="6A867700" w14:textId="3B0EDF28" w:rsidR="00074593" w:rsidRDefault="00074593" w:rsidP="00074593">
      <w:pPr>
        <w:jc w:val="both"/>
        <w:rPr>
          <w:rFonts w:ascii="Times New Roman" w:hAnsi="Times New Roman" w:cs="Times New Roman"/>
          <w:sz w:val="24"/>
          <w:szCs w:val="24"/>
        </w:rPr>
      </w:pPr>
      <w:r w:rsidRPr="00856490">
        <w:rPr>
          <w:rFonts w:ascii="Times New Roman" w:hAnsi="Times New Roman" w:cs="Times New Roman"/>
          <w:sz w:val="24"/>
          <w:szCs w:val="24"/>
        </w:rPr>
        <w:t xml:space="preserve">Na základe </w:t>
      </w:r>
      <w:r w:rsidR="00274656">
        <w:rPr>
          <w:rFonts w:ascii="Times New Roman" w:hAnsi="Times New Roman" w:cs="Times New Roman"/>
          <w:sz w:val="24"/>
          <w:szCs w:val="24"/>
        </w:rPr>
        <w:t>uvedeného zhodnotenia je možné konštatovať</w:t>
      </w:r>
      <w:r w:rsidRPr="00856490">
        <w:rPr>
          <w:rFonts w:ascii="Times New Roman" w:hAnsi="Times New Roman" w:cs="Times New Roman"/>
          <w:sz w:val="24"/>
          <w:szCs w:val="24"/>
        </w:rPr>
        <w:t xml:space="preserve">, že </w:t>
      </w:r>
      <w:r w:rsidRPr="001B1483">
        <w:rPr>
          <w:rFonts w:ascii="Times New Roman" w:hAnsi="Times New Roman" w:cs="Times New Roman"/>
          <w:b/>
          <w:sz w:val="24"/>
          <w:szCs w:val="24"/>
          <w:u w:val="single"/>
        </w:rPr>
        <w:t>plánovan</w:t>
      </w:r>
      <w:r w:rsidR="00274656" w:rsidRPr="001B1483">
        <w:rPr>
          <w:rFonts w:ascii="Times New Roman" w:hAnsi="Times New Roman" w:cs="Times New Roman"/>
          <w:b/>
          <w:sz w:val="24"/>
          <w:szCs w:val="24"/>
          <w:u w:val="single"/>
        </w:rPr>
        <w:t>ý</w:t>
      </w:r>
      <w:r w:rsidRPr="001B1483">
        <w:rPr>
          <w:rFonts w:ascii="Times New Roman" w:hAnsi="Times New Roman" w:cs="Times New Roman"/>
          <w:b/>
          <w:sz w:val="24"/>
          <w:szCs w:val="24"/>
          <w:u w:val="single"/>
        </w:rPr>
        <w:t xml:space="preserve"> cieľ</w:t>
      </w:r>
      <w:r w:rsidR="00274656" w:rsidRPr="001B1483">
        <w:rPr>
          <w:rFonts w:ascii="Times New Roman" w:hAnsi="Times New Roman" w:cs="Times New Roman"/>
          <w:b/>
          <w:sz w:val="24"/>
          <w:szCs w:val="24"/>
          <w:u w:val="single"/>
        </w:rPr>
        <w:t xml:space="preserve"> </w:t>
      </w:r>
      <w:r w:rsidR="00DD2A78" w:rsidRPr="001B1483">
        <w:rPr>
          <w:rFonts w:ascii="Times New Roman" w:hAnsi="Times New Roman" w:cs="Times New Roman"/>
          <w:b/>
          <w:sz w:val="24"/>
          <w:szCs w:val="24"/>
          <w:u w:val="single"/>
        </w:rPr>
        <w:t xml:space="preserve">podľa smernice 2006/32/ES </w:t>
      </w:r>
      <w:r w:rsidR="00274656" w:rsidRPr="001B1483">
        <w:rPr>
          <w:rFonts w:ascii="Times New Roman" w:hAnsi="Times New Roman" w:cs="Times New Roman"/>
          <w:b/>
          <w:sz w:val="24"/>
          <w:szCs w:val="24"/>
          <w:u w:val="single"/>
        </w:rPr>
        <w:t>nebol naplnený</w:t>
      </w:r>
      <w:r w:rsidRPr="00856490">
        <w:rPr>
          <w:rFonts w:ascii="Times New Roman" w:hAnsi="Times New Roman" w:cs="Times New Roman"/>
          <w:sz w:val="24"/>
          <w:szCs w:val="24"/>
        </w:rPr>
        <w:t xml:space="preserve">. Táto hodnota bude ešte korigovaná počas roka 2017, keď budú k </w:t>
      </w:r>
      <w:r w:rsidRPr="00550B0C">
        <w:rPr>
          <w:rFonts w:ascii="Times New Roman" w:hAnsi="Times New Roman" w:cs="Times New Roman"/>
          <w:sz w:val="24"/>
          <w:szCs w:val="24"/>
        </w:rPr>
        <w:t>dispozícii všetky relevantné údaje za rok 2016.</w:t>
      </w:r>
      <w:r w:rsidR="00274656" w:rsidRPr="00550B0C">
        <w:rPr>
          <w:rFonts w:ascii="Times New Roman" w:hAnsi="Times New Roman" w:cs="Times New Roman"/>
          <w:sz w:val="24"/>
          <w:szCs w:val="24"/>
        </w:rPr>
        <w:t xml:space="preserve"> Rozdiel plnenia bo</w:t>
      </w:r>
      <w:r w:rsidR="00393905" w:rsidRPr="00550B0C">
        <w:rPr>
          <w:rFonts w:ascii="Times New Roman" w:hAnsi="Times New Roman" w:cs="Times New Roman"/>
          <w:sz w:val="24"/>
          <w:szCs w:val="24"/>
        </w:rPr>
        <w:t xml:space="preserve">l zapríčinený nedostatočnou realizáciou úsporných opatrení </w:t>
      </w:r>
      <w:r w:rsidR="00AC19B2" w:rsidRPr="00550B0C">
        <w:rPr>
          <w:rFonts w:ascii="Times New Roman" w:hAnsi="Times New Roman" w:cs="Times New Roman"/>
          <w:sz w:val="24"/>
          <w:szCs w:val="24"/>
        </w:rPr>
        <w:t xml:space="preserve">najmä </w:t>
      </w:r>
      <w:r w:rsidR="00393905" w:rsidRPr="00550B0C">
        <w:rPr>
          <w:rFonts w:ascii="Times New Roman" w:hAnsi="Times New Roman" w:cs="Times New Roman"/>
          <w:sz w:val="24"/>
          <w:szCs w:val="24"/>
        </w:rPr>
        <w:t>v sektore priemyslu a dopravy.</w:t>
      </w:r>
    </w:p>
    <w:p w14:paraId="391F404D" w14:textId="7F580D5E" w:rsidR="00790F11" w:rsidRPr="00505211" w:rsidRDefault="00790F11" w:rsidP="00FD6B11">
      <w:pPr>
        <w:jc w:val="both"/>
        <w:rPr>
          <w:rFonts w:ascii="Times New Roman" w:hAnsi="Times New Roman" w:cs="Times New Roman"/>
          <w:sz w:val="24"/>
          <w:szCs w:val="24"/>
        </w:rPr>
      </w:pPr>
      <w:r w:rsidRPr="00505211">
        <w:rPr>
          <w:rFonts w:ascii="Times New Roman" w:hAnsi="Times New Roman" w:cs="Times New Roman"/>
          <w:sz w:val="24"/>
          <w:szCs w:val="24"/>
        </w:rPr>
        <w:t xml:space="preserve">Tabuľka č. 2: </w:t>
      </w:r>
      <w:r w:rsidRPr="000578FE">
        <w:rPr>
          <w:rFonts w:ascii="Times New Roman" w:hAnsi="Times New Roman" w:cs="Times New Roman"/>
          <w:sz w:val="24"/>
          <w:szCs w:val="24"/>
        </w:rPr>
        <w:t xml:space="preserve">Úspory energie podľa </w:t>
      </w:r>
      <w:r w:rsidRPr="000578FE">
        <w:rPr>
          <w:rFonts w:ascii="Times New Roman" w:hAnsi="Times New Roman" w:cs="Times New Roman"/>
          <w:color w:val="000000" w:themeColor="text1"/>
          <w:sz w:val="24"/>
          <w:szCs w:val="24"/>
        </w:rPr>
        <w:t xml:space="preserve">smernice 2006/32/ES za roky </w:t>
      </w:r>
      <w:r w:rsidRPr="000578FE">
        <w:rPr>
          <w:rFonts w:ascii="Times New Roman" w:hAnsi="Times New Roman" w:cs="Times New Roman"/>
          <w:sz w:val="24"/>
          <w:szCs w:val="24"/>
        </w:rPr>
        <w:t>2014, 2015 a 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4"/>
        <w:gridCol w:w="1680"/>
        <w:gridCol w:w="1680"/>
        <w:gridCol w:w="1488"/>
      </w:tblGrid>
      <w:tr w:rsidR="00FD6B11" w:rsidRPr="00341365" w14:paraId="694F27FD" w14:textId="77777777" w:rsidTr="00341365">
        <w:trPr>
          <w:trHeight w:val="300"/>
        </w:trPr>
        <w:tc>
          <w:tcPr>
            <w:tcW w:w="2325" w:type="pct"/>
            <w:vMerge w:val="restart"/>
            <w:shd w:val="clear" w:color="auto" w:fill="BFBFBF" w:themeFill="background1" w:themeFillShade="BF"/>
            <w:noWrap/>
            <w:vAlign w:val="center"/>
            <w:hideMark/>
          </w:tcPr>
          <w:p w14:paraId="4F542E94" w14:textId="77777777" w:rsidR="00FD6B11" w:rsidRPr="00341365" w:rsidRDefault="00FD6B11" w:rsidP="00FD6B11">
            <w:pPr>
              <w:spacing w:after="0" w:line="240" w:lineRule="auto"/>
              <w:jc w:val="center"/>
              <w:rPr>
                <w:rFonts w:ascii="Times New Roman" w:eastAsia="Times New Roman" w:hAnsi="Times New Roman" w:cs="Times New Roman"/>
                <w:b/>
                <w:color w:val="000000"/>
                <w:lang w:eastAsia="sk-SK"/>
              </w:rPr>
            </w:pPr>
            <w:r w:rsidRPr="00341365">
              <w:rPr>
                <w:rFonts w:ascii="Times New Roman" w:eastAsia="Times New Roman" w:hAnsi="Times New Roman" w:cs="Times New Roman"/>
                <w:b/>
                <w:color w:val="000000"/>
                <w:lang w:eastAsia="sk-SK"/>
              </w:rPr>
              <w:t>Sektor</w:t>
            </w:r>
          </w:p>
        </w:tc>
        <w:tc>
          <w:tcPr>
            <w:tcW w:w="2675" w:type="pct"/>
            <w:gridSpan w:val="3"/>
            <w:shd w:val="clear" w:color="auto" w:fill="BFBFBF" w:themeFill="background1" w:themeFillShade="BF"/>
            <w:noWrap/>
            <w:vAlign w:val="center"/>
            <w:hideMark/>
          </w:tcPr>
          <w:p w14:paraId="6B8BB296" w14:textId="77777777" w:rsidR="00FD6B11" w:rsidRPr="00341365" w:rsidRDefault="00FD6B11" w:rsidP="00FD6B11">
            <w:pPr>
              <w:spacing w:after="0" w:line="240" w:lineRule="auto"/>
              <w:jc w:val="center"/>
              <w:rPr>
                <w:rFonts w:ascii="Times New Roman" w:eastAsia="Times New Roman" w:hAnsi="Times New Roman" w:cs="Times New Roman"/>
                <w:b/>
                <w:color w:val="000000"/>
                <w:lang w:eastAsia="sk-SK"/>
              </w:rPr>
            </w:pPr>
            <w:r w:rsidRPr="00341365">
              <w:rPr>
                <w:rFonts w:ascii="Times New Roman" w:eastAsia="Times New Roman" w:hAnsi="Times New Roman" w:cs="Times New Roman"/>
                <w:b/>
                <w:color w:val="000000" w:themeColor="text1"/>
                <w:lang w:eastAsia="sk-SK"/>
              </w:rPr>
              <w:t xml:space="preserve">Úspory energie </w:t>
            </w:r>
            <w:r w:rsidRPr="00341365">
              <w:rPr>
                <w:rFonts w:ascii="Times New Roman" w:hAnsi="Times New Roman" w:cs="Times New Roman"/>
                <w:b/>
                <w:color w:val="000000" w:themeColor="text1"/>
              </w:rPr>
              <w:t>podľa smernice 2006/32/ES</w:t>
            </w:r>
          </w:p>
        </w:tc>
      </w:tr>
      <w:tr w:rsidR="00FD6B11" w:rsidRPr="00341365" w14:paraId="3AB03466" w14:textId="77777777" w:rsidTr="00341365">
        <w:trPr>
          <w:trHeight w:val="208"/>
        </w:trPr>
        <w:tc>
          <w:tcPr>
            <w:tcW w:w="2325" w:type="pct"/>
            <w:vMerge/>
            <w:shd w:val="clear" w:color="auto" w:fill="BFBFBF" w:themeFill="background1" w:themeFillShade="BF"/>
            <w:noWrap/>
            <w:vAlign w:val="center"/>
            <w:hideMark/>
          </w:tcPr>
          <w:p w14:paraId="1CBE0CB9" w14:textId="77777777" w:rsidR="00FD6B11" w:rsidRPr="00341365" w:rsidRDefault="00FD6B11" w:rsidP="00FD6B11">
            <w:pPr>
              <w:spacing w:after="0" w:line="240" w:lineRule="auto"/>
              <w:jc w:val="center"/>
              <w:rPr>
                <w:rFonts w:ascii="Times New Roman" w:eastAsia="Times New Roman" w:hAnsi="Times New Roman" w:cs="Times New Roman"/>
                <w:b/>
                <w:color w:val="000000"/>
                <w:lang w:eastAsia="sk-SK"/>
              </w:rPr>
            </w:pPr>
          </w:p>
        </w:tc>
        <w:tc>
          <w:tcPr>
            <w:tcW w:w="927" w:type="pct"/>
            <w:shd w:val="clear" w:color="auto" w:fill="BFBFBF" w:themeFill="background1" w:themeFillShade="BF"/>
            <w:noWrap/>
            <w:vAlign w:val="center"/>
            <w:hideMark/>
          </w:tcPr>
          <w:p w14:paraId="41FAD9B1" w14:textId="77777777" w:rsidR="00FD6B11" w:rsidRPr="00341365" w:rsidRDefault="00FD6B11" w:rsidP="00FD6B11">
            <w:pPr>
              <w:spacing w:after="0" w:line="240" w:lineRule="auto"/>
              <w:jc w:val="center"/>
              <w:rPr>
                <w:rFonts w:ascii="Times New Roman" w:eastAsia="Times New Roman" w:hAnsi="Times New Roman" w:cs="Times New Roman"/>
                <w:b/>
                <w:color w:val="000000"/>
                <w:lang w:eastAsia="sk-SK"/>
              </w:rPr>
            </w:pPr>
            <w:r w:rsidRPr="00341365">
              <w:rPr>
                <w:rFonts w:ascii="Times New Roman" w:eastAsia="Times New Roman" w:hAnsi="Times New Roman" w:cs="Times New Roman"/>
                <w:b/>
                <w:color w:val="000000"/>
                <w:lang w:eastAsia="sk-SK"/>
              </w:rPr>
              <w:t>2014</w:t>
            </w:r>
          </w:p>
          <w:p w14:paraId="4F7E35E3" w14:textId="77777777" w:rsidR="00FD6B11" w:rsidRPr="00341365" w:rsidRDefault="00FD6B11" w:rsidP="00FD6B11">
            <w:pPr>
              <w:spacing w:after="0" w:line="240" w:lineRule="auto"/>
              <w:jc w:val="center"/>
              <w:rPr>
                <w:rFonts w:ascii="Times New Roman" w:eastAsia="Times New Roman" w:hAnsi="Times New Roman" w:cs="Times New Roman"/>
                <w:b/>
                <w:color w:val="000000"/>
                <w:lang w:eastAsia="sk-SK"/>
              </w:rPr>
            </w:pPr>
            <w:r w:rsidRPr="00341365">
              <w:rPr>
                <w:rFonts w:ascii="Times New Roman" w:eastAsia="Times New Roman" w:hAnsi="Times New Roman" w:cs="Times New Roman"/>
                <w:b/>
                <w:color w:val="000000"/>
                <w:lang w:eastAsia="sk-SK"/>
              </w:rPr>
              <w:t>[TJ/rok</w:t>
            </w:r>
            <w:r w:rsidRPr="00341365">
              <w:rPr>
                <w:rFonts w:ascii="Times New Roman" w:eastAsia="Times New Roman" w:hAnsi="Times New Roman" w:cs="Times New Roman"/>
                <w:b/>
                <w:color w:val="000000"/>
                <w:lang w:val="en-GB" w:eastAsia="sk-SK"/>
              </w:rPr>
              <w:t>]</w:t>
            </w:r>
          </w:p>
        </w:tc>
        <w:tc>
          <w:tcPr>
            <w:tcW w:w="927" w:type="pct"/>
            <w:shd w:val="clear" w:color="auto" w:fill="BFBFBF" w:themeFill="background1" w:themeFillShade="BF"/>
            <w:noWrap/>
            <w:vAlign w:val="center"/>
            <w:hideMark/>
          </w:tcPr>
          <w:p w14:paraId="37E63675" w14:textId="77777777" w:rsidR="00FD6B11" w:rsidRPr="00341365" w:rsidRDefault="00FD6B11" w:rsidP="00FD6B11">
            <w:pPr>
              <w:spacing w:after="0" w:line="240" w:lineRule="auto"/>
              <w:jc w:val="center"/>
              <w:rPr>
                <w:rFonts w:ascii="Times New Roman" w:eastAsia="Times New Roman" w:hAnsi="Times New Roman" w:cs="Times New Roman"/>
                <w:b/>
                <w:color w:val="000000"/>
                <w:lang w:eastAsia="sk-SK"/>
              </w:rPr>
            </w:pPr>
            <w:r w:rsidRPr="00341365">
              <w:rPr>
                <w:rFonts w:ascii="Times New Roman" w:eastAsia="Times New Roman" w:hAnsi="Times New Roman" w:cs="Times New Roman"/>
                <w:b/>
                <w:color w:val="000000"/>
                <w:lang w:eastAsia="sk-SK"/>
              </w:rPr>
              <w:t>2015</w:t>
            </w:r>
            <w:r w:rsidRPr="00341365">
              <w:rPr>
                <w:rFonts w:ascii="Times New Roman" w:eastAsia="Times New Roman" w:hAnsi="Times New Roman" w:cs="Times New Roman"/>
                <w:b/>
                <w:color w:val="000000"/>
                <w:vertAlign w:val="superscript"/>
                <w:lang w:eastAsia="sk-SK"/>
              </w:rPr>
              <w:footnoteReference w:id="10"/>
            </w:r>
          </w:p>
          <w:p w14:paraId="15C3FD0D" w14:textId="77777777" w:rsidR="00FD6B11" w:rsidRPr="00341365" w:rsidRDefault="00FD6B11" w:rsidP="00FD6B11">
            <w:pPr>
              <w:spacing w:after="0" w:line="240" w:lineRule="auto"/>
              <w:jc w:val="center"/>
              <w:rPr>
                <w:rFonts w:ascii="Times New Roman" w:eastAsia="Times New Roman" w:hAnsi="Times New Roman" w:cs="Times New Roman"/>
                <w:b/>
                <w:color w:val="000000"/>
                <w:lang w:eastAsia="sk-SK"/>
              </w:rPr>
            </w:pPr>
            <w:r w:rsidRPr="00341365">
              <w:rPr>
                <w:rFonts w:ascii="Times New Roman" w:eastAsia="Times New Roman" w:hAnsi="Times New Roman" w:cs="Times New Roman"/>
                <w:b/>
                <w:color w:val="000000"/>
                <w:lang w:eastAsia="sk-SK"/>
              </w:rPr>
              <w:t>[TJ/rok</w:t>
            </w:r>
            <w:r w:rsidRPr="00341365">
              <w:rPr>
                <w:rFonts w:ascii="Times New Roman" w:eastAsia="Times New Roman" w:hAnsi="Times New Roman" w:cs="Times New Roman"/>
                <w:b/>
                <w:color w:val="000000"/>
                <w:lang w:val="en-GB" w:eastAsia="sk-SK"/>
              </w:rPr>
              <w:t>]</w:t>
            </w:r>
          </w:p>
        </w:tc>
        <w:tc>
          <w:tcPr>
            <w:tcW w:w="821" w:type="pct"/>
            <w:shd w:val="clear" w:color="auto" w:fill="BFBFBF" w:themeFill="background1" w:themeFillShade="BF"/>
            <w:vAlign w:val="center"/>
          </w:tcPr>
          <w:p w14:paraId="1ACF8755" w14:textId="77777777" w:rsidR="00FD6B11" w:rsidRPr="00341365" w:rsidRDefault="00FD6B11" w:rsidP="00FD6B11">
            <w:pPr>
              <w:spacing w:after="0" w:line="240" w:lineRule="auto"/>
              <w:jc w:val="center"/>
              <w:rPr>
                <w:rFonts w:ascii="Times New Roman" w:eastAsia="Times New Roman" w:hAnsi="Times New Roman" w:cs="Times New Roman"/>
                <w:b/>
                <w:color w:val="000000"/>
                <w:lang w:eastAsia="sk-SK"/>
              </w:rPr>
            </w:pPr>
            <w:r w:rsidRPr="00341365">
              <w:rPr>
                <w:rFonts w:ascii="Times New Roman" w:eastAsia="Times New Roman" w:hAnsi="Times New Roman" w:cs="Times New Roman"/>
                <w:b/>
                <w:color w:val="000000"/>
                <w:lang w:eastAsia="sk-SK"/>
              </w:rPr>
              <w:t>2016</w:t>
            </w:r>
            <w:r w:rsidRPr="00341365">
              <w:rPr>
                <w:rFonts w:ascii="Times New Roman" w:eastAsia="Times New Roman" w:hAnsi="Times New Roman" w:cs="Times New Roman"/>
                <w:b/>
                <w:color w:val="000000"/>
                <w:vertAlign w:val="superscript"/>
                <w:lang w:eastAsia="sk-SK"/>
              </w:rPr>
              <w:footnoteReference w:id="11"/>
            </w:r>
          </w:p>
          <w:p w14:paraId="268796C8" w14:textId="77777777" w:rsidR="00FD6B11" w:rsidRPr="00341365" w:rsidRDefault="00FD6B11" w:rsidP="00FD6B11">
            <w:pPr>
              <w:spacing w:after="0" w:line="240" w:lineRule="auto"/>
              <w:jc w:val="center"/>
              <w:rPr>
                <w:rFonts w:ascii="Times New Roman" w:eastAsia="Times New Roman" w:hAnsi="Times New Roman" w:cs="Times New Roman"/>
                <w:b/>
                <w:color w:val="000000"/>
                <w:lang w:eastAsia="sk-SK"/>
              </w:rPr>
            </w:pPr>
            <w:r w:rsidRPr="00341365">
              <w:rPr>
                <w:rFonts w:ascii="Times New Roman" w:eastAsia="Times New Roman" w:hAnsi="Times New Roman" w:cs="Times New Roman"/>
                <w:b/>
                <w:color w:val="000000"/>
                <w:lang w:eastAsia="sk-SK"/>
              </w:rPr>
              <w:t>[TJ/rok</w:t>
            </w:r>
            <w:r w:rsidRPr="00341365">
              <w:rPr>
                <w:rFonts w:ascii="Times New Roman" w:eastAsia="Times New Roman" w:hAnsi="Times New Roman" w:cs="Times New Roman"/>
                <w:b/>
                <w:color w:val="000000"/>
                <w:lang w:val="en-GB" w:eastAsia="sk-SK"/>
              </w:rPr>
              <w:t>]</w:t>
            </w:r>
          </w:p>
        </w:tc>
      </w:tr>
      <w:tr w:rsidR="00341365" w:rsidRPr="00341365" w14:paraId="1539BCAB" w14:textId="77777777" w:rsidTr="00AF5415">
        <w:trPr>
          <w:trHeight w:val="300"/>
        </w:trPr>
        <w:tc>
          <w:tcPr>
            <w:tcW w:w="2325" w:type="pct"/>
            <w:shd w:val="clear" w:color="auto" w:fill="auto"/>
            <w:noWrap/>
            <w:vAlign w:val="center"/>
            <w:hideMark/>
          </w:tcPr>
          <w:p w14:paraId="14D6FA4F" w14:textId="77777777" w:rsidR="00341365" w:rsidRPr="00341365" w:rsidRDefault="00341365" w:rsidP="00341365">
            <w:pPr>
              <w:spacing w:after="0" w:line="240" w:lineRule="auto"/>
              <w:rPr>
                <w:rFonts w:ascii="Times New Roman" w:eastAsia="Times New Roman" w:hAnsi="Times New Roman" w:cs="Times New Roman"/>
                <w:color w:val="000000"/>
                <w:lang w:eastAsia="sk-SK"/>
              </w:rPr>
            </w:pPr>
            <w:r w:rsidRPr="00341365">
              <w:rPr>
                <w:rFonts w:ascii="Times New Roman" w:eastAsia="Times New Roman" w:hAnsi="Times New Roman" w:cs="Times New Roman"/>
                <w:color w:val="000000"/>
                <w:lang w:eastAsia="sk-SK"/>
              </w:rPr>
              <w:t>Budovy</w:t>
            </w:r>
          </w:p>
        </w:tc>
        <w:tc>
          <w:tcPr>
            <w:tcW w:w="927" w:type="pct"/>
            <w:shd w:val="clear" w:color="auto" w:fill="auto"/>
            <w:noWrap/>
            <w:vAlign w:val="center"/>
          </w:tcPr>
          <w:p w14:paraId="164D6698" w14:textId="17CAD682" w:rsidR="00341365" w:rsidRPr="00341365" w:rsidRDefault="00341365">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1 616,76</w:t>
            </w:r>
          </w:p>
        </w:tc>
        <w:tc>
          <w:tcPr>
            <w:tcW w:w="927" w:type="pct"/>
            <w:shd w:val="clear" w:color="auto" w:fill="auto"/>
            <w:noWrap/>
            <w:vAlign w:val="center"/>
          </w:tcPr>
          <w:p w14:paraId="32658A0B" w14:textId="107FFE39" w:rsidR="00341365" w:rsidRPr="00341365" w:rsidRDefault="00341365">
            <w:pPr>
              <w:spacing w:after="0" w:line="240" w:lineRule="auto"/>
              <w:jc w:val="right"/>
              <w:rPr>
                <w:rFonts w:ascii="Times New Roman" w:hAnsi="Times New Roman" w:cs="Times New Roman"/>
              </w:rPr>
            </w:pPr>
            <w:r w:rsidRPr="00AF5415">
              <w:rPr>
                <w:rFonts w:ascii="Times New Roman" w:hAnsi="Times New Roman" w:cs="Times New Roman"/>
              </w:rPr>
              <w:t>1 773,30</w:t>
            </w:r>
          </w:p>
        </w:tc>
        <w:tc>
          <w:tcPr>
            <w:tcW w:w="821" w:type="pct"/>
            <w:tcBorders>
              <w:top w:val="nil"/>
              <w:left w:val="single" w:sz="4" w:space="0" w:color="auto"/>
              <w:bottom w:val="single" w:sz="4" w:space="0" w:color="auto"/>
              <w:right w:val="single" w:sz="4" w:space="0" w:color="auto"/>
            </w:tcBorders>
            <w:shd w:val="clear" w:color="auto" w:fill="auto"/>
            <w:vAlign w:val="center"/>
          </w:tcPr>
          <w:p w14:paraId="7C6DA401" w14:textId="0E965CA0" w:rsidR="00341365" w:rsidRPr="00341365" w:rsidRDefault="00341365">
            <w:pPr>
              <w:spacing w:after="0" w:line="240" w:lineRule="auto"/>
              <w:jc w:val="right"/>
              <w:rPr>
                <w:rFonts w:ascii="Times New Roman" w:hAnsi="Times New Roman" w:cs="Times New Roman"/>
              </w:rPr>
            </w:pPr>
            <w:r w:rsidRPr="00AF5415">
              <w:rPr>
                <w:rFonts w:ascii="Times New Roman" w:hAnsi="Times New Roman" w:cs="Times New Roman"/>
              </w:rPr>
              <w:t>1 660,76</w:t>
            </w:r>
          </w:p>
        </w:tc>
      </w:tr>
      <w:tr w:rsidR="00341365" w:rsidRPr="00341365" w14:paraId="7A2E51FD" w14:textId="77777777" w:rsidTr="00AF5415">
        <w:trPr>
          <w:trHeight w:val="300"/>
        </w:trPr>
        <w:tc>
          <w:tcPr>
            <w:tcW w:w="2325" w:type="pct"/>
            <w:shd w:val="clear" w:color="auto" w:fill="auto"/>
            <w:noWrap/>
            <w:vAlign w:val="center"/>
            <w:hideMark/>
          </w:tcPr>
          <w:p w14:paraId="63079ACD" w14:textId="77777777" w:rsidR="00341365" w:rsidRPr="00341365" w:rsidRDefault="00341365" w:rsidP="00341365">
            <w:pPr>
              <w:spacing w:after="0" w:line="240" w:lineRule="auto"/>
              <w:rPr>
                <w:rFonts w:ascii="Times New Roman" w:eastAsia="Times New Roman" w:hAnsi="Times New Roman" w:cs="Times New Roman"/>
                <w:color w:val="000000"/>
                <w:lang w:eastAsia="sk-SK"/>
              </w:rPr>
            </w:pPr>
            <w:r w:rsidRPr="00341365">
              <w:rPr>
                <w:rFonts w:ascii="Times New Roman" w:eastAsia="Times New Roman" w:hAnsi="Times New Roman" w:cs="Times New Roman"/>
                <w:color w:val="000000"/>
                <w:lang w:eastAsia="sk-SK"/>
              </w:rPr>
              <w:t>Priemysel</w:t>
            </w:r>
          </w:p>
        </w:tc>
        <w:tc>
          <w:tcPr>
            <w:tcW w:w="927" w:type="pct"/>
            <w:shd w:val="clear" w:color="auto" w:fill="auto"/>
            <w:noWrap/>
            <w:vAlign w:val="center"/>
          </w:tcPr>
          <w:p w14:paraId="35CA8A88" w14:textId="5051A9C3" w:rsidR="00341365" w:rsidRPr="00341365" w:rsidRDefault="00341365">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1 015,08</w:t>
            </w:r>
          </w:p>
        </w:tc>
        <w:tc>
          <w:tcPr>
            <w:tcW w:w="927" w:type="pct"/>
            <w:shd w:val="clear" w:color="auto" w:fill="auto"/>
            <w:noWrap/>
            <w:vAlign w:val="center"/>
          </w:tcPr>
          <w:p w14:paraId="36315800" w14:textId="28099927" w:rsidR="00341365" w:rsidRPr="00341365" w:rsidRDefault="00341365">
            <w:pPr>
              <w:spacing w:after="0" w:line="240" w:lineRule="auto"/>
              <w:jc w:val="right"/>
              <w:rPr>
                <w:rFonts w:ascii="Times New Roman" w:hAnsi="Times New Roman" w:cs="Times New Roman"/>
              </w:rPr>
            </w:pPr>
            <w:r w:rsidRPr="00AF5415">
              <w:rPr>
                <w:rFonts w:ascii="Times New Roman" w:hAnsi="Times New Roman" w:cs="Times New Roman"/>
              </w:rPr>
              <w:t>1 633,02</w:t>
            </w:r>
          </w:p>
        </w:tc>
        <w:tc>
          <w:tcPr>
            <w:tcW w:w="821" w:type="pct"/>
            <w:tcBorders>
              <w:top w:val="nil"/>
              <w:left w:val="single" w:sz="4" w:space="0" w:color="auto"/>
              <w:bottom w:val="single" w:sz="4" w:space="0" w:color="auto"/>
              <w:right w:val="single" w:sz="4" w:space="0" w:color="auto"/>
            </w:tcBorders>
            <w:shd w:val="clear" w:color="auto" w:fill="auto"/>
            <w:vAlign w:val="center"/>
          </w:tcPr>
          <w:p w14:paraId="1E09D49D" w14:textId="0430D60A" w:rsidR="00341365" w:rsidRPr="00341365" w:rsidRDefault="00341365">
            <w:pPr>
              <w:spacing w:after="0" w:line="240" w:lineRule="auto"/>
              <w:jc w:val="right"/>
              <w:rPr>
                <w:rFonts w:ascii="Times New Roman" w:hAnsi="Times New Roman" w:cs="Times New Roman"/>
              </w:rPr>
            </w:pPr>
            <w:r w:rsidRPr="00AF5415">
              <w:rPr>
                <w:rFonts w:ascii="Times New Roman" w:hAnsi="Times New Roman" w:cs="Times New Roman"/>
              </w:rPr>
              <w:t>123,94</w:t>
            </w:r>
          </w:p>
        </w:tc>
      </w:tr>
      <w:tr w:rsidR="00341365" w:rsidRPr="00341365" w14:paraId="3E929C5D" w14:textId="77777777" w:rsidTr="00AF5415">
        <w:trPr>
          <w:trHeight w:val="315"/>
        </w:trPr>
        <w:tc>
          <w:tcPr>
            <w:tcW w:w="2325" w:type="pct"/>
            <w:shd w:val="clear" w:color="auto" w:fill="auto"/>
            <w:noWrap/>
            <w:vAlign w:val="center"/>
            <w:hideMark/>
          </w:tcPr>
          <w:p w14:paraId="5E0C57A3" w14:textId="77777777" w:rsidR="00341365" w:rsidRPr="00341365" w:rsidRDefault="00341365" w:rsidP="00341365">
            <w:pPr>
              <w:spacing w:after="0" w:line="240" w:lineRule="auto"/>
              <w:rPr>
                <w:rFonts w:ascii="Times New Roman" w:eastAsia="Times New Roman" w:hAnsi="Times New Roman" w:cs="Times New Roman"/>
                <w:color w:val="000000"/>
                <w:lang w:eastAsia="sk-SK"/>
              </w:rPr>
            </w:pPr>
            <w:r w:rsidRPr="00341365">
              <w:rPr>
                <w:rFonts w:ascii="Times New Roman" w:eastAsia="Times New Roman" w:hAnsi="Times New Roman" w:cs="Times New Roman"/>
                <w:color w:val="000000"/>
                <w:lang w:eastAsia="sk-SK"/>
              </w:rPr>
              <w:t>Verejný sektor</w:t>
            </w:r>
          </w:p>
        </w:tc>
        <w:tc>
          <w:tcPr>
            <w:tcW w:w="927" w:type="pct"/>
            <w:shd w:val="clear" w:color="auto" w:fill="auto"/>
            <w:noWrap/>
            <w:vAlign w:val="center"/>
          </w:tcPr>
          <w:p w14:paraId="1A8AE474" w14:textId="62AA8701" w:rsidR="00341365" w:rsidRPr="00341365" w:rsidRDefault="00341365">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167,42</w:t>
            </w:r>
          </w:p>
        </w:tc>
        <w:tc>
          <w:tcPr>
            <w:tcW w:w="927" w:type="pct"/>
            <w:shd w:val="clear" w:color="auto" w:fill="auto"/>
            <w:noWrap/>
            <w:vAlign w:val="center"/>
          </w:tcPr>
          <w:p w14:paraId="5D6B009E" w14:textId="430A0A31" w:rsidR="00341365" w:rsidRPr="00341365" w:rsidRDefault="00341365">
            <w:pPr>
              <w:spacing w:after="0" w:line="240" w:lineRule="auto"/>
              <w:jc w:val="right"/>
              <w:rPr>
                <w:rFonts w:ascii="Times New Roman" w:hAnsi="Times New Roman" w:cs="Times New Roman"/>
              </w:rPr>
            </w:pPr>
            <w:r w:rsidRPr="00AF5415">
              <w:rPr>
                <w:rFonts w:ascii="Times New Roman" w:hAnsi="Times New Roman" w:cs="Times New Roman"/>
              </w:rPr>
              <w:t>402,01</w:t>
            </w:r>
          </w:p>
        </w:tc>
        <w:tc>
          <w:tcPr>
            <w:tcW w:w="821" w:type="pct"/>
            <w:tcBorders>
              <w:top w:val="nil"/>
              <w:left w:val="single" w:sz="4" w:space="0" w:color="auto"/>
              <w:bottom w:val="single" w:sz="4" w:space="0" w:color="auto"/>
              <w:right w:val="single" w:sz="4" w:space="0" w:color="auto"/>
            </w:tcBorders>
            <w:shd w:val="clear" w:color="auto" w:fill="auto"/>
            <w:vAlign w:val="center"/>
          </w:tcPr>
          <w:p w14:paraId="6D039C5D" w14:textId="7335CD45" w:rsidR="00341365" w:rsidRPr="00341365" w:rsidRDefault="00341365">
            <w:pPr>
              <w:spacing w:after="0" w:line="240" w:lineRule="auto"/>
              <w:jc w:val="right"/>
              <w:rPr>
                <w:rFonts w:ascii="Times New Roman" w:hAnsi="Times New Roman" w:cs="Times New Roman"/>
              </w:rPr>
            </w:pPr>
            <w:r w:rsidRPr="00AF5415">
              <w:rPr>
                <w:rFonts w:ascii="Times New Roman" w:hAnsi="Times New Roman" w:cs="Times New Roman"/>
              </w:rPr>
              <w:t>206,88</w:t>
            </w:r>
          </w:p>
        </w:tc>
      </w:tr>
      <w:tr w:rsidR="00341365" w:rsidRPr="00341365" w14:paraId="229978C3" w14:textId="77777777" w:rsidTr="00AF5415">
        <w:trPr>
          <w:trHeight w:val="300"/>
        </w:trPr>
        <w:tc>
          <w:tcPr>
            <w:tcW w:w="2325" w:type="pct"/>
            <w:shd w:val="clear" w:color="auto" w:fill="auto"/>
            <w:noWrap/>
            <w:vAlign w:val="center"/>
            <w:hideMark/>
          </w:tcPr>
          <w:p w14:paraId="198569F0" w14:textId="77777777" w:rsidR="00341365" w:rsidRPr="00341365" w:rsidRDefault="00341365" w:rsidP="00341365">
            <w:pPr>
              <w:spacing w:after="0" w:line="240" w:lineRule="auto"/>
              <w:rPr>
                <w:rFonts w:ascii="Times New Roman" w:eastAsia="Times New Roman" w:hAnsi="Times New Roman" w:cs="Times New Roman"/>
                <w:color w:val="000000"/>
                <w:lang w:eastAsia="sk-SK"/>
              </w:rPr>
            </w:pPr>
            <w:r w:rsidRPr="00341365">
              <w:rPr>
                <w:rFonts w:ascii="Times New Roman" w:eastAsia="Times New Roman" w:hAnsi="Times New Roman" w:cs="Times New Roman"/>
                <w:color w:val="000000"/>
                <w:lang w:eastAsia="sk-SK"/>
              </w:rPr>
              <w:t xml:space="preserve">Doprava </w:t>
            </w:r>
          </w:p>
        </w:tc>
        <w:tc>
          <w:tcPr>
            <w:tcW w:w="927" w:type="pct"/>
            <w:shd w:val="clear" w:color="auto" w:fill="auto"/>
            <w:noWrap/>
            <w:vAlign w:val="center"/>
          </w:tcPr>
          <w:p w14:paraId="2E3DE0F9" w14:textId="7210B73D" w:rsidR="00341365" w:rsidRPr="00341365" w:rsidRDefault="00341365">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77,02</w:t>
            </w:r>
          </w:p>
        </w:tc>
        <w:tc>
          <w:tcPr>
            <w:tcW w:w="927" w:type="pct"/>
            <w:shd w:val="clear" w:color="auto" w:fill="auto"/>
            <w:noWrap/>
            <w:vAlign w:val="center"/>
          </w:tcPr>
          <w:p w14:paraId="16EC808F" w14:textId="0652A403" w:rsidR="00341365" w:rsidRPr="00341365" w:rsidRDefault="00341365">
            <w:pPr>
              <w:spacing w:after="0" w:line="240" w:lineRule="auto"/>
              <w:jc w:val="right"/>
              <w:rPr>
                <w:rFonts w:ascii="Times New Roman" w:hAnsi="Times New Roman" w:cs="Times New Roman"/>
              </w:rPr>
            </w:pPr>
            <w:r w:rsidRPr="00AF5415">
              <w:rPr>
                <w:rFonts w:ascii="Times New Roman" w:hAnsi="Times New Roman" w:cs="Times New Roman"/>
              </w:rPr>
              <w:t>706,16</w:t>
            </w:r>
          </w:p>
        </w:tc>
        <w:tc>
          <w:tcPr>
            <w:tcW w:w="821" w:type="pct"/>
            <w:tcBorders>
              <w:top w:val="nil"/>
              <w:left w:val="single" w:sz="4" w:space="0" w:color="auto"/>
              <w:bottom w:val="single" w:sz="4" w:space="0" w:color="auto"/>
              <w:right w:val="single" w:sz="4" w:space="0" w:color="auto"/>
            </w:tcBorders>
            <w:shd w:val="clear" w:color="auto" w:fill="auto"/>
            <w:vAlign w:val="center"/>
          </w:tcPr>
          <w:p w14:paraId="0A0CA819" w14:textId="2B6ABC84" w:rsidR="00341365" w:rsidRPr="00341365" w:rsidRDefault="00341365">
            <w:pPr>
              <w:spacing w:after="0" w:line="240" w:lineRule="auto"/>
              <w:jc w:val="right"/>
              <w:rPr>
                <w:rFonts w:ascii="Times New Roman" w:hAnsi="Times New Roman" w:cs="Times New Roman"/>
              </w:rPr>
            </w:pPr>
            <w:r w:rsidRPr="00AF5415">
              <w:rPr>
                <w:rFonts w:ascii="Times New Roman" w:hAnsi="Times New Roman" w:cs="Times New Roman"/>
              </w:rPr>
              <w:t>113,33</w:t>
            </w:r>
          </w:p>
        </w:tc>
      </w:tr>
      <w:tr w:rsidR="00341365" w:rsidRPr="00341365" w14:paraId="5C559387" w14:textId="77777777" w:rsidTr="00AF5415">
        <w:trPr>
          <w:trHeight w:val="300"/>
        </w:trPr>
        <w:tc>
          <w:tcPr>
            <w:tcW w:w="2325" w:type="pct"/>
            <w:shd w:val="clear" w:color="auto" w:fill="auto"/>
            <w:noWrap/>
            <w:vAlign w:val="center"/>
            <w:hideMark/>
          </w:tcPr>
          <w:p w14:paraId="74BA94B9" w14:textId="77777777" w:rsidR="00341365" w:rsidRPr="00341365" w:rsidRDefault="00341365" w:rsidP="00341365">
            <w:pPr>
              <w:spacing w:after="0" w:line="240" w:lineRule="auto"/>
              <w:rPr>
                <w:rFonts w:ascii="Times New Roman" w:eastAsia="Times New Roman" w:hAnsi="Times New Roman" w:cs="Times New Roman"/>
                <w:color w:val="000000"/>
                <w:lang w:eastAsia="sk-SK"/>
              </w:rPr>
            </w:pPr>
            <w:r w:rsidRPr="00341365">
              <w:rPr>
                <w:rFonts w:ascii="Times New Roman" w:eastAsia="Times New Roman" w:hAnsi="Times New Roman" w:cs="Times New Roman"/>
                <w:color w:val="000000"/>
                <w:lang w:eastAsia="sk-SK"/>
              </w:rPr>
              <w:t>Spotrebiče</w:t>
            </w:r>
          </w:p>
        </w:tc>
        <w:tc>
          <w:tcPr>
            <w:tcW w:w="927" w:type="pct"/>
            <w:shd w:val="clear" w:color="auto" w:fill="auto"/>
            <w:noWrap/>
            <w:vAlign w:val="center"/>
          </w:tcPr>
          <w:p w14:paraId="34E86CC7" w14:textId="38CEDAFC" w:rsidR="00341365" w:rsidRPr="00341365" w:rsidRDefault="00341365">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143,51</w:t>
            </w:r>
          </w:p>
        </w:tc>
        <w:tc>
          <w:tcPr>
            <w:tcW w:w="927" w:type="pct"/>
            <w:shd w:val="clear" w:color="auto" w:fill="auto"/>
            <w:noWrap/>
            <w:vAlign w:val="center"/>
          </w:tcPr>
          <w:p w14:paraId="53A1D39A" w14:textId="72B3D6E0" w:rsidR="00341365" w:rsidRPr="00341365" w:rsidRDefault="00341365">
            <w:pPr>
              <w:spacing w:after="0" w:line="240" w:lineRule="auto"/>
              <w:jc w:val="right"/>
              <w:rPr>
                <w:rFonts w:ascii="Times New Roman" w:hAnsi="Times New Roman" w:cs="Times New Roman"/>
              </w:rPr>
            </w:pPr>
            <w:r w:rsidRPr="00AF5415">
              <w:rPr>
                <w:rFonts w:ascii="Times New Roman" w:hAnsi="Times New Roman" w:cs="Times New Roman"/>
              </w:rPr>
              <w:t>191,82</w:t>
            </w:r>
          </w:p>
        </w:tc>
        <w:tc>
          <w:tcPr>
            <w:tcW w:w="821" w:type="pct"/>
            <w:tcBorders>
              <w:top w:val="nil"/>
              <w:left w:val="single" w:sz="4" w:space="0" w:color="auto"/>
              <w:bottom w:val="single" w:sz="4" w:space="0" w:color="auto"/>
              <w:right w:val="single" w:sz="4" w:space="0" w:color="auto"/>
            </w:tcBorders>
            <w:shd w:val="clear" w:color="auto" w:fill="auto"/>
            <w:vAlign w:val="center"/>
          </w:tcPr>
          <w:p w14:paraId="023F9576" w14:textId="78474DB3" w:rsidR="00341365" w:rsidRPr="00341365" w:rsidRDefault="00341365">
            <w:pPr>
              <w:spacing w:after="0" w:line="240" w:lineRule="auto"/>
              <w:jc w:val="right"/>
              <w:rPr>
                <w:rFonts w:ascii="Times New Roman" w:hAnsi="Times New Roman" w:cs="Times New Roman"/>
              </w:rPr>
            </w:pPr>
            <w:r w:rsidRPr="00AF5415">
              <w:rPr>
                <w:rFonts w:ascii="Times New Roman" w:hAnsi="Times New Roman" w:cs="Times New Roman"/>
              </w:rPr>
              <w:t>234,44</w:t>
            </w:r>
          </w:p>
        </w:tc>
      </w:tr>
      <w:tr w:rsidR="00341365" w:rsidRPr="00341365" w14:paraId="4D97CF83" w14:textId="77777777" w:rsidTr="00AF5415">
        <w:trPr>
          <w:trHeight w:val="423"/>
        </w:trPr>
        <w:tc>
          <w:tcPr>
            <w:tcW w:w="2325" w:type="pct"/>
            <w:tcBorders>
              <w:bottom w:val="single" w:sz="4" w:space="0" w:color="auto"/>
            </w:tcBorders>
            <w:shd w:val="clear" w:color="auto" w:fill="auto"/>
            <w:noWrap/>
            <w:vAlign w:val="center"/>
            <w:hideMark/>
          </w:tcPr>
          <w:p w14:paraId="5A097CB5" w14:textId="77777777" w:rsidR="00341365" w:rsidRPr="00341365" w:rsidRDefault="00341365" w:rsidP="00341365">
            <w:pPr>
              <w:spacing w:after="0" w:line="240" w:lineRule="auto"/>
              <w:rPr>
                <w:rFonts w:ascii="Times New Roman" w:eastAsia="Times New Roman" w:hAnsi="Times New Roman" w:cs="Times New Roman"/>
                <w:b/>
                <w:color w:val="000000"/>
                <w:lang w:eastAsia="sk-SK"/>
              </w:rPr>
            </w:pPr>
            <w:r w:rsidRPr="00341365">
              <w:rPr>
                <w:rFonts w:ascii="Times New Roman" w:eastAsia="Times New Roman" w:hAnsi="Times New Roman" w:cs="Times New Roman"/>
                <w:b/>
                <w:color w:val="000000"/>
                <w:lang w:eastAsia="sk-SK"/>
              </w:rPr>
              <w:t>SPOLU</w:t>
            </w:r>
          </w:p>
        </w:tc>
        <w:tc>
          <w:tcPr>
            <w:tcW w:w="927" w:type="pct"/>
            <w:tcBorders>
              <w:bottom w:val="single" w:sz="4" w:space="0" w:color="auto"/>
            </w:tcBorders>
            <w:shd w:val="clear" w:color="auto" w:fill="auto"/>
            <w:noWrap/>
            <w:vAlign w:val="center"/>
          </w:tcPr>
          <w:p w14:paraId="3902145B" w14:textId="627CD5D2" w:rsidR="00341365" w:rsidRPr="00341365" w:rsidRDefault="00341365">
            <w:pPr>
              <w:spacing w:after="0" w:line="240" w:lineRule="auto"/>
              <w:jc w:val="right"/>
              <w:rPr>
                <w:rFonts w:ascii="Times New Roman" w:eastAsia="Times New Roman" w:hAnsi="Times New Roman" w:cs="Times New Roman"/>
                <w:b/>
                <w:bCs/>
                <w:color w:val="000000"/>
                <w:lang w:eastAsia="sk-SK"/>
              </w:rPr>
            </w:pPr>
            <w:r w:rsidRPr="00AF5415">
              <w:rPr>
                <w:rFonts w:ascii="Times New Roman" w:hAnsi="Times New Roman" w:cs="Times New Roman"/>
                <w:b/>
              </w:rPr>
              <w:t>3 019,79</w:t>
            </w:r>
          </w:p>
        </w:tc>
        <w:tc>
          <w:tcPr>
            <w:tcW w:w="927" w:type="pct"/>
            <w:tcBorders>
              <w:bottom w:val="single" w:sz="4" w:space="0" w:color="auto"/>
            </w:tcBorders>
            <w:shd w:val="clear" w:color="auto" w:fill="auto"/>
            <w:noWrap/>
            <w:vAlign w:val="center"/>
          </w:tcPr>
          <w:p w14:paraId="1FD3B06A" w14:textId="76D54812" w:rsidR="00341365" w:rsidRPr="00341365" w:rsidRDefault="00341365">
            <w:pPr>
              <w:spacing w:after="0" w:line="240" w:lineRule="auto"/>
              <w:jc w:val="right"/>
              <w:rPr>
                <w:rFonts w:ascii="Times New Roman" w:eastAsia="Times New Roman" w:hAnsi="Times New Roman" w:cs="Times New Roman"/>
                <w:b/>
                <w:bCs/>
                <w:color w:val="000000"/>
                <w:lang w:eastAsia="sk-SK"/>
              </w:rPr>
            </w:pPr>
            <w:r w:rsidRPr="00AF5415">
              <w:rPr>
                <w:rFonts w:ascii="Times New Roman" w:hAnsi="Times New Roman" w:cs="Times New Roman"/>
                <w:b/>
              </w:rPr>
              <w:t>4 706,31</w:t>
            </w:r>
          </w:p>
        </w:tc>
        <w:tc>
          <w:tcPr>
            <w:tcW w:w="821" w:type="pct"/>
            <w:tcBorders>
              <w:top w:val="nil"/>
              <w:left w:val="single" w:sz="4" w:space="0" w:color="auto"/>
              <w:bottom w:val="single" w:sz="4" w:space="0" w:color="auto"/>
              <w:right w:val="single" w:sz="4" w:space="0" w:color="auto"/>
            </w:tcBorders>
            <w:shd w:val="clear" w:color="auto" w:fill="auto"/>
            <w:vAlign w:val="center"/>
          </w:tcPr>
          <w:p w14:paraId="1723A5AE" w14:textId="6F3AD498" w:rsidR="00341365" w:rsidRPr="00341365" w:rsidRDefault="00341365">
            <w:pPr>
              <w:spacing w:after="0" w:line="240" w:lineRule="auto"/>
              <w:jc w:val="right"/>
              <w:rPr>
                <w:rFonts w:ascii="Times New Roman" w:hAnsi="Times New Roman" w:cs="Times New Roman"/>
                <w:b/>
              </w:rPr>
            </w:pPr>
            <w:r w:rsidRPr="00AF5415">
              <w:rPr>
                <w:rFonts w:ascii="Times New Roman" w:hAnsi="Times New Roman" w:cs="Times New Roman"/>
                <w:b/>
              </w:rPr>
              <w:t>2 339,35</w:t>
            </w:r>
          </w:p>
        </w:tc>
      </w:tr>
    </w:tbl>
    <w:p w14:paraId="423D3AAA" w14:textId="326C7AA7" w:rsidR="00815782" w:rsidRPr="00B40851" w:rsidRDefault="00906729" w:rsidP="00856490">
      <w:pPr>
        <w:jc w:val="both"/>
        <w:rPr>
          <w:rFonts w:ascii="Times New Roman" w:hAnsi="Times New Roman" w:cs="Times New Roman"/>
          <w:sz w:val="24"/>
          <w:szCs w:val="24"/>
        </w:rPr>
      </w:pPr>
      <w:r>
        <w:rPr>
          <w:rFonts w:ascii="Times New Roman" w:hAnsi="Times New Roman" w:cs="Times New Roman"/>
          <w:sz w:val="24"/>
          <w:szCs w:val="24"/>
        </w:rPr>
        <w:br/>
      </w:r>
    </w:p>
    <w:p w14:paraId="09DB84CC" w14:textId="7F2DE953" w:rsidR="00FD6B11" w:rsidRPr="000578FE" w:rsidRDefault="00FD6B11" w:rsidP="00856490">
      <w:pPr>
        <w:jc w:val="both"/>
        <w:rPr>
          <w:rFonts w:ascii="Times New Roman" w:hAnsi="Times New Roman" w:cs="Times New Roman"/>
          <w:b/>
        </w:rPr>
      </w:pPr>
      <w:r w:rsidRPr="000578FE">
        <w:rPr>
          <w:rFonts w:ascii="Times New Roman" w:hAnsi="Times New Roman" w:cs="Times New Roman"/>
          <w:b/>
        </w:rPr>
        <w:t>Metodika merania a/alebo výpočtu úspor energie pre účely smernice 2006/32/ES (príloha XIV časť 2 bod 2 písm. b) druhý odsek v SEE)</w:t>
      </w:r>
    </w:p>
    <w:p w14:paraId="458241FA" w14:textId="7839F63D" w:rsidR="00FD6B11" w:rsidRPr="00856490" w:rsidRDefault="00FD6B11">
      <w:pPr>
        <w:jc w:val="both"/>
        <w:rPr>
          <w:rFonts w:ascii="Times New Roman" w:hAnsi="Times New Roman" w:cs="Times New Roman"/>
          <w:sz w:val="24"/>
          <w:szCs w:val="24"/>
        </w:rPr>
      </w:pPr>
      <w:r w:rsidRPr="00856490">
        <w:rPr>
          <w:rFonts w:ascii="Times New Roman" w:eastAsia="Calibri" w:hAnsi="Times New Roman" w:cs="Times New Roman"/>
          <w:sz w:val="24"/>
          <w:szCs w:val="24"/>
        </w:rPr>
        <w:t xml:space="preserve">Pri výpočte úspor bola použitá metodika, ktorá je detailne popísaná pre každé opatrenie v prílohe č. 5. </w:t>
      </w:r>
      <w:r w:rsidRPr="00856490">
        <w:rPr>
          <w:rFonts w:ascii="Times New Roman" w:hAnsi="Times New Roman" w:cs="Times New Roman"/>
          <w:sz w:val="24"/>
          <w:szCs w:val="24"/>
        </w:rPr>
        <w:t xml:space="preserve">Vstupné  hodnoty, z ktorých boli vyhodnocované úspory </w:t>
      </w:r>
      <w:r w:rsidR="00EB25A4">
        <w:rPr>
          <w:rFonts w:ascii="Times New Roman" w:hAnsi="Times New Roman" w:cs="Times New Roman"/>
          <w:sz w:val="24"/>
          <w:szCs w:val="24"/>
        </w:rPr>
        <w:t xml:space="preserve">sa verifikovali </w:t>
      </w:r>
      <w:r w:rsidRPr="00856490">
        <w:rPr>
          <w:rFonts w:ascii="Times New Roman" w:hAnsi="Times New Roman" w:cs="Times New Roman"/>
          <w:sz w:val="24"/>
          <w:szCs w:val="24"/>
        </w:rPr>
        <w:t xml:space="preserve">postupmi uvedenými v metodickej tabuľke a následne </w:t>
      </w:r>
      <w:r w:rsidR="00EB25A4">
        <w:rPr>
          <w:rFonts w:ascii="Times New Roman" w:hAnsi="Times New Roman" w:cs="Times New Roman"/>
          <w:sz w:val="24"/>
          <w:szCs w:val="24"/>
        </w:rPr>
        <w:t xml:space="preserve">sa použili </w:t>
      </w:r>
      <w:r w:rsidRPr="00856490">
        <w:rPr>
          <w:rFonts w:ascii="Times New Roman" w:hAnsi="Times New Roman" w:cs="Times New Roman"/>
          <w:sz w:val="24"/>
          <w:szCs w:val="24"/>
        </w:rPr>
        <w:t>do výpočtu. Taktiež boli prijaté opatrenia na zamedzenie dvojitého započítania úspor energie v zmysle požiadavky smernice 2012/27/EÚ.</w:t>
      </w:r>
    </w:p>
    <w:p w14:paraId="43D55CEC" w14:textId="77777777" w:rsidR="00FD6B11" w:rsidRDefault="00FD6B11" w:rsidP="00856490">
      <w:pPr>
        <w:rPr>
          <w:rFonts w:ascii="Times New Roman" w:hAnsi="Times New Roman" w:cs="Times New Roman"/>
          <w:sz w:val="24"/>
        </w:rPr>
      </w:pPr>
    </w:p>
    <w:p w14:paraId="6D01208B" w14:textId="271DC304" w:rsidR="001327AD" w:rsidRPr="000578FE" w:rsidRDefault="001327AD" w:rsidP="00AF5415">
      <w:pPr>
        <w:pStyle w:val="Nadpis3"/>
        <w:numPr>
          <w:ilvl w:val="2"/>
          <w:numId w:val="30"/>
        </w:numPr>
        <w:rPr>
          <w:rFonts w:ascii="Times New Roman" w:hAnsi="Times New Roman" w:cs="Times New Roman"/>
          <w:color w:val="auto"/>
        </w:rPr>
      </w:pPr>
      <w:bookmarkStart w:id="9" w:name="_Toc477345340"/>
      <w:r w:rsidRPr="000578FE">
        <w:rPr>
          <w:rFonts w:ascii="Times New Roman" w:hAnsi="Times New Roman" w:cs="Times New Roman"/>
          <w:color w:val="auto"/>
        </w:rPr>
        <w:t>Vyhodnotenie cieľov ú</w:t>
      </w:r>
      <w:r w:rsidR="00804795" w:rsidRPr="000578FE">
        <w:rPr>
          <w:rFonts w:ascii="Times New Roman" w:hAnsi="Times New Roman" w:cs="Times New Roman"/>
          <w:color w:val="auto"/>
        </w:rPr>
        <w:t>spor energie podľa smernice 2012/27/EÚ</w:t>
      </w:r>
      <w:bookmarkEnd w:id="9"/>
    </w:p>
    <w:p w14:paraId="72F47EB2" w14:textId="02C408FB" w:rsidR="00375545" w:rsidRPr="000578FE" w:rsidRDefault="00E21826" w:rsidP="00AF5415">
      <w:pPr>
        <w:pStyle w:val="Nadpis4"/>
        <w:numPr>
          <w:ilvl w:val="3"/>
          <w:numId w:val="30"/>
        </w:numPr>
        <w:rPr>
          <w:rFonts w:ascii="Times New Roman" w:hAnsi="Times New Roman" w:cs="Times New Roman"/>
          <w:i w:val="0"/>
          <w:color w:val="auto"/>
        </w:rPr>
      </w:pPr>
      <w:bookmarkStart w:id="10" w:name="_Toc475460997"/>
      <w:bookmarkStart w:id="11" w:name="_Toc475545477"/>
      <w:bookmarkStart w:id="12" w:name="_Toc475460998"/>
      <w:bookmarkStart w:id="13" w:name="_Toc475545478"/>
      <w:bookmarkStart w:id="14" w:name="_Toc477345341"/>
      <w:bookmarkEnd w:id="10"/>
      <w:bookmarkEnd w:id="11"/>
      <w:bookmarkEnd w:id="12"/>
      <w:bookmarkEnd w:id="13"/>
      <w:r w:rsidRPr="000578FE">
        <w:rPr>
          <w:rFonts w:ascii="Times New Roman" w:hAnsi="Times New Roman" w:cs="Times New Roman"/>
          <w:i w:val="0"/>
          <w:color w:val="auto"/>
        </w:rPr>
        <w:t>N</w:t>
      </w:r>
      <w:r w:rsidR="00375545" w:rsidRPr="000578FE">
        <w:rPr>
          <w:rFonts w:ascii="Times New Roman" w:hAnsi="Times New Roman" w:cs="Times New Roman"/>
          <w:i w:val="0"/>
          <w:color w:val="auto"/>
        </w:rPr>
        <w:t xml:space="preserve">árodný </w:t>
      </w:r>
      <w:r w:rsidRPr="000578FE">
        <w:rPr>
          <w:rFonts w:ascii="Times New Roman" w:hAnsi="Times New Roman" w:cs="Times New Roman"/>
          <w:i w:val="0"/>
          <w:color w:val="auto"/>
        </w:rPr>
        <w:t xml:space="preserve">indikatívny </w:t>
      </w:r>
      <w:r w:rsidR="00375545" w:rsidRPr="000578FE">
        <w:rPr>
          <w:rFonts w:ascii="Times New Roman" w:hAnsi="Times New Roman" w:cs="Times New Roman"/>
          <w:i w:val="0"/>
          <w:color w:val="auto"/>
        </w:rPr>
        <w:t>cieľ energetickej efektívnosti do roku 2020 podľa článku 3 ods. 1 smernice o energetickej efektívnosti</w:t>
      </w:r>
      <w:r w:rsidR="00B72FDD" w:rsidRPr="000578FE">
        <w:rPr>
          <w:rFonts w:ascii="Times New Roman" w:hAnsi="Times New Roman" w:cs="Times New Roman"/>
          <w:i w:val="0"/>
          <w:color w:val="auto"/>
        </w:rPr>
        <w:t xml:space="preserve"> (článok 3 ods. 1 SEE, príloha XIV časť 2 bod 1)</w:t>
      </w:r>
      <w:bookmarkEnd w:id="14"/>
    </w:p>
    <w:p w14:paraId="2AF62B9C" w14:textId="296F177B" w:rsidR="00AC7FF7" w:rsidRDefault="006D138F" w:rsidP="00AC7FF7">
      <w:pPr>
        <w:jc w:val="both"/>
        <w:rPr>
          <w:rFonts w:ascii="Times New Roman" w:hAnsi="Times New Roman" w:cs="Times New Roman"/>
          <w:sz w:val="24"/>
        </w:rPr>
      </w:pPr>
      <w:r w:rsidRPr="007577DE">
        <w:rPr>
          <w:rFonts w:ascii="Times New Roman" w:hAnsi="Times New Roman" w:cs="Times New Roman"/>
          <w:sz w:val="24"/>
        </w:rPr>
        <w:t>Národný indikatívny cieľ energetickej efektívnosti bol stanovený na základe štatistických údajov</w:t>
      </w:r>
      <w:r w:rsidR="00A360A9" w:rsidRPr="007577DE">
        <w:rPr>
          <w:rFonts w:ascii="Times New Roman" w:hAnsi="Times New Roman" w:cs="Times New Roman"/>
          <w:sz w:val="24"/>
        </w:rPr>
        <w:t>,</w:t>
      </w:r>
      <w:r w:rsidR="00766F13" w:rsidRPr="007577DE">
        <w:rPr>
          <w:rFonts w:ascii="Times New Roman" w:hAnsi="Times New Roman" w:cs="Times New Roman"/>
          <w:sz w:val="24"/>
        </w:rPr>
        <w:t xml:space="preserve"> </w:t>
      </w:r>
      <w:r w:rsidR="00A360A9" w:rsidRPr="007577DE">
        <w:rPr>
          <w:rFonts w:ascii="Times New Roman" w:hAnsi="Times New Roman" w:cs="Times New Roman"/>
          <w:sz w:val="24"/>
        </w:rPr>
        <w:t>pričom p</w:t>
      </w:r>
      <w:r w:rsidRPr="007577DE">
        <w:rPr>
          <w:rFonts w:ascii="Times New Roman" w:hAnsi="Times New Roman" w:cs="Times New Roman"/>
          <w:sz w:val="24"/>
        </w:rPr>
        <w:t xml:space="preserve">redbežný cieľ požadovaný podľa smernice 2012/27/EÚ bol zverejnený v Národnom programe reforiem pre rok 2013. Tento bol následne aktualizovaný na základe </w:t>
      </w:r>
      <w:r w:rsidRPr="007577DE">
        <w:rPr>
          <w:rFonts w:ascii="Times New Roman" w:hAnsi="Times New Roman" w:cs="Times New Roman"/>
          <w:sz w:val="24"/>
        </w:rPr>
        <w:lastRenderedPageBreak/>
        <w:t xml:space="preserve">štatistických údajov za rok 2012. Výsledné národné indikatívne ciele energetickej efektívnosti do roku 2020 sú uvedené </w:t>
      </w:r>
      <w:r w:rsidRPr="00AA62B2">
        <w:rPr>
          <w:rFonts w:ascii="Times New Roman" w:hAnsi="Times New Roman" w:cs="Times New Roman"/>
          <w:sz w:val="24"/>
        </w:rPr>
        <w:t>v </w:t>
      </w:r>
      <w:r w:rsidRPr="000578FE">
        <w:rPr>
          <w:rFonts w:ascii="Times New Roman" w:hAnsi="Times New Roman" w:cs="Times New Roman"/>
          <w:sz w:val="24"/>
        </w:rPr>
        <w:t>Tabuľke č.</w:t>
      </w:r>
      <w:r w:rsidR="003F29ED" w:rsidRPr="000578FE">
        <w:rPr>
          <w:rFonts w:ascii="Times New Roman" w:hAnsi="Times New Roman" w:cs="Times New Roman"/>
          <w:sz w:val="24"/>
        </w:rPr>
        <w:t> </w:t>
      </w:r>
      <w:r w:rsidR="00C25D90" w:rsidRPr="00AA62B2">
        <w:rPr>
          <w:rFonts w:ascii="Times New Roman" w:hAnsi="Times New Roman" w:cs="Times New Roman"/>
          <w:sz w:val="24"/>
        </w:rPr>
        <w:t>3</w:t>
      </w:r>
      <w:r w:rsidR="00AC7FF7" w:rsidRPr="00AA62B2">
        <w:rPr>
          <w:rFonts w:ascii="Times New Roman" w:hAnsi="Times New Roman" w:cs="Times New Roman"/>
          <w:sz w:val="24"/>
        </w:rPr>
        <w:t>.</w:t>
      </w:r>
      <w:r w:rsidR="00AC7FF7" w:rsidRPr="007577DE">
        <w:rPr>
          <w:rFonts w:ascii="Times New Roman" w:hAnsi="Times New Roman" w:cs="Times New Roman"/>
          <w:sz w:val="24"/>
        </w:rPr>
        <w:t xml:space="preserve"> </w:t>
      </w:r>
    </w:p>
    <w:p w14:paraId="35B149F1" w14:textId="4CE3FA10" w:rsidR="00AC7FF7" w:rsidRPr="009F2998" w:rsidRDefault="00AA62B2" w:rsidP="000578FE">
      <w:pPr>
        <w:jc w:val="both"/>
        <w:rPr>
          <w:rFonts w:ascii="Times New Roman" w:hAnsi="Times New Roman" w:cs="Times New Roman"/>
        </w:rPr>
      </w:pPr>
      <w:r w:rsidRPr="009B3799">
        <w:rPr>
          <w:rFonts w:ascii="Times New Roman" w:hAnsi="Times New Roman" w:cs="Times New Roman"/>
          <w:sz w:val="24"/>
          <w:szCs w:val="24"/>
        </w:rPr>
        <w:t xml:space="preserve">Tabuľka č. 3: </w:t>
      </w:r>
      <w:r w:rsidRPr="000578FE">
        <w:rPr>
          <w:rFonts w:ascii="Times New Roman" w:hAnsi="Times New Roman" w:cs="Times New Roman"/>
          <w:sz w:val="24"/>
          <w:szCs w:val="24"/>
        </w:rPr>
        <w:t>Národné indikatívne ciele energetickej efektívnosti vyjadrené v cieľovej úrovni KES a PES v roku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5"/>
        <w:gridCol w:w="739"/>
        <w:gridCol w:w="495"/>
        <w:gridCol w:w="1203"/>
      </w:tblGrid>
      <w:tr w:rsidR="008D1A3A" w:rsidRPr="009F2998" w14:paraId="3AA2974E" w14:textId="77777777" w:rsidTr="000578FE">
        <w:trPr>
          <w:trHeight w:val="330"/>
        </w:trPr>
        <w:tc>
          <w:tcPr>
            <w:tcW w:w="3774" w:type="pct"/>
            <w:shd w:val="clear" w:color="auto" w:fill="auto"/>
            <w:vAlign w:val="center"/>
          </w:tcPr>
          <w:p w14:paraId="40F3D012" w14:textId="77777777" w:rsidR="008D1A3A" w:rsidRPr="009F2998" w:rsidRDefault="008D1A3A" w:rsidP="0075718E">
            <w:pPr>
              <w:spacing w:after="0" w:line="240" w:lineRule="auto"/>
              <w:rPr>
                <w:rFonts w:ascii="Times New Roman" w:hAnsi="Times New Roman" w:cs="Times New Roman"/>
              </w:rPr>
            </w:pPr>
            <w:r w:rsidRPr="009F2998">
              <w:rPr>
                <w:rFonts w:ascii="Times New Roman" w:hAnsi="Times New Roman" w:cs="Times New Roman"/>
              </w:rPr>
              <w:t>Národné indikatívne ciele energetickej efektívnosti</w:t>
            </w:r>
          </w:p>
        </w:tc>
        <w:tc>
          <w:tcPr>
            <w:tcW w:w="462" w:type="pct"/>
            <w:shd w:val="clear" w:color="auto" w:fill="auto"/>
            <w:noWrap/>
            <w:vAlign w:val="center"/>
          </w:tcPr>
          <w:p w14:paraId="6482188E" w14:textId="77777777" w:rsidR="008D1A3A" w:rsidRPr="009F2998" w:rsidRDefault="008D1A3A" w:rsidP="0075718E">
            <w:pPr>
              <w:spacing w:after="0" w:line="240" w:lineRule="auto"/>
              <w:jc w:val="center"/>
              <w:rPr>
                <w:rFonts w:ascii="Times New Roman" w:hAnsi="Times New Roman" w:cs="Times New Roman"/>
                <w:lang w:val="en-GB"/>
              </w:rPr>
            </w:pPr>
            <w:r w:rsidRPr="009F2998">
              <w:rPr>
                <w:rFonts w:ascii="Times New Roman" w:hAnsi="Times New Roman" w:cs="Times New Roman"/>
                <w:lang w:val="en-GB"/>
              </w:rPr>
              <w:t>[TWh]</w:t>
            </w:r>
          </w:p>
        </w:tc>
        <w:tc>
          <w:tcPr>
            <w:tcW w:w="314" w:type="pct"/>
            <w:shd w:val="clear" w:color="auto" w:fill="auto"/>
            <w:noWrap/>
            <w:vAlign w:val="center"/>
          </w:tcPr>
          <w:p w14:paraId="6DF4ED81" w14:textId="77777777" w:rsidR="008D1A3A" w:rsidRPr="009F2998" w:rsidRDefault="008D1A3A" w:rsidP="0075718E">
            <w:pPr>
              <w:spacing w:after="0" w:line="240" w:lineRule="auto"/>
              <w:jc w:val="center"/>
              <w:rPr>
                <w:rFonts w:ascii="Times New Roman" w:hAnsi="Times New Roman" w:cs="Times New Roman"/>
              </w:rPr>
            </w:pPr>
            <w:r w:rsidRPr="009F2998">
              <w:rPr>
                <w:rFonts w:ascii="Times New Roman" w:hAnsi="Times New Roman" w:cs="Times New Roman"/>
              </w:rPr>
              <w:t>[PJ]</w:t>
            </w:r>
          </w:p>
        </w:tc>
        <w:tc>
          <w:tcPr>
            <w:tcW w:w="450" w:type="pct"/>
            <w:vAlign w:val="center"/>
          </w:tcPr>
          <w:p w14:paraId="18454766" w14:textId="60FD0B5B" w:rsidR="008D1A3A" w:rsidRDefault="00505211" w:rsidP="0075718E">
            <w:pPr>
              <w:spacing w:after="0" w:line="240" w:lineRule="auto"/>
              <w:jc w:val="center"/>
              <w:rPr>
                <w:rFonts w:ascii="Times New Roman" w:hAnsi="Times New Roman" w:cs="Times New Roman"/>
              </w:rPr>
            </w:pPr>
            <w:r>
              <w:rPr>
                <w:rFonts w:ascii="Times New Roman" w:hAnsi="Times New Roman" w:cs="Times New Roman"/>
              </w:rPr>
              <w:t xml:space="preserve">podiel </w:t>
            </w:r>
            <w:r w:rsidR="008D1A3A" w:rsidRPr="009F2998">
              <w:rPr>
                <w:rFonts w:ascii="Times New Roman" w:hAnsi="Times New Roman" w:cs="Times New Roman"/>
              </w:rPr>
              <w:t>oproti základnému scenáru</w:t>
            </w:r>
          </w:p>
          <w:p w14:paraId="6848599C" w14:textId="66C146D4" w:rsidR="00505211" w:rsidRPr="009F2998" w:rsidRDefault="00505211" w:rsidP="00505211">
            <w:pPr>
              <w:spacing w:after="0" w:line="240" w:lineRule="auto"/>
              <w:jc w:val="center"/>
              <w:rPr>
                <w:rFonts w:ascii="Times New Roman" w:hAnsi="Times New Roman" w:cs="Times New Roman"/>
              </w:rPr>
            </w:pPr>
            <w:r w:rsidRPr="009F2998">
              <w:rPr>
                <w:rFonts w:ascii="Times New Roman" w:hAnsi="Times New Roman" w:cs="Times New Roman"/>
              </w:rPr>
              <w:t>[</w:t>
            </w:r>
            <w:r>
              <w:rPr>
                <w:rFonts w:ascii="Times New Roman" w:hAnsi="Times New Roman" w:cs="Times New Roman"/>
              </w:rPr>
              <w:t>%</w:t>
            </w:r>
            <w:r w:rsidRPr="009F2998">
              <w:rPr>
                <w:rFonts w:ascii="Times New Roman" w:hAnsi="Times New Roman" w:cs="Times New Roman"/>
              </w:rPr>
              <w:t>]</w:t>
            </w:r>
          </w:p>
        </w:tc>
      </w:tr>
      <w:tr w:rsidR="008D1A3A" w:rsidRPr="009F2998" w14:paraId="3ED4338D" w14:textId="77777777" w:rsidTr="000578FE">
        <w:trPr>
          <w:trHeight w:val="330"/>
        </w:trPr>
        <w:tc>
          <w:tcPr>
            <w:tcW w:w="3774" w:type="pct"/>
            <w:tcBorders>
              <w:bottom w:val="single" w:sz="4" w:space="0" w:color="auto"/>
            </w:tcBorders>
            <w:shd w:val="clear" w:color="auto" w:fill="auto"/>
            <w:vAlign w:val="center"/>
          </w:tcPr>
          <w:p w14:paraId="0A9358D1" w14:textId="77777777" w:rsidR="008D1A3A" w:rsidRPr="009F2998" w:rsidRDefault="008D1A3A" w:rsidP="0075718E">
            <w:pPr>
              <w:spacing w:after="0" w:line="240" w:lineRule="auto"/>
              <w:rPr>
                <w:rFonts w:ascii="Times New Roman" w:hAnsi="Times New Roman" w:cs="Times New Roman"/>
              </w:rPr>
            </w:pPr>
            <w:r w:rsidRPr="009F2998">
              <w:rPr>
                <w:rFonts w:ascii="Times New Roman" w:hAnsi="Times New Roman" w:cs="Times New Roman"/>
              </w:rPr>
              <w:t>Cieľová úroveň konečnej energetickej spotreby v roku 2020</w:t>
            </w:r>
          </w:p>
        </w:tc>
        <w:tc>
          <w:tcPr>
            <w:tcW w:w="462" w:type="pct"/>
            <w:tcBorders>
              <w:bottom w:val="single" w:sz="4" w:space="0" w:color="auto"/>
            </w:tcBorders>
            <w:shd w:val="clear" w:color="auto" w:fill="auto"/>
            <w:noWrap/>
            <w:vAlign w:val="center"/>
          </w:tcPr>
          <w:p w14:paraId="51C2F65C" w14:textId="66A99033" w:rsidR="008D1A3A" w:rsidRPr="009F2998" w:rsidRDefault="008D1A3A" w:rsidP="00505211">
            <w:pPr>
              <w:spacing w:after="0" w:line="240" w:lineRule="auto"/>
              <w:jc w:val="right"/>
              <w:rPr>
                <w:rFonts w:ascii="Times New Roman" w:hAnsi="Times New Roman" w:cs="Times New Roman"/>
              </w:rPr>
            </w:pPr>
            <w:r w:rsidRPr="009F2998">
              <w:rPr>
                <w:rFonts w:ascii="Times New Roman" w:hAnsi="Times New Roman" w:cs="Times New Roman"/>
              </w:rPr>
              <w:t>105</w:t>
            </w:r>
          </w:p>
        </w:tc>
        <w:tc>
          <w:tcPr>
            <w:tcW w:w="314" w:type="pct"/>
            <w:tcBorders>
              <w:bottom w:val="single" w:sz="4" w:space="0" w:color="auto"/>
            </w:tcBorders>
            <w:shd w:val="clear" w:color="auto" w:fill="auto"/>
            <w:noWrap/>
            <w:vAlign w:val="center"/>
          </w:tcPr>
          <w:p w14:paraId="3F71F63F" w14:textId="120DF52F" w:rsidR="008D1A3A" w:rsidRPr="009F2998" w:rsidRDefault="008D1A3A" w:rsidP="00CD4818">
            <w:pPr>
              <w:spacing w:after="0" w:line="240" w:lineRule="auto"/>
              <w:jc w:val="right"/>
              <w:rPr>
                <w:rFonts w:ascii="Times New Roman" w:hAnsi="Times New Roman" w:cs="Times New Roman"/>
              </w:rPr>
            </w:pPr>
            <w:r w:rsidRPr="009F2998">
              <w:rPr>
                <w:rFonts w:ascii="Times New Roman" w:hAnsi="Times New Roman" w:cs="Times New Roman"/>
              </w:rPr>
              <w:t>387</w:t>
            </w:r>
          </w:p>
        </w:tc>
        <w:tc>
          <w:tcPr>
            <w:tcW w:w="450" w:type="pct"/>
            <w:tcBorders>
              <w:bottom w:val="single" w:sz="4" w:space="0" w:color="auto"/>
            </w:tcBorders>
            <w:vAlign w:val="center"/>
          </w:tcPr>
          <w:p w14:paraId="1200AC07" w14:textId="24A33E0B" w:rsidR="008D1A3A" w:rsidRPr="009F2998" w:rsidRDefault="008D1A3A" w:rsidP="00505211">
            <w:pPr>
              <w:spacing w:after="0" w:line="240" w:lineRule="auto"/>
              <w:jc w:val="right"/>
              <w:rPr>
                <w:rFonts w:ascii="Times New Roman" w:hAnsi="Times New Roman" w:cs="Times New Roman"/>
              </w:rPr>
            </w:pPr>
            <w:r w:rsidRPr="009F2998">
              <w:rPr>
                <w:rFonts w:ascii="Times New Roman" w:hAnsi="Times New Roman" w:cs="Times New Roman"/>
              </w:rPr>
              <w:t>31</w:t>
            </w:r>
            <w:bookmarkStart w:id="15" w:name="_Ref473645811"/>
            <w:r w:rsidR="0075718E" w:rsidRPr="009F2998">
              <w:rPr>
                <w:rStyle w:val="Odkaznapoznmkupodiarou"/>
                <w:rFonts w:ascii="Times New Roman" w:hAnsi="Times New Roman" w:cs="Times New Roman"/>
              </w:rPr>
              <w:footnoteReference w:id="12"/>
            </w:r>
            <w:bookmarkEnd w:id="15"/>
          </w:p>
        </w:tc>
      </w:tr>
      <w:tr w:rsidR="008D1A3A" w:rsidRPr="009F2998" w14:paraId="7F2DA934" w14:textId="77777777" w:rsidTr="000578FE">
        <w:trPr>
          <w:trHeight w:val="330"/>
        </w:trPr>
        <w:tc>
          <w:tcPr>
            <w:tcW w:w="3774" w:type="pct"/>
            <w:tcBorders>
              <w:bottom w:val="single" w:sz="4" w:space="0" w:color="auto"/>
            </w:tcBorders>
            <w:shd w:val="clear" w:color="auto" w:fill="auto"/>
            <w:vAlign w:val="center"/>
          </w:tcPr>
          <w:p w14:paraId="6DCA8C19" w14:textId="77777777" w:rsidR="008D1A3A" w:rsidRPr="009F2998" w:rsidRDefault="008D1A3A" w:rsidP="0075718E">
            <w:pPr>
              <w:spacing w:after="0" w:line="240" w:lineRule="auto"/>
              <w:rPr>
                <w:rFonts w:ascii="Times New Roman" w:hAnsi="Times New Roman" w:cs="Times New Roman"/>
              </w:rPr>
            </w:pPr>
            <w:r w:rsidRPr="009F2998">
              <w:rPr>
                <w:rFonts w:ascii="Times New Roman" w:hAnsi="Times New Roman" w:cs="Times New Roman"/>
              </w:rPr>
              <w:t>Cieľová úroveň primárnej energetickej spotreby v roku 2020</w:t>
            </w:r>
          </w:p>
        </w:tc>
        <w:tc>
          <w:tcPr>
            <w:tcW w:w="462" w:type="pct"/>
            <w:tcBorders>
              <w:bottom w:val="single" w:sz="4" w:space="0" w:color="auto"/>
            </w:tcBorders>
            <w:shd w:val="clear" w:color="auto" w:fill="auto"/>
            <w:noWrap/>
            <w:vAlign w:val="center"/>
          </w:tcPr>
          <w:p w14:paraId="0E6DA028" w14:textId="258FFC79" w:rsidR="008D1A3A" w:rsidRPr="009F2998" w:rsidRDefault="008D1A3A" w:rsidP="00505211">
            <w:pPr>
              <w:spacing w:after="0" w:line="240" w:lineRule="auto"/>
              <w:jc w:val="right"/>
              <w:rPr>
                <w:rFonts w:ascii="Times New Roman" w:hAnsi="Times New Roman" w:cs="Times New Roman"/>
              </w:rPr>
            </w:pPr>
            <w:r w:rsidRPr="009F2998">
              <w:rPr>
                <w:rFonts w:ascii="Times New Roman" w:hAnsi="Times New Roman" w:cs="Times New Roman"/>
              </w:rPr>
              <w:t>191</w:t>
            </w:r>
          </w:p>
        </w:tc>
        <w:tc>
          <w:tcPr>
            <w:tcW w:w="314" w:type="pct"/>
            <w:tcBorders>
              <w:bottom w:val="single" w:sz="4" w:space="0" w:color="auto"/>
            </w:tcBorders>
            <w:shd w:val="clear" w:color="auto" w:fill="auto"/>
            <w:noWrap/>
            <w:vAlign w:val="center"/>
          </w:tcPr>
          <w:p w14:paraId="1EA5E8CA" w14:textId="1FD56495" w:rsidR="008D1A3A" w:rsidRPr="009F2998" w:rsidRDefault="008D1A3A" w:rsidP="00CD4818">
            <w:pPr>
              <w:spacing w:after="0" w:line="240" w:lineRule="auto"/>
              <w:jc w:val="right"/>
              <w:rPr>
                <w:rFonts w:ascii="Times New Roman" w:hAnsi="Times New Roman" w:cs="Times New Roman"/>
              </w:rPr>
            </w:pPr>
            <w:r w:rsidRPr="009F2998">
              <w:rPr>
                <w:rFonts w:ascii="Times New Roman" w:hAnsi="Times New Roman" w:cs="Times New Roman"/>
              </w:rPr>
              <w:t>686</w:t>
            </w:r>
          </w:p>
        </w:tc>
        <w:tc>
          <w:tcPr>
            <w:tcW w:w="450" w:type="pct"/>
            <w:tcBorders>
              <w:bottom w:val="single" w:sz="4" w:space="0" w:color="auto"/>
            </w:tcBorders>
            <w:vAlign w:val="center"/>
          </w:tcPr>
          <w:p w14:paraId="5DE04115" w14:textId="5FF27051" w:rsidR="008D1A3A" w:rsidRPr="009F2998" w:rsidRDefault="00A34300" w:rsidP="00505211">
            <w:pPr>
              <w:spacing w:after="0" w:line="240" w:lineRule="auto"/>
              <w:jc w:val="right"/>
              <w:rPr>
                <w:rFonts w:ascii="Times New Roman" w:hAnsi="Times New Roman" w:cs="Times New Roman"/>
              </w:rPr>
            </w:pPr>
            <w:r>
              <w:rPr>
                <w:rFonts w:ascii="Times New Roman" w:hAnsi="Times New Roman" w:cs="Times New Roman"/>
              </w:rPr>
              <w:t>20</w:t>
            </w:r>
            <w:r w:rsidR="0075718E" w:rsidRPr="009F2998">
              <w:rPr>
                <w:rFonts w:ascii="Times New Roman" w:hAnsi="Times New Roman" w:cs="Times New Roman"/>
              </w:rPr>
              <w:fldChar w:fldCharType="begin"/>
            </w:r>
            <w:r w:rsidR="0075718E" w:rsidRPr="009F2998">
              <w:rPr>
                <w:rFonts w:ascii="Times New Roman" w:hAnsi="Times New Roman" w:cs="Times New Roman"/>
              </w:rPr>
              <w:instrText xml:space="preserve"> NOTEREF _Ref473645811 \f \h  \* MERGEFORMAT </w:instrText>
            </w:r>
            <w:r w:rsidR="0075718E" w:rsidRPr="009F2998">
              <w:rPr>
                <w:rFonts w:ascii="Times New Roman" w:hAnsi="Times New Roman" w:cs="Times New Roman"/>
              </w:rPr>
            </w:r>
            <w:r w:rsidR="0075718E" w:rsidRPr="009F2998">
              <w:rPr>
                <w:rFonts w:ascii="Times New Roman" w:hAnsi="Times New Roman" w:cs="Times New Roman"/>
              </w:rPr>
              <w:fldChar w:fldCharType="separate"/>
            </w:r>
            <w:r w:rsidR="007C62A8" w:rsidRPr="007C62A8">
              <w:rPr>
                <w:rStyle w:val="Odkaznapoznmkupodiarou"/>
              </w:rPr>
              <w:t>12</w:t>
            </w:r>
            <w:r w:rsidR="0075718E" w:rsidRPr="009F2998">
              <w:rPr>
                <w:rFonts w:ascii="Times New Roman" w:hAnsi="Times New Roman" w:cs="Times New Roman"/>
              </w:rPr>
              <w:fldChar w:fldCharType="end"/>
            </w:r>
          </w:p>
        </w:tc>
      </w:tr>
    </w:tbl>
    <w:p w14:paraId="398ACA30" w14:textId="3AA51864" w:rsidR="00B26755" w:rsidRPr="009F2998" w:rsidRDefault="00B26755" w:rsidP="0049533A">
      <w:pPr>
        <w:rPr>
          <w:rFonts w:ascii="Times New Roman" w:hAnsi="Times New Roman" w:cs="Times New Roman"/>
        </w:rPr>
      </w:pPr>
    </w:p>
    <w:p w14:paraId="78897D47" w14:textId="2591D765" w:rsidR="00505211" w:rsidRPr="000578FE" w:rsidRDefault="00505211" w:rsidP="00505211">
      <w:pPr>
        <w:jc w:val="both"/>
        <w:rPr>
          <w:rFonts w:ascii="Times New Roman" w:hAnsi="Times New Roman" w:cs="Times New Roman"/>
          <w:sz w:val="24"/>
          <w:szCs w:val="24"/>
        </w:rPr>
      </w:pPr>
      <w:r w:rsidRPr="00505211">
        <w:rPr>
          <w:rFonts w:ascii="Times New Roman" w:hAnsi="Times New Roman" w:cs="Times New Roman"/>
          <w:sz w:val="24"/>
          <w:szCs w:val="24"/>
        </w:rPr>
        <w:t xml:space="preserve">Tabuľka č. 4: </w:t>
      </w:r>
      <w:r w:rsidRPr="000578FE">
        <w:rPr>
          <w:rFonts w:ascii="Times New Roman" w:eastAsia="Times New Roman" w:hAnsi="Times New Roman" w:cs="Times New Roman"/>
          <w:color w:val="000000"/>
          <w:sz w:val="24"/>
          <w:szCs w:val="24"/>
          <w:lang w:eastAsia="sk-SK"/>
        </w:rPr>
        <w:t>Národné indikatívne ciele energetickej efektívnosti SR – vyhodnotenie za rok 2014 a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0"/>
        <w:gridCol w:w="853"/>
        <w:gridCol w:w="709"/>
        <w:gridCol w:w="852"/>
        <w:gridCol w:w="990"/>
        <w:gridCol w:w="988"/>
      </w:tblGrid>
      <w:tr w:rsidR="00C6290D" w:rsidRPr="009F2998" w14:paraId="24AFF8F3" w14:textId="77777777" w:rsidTr="000578FE">
        <w:trPr>
          <w:trHeight w:val="300"/>
        </w:trPr>
        <w:tc>
          <w:tcPr>
            <w:tcW w:w="2577" w:type="pct"/>
            <w:vMerge w:val="restart"/>
            <w:shd w:val="clear" w:color="auto" w:fill="auto"/>
            <w:noWrap/>
            <w:vAlign w:val="center"/>
            <w:hideMark/>
          </w:tcPr>
          <w:p w14:paraId="1A520D62" w14:textId="77777777" w:rsidR="00505211" w:rsidRPr="007577DE" w:rsidRDefault="00505211" w:rsidP="00434D49">
            <w:pPr>
              <w:spacing w:after="0" w:line="240" w:lineRule="auto"/>
              <w:rPr>
                <w:rFonts w:ascii="Times New Roman" w:eastAsia="Times New Roman" w:hAnsi="Times New Roman" w:cs="Times New Roman"/>
                <w:color w:val="000000"/>
                <w:sz w:val="20"/>
                <w:szCs w:val="20"/>
                <w:lang w:eastAsia="sk-SK"/>
              </w:rPr>
            </w:pPr>
            <w:r w:rsidRPr="007577DE">
              <w:rPr>
                <w:rFonts w:ascii="Times New Roman" w:hAnsi="Times New Roman" w:cs="Times New Roman"/>
                <w:sz w:val="20"/>
                <w:szCs w:val="20"/>
              </w:rPr>
              <w:t>Národné indikatívne ciele energetickej efektívnosti</w:t>
            </w:r>
          </w:p>
        </w:tc>
        <w:tc>
          <w:tcPr>
            <w:tcW w:w="471" w:type="pct"/>
            <w:vAlign w:val="center"/>
          </w:tcPr>
          <w:p w14:paraId="58D8315B" w14:textId="77777777" w:rsidR="00505211" w:rsidRPr="007577DE" w:rsidRDefault="00505211" w:rsidP="00434D49">
            <w:pPr>
              <w:spacing w:after="0" w:line="240" w:lineRule="auto"/>
              <w:jc w:val="center"/>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bCs/>
                <w:color w:val="000000"/>
                <w:sz w:val="20"/>
                <w:szCs w:val="20"/>
                <w:lang w:eastAsia="sk-SK"/>
              </w:rPr>
              <w:t>Jednotka</w:t>
            </w:r>
          </w:p>
        </w:tc>
        <w:tc>
          <w:tcPr>
            <w:tcW w:w="391" w:type="pct"/>
            <w:shd w:val="clear" w:color="auto" w:fill="auto"/>
            <w:noWrap/>
            <w:vAlign w:val="center"/>
            <w:hideMark/>
          </w:tcPr>
          <w:p w14:paraId="78EA5835" w14:textId="77777777" w:rsidR="00505211" w:rsidRPr="007577DE" w:rsidRDefault="00505211" w:rsidP="00434D49">
            <w:pPr>
              <w:spacing w:after="0" w:line="240" w:lineRule="auto"/>
              <w:jc w:val="center"/>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color w:val="000000"/>
                <w:sz w:val="20"/>
                <w:szCs w:val="20"/>
                <w:lang w:eastAsia="sk-SK"/>
              </w:rPr>
              <w:t>Cieľ 2020</w:t>
            </w:r>
          </w:p>
        </w:tc>
        <w:tc>
          <w:tcPr>
            <w:tcW w:w="470" w:type="pct"/>
            <w:shd w:val="clear" w:color="auto" w:fill="auto"/>
            <w:noWrap/>
            <w:vAlign w:val="center"/>
            <w:hideMark/>
          </w:tcPr>
          <w:p w14:paraId="5146D586" w14:textId="77777777" w:rsidR="00505211" w:rsidRPr="007577DE" w:rsidRDefault="00505211" w:rsidP="00434D49">
            <w:pPr>
              <w:spacing w:after="0" w:line="240" w:lineRule="auto"/>
              <w:jc w:val="center"/>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bCs/>
                <w:color w:val="000000"/>
                <w:sz w:val="20"/>
                <w:szCs w:val="20"/>
                <w:lang w:eastAsia="sk-SK"/>
              </w:rPr>
              <w:t>Plnenie 2014</w:t>
            </w:r>
          </w:p>
        </w:tc>
        <w:tc>
          <w:tcPr>
            <w:tcW w:w="546" w:type="pct"/>
            <w:vAlign w:val="center"/>
          </w:tcPr>
          <w:p w14:paraId="257A61A7" w14:textId="77777777" w:rsidR="00505211" w:rsidRPr="007577DE" w:rsidRDefault="00505211" w:rsidP="00434D49">
            <w:pPr>
              <w:spacing w:after="0" w:line="240" w:lineRule="auto"/>
              <w:jc w:val="center"/>
              <w:rPr>
                <w:rFonts w:ascii="Times New Roman" w:eastAsia="Times New Roman" w:hAnsi="Times New Roman" w:cs="Times New Roman"/>
                <w:bCs/>
                <w:color w:val="000000"/>
                <w:sz w:val="20"/>
                <w:szCs w:val="20"/>
                <w:lang w:eastAsia="sk-SK"/>
              </w:rPr>
            </w:pPr>
            <w:r w:rsidRPr="007577DE">
              <w:rPr>
                <w:rFonts w:ascii="Times New Roman" w:eastAsia="Times New Roman" w:hAnsi="Times New Roman" w:cs="Times New Roman"/>
                <w:bCs/>
                <w:color w:val="000000"/>
                <w:sz w:val="20"/>
                <w:szCs w:val="20"/>
                <w:lang w:eastAsia="sk-SK"/>
              </w:rPr>
              <w:t>Plnenie 2014</w:t>
            </w:r>
          </w:p>
        </w:tc>
        <w:tc>
          <w:tcPr>
            <w:tcW w:w="545" w:type="pct"/>
            <w:vAlign w:val="center"/>
          </w:tcPr>
          <w:p w14:paraId="630113B1" w14:textId="77777777" w:rsidR="00505211" w:rsidRPr="007577DE" w:rsidRDefault="00505211" w:rsidP="00434D49">
            <w:pPr>
              <w:spacing w:after="0" w:line="240" w:lineRule="auto"/>
              <w:jc w:val="center"/>
              <w:rPr>
                <w:rFonts w:ascii="Times New Roman" w:eastAsia="Times New Roman" w:hAnsi="Times New Roman" w:cs="Times New Roman"/>
                <w:bCs/>
                <w:color w:val="000000"/>
                <w:sz w:val="20"/>
                <w:szCs w:val="20"/>
                <w:lang w:eastAsia="sk-SK"/>
              </w:rPr>
            </w:pPr>
            <w:r w:rsidRPr="007577DE">
              <w:rPr>
                <w:rFonts w:ascii="Times New Roman" w:eastAsia="Times New Roman" w:hAnsi="Times New Roman" w:cs="Times New Roman"/>
                <w:bCs/>
                <w:color w:val="000000"/>
                <w:sz w:val="20"/>
                <w:szCs w:val="20"/>
                <w:lang w:eastAsia="sk-SK"/>
              </w:rPr>
              <w:t>Plnenie 2015</w:t>
            </w:r>
          </w:p>
        </w:tc>
      </w:tr>
      <w:tr w:rsidR="00C6290D" w:rsidRPr="009F2998" w14:paraId="0E7B8E50" w14:textId="77777777" w:rsidTr="000578FE">
        <w:trPr>
          <w:trHeight w:val="300"/>
        </w:trPr>
        <w:tc>
          <w:tcPr>
            <w:tcW w:w="2577" w:type="pct"/>
            <w:vMerge/>
            <w:shd w:val="clear" w:color="auto" w:fill="auto"/>
            <w:noWrap/>
            <w:vAlign w:val="center"/>
            <w:hideMark/>
          </w:tcPr>
          <w:p w14:paraId="04738245" w14:textId="77777777" w:rsidR="00505211" w:rsidRPr="007577DE" w:rsidRDefault="00505211" w:rsidP="00434D49">
            <w:pPr>
              <w:spacing w:after="0" w:line="240" w:lineRule="auto"/>
              <w:rPr>
                <w:rFonts w:ascii="Times New Roman" w:eastAsia="Times New Roman" w:hAnsi="Times New Roman" w:cs="Times New Roman"/>
                <w:color w:val="000000"/>
                <w:sz w:val="20"/>
                <w:szCs w:val="20"/>
                <w:lang w:eastAsia="sk-SK"/>
              </w:rPr>
            </w:pPr>
          </w:p>
        </w:tc>
        <w:tc>
          <w:tcPr>
            <w:tcW w:w="471" w:type="pct"/>
            <w:vAlign w:val="center"/>
          </w:tcPr>
          <w:p w14:paraId="5E595493" w14:textId="77777777" w:rsidR="00505211" w:rsidRPr="007577DE" w:rsidRDefault="00505211" w:rsidP="00434D49">
            <w:pPr>
              <w:spacing w:after="0" w:line="240" w:lineRule="auto"/>
              <w:jc w:val="center"/>
              <w:rPr>
                <w:rFonts w:ascii="Times New Roman" w:eastAsia="Times New Roman" w:hAnsi="Times New Roman" w:cs="Times New Roman"/>
                <w:sz w:val="20"/>
                <w:szCs w:val="20"/>
                <w:lang w:eastAsia="sk-SK"/>
              </w:rPr>
            </w:pPr>
          </w:p>
        </w:tc>
        <w:tc>
          <w:tcPr>
            <w:tcW w:w="391" w:type="pct"/>
            <w:shd w:val="clear" w:color="auto" w:fill="auto"/>
            <w:noWrap/>
            <w:vAlign w:val="center"/>
            <w:hideMark/>
          </w:tcPr>
          <w:p w14:paraId="240E7E7F" w14:textId="77777777" w:rsidR="00505211" w:rsidRPr="007577DE" w:rsidRDefault="00505211" w:rsidP="00434D49">
            <w:pPr>
              <w:spacing w:after="0" w:line="240" w:lineRule="auto"/>
              <w:jc w:val="center"/>
              <w:rPr>
                <w:rFonts w:ascii="Times New Roman" w:eastAsia="Times New Roman" w:hAnsi="Times New Roman" w:cs="Times New Roman"/>
                <w:sz w:val="20"/>
                <w:szCs w:val="20"/>
                <w:lang w:eastAsia="sk-SK"/>
              </w:rPr>
            </w:pPr>
          </w:p>
        </w:tc>
        <w:tc>
          <w:tcPr>
            <w:tcW w:w="470" w:type="pct"/>
            <w:shd w:val="clear" w:color="auto" w:fill="auto"/>
            <w:noWrap/>
            <w:vAlign w:val="center"/>
            <w:hideMark/>
          </w:tcPr>
          <w:p w14:paraId="5B17819C" w14:textId="77777777" w:rsidR="00505211" w:rsidRPr="007577DE" w:rsidRDefault="00505211" w:rsidP="00434D49">
            <w:pPr>
              <w:spacing w:after="0" w:line="240" w:lineRule="auto"/>
              <w:jc w:val="center"/>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bCs/>
                <w:color w:val="000000"/>
                <w:sz w:val="20"/>
                <w:szCs w:val="20"/>
                <w:lang w:eastAsia="sk-SK"/>
              </w:rPr>
              <w:t>ŠÚSR</w:t>
            </w:r>
          </w:p>
        </w:tc>
        <w:tc>
          <w:tcPr>
            <w:tcW w:w="546" w:type="pct"/>
            <w:vAlign w:val="center"/>
          </w:tcPr>
          <w:p w14:paraId="2FD435B5" w14:textId="6B8ADC6C" w:rsidR="00505211" w:rsidRPr="007577DE" w:rsidRDefault="00505211" w:rsidP="00C6290D">
            <w:pPr>
              <w:spacing w:after="0" w:line="240" w:lineRule="auto"/>
              <w:jc w:val="center"/>
              <w:rPr>
                <w:rFonts w:ascii="Times New Roman" w:eastAsia="Times New Roman" w:hAnsi="Times New Roman" w:cs="Times New Roman"/>
                <w:bCs/>
                <w:color w:val="000000"/>
                <w:sz w:val="20"/>
                <w:szCs w:val="20"/>
                <w:lang w:eastAsia="sk-SK"/>
              </w:rPr>
            </w:pPr>
            <w:r w:rsidRPr="007577DE">
              <w:rPr>
                <w:rFonts w:ascii="Times New Roman" w:eastAsia="Times New Roman" w:hAnsi="Times New Roman" w:cs="Times New Roman"/>
                <w:bCs/>
                <w:color w:val="000000"/>
                <w:sz w:val="20"/>
                <w:szCs w:val="20"/>
                <w:lang w:eastAsia="sk-SK"/>
              </w:rPr>
              <w:t>Eurostat</w:t>
            </w:r>
          </w:p>
        </w:tc>
        <w:tc>
          <w:tcPr>
            <w:tcW w:w="545" w:type="pct"/>
            <w:vAlign w:val="center"/>
          </w:tcPr>
          <w:p w14:paraId="7B1D3A24" w14:textId="77777777" w:rsidR="00505211" w:rsidRPr="007577DE" w:rsidRDefault="00505211" w:rsidP="00434D49">
            <w:pPr>
              <w:spacing w:after="0" w:line="240" w:lineRule="auto"/>
              <w:jc w:val="center"/>
              <w:rPr>
                <w:rFonts w:ascii="Times New Roman" w:eastAsia="Times New Roman" w:hAnsi="Times New Roman" w:cs="Times New Roman"/>
                <w:bCs/>
                <w:color w:val="000000"/>
                <w:sz w:val="20"/>
                <w:szCs w:val="20"/>
                <w:lang w:eastAsia="sk-SK"/>
              </w:rPr>
            </w:pPr>
            <w:r w:rsidRPr="007577DE">
              <w:rPr>
                <w:rFonts w:ascii="Times New Roman" w:eastAsia="Times New Roman" w:hAnsi="Times New Roman" w:cs="Times New Roman"/>
                <w:bCs/>
                <w:color w:val="000000"/>
                <w:sz w:val="20"/>
                <w:szCs w:val="20"/>
                <w:lang w:eastAsia="sk-SK"/>
              </w:rPr>
              <w:t>ŠÚSR</w:t>
            </w:r>
          </w:p>
        </w:tc>
      </w:tr>
      <w:tr w:rsidR="00C6290D" w:rsidRPr="009F2998" w14:paraId="2C9B6684" w14:textId="77777777" w:rsidTr="000578FE">
        <w:trPr>
          <w:trHeight w:val="300"/>
        </w:trPr>
        <w:tc>
          <w:tcPr>
            <w:tcW w:w="2577" w:type="pct"/>
            <w:vMerge w:val="restart"/>
            <w:shd w:val="clear" w:color="auto" w:fill="auto"/>
            <w:noWrap/>
            <w:vAlign w:val="center"/>
            <w:hideMark/>
          </w:tcPr>
          <w:p w14:paraId="2DCB4AE0" w14:textId="77777777" w:rsidR="00505211" w:rsidRPr="007577DE" w:rsidRDefault="00505211" w:rsidP="00434D49">
            <w:pPr>
              <w:spacing w:after="0" w:line="240" w:lineRule="auto"/>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color w:val="000000"/>
                <w:sz w:val="20"/>
                <w:szCs w:val="20"/>
                <w:lang w:eastAsia="sk-SK"/>
              </w:rPr>
              <w:t>Cieľ energetickej efektívnosti vyjadrený v absolútnej hodnote konečnej spotreby energie v roku 2020</w:t>
            </w:r>
          </w:p>
        </w:tc>
        <w:tc>
          <w:tcPr>
            <w:tcW w:w="471" w:type="pct"/>
            <w:vAlign w:val="center"/>
          </w:tcPr>
          <w:p w14:paraId="6B043F5A"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color w:val="000000"/>
                <w:sz w:val="20"/>
                <w:szCs w:val="20"/>
                <w:lang w:eastAsia="sk-SK"/>
              </w:rPr>
              <w:t>PJ</w:t>
            </w:r>
          </w:p>
        </w:tc>
        <w:tc>
          <w:tcPr>
            <w:tcW w:w="391" w:type="pct"/>
            <w:shd w:val="clear" w:color="auto" w:fill="auto"/>
            <w:noWrap/>
            <w:vAlign w:val="center"/>
            <w:hideMark/>
          </w:tcPr>
          <w:p w14:paraId="1CFF4094"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color w:val="000000"/>
                <w:sz w:val="20"/>
                <w:szCs w:val="20"/>
                <w:lang w:eastAsia="sk-SK"/>
              </w:rPr>
              <w:t>387</w:t>
            </w:r>
          </w:p>
        </w:tc>
        <w:tc>
          <w:tcPr>
            <w:tcW w:w="470" w:type="pct"/>
            <w:shd w:val="clear" w:color="auto" w:fill="auto"/>
            <w:noWrap/>
            <w:vAlign w:val="center"/>
            <w:hideMark/>
          </w:tcPr>
          <w:p w14:paraId="075D425D"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color w:val="000000"/>
                <w:sz w:val="20"/>
                <w:szCs w:val="20"/>
                <w:lang w:eastAsia="sk-SK"/>
              </w:rPr>
              <w:t>367</w:t>
            </w:r>
          </w:p>
        </w:tc>
        <w:tc>
          <w:tcPr>
            <w:tcW w:w="546" w:type="pct"/>
            <w:vAlign w:val="center"/>
          </w:tcPr>
          <w:p w14:paraId="1FC7A009"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color w:val="000000"/>
                <w:sz w:val="20"/>
                <w:szCs w:val="20"/>
                <w:lang w:eastAsia="sk-SK"/>
              </w:rPr>
              <w:t>421</w:t>
            </w:r>
          </w:p>
        </w:tc>
        <w:tc>
          <w:tcPr>
            <w:tcW w:w="545" w:type="pct"/>
          </w:tcPr>
          <w:p w14:paraId="4853403A"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color w:val="000000"/>
                <w:sz w:val="20"/>
                <w:szCs w:val="20"/>
                <w:lang w:eastAsia="sk-SK"/>
              </w:rPr>
              <w:t>383</w:t>
            </w:r>
          </w:p>
        </w:tc>
      </w:tr>
      <w:tr w:rsidR="00C6290D" w:rsidRPr="009F2998" w14:paraId="1CF2042E" w14:textId="77777777" w:rsidTr="000578FE">
        <w:trPr>
          <w:trHeight w:val="300"/>
        </w:trPr>
        <w:tc>
          <w:tcPr>
            <w:tcW w:w="2577" w:type="pct"/>
            <w:vMerge/>
            <w:shd w:val="clear" w:color="auto" w:fill="auto"/>
            <w:noWrap/>
            <w:vAlign w:val="center"/>
          </w:tcPr>
          <w:p w14:paraId="24303D6A" w14:textId="77777777" w:rsidR="00505211" w:rsidRPr="007577DE" w:rsidRDefault="00505211" w:rsidP="00434D49">
            <w:pPr>
              <w:spacing w:after="0" w:line="240" w:lineRule="auto"/>
              <w:rPr>
                <w:rFonts w:ascii="Times New Roman" w:eastAsia="Times New Roman" w:hAnsi="Times New Roman" w:cs="Times New Roman"/>
                <w:color w:val="000000"/>
                <w:sz w:val="20"/>
                <w:szCs w:val="20"/>
                <w:lang w:eastAsia="sk-SK"/>
              </w:rPr>
            </w:pPr>
          </w:p>
        </w:tc>
        <w:tc>
          <w:tcPr>
            <w:tcW w:w="471" w:type="pct"/>
            <w:vAlign w:val="center"/>
          </w:tcPr>
          <w:p w14:paraId="69B0C80C"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color w:val="000000"/>
                <w:sz w:val="20"/>
                <w:szCs w:val="20"/>
                <w:lang w:eastAsia="sk-SK"/>
              </w:rPr>
              <w:t>Mtoe</w:t>
            </w:r>
          </w:p>
        </w:tc>
        <w:tc>
          <w:tcPr>
            <w:tcW w:w="391" w:type="pct"/>
            <w:shd w:val="clear" w:color="auto" w:fill="auto"/>
            <w:noWrap/>
            <w:vAlign w:val="center"/>
          </w:tcPr>
          <w:p w14:paraId="3DF76B92"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color w:val="000000"/>
                <w:sz w:val="20"/>
                <w:szCs w:val="20"/>
                <w:lang w:eastAsia="sk-SK"/>
              </w:rPr>
              <w:t>9,24</w:t>
            </w:r>
          </w:p>
        </w:tc>
        <w:tc>
          <w:tcPr>
            <w:tcW w:w="470" w:type="pct"/>
            <w:shd w:val="clear" w:color="auto" w:fill="auto"/>
            <w:noWrap/>
            <w:vAlign w:val="center"/>
          </w:tcPr>
          <w:p w14:paraId="57E69981"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color w:val="000000"/>
                <w:sz w:val="20"/>
                <w:szCs w:val="20"/>
                <w:lang w:eastAsia="sk-SK"/>
              </w:rPr>
              <w:t>-</w:t>
            </w:r>
          </w:p>
        </w:tc>
        <w:tc>
          <w:tcPr>
            <w:tcW w:w="546" w:type="pct"/>
            <w:vAlign w:val="center"/>
          </w:tcPr>
          <w:p w14:paraId="449BBF0F"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color w:val="000000"/>
                <w:sz w:val="20"/>
                <w:szCs w:val="20"/>
                <w:lang w:eastAsia="sk-SK"/>
              </w:rPr>
              <w:t>-</w:t>
            </w:r>
          </w:p>
        </w:tc>
        <w:tc>
          <w:tcPr>
            <w:tcW w:w="545" w:type="pct"/>
          </w:tcPr>
          <w:p w14:paraId="25FD6A15"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color w:val="000000"/>
                <w:sz w:val="20"/>
                <w:szCs w:val="20"/>
                <w:lang w:eastAsia="sk-SK"/>
              </w:rPr>
              <w:t>-</w:t>
            </w:r>
          </w:p>
        </w:tc>
      </w:tr>
      <w:tr w:rsidR="00C6290D" w:rsidRPr="009F2998" w14:paraId="4A662306" w14:textId="77777777" w:rsidTr="000578FE">
        <w:trPr>
          <w:trHeight w:val="300"/>
        </w:trPr>
        <w:tc>
          <w:tcPr>
            <w:tcW w:w="2577" w:type="pct"/>
            <w:vMerge w:val="restart"/>
            <w:shd w:val="clear" w:color="auto" w:fill="auto"/>
            <w:noWrap/>
            <w:vAlign w:val="center"/>
            <w:hideMark/>
          </w:tcPr>
          <w:p w14:paraId="4EFD418B" w14:textId="77777777" w:rsidR="00505211" w:rsidRPr="007577DE" w:rsidRDefault="00505211" w:rsidP="00434D49">
            <w:pPr>
              <w:spacing w:after="0" w:line="240" w:lineRule="auto"/>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color w:val="000000"/>
                <w:sz w:val="20"/>
                <w:szCs w:val="20"/>
                <w:lang w:eastAsia="sk-SK"/>
              </w:rPr>
              <w:t>Cieľ energetickej efektívnosti vyjadrený v absolútnej hodnote primárnej spotreby energie v roku 2020</w:t>
            </w:r>
          </w:p>
        </w:tc>
        <w:tc>
          <w:tcPr>
            <w:tcW w:w="471" w:type="pct"/>
            <w:vAlign w:val="center"/>
          </w:tcPr>
          <w:p w14:paraId="64C857C5"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color w:val="000000"/>
                <w:sz w:val="20"/>
                <w:szCs w:val="20"/>
                <w:lang w:eastAsia="sk-SK"/>
              </w:rPr>
              <w:t>PJ</w:t>
            </w:r>
          </w:p>
        </w:tc>
        <w:tc>
          <w:tcPr>
            <w:tcW w:w="391" w:type="pct"/>
            <w:shd w:val="clear" w:color="auto" w:fill="auto"/>
            <w:noWrap/>
            <w:vAlign w:val="center"/>
            <w:hideMark/>
          </w:tcPr>
          <w:p w14:paraId="74DC1E71"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color w:val="000000"/>
                <w:sz w:val="20"/>
                <w:szCs w:val="20"/>
                <w:lang w:eastAsia="sk-SK"/>
              </w:rPr>
              <w:t>686</w:t>
            </w:r>
          </w:p>
        </w:tc>
        <w:tc>
          <w:tcPr>
            <w:tcW w:w="470" w:type="pct"/>
            <w:shd w:val="clear" w:color="auto" w:fill="auto"/>
            <w:noWrap/>
            <w:vAlign w:val="center"/>
            <w:hideMark/>
          </w:tcPr>
          <w:p w14:paraId="3B88DB3F"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color w:val="000000"/>
                <w:sz w:val="20"/>
                <w:szCs w:val="20"/>
                <w:lang w:eastAsia="sk-SK"/>
              </w:rPr>
              <w:t>627</w:t>
            </w:r>
          </w:p>
        </w:tc>
        <w:tc>
          <w:tcPr>
            <w:tcW w:w="546" w:type="pct"/>
            <w:vAlign w:val="center"/>
          </w:tcPr>
          <w:p w14:paraId="0C4FE604"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color w:val="000000"/>
                <w:sz w:val="20"/>
                <w:szCs w:val="20"/>
                <w:lang w:eastAsia="sk-SK"/>
              </w:rPr>
              <w:t>639</w:t>
            </w:r>
          </w:p>
        </w:tc>
        <w:tc>
          <w:tcPr>
            <w:tcW w:w="545" w:type="pct"/>
          </w:tcPr>
          <w:p w14:paraId="7037F108"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color w:val="000000"/>
                <w:sz w:val="20"/>
                <w:szCs w:val="20"/>
                <w:lang w:eastAsia="sk-SK"/>
              </w:rPr>
              <w:t>640</w:t>
            </w:r>
          </w:p>
        </w:tc>
      </w:tr>
      <w:tr w:rsidR="00C6290D" w:rsidRPr="009F2998" w14:paraId="7DCE59B4" w14:textId="77777777" w:rsidTr="000578FE">
        <w:trPr>
          <w:trHeight w:val="300"/>
        </w:trPr>
        <w:tc>
          <w:tcPr>
            <w:tcW w:w="2577" w:type="pct"/>
            <w:vMerge/>
            <w:shd w:val="clear" w:color="auto" w:fill="auto"/>
            <w:noWrap/>
            <w:vAlign w:val="center"/>
          </w:tcPr>
          <w:p w14:paraId="3F072D90" w14:textId="77777777" w:rsidR="00505211" w:rsidRPr="007577DE" w:rsidRDefault="00505211" w:rsidP="00434D49">
            <w:pPr>
              <w:spacing w:after="0" w:line="240" w:lineRule="auto"/>
              <w:rPr>
                <w:rFonts w:ascii="Times New Roman" w:eastAsia="Times New Roman" w:hAnsi="Times New Roman" w:cs="Times New Roman"/>
                <w:color w:val="000000"/>
                <w:sz w:val="20"/>
                <w:szCs w:val="20"/>
                <w:lang w:eastAsia="sk-SK"/>
              </w:rPr>
            </w:pPr>
          </w:p>
        </w:tc>
        <w:tc>
          <w:tcPr>
            <w:tcW w:w="471" w:type="pct"/>
            <w:vAlign w:val="center"/>
          </w:tcPr>
          <w:p w14:paraId="116BBDF0"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color w:val="000000"/>
                <w:sz w:val="20"/>
                <w:szCs w:val="20"/>
                <w:lang w:eastAsia="sk-SK"/>
              </w:rPr>
              <w:t>Mtoe</w:t>
            </w:r>
          </w:p>
        </w:tc>
        <w:tc>
          <w:tcPr>
            <w:tcW w:w="391" w:type="pct"/>
            <w:shd w:val="clear" w:color="auto" w:fill="auto"/>
            <w:noWrap/>
            <w:vAlign w:val="center"/>
          </w:tcPr>
          <w:p w14:paraId="6D6264BF"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color w:val="000000"/>
                <w:sz w:val="20"/>
                <w:szCs w:val="20"/>
                <w:lang w:eastAsia="sk-SK"/>
              </w:rPr>
              <w:t>16,40</w:t>
            </w:r>
          </w:p>
        </w:tc>
        <w:tc>
          <w:tcPr>
            <w:tcW w:w="470" w:type="pct"/>
            <w:shd w:val="clear" w:color="auto" w:fill="auto"/>
            <w:noWrap/>
            <w:vAlign w:val="center"/>
          </w:tcPr>
          <w:p w14:paraId="72BFD4F1"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p>
        </w:tc>
        <w:tc>
          <w:tcPr>
            <w:tcW w:w="546" w:type="pct"/>
            <w:vAlign w:val="center"/>
          </w:tcPr>
          <w:p w14:paraId="44590E92" w14:textId="77777777" w:rsidR="00505211" w:rsidRPr="007577DE" w:rsidRDefault="00505211" w:rsidP="00434D49">
            <w:pPr>
              <w:spacing w:after="0" w:line="240" w:lineRule="auto"/>
              <w:jc w:val="right"/>
              <w:rPr>
                <w:rFonts w:ascii="Times New Roman" w:eastAsia="Times New Roman" w:hAnsi="Times New Roman" w:cs="Times New Roman"/>
                <w:sz w:val="20"/>
                <w:szCs w:val="20"/>
                <w:lang w:eastAsia="sk-SK"/>
              </w:rPr>
            </w:pPr>
          </w:p>
        </w:tc>
        <w:tc>
          <w:tcPr>
            <w:tcW w:w="545" w:type="pct"/>
          </w:tcPr>
          <w:p w14:paraId="2790DBF8" w14:textId="77777777" w:rsidR="00505211" w:rsidRPr="007577DE" w:rsidRDefault="00505211" w:rsidP="00434D49">
            <w:pPr>
              <w:spacing w:after="0" w:line="240" w:lineRule="auto"/>
              <w:jc w:val="right"/>
              <w:rPr>
                <w:rFonts w:ascii="Times New Roman" w:eastAsia="Times New Roman" w:hAnsi="Times New Roman" w:cs="Times New Roman"/>
                <w:sz w:val="20"/>
                <w:szCs w:val="20"/>
                <w:lang w:eastAsia="sk-SK"/>
              </w:rPr>
            </w:pPr>
          </w:p>
        </w:tc>
      </w:tr>
      <w:tr w:rsidR="00C6290D" w:rsidRPr="009F2998" w14:paraId="09272EB5" w14:textId="77777777" w:rsidTr="000578FE">
        <w:trPr>
          <w:trHeight w:val="300"/>
        </w:trPr>
        <w:tc>
          <w:tcPr>
            <w:tcW w:w="2577" w:type="pct"/>
            <w:shd w:val="clear" w:color="auto" w:fill="auto"/>
            <w:noWrap/>
            <w:vAlign w:val="center"/>
            <w:hideMark/>
          </w:tcPr>
          <w:p w14:paraId="4E52E25A" w14:textId="77777777" w:rsidR="00505211" w:rsidRPr="007577DE" w:rsidRDefault="00505211" w:rsidP="00434D49">
            <w:pPr>
              <w:spacing w:after="0" w:line="240" w:lineRule="auto"/>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color w:val="000000"/>
                <w:sz w:val="20"/>
                <w:szCs w:val="20"/>
                <w:lang w:eastAsia="sk-SK"/>
              </w:rPr>
              <w:t>Cieľ energetickej efektívnosti v %, vyjadrený vo forme konečnej spotreby energie</w:t>
            </w:r>
          </w:p>
        </w:tc>
        <w:tc>
          <w:tcPr>
            <w:tcW w:w="471" w:type="pct"/>
            <w:vAlign w:val="center"/>
          </w:tcPr>
          <w:p w14:paraId="5CC27614"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sz w:val="20"/>
                <w:szCs w:val="20"/>
                <w:lang w:eastAsia="sk-SK"/>
              </w:rPr>
              <w:t>%</w:t>
            </w:r>
          </w:p>
        </w:tc>
        <w:tc>
          <w:tcPr>
            <w:tcW w:w="391" w:type="pct"/>
            <w:shd w:val="clear" w:color="auto" w:fill="auto"/>
            <w:noWrap/>
            <w:vAlign w:val="center"/>
            <w:hideMark/>
          </w:tcPr>
          <w:p w14:paraId="2B38BFDF"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color w:val="000000"/>
                <w:sz w:val="20"/>
                <w:szCs w:val="20"/>
                <w:lang w:eastAsia="sk-SK"/>
              </w:rPr>
              <w:t>31</w:t>
            </w:r>
          </w:p>
        </w:tc>
        <w:tc>
          <w:tcPr>
            <w:tcW w:w="470" w:type="pct"/>
            <w:shd w:val="clear" w:color="auto" w:fill="auto"/>
            <w:noWrap/>
            <w:vAlign w:val="center"/>
            <w:hideMark/>
          </w:tcPr>
          <w:p w14:paraId="3B25A95A"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p>
        </w:tc>
        <w:tc>
          <w:tcPr>
            <w:tcW w:w="546" w:type="pct"/>
          </w:tcPr>
          <w:p w14:paraId="2EDEA548" w14:textId="77777777" w:rsidR="00505211" w:rsidRPr="007577DE" w:rsidRDefault="00505211" w:rsidP="00434D49">
            <w:pPr>
              <w:spacing w:after="0" w:line="240" w:lineRule="auto"/>
              <w:jc w:val="right"/>
              <w:rPr>
                <w:rFonts w:ascii="Times New Roman" w:eastAsia="Times New Roman" w:hAnsi="Times New Roman" w:cs="Times New Roman"/>
                <w:sz w:val="20"/>
                <w:szCs w:val="20"/>
                <w:lang w:eastAsia="sk-SK"/>
              </w:rPr>
            </w:pPr>
          </w:p>
        </w:tc>
        <w:tc>
          <w:tcPr>
            <w:tcW w:w="545" w:type="pct"/>
            <w:vAlign w:val="center"/>
          </w:tcPr>
          <w:p w14:paraId="2E778EDA" w14:textId="77777777" w:rsidR="00505211" w:rsidRPr="007577DE" w:rsidRDefault="00505211" w:rsidP="00434D49">
            <w:pPr>
              <w:spacing w:after="0" w:line="240" w:lineRule="auto"/>
              <w:jc w:val="right"/>
              <w:rPr>
                <w:rFonts w:ascii="Times New Roman" w:eastAsia="Times New Roman" w:hAnsi="Times New Roman" w:cs="Times New Roman"/>
                <w:sz w:val="20"/>
                <w:szCs w:val="20"/>
                <w:lang w:eastAsia="sk-SK"/>
              </w:rPr>
            </w:pPr>
          </w:p>
        </w:tc>
      </w:tr>
      <w:tr w:rsidR="00C6290D" w:rsidRPr="009F2998" w14:paraId="480B7741" w14:textId="77777777" w:rsidTr="000578FE">
        <w:trPr>
          <w:trHeight w:val="300"/>
        </w:trPr>
        <w:tc>
          <w:tcPr>
            <w:tcW w:w="2577" w:type="pct"/>
            <w:tcBorders>
              <w:bottom w:val="single" w:sz="4" w:space="0" w:color="auto"/>
            </w:tcBorders>
            <w:shd w:val="clear" w:color="auto" w:fill="auto"/>
            <w:noWrap/>
            <w:vAlign w:val="center"/>
            <w:hideMark/>
          </w:tcPr>
          <w:p w14:paraId="6D6BE10D" w14:textId="77777777" w:rsidR="00505211" w:rsidRPr="007577DE" w:rsidRDefault="00505211" w:rsidP="00434D49">
            <w:pPr>
              <w:spacing w:after="0" w:line="240" w:lineRule="auto"/>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color w:val="000000"/>
                <w:sz w:val="20"/>
                <w:szCs w:val="20"/>
                <w:lang w:eastAsia="sk-SK"/>
              </w:rPr>
              <w:t>Cieľ energetickej efektívnosti v %, vyjadrený vo forme primárnej spotreby energie</w:t>
            </w:r>
          </w:p>
        </w:tc>
        <w:tc>
          <w:tcPr>
            <w:tcW w:w="471" w:type="pct"/>
            <w:tcBorders>
              <w:bottom w:val="single" w:sz="4" w:space="0" w:color="auto"/>
            </w:tcBorders>
            <w:vAlign w:val="center"/>
          </w:tcPr>
          <w:p w14:paraId="5EA5ABF4"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r w:rsidRPr="007577DE">
              <w:rPr>
                <w:rFonts w:ascii="Times New Roman" w:eastAsia="Times New Roman" w:hAnsi="Times New Roman" w:cs="Times New Roman"/>
                <w:sz w:val="20"/>
                <w:szCs w:val="20"/>
                <w:lang w:eastAsia="sk-SK"/>
              </w:rPr>
              <w:t>%</w:t>
            </w:r>
          </w:p>
        </w:tc>
        <w:tc>
          <w:tcPr>
            <w:tcW w:w="391" w:type="pct"/>
            <w:tcBorders>
              <w:bottom w:val="single" w:sz="4" w:space="0" w:color="auto"/>
            </w:tcBorders>
            <w:shd w:val="clear" w:color="auto" w:fill="auto"/>
            <w:noWrap/>
            <w:vAlign w:val="center"/>
            <w:hideMark/>
          </w:tcPr>
          <w:p w14:paraId="14C28FC7"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20</w:t>
            </w:r>
          </w:p>
        </w:tc>
        <w:tc>
          <w:tcPr>
            <w:tcW w:w="470" w:type="pct"/>
            <w:tcBorders>
              <w:bottom w:val="single" w:sz="4" w:space="0" w:color="auto"/>
            </w:tcBorders>
            <w:shd w:val="clear" w:color="auto" w:fill="auto"/>
            <w:noWrap/>
            <w:vAlign w:val="center"/>
            <w:hideMark/>
          </w:tcPr>
          <w:p w14:paraId="07127A7F" w14:textId="77777777" w:rsidR="00505211" w:rsidRPr="007577DE" w:rsidRDefault="00505211" w:rsidP="00434D49">
            <w:pPr>
              <w:spacing w:after="0" w:line="240" w:lineRule="auto"/>
              <w:jc w:val="right"/>
              <w:rPr>
                <w:rFonts w:ascii="Times New Roman" w:eastAsia="Times New Roman" w:hAnsi="Times New Roman" w:cs="Times New Roman"/>
                <w:color w:val="000000"/>
                <w:sz w:val="20"/>
                <w:szCs w:val="20"/>
                <w:lang w:eastAsia="sk-SK"/>
              </w:rPr>
            </w:pPr>
          </w:p>
        </w:tc>
        <w:tc>
          <w:tcPr>
            <w:tcW w:w="546" w:type="pct"/>
            <w:tcBorders>
              <w:bottom w:val="single" w:sz="4" w:space="0" w:color="auto"/>
            </w:tcBorders>
          </w:tcPr>
          <w:p w14:paraId="6AF20C43" w14:textId="77777777" w:rsidR="00505211" w:rsidRPr="007577DE" w:rsidRDefault="00505211" w:rsidP="00434D49">
            <w:pPr>
              <w:spacing w:after="0" w:line="240" w:lineRule="auto"/>
              <w:jc w:val="right"/>
              <w:rPr>
                <w:rFonts w:ascii="Times New Roman" w:eastAsia="Times New Roman" w:hAnsi="Times New Roman" w:cs="Times New Roman"/>
                <w:sz w:val="20"/>
                <w:szCs w:val="20"/>
                <w:lang w:eastAsia="sk-SK"/>
              </w:rPr>
            </w:pPr>
          </w:p>
        </w:tc>
        <w:tc>
          <w:tcPr>
            <w:tcW w:w="545" w:type="pct"/>
            <w:tcBorders>
              <w:bottom w:val="single" w:sz="4" w:space="0" w:color="auto"/>
            </w:tcBorders>
            <w:vAlign w:val="center"/>
          </w:tcPr>
          <w:p w14:paraId="62CD5408" w14:textId="77777777" w:rsidR="00505211" w:rsidRPr="007577DE" w:rsidRDefault="00505211" w:rsidP="00434D49">
            <w:pPr>
              <w:spacing w:after="0" w:line="240" w:lineRule="auto"/>
              <w:jc w:val="right"/>
              <w:rPr>
                <w:rFonts w:ascii="Times New Roman" w:eastAsia="Times New Roman" w:hAnsi="Times New Roman" w:cs="Times New Roman"/>
                <w:sz w:val="20"/>
                <w:szCs w:val="20"/>
                <w:lang w:eastAsia="sk-SK"/>
              </w:rPr>
            </w:pPr>
          </w:p>
        </w:tc>
      </w:tr>
    </w:tbl>
    <w:p w14:paraId="159D286A" w14:textId="77777777" w:rsidR="00505211" w:rsidRDefault="00505211" w:rsidP="00A360A9">
      <w:pPr>
        <w:tabs>
          <w:tab w:val="left" w:pos="1620"/>
        </w:tabs>
        <w:spacing w:line="264" w:lineRule="auto"/>
        <w:jc w:val="both"/>
        <w:rPr>
          <w:rFonts w:ascii="Times New Roman" w:hAnsi="Times New Roman" w:cs="Times New Roman"/>
          <w:sz w:val="24"/>
          <w:szCs w:val="24"/>
        </w:rPr>
      </w:pPr>
    </w:p>
    <w:p w14:paraId="490F4845" w14:textId="77777777" w:rsidR="007D0E21" w:rsidRDefault="00A360A9" w:rsidP="00A360A9">
      <w:pPr>
        <w:tabs>
          <w:tab w:val="left" w:pos="1620"/>
        </w:tabs>
        <w:spacing w:line="264" w:lineRule="auto"/>
        <w:jc w:val="both"/>
        <w:rPr>
          <w:rFonts w:ascii="Times New Roman" w:hAnsi="Times New Roman" w:cs="Times New Roman"/>
          <w:sz w:val="24"/>
          <w:szCs w:val="24"/>
        </w:rPr>
      </w:pPr>
      <w:r w:rsidRPr="00DD60BC">
        <w:rPr>
          <w:rFonts w:ascii="Times New Roman" w:hAnsi="Times New Roman" w:cs="Times New Roman"/>
          <w:sz w:val="24"/>
          <w:szCs w:val="24"/>
        </w:rPr>
        <w:t>V roku 201</w:t>
      </w:r>
      <w:r w:rsidR="00621E18" w:rsidRPr="00856490">
        <w:rPr>
          <w:rFonts w:ascii="Times New Roman" w:hAnsi="Times New Roman" w:cs="Times New Roman"/>
          <w:sz w:val="24"/>
          <w:szCs w:val="24"/>
        </w:rPr>
        <w:t>5</w:t>
      </w:r>
      <w:r w:rsidRPr="00DD60BC">
        <w:rPr>
          <w:rFonts w:ascii="Times New Roman" w:hAnsi="Times New Roman" w:cs="Times New Roman"/>
          <w:sz w:val="24"/>
          <w:szCs w:val="24"/>
        </w:rPr>
        <w:t xml:space="preserve"> bola úroveň KES aj PES pod úrovňou stanovených národných indikatívnych cieľov energetickej efektívnosti pre rok </w:t>
      </w:r>
      <w:r w:rsidR="004215C0" w:rsidRPr="00DD60BC">
        <w:rPr>
          <w:rFonts w:ascii="Times New Roman" w:hAnsi="Times New Roman" w:cs="Times New Roman"/>
          <w:sz w:val="24"/>
          <w:szCs w:val="24"/>
        </w:rPr>
        <w:t>2020.</w:t>
      </w:r>
      <w:r w:rsidR="00013057">
        <w:rPr>
          <w:rFonts w:ascii="Times New Roman" w:hAnsi="Times New Roman" w:cs="Times New Roman"/>
          <w:sz w:val="24"/>
          <w:szCs w:val="24"/>
        </w:rPr>
        <w:t xml:space="preserve"> </w:t>
      </w:r>
    </w:p>
    <w:p w14:paraId="08ACE2A4" w14:textId="77777777" w:rsidR="0016691E" w:rsidRPr="007577DE" w:rsidRDefault="0016691E" w:rsidP="0016691E">
      <w:pPr>
        <w:tabs>
          <w:tab w:val="left" w:pos="1620"/>
        </w:tabs>
        <w:spacing w:line="264" w:lineRule="auto"/>
        <w:jc w:val="both"/>
        <w:rPr>
          <w:rFonts w:ascii="Times New Roman" w:hAnsi="Times New Roman" w:cs="Times New Roman"/>
          <w:sz w:val="24"/>
          <w:szCs w:val="24"/>
        </w:rPr>
      </w:pPr>
      <w:r w:rsidRPr="007577DE">
        <w:rPr>
          <w:rFonts w:ascii="Times New Roman" w:hAnsi="Times New Roman" w:cs="Times New Roman"/>
          <w:sz w:val="24"/>
          <w:szCs w:val="24"/>
        </w:rPr>
        <w:t>V oblasti konečnej energetickej spotreby je výrazný rozdiel v ukazovateli ŠÚ SR a Eurostatu. Indikatívny cieľ sa stanovoval na základe údajov ŠÚ SR. Vyhodnotenie plnenia tohto cieľa na základe údajov ŠÚSR preukazuje, že konečná energetická spotreba bola v roku 201</w:t>
      </w:r>
      <w:r>
        <w:rPr>
          <w:rFonts w:ascii="Times New Roman" w:hAnsi="Times New Roman" w:cs="Times New Roman"/>
          <w:sz w:val="24"/>
          <w:szCs w:val="24"/>
        </w:rPr>
        <w:t>5</w:t>
      </w:r>
      <w:r w:rsidRPr="007577DE">
        <w:rPr>
          <w:rFonts w:ascii="Times New Roman" w:hAnsi="Times New Roman" w:cs="Times New Roman"/>
          <w:sz w:val="24"/>
          <w:szCs w:val="24"/>
        </w:rPr>
        <w:t xml:space="preserve"> pod úrovňou cieľa stanoveného pre rok 2020. Ak by cieľ bol stanovený a tiež hodnotený podľa údajov z Eurostatu, cieľ by bol v pôvodnej výške predbežného cieľa 435 PJ, čo znamená, že SR by plnila aj tento cieľ v roku 2014</w:t>
      </w:r>
      <w:r>
        <w:rPr>
          <w:rFonts w:ascii="Times New Roman" w:hAnsi="Times New Roman" w:cs="Times New Roman"/>
          <w:sz w:val="24"/>
          <w:szCs w:val="24"/>
        </w:rPr>
        <w:t xml:space="preserve"> (údaje za rok 2015 nie sú k dispozícii)</w:t>
      </w:r>
      <w:r w:rsidRPr="007577DE">
        <w:rPr>
          <w:rFonts w:ascii="Times New Roman" w:hAnsi="Times New Roman" w:cs="Times New Roman"/>
          <w:sz w:val="24"/>
          <w:szCs w:val="24"/>
        </w:rPr>
        <w:t xml:space="preserve">. </w:t>
      </w:r>
    </w:p>
    <w:p w14:paraId="493F458C" w14:textId="77777777" w:rsidR="0016691E" w:rsidRDefault="0016691E" w:rsidP="001D712C">
      <w:pPr>
        <w:tabs>
          <w:tab w:val="left" w:pos="1620"/>
        </w:tabs>
        <w:spacing w:line="264" w:lineRule="auto"/>
        <w:jc w:val="both"/>
        <w:rPr>
          <w:rFonts w:ascii="Times New Roman" w:hAnsi="Times New Roman" w:cs="Times New Roman"/>
          <w:sz w:val="24"/>
          <w:szCs w:val="24"/>
        </w:rPr>
      </w:pPr>
    </w:p>
    <w:p w14:paraId="41C1D4C4" w14:textId="77777777" w:rsidR="00C76805" w:rsidRDefault="00C76805" w:rsidP="001D712C">
      <w:pPr>
        <w:tabs>
          <w:tab w:val="left" w:pos="1620"/>
        </w:tabs>
        <w:spacing w:line="264" w:lineRule="auto"/>
        <w:jc w:val="both"/>
        <w:rPr>
          <w:rFonts w:ascii="Times New Roman" w:hAnsi="Times New Roman" w:cs="Times New Roman"/>
          <w:sz w:val="24"/>
          <w:szCs w:val="24"/>
        </w:rPr>
      </w:pPr>
    </w:p>
    <w:p w14:paraId="440C4AAE" w14:textId="77777777" w:rsidR="00C76805" w:rsidRDefault="00C76805" w:rsidP="001D712C">
      <w:pPr>
        <w:tabs>
          <w:tab w:val="left" w:pos="1620"/>
        </w:tabs>
        <w:spacing w:line="264" w:lineRule="auto"/>
        <w:jc w:val="both"/>
        <w:rPr>
          <w:rFonts w:ascii="Times New Roman" w:hAnsi="Times New Roman" w:cs="Times New Roman"/>
          <w:sz w:val="24"/>
          <w:szCs w:val="24"/>
        </w:rPr>
      </w:pPr>
    </w:p>
    <w:p w14:paraId="2699C922" w14:textId="77777777" w:rsidR="00C76805" w:rsidRDefault="00C76805" w:rsidP="001D712C">
      <w:pPr>
        <w:tabs>
          <w:tab w:val="left" w:pos="1620"/>
        </w:tabs>
        <w:spacing w:line="264" w:lineRule="auto"/>
        <w:jc w:val="both"/>
        <w:rPr>
          <w:rFonts w:ascii="Times New Roman" w:hAnsi="Times New Roman" w:cs="Times New Roman"/>
          <w:sz w:val="24"/>
          <w:szCs w:val="24"/>
        </w:rPr>
      </w:pPr>
    </w:p>
    <w:p w14:paraId="4883E34A" w14:textId="15E018E7" w:rsidR="001D712C" w:rsidRDefault="001D712C" w:rsidP="004E746F">
      <w:pPr>
        <w:keepNext/>
        <w:tabs>
          <w:tab w:val="left" w:pos="1620"/>
        </w:tabs>
        <w:spacing w:line="264" w:lineRule="auto"/>
        <w:jc w:val="both"/>
        <w:rPr>
          <w:rFonts w:ascii="Times New Roman" w:hAnsi="Times New Roman" w:cs="Times New Roman"/>
          <w:sz w:val="24"/>
          <w:szCs w:val="24"/>
        </w:rPr>
      </w:pPr>
      <w:r w:rsidRPr="000578FE">
        <w:rPr>
          <w:rFonts w:ascii="Times New Roman" w:hAnsi="Times New Roman" w:cs="Times New Roman"/>
          <w:sz w:val="24"/>
          <w:szCs w:val="24"/>
        </w:rPr>
        <w:lastRenderedPageBreak/>
        <w:t xml:space="preserve">Graf č. </w:t>
      </w:r>
      <w:r w:rsidR="00AE42A2">
        <w:rPr>
          <w:rFonts w:ascii="Times New Roman" w:hAnsi="Times New Roman" w:cs="Times New Roman"/>
          <w:sz w:val="24"/>
          <w:szCs w:val="24"/>
        </w:rPr>
        <w:t>2</w:t>
      </w:r>
      <w:r w:rsidRPr="000578FE">
        <w:rPr>
          <w:rFonts w:ascii="Times New Roman" w:hAnsi="Times New Roman" w:cs="Times New Roman"/>
          <w:sz w:val="24"/>
          <w:szCs w:val="24"/>
        </w:rPr>
        <w:t>: Ciele energetickej efektívnosti pre SR 2001 – 2015</w:t>
      </w:r>
      <w:r w:rsidR="0016691E">
        <w:rPr>
          <w:rFonts w:ascii="Times New Roman" w:hAnsi="Times New Roman" w:cs="Times New Roman"/>
          <w:sz w:val="24"/>
          <w:szCs w:val="24"/>
        </w:rPr>
        <w:t xml:space="preserve"> v absolútnej hodnote KES (PES)</w:t>
      </w:r>
    </w:p>
    <w:p w14:paraId="2C68070F" w14:textId="51D9D6D2" w:rsidR="005C5DE4" w:rsidRDefault="005C5DE4" w:rsidP="00A360A9">
      <w:pPr>
        <w:tabs>
          <w:tab w:val="left" w:pos="1620"/>
        </w:tabs>
        <w:spacing w:line="264" w:lineRule="auto"/>
        <w:jc w:val="both"/>
        <w:rPr>
          <w:rFonts w:ascii="Times New Roman" w:hAnsi="Times New Roman" w:cs="Times New Roman"/>
          <w:sz w:val="24"/>
          <w:szCs w:val="24"/>
        </w:rPr>
      </w:pPr>
      <w:r>
        <w:rPr>
          <w:rFonts w:ascii="Times New Roman" w:hAnsi="Times New Roman" w:cs="Times New Roman"/>
          <w:noProof/>
          <w:sz w:val="24"/>
          <w:szCs w:val="24"/>
          <w:lang w:eastAsia="sk-SK"/>
        </w:rPr>
        <w:drawing>
          <wp:inline distT="0" distB="0" distL="0" distR="0" wp14:anchorId="03CB1171" wp14:editId="746CD013">
            <wp:extent cx="5794375" cy="3428932"/>
            <wp:effectExtent l="0" t="0" r="0" b="63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4565" cy="3434962"/>
                    </a:xfrm>
                    <a:prstGeom prst="rect">
                      <a:avLst/>
                    </a:prstGeom>
                    <a:noFill/>
                  </pic:spPr>
                </pic:pic>
              </a:graphicData>
            </a:graphic>
          </wp:inline>
        </w:drawing>
      </w:r>
    </w:p>
    <w:p w14:paraId="06DB3303" w14:textId="3F7952BE" w:rsidR="00804795" w:rsidRPr="000578FE" w:rsidRDefault="00940967" w:rsidP="00A360A9">
      <w:pPr>
        <w:tabs>
          <w:tab w:val="left" w:pos="1620"/>
        </w:tabs>
        <w:spacing w:line="264" w:lineRule="auto"/>
        <w:jc w:val="both"/>
        <w:rPr>
          <w:rFonts w:ascii="Times New Roman" w:hAnsi="Times New Roman" w:cs="Times New Roman"/>
          <w:sz w:val="24"/>
          <w:szCs w:val="24"/>
        </w:rPr>
      </w:pPr>
      <w:r w:rsidRPr="000578FE">
        <w:rPr>
          <w:rFonts w:ascii="Times New Roman" w:hAnsi="Times New Roman" w:cs="Times New Roman"/>
          <w:sz w:val="24"/>
          <w:szCs w:val="24"/>
        </w:rPr>
        <w:t>Zdroj: MH</w:t>
      </w:r>
      <w:r w:rsidR="00804795" w:rsidRPr="000578FE">
        <w:rPr>
          <w:rFonts w:ascii="Times New Roman" w:hAnsi="Times New Roman" w:cs="Times New Roman"/>
          <w:sz w:val="24"/>
          <w:szCs w:val="24"/>
        </w:rPr>
        <w:t xml:space="preserve"> SR</w:t>
      </w:r>
      <w:r w:rsidR="0016691E" w:rsidRPr="000578FE">
        <w:rPr>
          <w:rFonts w:ascii="Times New Roman" w:hAnsi="Times New Roman" w:cs="Times New Roman"/>
          <w:sz w:val="24"/>
          <w:szCs w:val="24"/>
        </w:rPr>
        <w:t>, spracované z údajov ŠÚ SR za roky 2014 a 2015</w:t>
      </w:r>
    </w:p>
    <w:p w14:paraId="74C5E19C" w14:textId="77777777" w:rsidR="00C76805" w:rsidRDefault="00C76805" w:rsidP="00C76805">
      <w:pPr>
        <w:tabs>
          <w:tab w:val="left" w:pos="1620"/>
        </w:tabs>
        <w:spacing w:line="264" w:lineRule="auto"/>
        <w:jc w:val="both"/>
        <w:rPr>
          <w:rFonts w:ascii="Times New Roman" w:hAnsi="Times New Roman" w:cs="Times New Roman"/>
          <w:sz w:val="24"/>
          <w:szCs w:val="24"/>
        </w:rPr>
      </w:pPr>
    </w:p>
    <w:p w14:paraId="0AB77D7F" w14:textId="66397DBA" w:rsidR="00C76805" w:rsidRPr="007577DE" w:rsidRDefault="00C76805" w:rsidP="00C76805">
      <w:pPr>
        <w:tabs>
          <w:tab w:val="left" w:pos="1620"/>
        </w:tabs>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Podľa údajov zo ŠÚ SR bol zaznamenaný medziročný nárast spotreby energie. Jednorázový medziročný nárast KES o asi 4% </w:t>
      </w:r>
      <w:r w:rsidRPr="001B1483">
        <w:rPr>
          <w:rFonts w:ascii="Times New Roman" w:hAnsi="Times New Roman" w:cs="Times New Roman"/>
          <w:b/>
          <w:sz w:val="24"/>
          <w:szCs w:val="24"/>
          <w:u w:val="single"/>
        </w:rPr>
        <w:t xml:space="preserve">zatiaľ nemusí negatívne ovplyvniť plnenie </w:t>
      </w:r>
      <w:r w:rsidR="00DD2A78" w:rsidRPr="001B1483">
        <w:rPr>
          <w:rFonts w:ascii="Times New Roman" w:hAnsi="Times New Roman" w:cs="Times New Roman"/>
          <w:b/>
          <w:sz w:val="24"/>
          <w:szCs w:val="24"/>
          <w:u w:val="single"/>
        </w:rPr>
        <w:t xml:space="preserve">národného indikatívneho </w:t>
      </w:r>
      <w:r w:rsidRPr="001B1483">
        <w:rPr>
          <w:rFonts w:ascii="Times New Roman" w:hAnsi="Times New Roman" w:cs="Times New Roman"/>
          <w:b/>
          <w:sz w:val="24"/>
          <w:szCs w:val="24"/>
          <w:u w:val="single"/>
        </w:rPr>
        <w:t xml:space="preserve">cieľa </w:t>
      </w:r>
      <w:r w:rsidR="00DD2A78" w:rsidRPr="001B1483">
        <w:rPr>
          <w:rFonts w:ascii="Times New Roman" w:hAnsi="Times New Roman" w:cs="Times New Roman"/>
          <w:b/>
          <w:sz w:val="24"/>
          <w:szCs w:val="24"/>
          <w:u w:val="single"/>
        </w:rPr>
        <w:t>energetickej efektívnosti do roku 2020 podľa článku 3 smernice 2012/27/EÚ</w:t>
      </w:r>
      <w:r>
        <w:rPr>
          <w:rFonts w:ascii="Times New Roman" w:hAnsi="Times New Roman" w:cs="Times New Roman"/>
          <w:sz w:val="24"/>
          <w:szCs w:val="24"/>
        </w:rPr>
        <w:t xml:space="preserve">, ale v prípade rovnakého každoročného nárastu až do roku 2020 by </w:t>
      </w:r>
      <w:r w:rsidR="0027324F">
        <w:rPr>
          <w:rFonts w:ascii="Times New Roman" w:hAnsi="Times New Roman" w:cs="Times New Roman"/>
          <w:sz w:val="24"/>
          <w:szCs w:val="24"/>
        </w:rPr>
        <w:t>bol plánovaný cieľ vyjadrený</w:t>
      </w:r>
      <w:r>
        <w:rPr>
          <w:rFonts w:ascii="Times New Roman" w:hAnsi="Times New Roman" w:cs="Times New Roman"/>
          <w:sz w:val="24"/>
          <w:szCs w:val="24"/>
        </w:rPr>
        <w:t xml:space="preserve"> v absolútnej hodnote KES (PES)</w:t>
      </w:r>
      <w:r w:rsidR="0027324F">
        <w:rPr>
          <w:rFonts w:ascii="Times New Roman" w:hAnsi="Times New Roman" w:cs="Times New Roman"/>
          <w:sz w:val="24"/>
          <w:szCs w:val="24"/>
        </w:rPr>
        <w:t xml:space="preserve"> prekročený</w:t>
      </w:r>
      <w:r>
        <w:rPr>
          <w:rFonts w:ascii="Times New Roman" w:hAnsi="Times New Roman" w:cs="Times New Roman"/>
          <w:sz w:val="24"/>
          <w:szCs w:val="24"/>
        </w:rPr>
        <w:t xml:space="preserve"> o</w:t>
      </w:r>
      <w:r w:rsidR="0027324F">
        <w:rPr>
          <w:rFonts w:ascii="Times New Roman" w:hAnsi="Times New Roman" w:cs="Times New Roman"/>
          <w:sz w:val="24"/>
          <w:szCs w:val="24"/>
        </w:rPr>
        <w:t> </w:t>
      </w:r>
      <w:r>
        <w:rPr>
          <w:rFonts w:ascii="Times New Roman" w:hAnsi="Times New Roman" w:cs="Times New Roman"/>
          <w:sz w:val="24"/>
          <w:szCs w:val="24"/>
        </w:rPr>
        <w:t>15</w:t>
      </w:r>
      <w:r w:rsidR="0027324F">
        <w:rPr>
          <w:rFonts w:ascii="Times New Roman" w:hAnsi="Times New Roman" w:cs="Times New Roman"/>
          <w:sz w:val="24"/>
          <w:szCs w:val="24"/>
        </w:rPr>
        <w:t xml:space="preserve"> </w:t>
      </w:r>
      <w:r>
        <w:rPr>
          <w:rFonts w:ascii="Times New Roman" w:hAnsi="Times New Roman" w:cs="Times New Roman"/>
          <w:sz w:val="24"/>
          <w:szCs w:val="24"/>
        </w:rPr>
        <w:t>%</w:t>
      </w:r>
      <w:r w:rsidRPr="00804795">
        <w:rPr>
          <w:rFonts w:ascii="Times New Roman" w:hAnsi="Times New Roman" w:cs="Times New Roman"/>
          <w:sz w:val="24"/>
          <w:szCs w:val="24"/>
        </w:rPr>
        <w:t>.</w:t>
      </w:r>
      <w:r>
        <w:rPr>
          <w:rFonts w:ascii="Times New Roman" w:hAnsi="Times New Roman" w:cs="Times New Roman"/>
          <w:sz w:val="24"/>
          <w:szCs w:val="24"/>
        </w:rPr>
        <w:t xml:space="preserve"> </w:t>
      </w:r>
      <w:r w:rsidRPr="007577DE">
        <w:rPr>
          <w:rFonts w:ascii="Times New Roman" w:hAnsi="Times New Roman" w:cs="Times New Roman"/>
          <w:sz w:val="24"/>
          <w:szCs w:val="24"/>
        </w:rPr>
        <w:t xml:space="preserve">Dôležité </w:t>
      </w:r>
      <w:r>
        <w:rPr>
          <w:rFonts w:ascii="Times New Roman" w:hAnsi="Times New Roman" w:cs="Times New Roman"/>
          <w:sz w:val="24"/>
          <w:szCs w:val="24"/>
        </w:rPr>
        <w:t xml:space="preserve">je preto pravidelne sledovať a vyhodnocovať medziročný nárast spotreby energie a to najmä na úrovni KES. </w:t>
      </w:r>
    </w:p>
    <w:p w14:paraId="5E4F2C0A" w14:textId="77777777" w:rsidR="00C76805" w:rsidRPr="009F2998" w:rsidRDefault="00C76805" w:rsidP="0049533A">
      <w:pPr>
        <w:rPr>
          <w:rFonts w:ascii="Times New Roman" w:hAnsi="Times New Roman" w:cs="Times New Roman"/>
        </w:rPr>
      </w:pPr>
    </w:p>
    <w:p w14:paraId="28AD6994" w14:textId="109CFB76" w:rsidR="00375545" w:rsidRPr="000578FE" w:rsidRDefault="00DB12DC" w:rsidP="00856490">
      <w:pPr>
        <w:rPr>
          <w:rFonts w:ascii="Times New Roman" w:hAnsi="Times New Roman" w:cs="Times New Roman"/>
        </w:rPr>
      </w:pPr>
      <w:r w:rsidRPr="000578FE">
        <w:rPr>
          <w:rFonts w:ascii="Times New Roman" w:hAnsi="Times New Roman" w:cs="Times New Roman"/>
          <w:b/>
        </w:rPr>
        <w:t>O</w:t>
      </w:r>
      <w:r w:rsidR="00375545" w:rsidRPr="000578FE">
        <w:rPr>
          <w:rFonts w:ascii="Times New Roman" w:hAnsi="Times New Roman" w:cs="Times New Roman"/>
          <w:b/>
        </w:rPr>
        <w:t>čakávaný vplyv cieľa na celkovú spotrebu primárnej energie a konečnej energie v roku 2020 a vysvet</w:t>
      </w:r>
      <w:r w:rsidR="008A67DD" w:rsidRPr="000578FE">
        <w:rPr>
          <w:rFonts w:ascii="Times New Roman" w:hAnsi="Times New Roman" w:cs="Times New Roman"/>
          <w:b/>
        </w:rPr>
        <w:t>lenie</w:t>
      </w:r>
      <w:r w:rsidR="00375545" w:rsidRPr="000578FE">
        <w:rPr>
          <w:rFonts w:ascii="Times New Roman" w:hAnsi="Times New Roman" w:cs="Times New Roman"/>
          <w:b/>
        </w:rPr>
        <w:t xml:space="preserve">, ako </w:t>
      </w:r>
      <w:r w:rsidR="00B72FDD" w:rsidRPr="000578FE">
        <w:rPr>
          <w:rFonts w:ascii="Times New Roman" w:hAnsi="Times New Roman" w:cs="Times New Roman"/>
          <w:b/>
        </w:rPr>
        <w:t xml:space="preserve">a na základe akých údajov </w:t>
      </w:r>
      <w:r w:rsidR="00375545" w:rsidRPr="000578FE">
        <w:rPr>
          <w:rFonts w:ascii="Times New Roman" w:hAnsi="Times New Roman" w:cs="Times New Roman"/>
          <w:b/>
        </w:rPr>
        <w:t xml:space="preserve">bol tento vplyv vypočítaný (článok </w:t>
      </w:r>
      <w:r w:rsidR="00B72FDD" w:rsidRPr="000578FE">
        <w:rPr>
          <w:rFonts w:ascii="Times New Roman" w:hAnsi="Times New Roman" w:cs="Times New Roman"/>
          <w:b/>
        </w:rPr>
        <w:t>3 ods. 1 SEE</w:t>
      </w:r>
      <w:r w:rsidR="00375545" w:rsidRPr="000578FE">
        <w:rPr>
          <w:rFonts w:ascii="Times New Roman" w:hAnsi="Times New Roman" w:cs="Times New Roman"/>
          <w:b/>
        </w:rPr>
        <w:t>)</w:t>
      </w:r>
    </w:p>
    <w:p w14:paraId="40F1C29F" w14:textId="18FF1FAF" w:rsidR="00011C7A" w:rsidRPr="007577DE" w:rsidRDefault="00EA44E3" w:rsidP="00EA44E3">
      <w:pPr>
        <w:jc w:val="both"/>
        <w:rPr>
          <w:rFonts w:ascii="Times New Roman" w:eastAsiaTheme="majorEastAsia" w:hAnsi="Times New Roman" w:cs="Times New Roman"/>
          <w:bCs/>
          <w:color w:val="5B9BD5" w:themeColor="accent1"/>
          <w:sz w:val="24"/>
          <w:szCs w:val="24"/>
        </w:rPr>
      </w:pPr>
      <w:r w:rsidRPr="007577DE">
        <w:rPr>
          <w:rFonts w:ascii="Times New Roman" w:eastAsiaTheme="majorEastAsia" w:hAnsi="Times New Roman" w:cs="Times New Roman"/>
          <w:bCs/>
          <w:sz w:val="24"/>
          <w:szCs w:val="24"/>
        </w:rPr>
        <w:t xml:space="preserve">Nakoľko národné indikatívne ciele boli stanovené so zohľadnením predpokladaného vývoja spotreby energie v SR vrátane implementácie opatrení energetickej efektívnosti, očakáva sa, že národné indikatívne ciele spätne posilňujú realizáciu opatrení energetickej efektívnosti. Vplyv cieľov je v rovine informatívnej, porovnávajúcej, podporujúcej, a to prierezovo vo všetkých odvetviach. Stanovenie indikatívneho cieľa je dôležité najmä pre </w:t>
      </w:r>
      <w:r w:rsidR="00E167B6" w:rsidRPr="007577DE">
        <w:rPr>
          <w:rFonts w:ascii="Times New Roman" w:eastAsiaTheme="majorEastAsia" w:hAnsi="Times New Roman" w:cs="Times New Roman"/>
          <w:bCs/>
          <w:sz w:val="24"/>
          <w:szCs w:val="24"/>
        </w:rPr>
        <w:t xml:space="preserve">priebežné </w:t>
      </w:r>
      <w:r w:rsidRPr="007577DE">
        <w:rPr>
          <w:rFonts w:ascii="Times New Roman" w:eastAsiaTheme="majorEastAsia" w:hAnsi="Times New Roman" w:cs="Times New Roman"/>
          <w:bCs/>
          <w:sz w:val="24"/>
          <w:szCs w:val="24"/>
        </w:rPr>
        <w:t xml:space="preserve">vyhodnocovanie </w:t>
      </w:r>
      <w:r w:rsidR="00D12DE0" w:rsidRPr="007577DE">
        <w:rPr>
          <w:rFonts w:ascii="Times New Roman" w:eastAsiaTheme="majorEastAsia" w:hAnsi="Times New Roman" w:cs="Times New Roman"/>
          <w:bCs/>
          <w:sz w:val="24"/>
          <w:szCs w:val="24"/>
        </w:rPr>
        <w:t xml:space="preserve">aktuálneho stavu v oblasti energetickej efektívnosti </w:t>
      </w:r>
      <w:r w:rsidRPr="007577DE">
        <w:rPr>
          <w:rFonts w:ascii="Times New Roman" w:eastAsiaTheme="majorEastAsia" w:hAnsi="Times New Roman" w:cs="Times New Roman"/>
          <w:bCs/>
          <w:sz w:val="24"/>
          <w:szCs w:val="24"/>
        </w:rPr>
        <w:t xml:space="preserve">a má informatívnu a koordinačnú  úlohu. Vplyv cieľov na úroveň spotreby energie </w:t>
      </w:r>
      <w:r w:rsidR="00D12DE0" w:rsidRPr="007577DE">
        <w:rPr>
          <w:rFonts w:ascii="Times New Roman" w:eastAsiaTheme="majorEastAsia" w:hAnsi="Times New Roman" w:cs="Times New Roman"/>
          <w:bCs/>
          <w:sz w:val="24"/>
          <w:szCs w:val="24"/>
        </w:rPr>
        <w:t xml:space="preserve">zatiaľ </w:t>
      </w:r>
      <w:r w:rsidRPr="007577DE">
        <w:rPr>
          <w:rFonts w:ascii="Times New Roman" w:eastAsiaTheme="majorEastAsia" w:hAnsi="Times New Roman" w:cs="Times New Roman"/>
          <w:bCs/>
          <w:sz w:val="24"/>
          <w:szCs w:val="24"/>
        </w:rPr>
        <w:t>nebol kvantifikovaný.</w:t>
      </w:r>
      <w:r w:rsidRPr="007577DE">
        <w:rPr>
          <w:rFonts w:ascii="Times New Roman" w:eastAsiaTheme="majorEastAsia" w:hAnsi="Times New Roman" w:cs="Times New Roman"/>
          <w:bCs/>
          <w:color w:val="5B9BD5" w:themeColor="accent1"/>
          <w:sz w:val="24"/>
          <w:szCs w:val="24"/>
        </w:rPr>
        <w:t xml:space="preserve">  </w:t>
      </w:r>
    </w:p>
    <w:p w14:paraId="2497B7BB" w14:textId="77777777" w:rsidR="00E60DE4" w:rsidRDefault="00E60DE4" w:rsidP="00856490"/>
    <w:p w14:paraId="3C96CD77" w14:textId="2C8192B9" w:rsidR="00E60DE4" w:rsidRPr="009B2F02" w:rsidRDefault="00E60DE4" w:rsidP="00AF5415">
      <w:pPr>
        <w:pStyle w:val="Nadpis4"/>
        <w:numPr>
          <w:ilvl w:val="3"/>
          <w:numId w:val="30"/>
        </w:numPr>
        <w:rPr>
          <w:rFonts w:ascii="Times New Roman" w:hAnsi="Times New Roman" w:cs="Times New Roman"/>
          <w:i w:val="0"/>
          <w:color w:val="auto"/>
        </w:rPr>
      </w:pPr>
      <w:bookmarkStart w:id="16" w:name="_Toc477345342"/>
      <w:r w:rsidRPr="009B2F02">
        <w:rPr>
          <w:rFonts w:ascii="Times New Roman" w:hAnsi="Times New Roman" w:cs="Times New Roman"/>
          <w:i w:val="0"/>
          <w:color w:val="auto"/>
        </w:rPr>
        <w:t>Cieľ úspor energie</w:t>
      </w:r>
      <w:r w:rsidR="00DD2A78" w:rsidRPr="009B2F02">
        <w:rPr>
          <w:rFonts w:ascii="Times New Roman" w:hAnsi="Times New Roman" w:cs="Times New Roman"/>
          <w:i w:val="0"/>
          <w:color w:val="auto"/>
        </w:rPr>
        <w:t xml:space="preserve"> </w:t>
      </w:r>
      <w:r w:rsidRPr="009B2F02">
        <w:rPr>
          <w:rFonts w:ascii="Times New Roman" w:hAnsi="Times New Roman" w:cs="Times New Roman"/>
          <w:i w:val="0"/>
          <w:color w:val="auto"/>
        </w:rPr>
        <w:t>budov (čl. 5 SEE)</w:t>
      </w:r>
      <w:bookmarkEnd w:id="16"/>
      <w:r w:rsidRPr="009B2F02">
        <w:rPr>
          <w:rFonts w:ascii="Times New Roman" w:hAnsi="Times New Roman" w:cs="Times New Roman"/>
          <w:i w:val="0"/>
          <w:color w:val="auto"/>
        </w:rPr>
        <w:t xml:space="preserve"> </w:t>
      </w:r>
    </w:p>
    <w:p w14:paraId="00551E2F" w14:textId="77777777" w:rsidR="00E60DE4" w:rsidRDefault="00E60DE4" w:rsidP="00E60DE4">
      <w:pPr>
        <w:jc w:val="both"/>
        <w:rPr>
          <w:rFonts w:ascii="Times New Roman" w:hAnsi="Times New Roman" w:cs="Times New Roman"/>
          <w:sz w:val="24"/>
          <w:szCs w:val="24"/>
        </w:rPr>
      </w:pPr>
      <w:r w:rsidRPr="007577DE">
        <w:rPr>
          <w:rFonts w:ascii="Times New Roman" w:hAnsi="Times New Roman" w:cs="Times New Roman"/>
          <w:sz w:val="24"/>
          <w:szCs w:val="24"/>
        </w:rPr>
        <w:t xml:space="preserve">Na základe čl. 5 smernice 2012/27/EÚ každá členská krajina musí každoročne obnoviť 3% z celkovej podlahovej plochy  SR si v súlade s čl. 5 (6) smernice 2012/27/EÚ zvolila alternatívny </w:t>
      </w:r>
      <w:r w:rsidRPr="007577DE">
        <w:rPr>
          <w:rFonts w:ascii="Times New Roman" w:hAnsi="Times New Roman" w:cs="Times New Roman"/>
          <w:sz w:val="24"/>
          <w:szCs w:val="24"/>
        </w:rPr>
        <w:lastRenderedPageBreak/>
        <w:t>spôsob plnenia cieľa, pričom cieľ úspor energie budov bol stanovený vo výške 52,17 GWh ročne.</w:t>
      </w:r>
      <w:r w:rsidRPr="007577DE">
        <w:rPr>
          <w:rStyle w:val="Odkaznapoznmkupodiarou"/>
          <w:rFonts w:ascii="Times New Roman" w:hAnsi="Times New Roman" w:cs="Times New Roman"/>
          <w:sz w:val="24"/>
          <w:szCs w:val="24"/>
        </w:rPr>
        <w:footnoteReference w:id="13"/>
      </w:r>
      <w:r w:rsidRPr="007577DE">
        <w:rPr>
          <w:rFonts w:ascii="Times New Roman" w:hAnsi="Times New Roman" w:cs="Times New Roman"/>
          <w:sz w:val="24"/>
          <w:szCs w:val="24"/>
        </w:rPr>
        <w:t xml:space="preserve"> </w:t>
      </w:r>
    </w:p>
    <w:p w14:paraId="2476911A" w14:textId="5401817D" w:rsidR="0027324F" w:rsidRPr="00856490" w:rsidRDefault="0027324F" w:rsidP="0027324F">
      <w:pPr>
        <w:jc w:val="both"/>
        <w:rPr>
          <w:rFonts w:ascii="Times New Roman" w:hAnsi="Times New Roman" w:cs="Times New Roman"/>
          <w:sz w:val="24"/>
          <w:szCs w:val="24"/>
        </w:rPr>
      </w:pPr>
      <w:r>
        <w:rPr>
          <w:rFonts w:ascii="Times New Roman" w:hAnsi="Times New Roman" w:cs="Times New Roman"/>
          <w:sz w:val="24"/>
          <w:szCs w:val="24"/>
        </w:rPr>
        <w:t xml:space="preserve">Od roku 2014 bol cieľ splnený len v roku 2015 (54,13 GWh). </w:t>
      </w:r>
      <w:r w:rsidR="00E60DE4" w:rsidRPr="00856490">
        <w:rPr>
          <w:rFonts w:ascii="Times New Roman" w:hAnsi="Times New Roman" w:cs="Times New Roman"/>
          <w:sz w:val="24"/>
          <w:szCs w:val="24"/>
        </w:rPr>
        <w:t xml:space="preserve">V roku 2016 bola dosiahnutá úspora </w:t>
      </w:r>
      <w:r>
        <w:rPr>
          <w:rFonts w:ascii="Times New Roman" w:hAnsi="Times New Roman" w:cs="Times New Roman"/>
          <w:sz w:val="24"/>
          <w:szCs w:val="24"/>
        </w:rPr>
        <w:t xml:space="preserve">iba </w:t>
      </w:r>
      <w:r w:rsidR="00E60DE4" w:rsidRPr="00856490">
        <w:rPr>
          <w:rFonts w:ascii="Times New Roman" w:hAnsi="Times New Roman" w:cs="Times New Roman"/>
          <w:sz w:val="24"/>
          <w:szCs w:val="24"/>
        </w:rPr>
        <w:t xml:space="preserve">vo výške </w:t>
      </w:r>
      <w:r w:rsidR="00637612">
        <w:rPr>
          <w:rFonts w:ascii="Times New Roman" w:hAnsi="Times New Roman" w:cs="Times New Roman"/>
          <w:sz w:val="24"/>
          <w:szCs w:val="24"/>
        </w:rPr>
        <w:t>23,02</w:t>
      </w:r>
      <w:r w:rsidR="00E60DE4">
        <w:rPr>
          <w:rFonts w:ascii="Times New Roman" w:hAnsi="Times New Roman" w:cs="Times New Roman"/>
          <w:sz w:val="24"/>
          <w:szCs w:val="24"/>
        </w:rPr>
        <w:t xml:space="preserve"> GWh</w:t>
      </w:r>
      <w:r w:rsidR="00637612">
        <w:rPr>
          <w:rFonts w:ascii="Times New Roman" w:hAnsi="Times New Roman" w:cs="Times New Roman"/>
          <w:sz w:val="24"/>
          <w:szCs w:val="24"/>
        </w:rPr>
        <w:t>, čo znamená 44</w:t>
      </w:r>
      <w:r>
        <w:rPr>
          <w:rFonts w:ascii="Times New Roman" w:hAnsi="Times New Roman" w:cs="Times New Roman"/>
          <w:sz w:val="24"/>
          <w:szCs w:val="24"/>
        </w:rPr>
        <w:t xml:space="preserve"> </w:t>
      </w:r>
      <w:r w:rsidR="00637612">
        <w:rPr>
          <w:rFonts w:ascii="Times New Roman" w:hAnsi="Times New Roman" w:cs="Times New Roman"/>
          <w:sz w:val="24"/>
          <w:szCs w:val="24"/>
        </w:rPr>
        <w:t>% stanoveného ročného cieľa.</w:t>
      </w:r>
      <w:r>
        <w:rPr>
          <w:rFonts w:ascii="Times New Roman" w:hAnsi="Times New Roman" w:cs="Times New Roman"/>
          <w:sz w:val="24"/>
          <w:szCs w:val="24"/>
        </w:rPr>
        <w:t xml:space="preserve"> </w:t>
      </w:r>
      <w:r w:rsidRPr="0027324F">
        <w:rPr>
          <w:rFonts w:ascii="Times New Roman" w:hAnsi="Times New Roman" w:cs="Times New Roman"/>
          <w:sz w:val="24"/>
          <w:szCs w:val="24"/>
        </w:rPr>
        <w:t xml:space="preserve">Na základe uvedeného zhodnotenia je možné konštatovať, že </w:t>
      </w:r>
      <w:r w:rsidRPr="001B1483">
        <w:rPr>
          <w:rFonts w:ascii="Times New Roman" w:hAnsi="Times New Roman" w:cs="Times New Roman"/>
          <w:b/>
          <w:sz w:val="24"/>
          <w:szCs w:val="24"/>
          <w:u w:val="single"/>
        </w:rPr>
        <w:t>plánovaný cieľ úspor energie v budovách podľa čl. 5 smernice</w:t>
      </w:r>
      <w:r w:rsidR="00DD2A78" w:rsidRPr="001B1483">
        <w:rPr>
          <w:rFonts w:ascii="Times New Roman" w:hAnsi="Times New Roman" w:cs="Times New Roman"/>
          <w:b/>
          <w:sz w:val="24"/>
          <w:szCs w:val="24"/>
          <w:u w:val="single"/>
        </w:rPr>
        <w:t xml:space="preserve"> 2012/27/EÚ</w:t>
      </w:r>
      <w:r w:rsidRPr="001B1483">
        <w:rPr>
          <w:rFonts w:ascii="Times New Roman" w:hAnsi="Times New Roman" w:cs="Times New Roman"/>
          <w:b/>
          <w:sz w:val="24"/>
          <w:szCs w:val="24"/>
          <w:u w:val="single"/>
        </w:rPr>
        <w:t xml:space="preserve"> nebol pre rok 2016 naplnený</w:t>
      </w:r>
      <w:r w:rsidRPr="0027324F">
        <w:rPr>
          <w:rFonts w:ascii="Times New Roman" w:hAnsi="Times New Roman" w:cs="Times New Roman"/>
          <w:sz w:val="24"/>
          <w:szCs w:val="24"/>
        </w:rPr>
        <w:t>.</w:t>
      </w:r>
      <w:r w:rsidR="00F0365E">
        <w:rPr>
          <w:rFonts w:ascii="Times New Roman" w:hAnsi="Times New Roman" w:cs="Times New Roman"/>
          <w:sz w:val="24"/>
          <w:szCs w:val="24"/>
        </w:rPr>
        <w:t xml:space="preserve"> </w:t>
      </w:r>
      <w:r w:rsidRPr="00856490">
        <w:rPr>
          <w:rFonts w:ascii="Times New Roman" w:hAnsi="Times New Roman" w:cs="Times New Roman"/>
          <w:sz w:val="24"/>
          <w:szCs w:val="24"/>
        </w:rPr>
        <w:t xml:space="preserve">Jedným z hlavných dôvodov neplnenia cieľa v roku 2016 je </w:t>
      </w:r>
      <w:r>
        <w:rPr>
          <w:rFonts w:ascii="Times New Roman" w:hAnsi="Times New Roman" w:cs="Times New Roman"/>
          <w:sz w:val="24"/>
          <w:szCs w:val="24"/>
        </w:rPr>
        <w:t xml:space="preserve">pretrvávajúci nedostatok verejných zdrojov, ako aj </w:t>
      </w:r>
      <w:r w:rsidRPr="003B1856">
        <w:rPr>
          <w:rFonts w:ascii="Times New Roman" w:hAnsi="Times New Roman" w:cs="Times New Roman"/>
          <w:sz w:val="24"/>
          <w:szCs w:val="24"/>
        </w:rPr>
        <w:t>oneskorené začatie realizácie projektov obnovy verejných budov zo zdrojov OP KŽP (2014-2020)</w:t>
      </w:r>
      <w:r>
        <w:rPr>
          <w:rFonts w:ascii="Times New Roman" w:hAnsi="Times New Roman" w:cs="Times New Roman"/>
          <w:sz w:val="24"/>
          <w:szCs w:val="24"/>
        </w:rPr>
        <w:t xml:space="preserve">. </w:t>
      </w:r>
      <w:r w:rsidR="008F4A21">
        <w:rPr>
          <w:rFonts w:ascii="Times New Roman" w:hAnsi="Times New Roman" w:cs="Times New Roman"/>
          <w:sz w:val="24"/>
          <w:szCs w:val="24"/>
        </w:rPr>
        <w:t xml:space="preserve">Na základe uvedeného je nevyhnutné, aby Ministerstvo dopravy a výstavby Slovenskej republiky, ktoré je podľa zákona č. 575/2001 Z. z. </w:t>
      </w:r>
      <w:r w:rsidR="008F4A21" w:rsidRPr="008F4A21">
        <w:rPr>
          <w:rFonts w:ascii="Times New Roman" w:hAnsi="Times New Roman" w:cs="Times New Roman"/>
          <w:sz w:val="24"/>
          <w:szCs w:val="24"/>
        </w:rPr>
        <w:t>o organizácii činnosti vlády a organizácii ústrednej štátnej sprá</w:t>
      </w:r>
      <w:r w:rsidR="008F4A21">
        <w:rPr>
          <w:rFonts w:ascii="Times New Roman" w:hAnsi="Times New Roman" w:cs="Times New Roman"/>
          <w:sz w:val="24"/>
          <w:szCs w:val="24"/>
        </w:rPr>
        <w:t xml:space="preserve">vy v znení neskorších predpisov zodpovedné za oblasť energetickej hospodárnosti budov, </w:t>
      </w:r>
      <w:r w:rsidR="00DA2157">
        <w:rPr>
          <w:rFonts w:ascii="Times New Roman" w:hAnsi="Times New Roman" w:cs="Times New Roman"/>
          <w:sz w:val="24"/>
          <w:szCs w:val="24"/>
        </w:rPr>
        <w:t xml:space="preserve">navrhlo </w:t>
      </w:r>
      <w:r w:rsidR="008F4A21" w:rsidRPr="001B1483">
        <w:rPr>
          <w:rFonts w:ascii="Times New Roman" w:hAnsi="Times New Roman" w:cs="Times New Roman"/>
          <w:b/>
          <w:sz w:val="24"/>
          <w:szCs w:val="24"/>
          <w:u w:val="single"/>
        </w:rPr>
        <w:t>adekvátne opatrenia na plnenie tohto cieľa</w:t>
      </w:r>
      <w:r w:rsidR="008F4A21">
        <w:rPr>
          <w:rFonts w:ascii="Times New Roman" w:hAnsi="Times New Roman" w:cs="Times New Roman"/>
          <w:sz w:val="24"/>
          <w:szCs w:val="24"/>
        </w:rPr>
        <w:t xml:space="preserve">. </w:t>
      </w:r>
    </w:p>
    <w:p w14:paraId="52B8A454" w14:textId="2F492FFD" w:rsidR="00E60DE4" w:rsidRDefault="00F0365E" w:rsidP="00856490">
      <w:pPr>
        <w:jc w:val="both"/>
        <w:rPr>
          <w:rFonts w:ascii="Times New Roman" w:hAnsi="Times New Roman" w:cs="Times New Roman"/>
          <w:sz w:val="24"/>
          <w:szCs w:val="24"/>
        </w:rPr>
      </w:pPr>
      <w:r>
        <w:rPr>
          <w:rFonts w:ascii="Times New Roman" w:hAnsi="Times New Roman" w:cs="Times New Roman"/>
          <w:sz w:val="24"/>
          <w:szCs w:val="24"/>
        </w:rPr>
        <w:t xml:space="preserve">Deficit v plnení cieľa bude potrebné kompenzovať úsporami v ďalšom období </w:t>
      </w:r>
      <w:r w:rsidRPr="00B65298">
        <w:rPr>
          <w:rFonts w:ascii="Times New Roman" w:hAnsi="Times New Roman" w:cs="Times New Roman"/>
          <w:sz w:val="24"/>
          <w:szCs w:val="24"/>
        </w:rPr>
        <w:t xml:space="preserve">(pozri graf č. </w:t>
      </w:r>
      <w:r w:rsidR="00AE42A2">
        <w:rPr>
          <w:rFonts w:ascii="Times New Roman" w:hAnsi="Times New Roman" w:cs="Times New Roman"/>
          <w:sz w:val="24"/>
          <w:szCs w:val="24"/>
        </w:rPr>
        <w:t>3</w:t>
      </w:r>
      <w:r w:rsidRPr="000C2919">
        <w:rPr>
          <w:rFonts w:ascii="Times New Roman" w:hAnsi="Times New Roman" w:cs="Times New Roman"/>
          <w:sz w:val="24"/>
          <w:szCs w:val="24"/>
        </w:rPr>
        <w:t>)</w:t>
      </w:r>
      <w:r w:rsidRPr="00B65298">
        <w:rPr>
          <w:rFonts w:ascii="Times New Roman" w:hAnsi="Times New Roman" w:cs="Times New Roman"/>
          <w:sz w:val="24"/>
          <w:szCs w:val="24"/>
        </w:rPr>
        <w:t>.</w:t>
      </w:r>
      <w:r>
        <w:rPr>
          <w:rFonts w:ascii="Times New Roman" w:hAnsi="Times New Roman" w:cs="Times New Roman"/>
          <w:sz w:val="24"/>
          <w:szCs w:val="24"/>
        </w:rPr>
        <w:t xml:space="preserve"> </w:t>
      </w:r>
    </w:p>
    <w:p w14:paraId="1FEA1FE5" w14:textId="0CA830A6" w:rsidR="00F0365E" w:rsidRDefault="00F0365E" w:rsidP="00856490">
      <w:pPr>
        <w:keepNext/>
        <w:rPr>
          <w:rFonts w:ascii="Times New Roman" w:hAnsi="Times New Roman" w:cs="Times New Roman"/>
          <w:sz w:val="24"/>
          <w:szCs w:val="24"/>
        </w:rPr>
      </w:pPr>
      <w:r>
        <w:rPr>
          <w:rFonts w:ascii="Times New Roman" w:hAnsi="Times New Roman" w:cs="Times New Roman"/>
          <w:sz w:val="24"/>
          <w:szCs w:val="24"/>
        </w:rPr>
        <w:t xml:space="preserve">Graf č. </w:t>
      </w:r>
      <w:r w:rsidR="00AE42A2">
        <w:rPr>
          <w:rFonts w:ascii="Times New Roman" w:hAnsi="Times New Roman" w:cs="Times New Roman"/>
          <w:sz w:val="24"/>
          <w:szCs w:val="24"/>
        </w:rPr>
        <w:t>3</w:t>
      </w:r>
      <w:r>
        <w:rPr>
          <w:rFonts w:ascii="Times New Roman" w:hAnsi="Times New Roman" w:cs="Times New Roman"/>
          <w:sz w:val="24"/>
          <w:szCs w:val="24"/>
        </w:rPr>
        <w:t>: Cieľ úspor energie v budovách a jeho plnenie v rokoch 2014-2016</w:t>
      </w:r>
    </w:p>
    <w:p w14:paraId="72C83322" w14:textId="0E1F53A6" w:rsidR="00671B38" w:rsidRDefault="00904F7C" w:rsidP="00856490">
      <w:pPr>
        <w:rPr>
          <w:rFonts w:ascii="Times New Roman" w:hAnsi="Times New Roman" w:cs="Times New Roman"/>
          <w:sz w:val="24"/>
          <w:szCs w:val="24"/>
        </w:rPr>
      </w:pPr>
      <w:r>
        <w:rPr>
          <w:noProof/>
          <w:lang w:eastAsia="sk-SK"/>
        </w:rPr>
        <w:drawing>
          <wp:inline distT="0" distB="0" distL="0" distR="0" wp14:anchorId="0B4B24BC" wp14:editId="2C10CBE4">
            <wp:extent cx="5524500" cy="300990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851824" w14:textId="77777777" w:rsidR="00E60DE4" w:rsidRPr="00856490" w:rsidRDefault="00E60DE4" w:rsidP="00856490"/>
    <w:p w14:paraId="699F0DB9" w14:textId="77777777" w:rsidR="00E97BB6" w:rsidRPr="000578FE" w:rsidRDefault="00E97BB6" w:rsidP="00AF5415">
      <w:pPr>
        <w:pStyle w:val="Nadpis4"/>
        <w:numPr>
          <w:ilvl w:val="3"/>
          <w:numId w:val="30"/>
        </w:numPr>
        <w:rPr>
          <w:rFonts w:ascii="Times New Roman" w:hAnsi="Times New Roman" w:cs="Times New Roman"/>
          <w:i w:val="0"/>
          <w:color w:val="auto"/>
        </w:rPr>
      </w:pPr>
      <w:bookmarkStart w:id="17" w:name="_Toc475461003"/>
      <w:bookmarkStart w:id="18" w:name="_Toc477345343"/>
      <w:bookmarkEnd w:id="17"/>
      <w:r w:rsidRPr="000578FE">
        <w:rPr>
          <w:rFonts w:ascii="Times New Roman" w:hAnsi="Times New Roman" w:cs="Times New Roman"/>
          <w:i w:val="0"/>
          <w:color w:val="auto"/>
        </w:rPr>
        <w:t>Cieľ úspor energie u konečného spotrebiteľa (čl. 7 SEE)</w:t>
      </w:r>
      <w:bookmarkEnd w:id="18"/>
    </w:p>
    <w:p w14:paraId="63C3585D" w14:textId="77777777" w:rsidR="00D73888" w:rsidRDefault="00D73888" w:rsidP="00D73888">
      <w:pPr>
        <w:tabs>
          <w:tab w:val="left" w:pos="1620"/>
        </w:tabs>
        <w:spacing w:line="264" w:lineRule="auto"/>
        <w:jc w:val="both"/>
        <w:rPr>
          <w:rFonts w:ascii="Times New Roman" w:hAnsi="Times New Roman" w:cs="Times New Roman"/>
          <w:sz w:val="24"/>
          <w:szCs w:val="24"/>
        </w:rPr>
      </w:pPr>
    </w:p>
    <w:p w14:paraId="7A8EDFFF" w14:textId="7A4D062A" w:rsidR="007B1B1D" w:rsidRDefault="00D73888" w:rsidP="00D73888">
      <w:pPr>
        <w:tabs>
          <w:tab w:val="left" w:pos="1620"/>
        </w:tabs>
        <w:spacing w:line="264" w:lineRule="auto"/>
        <w:jc w:val="both"/>
        <w:rPr>
          <w:rFonts w:ascii="Times New Roman" w:hAnsi="Times New Roman" w:cs="Times New Roman"/>
          <w:bCs/>
          <w:sz w:val="24"/>
          <w:szCs w:val="24"/>
        </w:rPr>
      </w:pPr>
      <w:r w:rsidRPr="007577DE">
        <w:rPr>
          <w:rFonts w:ascii="Times New Roman" w:hAnsi="Times New Roman" w:cs="Times New Roman"/>
          <w:sz w:val="24"/>
          <w:szCs w:val="24"/>
        </w:rPr>
        <w:t xml:space="preserve">Ročný cieľ úspor energie </w:t>
      </w:r>
      <w:r w:rsidR="007B1B1D" w:rsidRPr="007577DE">
        <w:rPr>
          <w:rFonts w:ascii="Times New Roman" w:hAnsi="Times New Roman" w:cs="Times New Roman"/>
          <w:sz w:val="24"/>
          <w:szCs w:val="24"/>
        </w:rPr>
        <w:t>u konečného spotrebiteľa</w:t>
      </w:r>
      <w:r w:rsidR="007B1B1D">
        <w:rPr>
          <w:rFonts w:ascii="Times New Roman" w:hAnsi="Times New Roman" w:cs="Times New Roman"/>
          <w:sz w:val="24"/>
          <w:szCs w:val="24"/>
        </w:rPr>
        <w:t xml:space="preserve"> na roky 2014-2020 bol v zmysle metodiky smernice vypočítaný </w:t>
      </w:r>
      <w:r w:rsidRPr="007577DE">
        <w:rPr>
          <w:rFonts w:ascii="Times New Roman" w:hAnsi="Times New Roman" w:cs="Times New Roman"/>
          <w:sz w:val="24"/>
          <w:szCs w:val="24"/>
        </w:rPr>
        <w:t xml:space="preserve">vo výške </w:t>
      </w:r>
      <w:r w:rsidRPr="001B1483">
        <w:rPr>
          <w:rFonts w:ascii="Times New Roman" w:hAnsi="Times New Roman" w:cs="Times New Roman"/>
          <w:b/>
          <w:sz w:val="24"/>
          <w:szCs w:val="24"/>
        </w:rPr>
        <w:t>948,75 GWh/rok</w:t>
      </w:r>
      <w:r w:rsidRPr="007577DE">
        <w:rPr>
          <w:rFonts w:ascii="Times New Roman" w:hAnsi="Times New Roman" w:cs="Times New Roman"/>
          <w:sz w:val="24"/>
          <w:szCs w:val="24"/>
        </w:rPr>
        <w:t xml:space="preserve"> (3 415,5 TJ</w:t>
      </w:r>
      <w:r>
        <w:rPr>
          <w:rFonts w:ascii="Times New Roman" w:hAnsi="Times New Roman" w:cs="Times New Roman"/>
          <w:sz w:val="24"/>
          <w:szCs w:val="24"/>
        </w:rPr>
        <w:t>/rok</w:t>
      </w:r>
      <w:r w:rsidRPr="007577DE">
        <w:rPr>
          <w:rFonts w:ascii="Times New Roman" w:hAnsi="Times New Roman" w:cs="Times New Roman"/>
          <w:sz w:val="24"/>
          <w:szCs w:val="24"/>
        </w:rPr>
        <w:t>)</w:t>
      </w:r>
      <w:r w:rsidR="007B1B1D">
        <w:rPr>
          <w:rFonts w:ascii="Times New Roman" w:hAnsi="Times New Roman" w:cs="Times New Roman"/>
          <w:sz w:val="24"/>
          <w:szCs w:val="24"/>
        </w:rPr>
        <w:t>, t.</w:t>
      </w:r>
      <w:r w:rsidR="00AC19B2">
        <w:rPr>
          <w:rFonts w:ascii="Times New Roman" w:hAnsi="Times New Roman" w:cs="Times New Roman"/>
          <w:sz w:val="24"/>
          <w:szCs w:val="24"/>
        </w:rPr>
        <w:t xml:space="preserve"> </w:t>
      </w:r>
      <w:r w:rsidR="007B1B1D">
        <w:rPr>
          <w:rFonts w:ascii="Times New Roman" w:hAnsi="Times New Roman" w:cs="Times New Roman"/>
          <w:sz w:val="24"/>
          <w:szCs w:val="24"/>
        </w:rPr>
        <w:t xml:space="preserve">j. výška </w:t>
      </w:r>
      <w:r w:rsidRPr="007577DE">
        <w:rPr>
          <w:rFonts w:ascii="Times New Roman" w:hAnsi="Times New Roman" w:cs="Times New Roman"/>
          <w:sz w:val="24"/>
          <w:szCs w:val="24"/>
        </w:rPr>
        <w:t xml:space="preserve"> </w:t>
      </w:r>
      <w:r w:rsidRPr="001B1483">
        <w:rPr>
          <w:rFonts w:ascii="Times New Roman" w:hAnsi="Times New Roman" w:cs="Times New Roman"/>
          <w:b/>
          <w:sz w:val="24"/>
          <w:szCs w:val="24"/>
        </w:rPr>
        <w:t>kumulatívn</w:t>
      </w:r>
      <w:r w:rsidR="007B1B1D" w:rsidRPr="001B1483">
        <w:rPr>
          <w:rFonts w:ascii="Times New Roman" w:hAnsi="Times New Roman" w:cs="Times New Roman"/>
          <w:b/>
          <w:sz w:val="24"/>
          <w:szCs w:val="24"/>
        </w:rPr>
        <w:t>eho</w:t>
      </w:r>
      <w:r w:rsidRPr="001B1483">
        <w:rPr>
          <w:rFonts w:ascii="Times New Roman" w:hAnsi="Times New Roman" w:cs="Times New Roman"/>
          <w:b/>
          <w:sz w:val="24"/>
          <w:szCs w:val="24"/>
        </w:rPr>
        <w:t xml:space="preserve"> cieľ</w:t>
      </w:r>
      <w:r w:rsidR="007B1B1D" w:rsidRPr="001B1483">
        <w:rPr>
          <w:rFonts w:ascii="Times New Roman" w:hAnsi="Times New Roman" w:cs="Times New Roman"/>
          <w:b/>
          <w:sz w:val="24"/>
          <w:szCs w:val="24"/>
        </w:rPr>
        <w:t>a</w:t>
      </w:r>
      <w:r w:rsidRPr="001B1483">
        <w:rPr>
          <w:rFonts w:ascii="Times New Roman" w:hAnsi="Times New Roman" w:cs="Times New Roman"/>
          <w:b/>
          <w:sz w:val="24"/>
          <w:szCs w:val="24"/>
        </w:rPr>
        <w:t xml:space="preserve"> </w:t>
      </w:r>
      <w:r w:rsidR="007B1B1D" w:rsidRPr="001B1483">
        <w:rPr>
          <w:rFonts w:ascii="Times New Roman" w:hAnsi="Times New Roman" w:cs="Times New Roman"/>
          <w:b/>
          <w:sz w:val="24"/>
          <w:szCs w:val="24"/>
        </w:rPr>
        <w:t>na roky</w:t>
      </w:r>
      <w:r w:rsidRPr="001B1483">
        <w:rPr>
          <w:rFonts w:ascii="Times New Roman" w:hAnsi="Times New Roman" w:cs="Times New Roman"/>
          <w:b/>
          <w:sz w:val="24"/>
          <w:szCs w:val="24"/>
        </w:rPr>
        <w:t xml:space="preserve"> 2014-2020</w:t>
      </w:r>
      <w:r w:rsidRPr="007577DE">
        <w:rPr>
          <w:rFonts w:ascii="Times New Roman" w:hAnsi="Times New Roman" w:cs="Times New Roman"/>
          <w:sz w:val="24"/>
          <w:szCs w:val="24"/>
        </w:rPr>
        <w:t xml:space="preserve"> </w:t>
      </w:r>
      <w:r w:rsidR="007B1B1D" w:rsidRPr="001B1483">
        <w:rPr>
          <w:rFonts w:ascii="Times New Roman" w:hAnsi="Times New Roman" w:cs="Times New Roman"/>
          <w:b/>
          <w:sz w:val="24"/>
          <w:szCs w:val="24"/>
        </w:rPr>
        <w:t>má hodnotu</w:t>
      </w:r>
      <w:r w:rsidRPr="001B1483">
        <w:rPr>
          <w:rFonts w:ascii="Times New Roman" w:hAnsi="Times New Roman" w:cs="Times New Roman"/>
          <w:b/>
          <w:sz w:val="24"/>
          <w:szCs w:val="24"/>
        </w:rPr>
        <w:t xml:space="preserve"> 26 565 GWh</w:t>
      </w:r>
      <w:r w:rsidRPr="007577DE">
        <w:rPr>
          <w:rFonts w:ascii="Times New Roman" w:hAnsi="Times New Roman" w:cs="Times New Roman"/>
          <w:sz w:val="24"/>
          <w:szCs w:val="24"/>
        </w:rPr>
        <w:t xml:space="preserve"> (95 634 TJ).</w:t>
      </w:r>
      <w:r w:rsidRPr="007577DE">
        <w:rPr>
          <w:rStyle w:val="Odkaznapoznmkupodiarou"/>
          <w:rFonts w:ascii="Times New Roman" w:hAnsi="Times New Roman" w:cs="Times New Roman"/>
          <w:sz w:val="24"/>
          <w:szCs w:val="24"/>
        </w:rPr>
        <w:footnoteReference w:id="14"/>
      </w:r>
      <w:r w:rsidRPr="007577DE">
        <w:rPr>
          <w:rFonts w:ascii="Times New Roman" w:hAnsi="Times New Roman" w:cs="Times New Roman"/>
          <w:sz w:val="24"/>
          <w:szCs w:val="24"/>
        </w:rPr>
        <w:t xml:space="preserve"> </w:t>
      </w:r>
      <w:r w:rsidRPr="007577DE">
        <w:rPr>
          <w:rFonts w:ascii="Times New Roman" w:hAnsi="Times New Roman" w:cs="Times New Roman"/>
          <w:bCs/>
          <w:sz w:val="24"/>
          <w:szCs w:val="24"/>
        </w:rPr>
        <w:t xml:space="preserve">Tento cieľ sa </w:t>
      </w:r>
      <w:r w:rsidR="007B1B1D">
        <w:rPr>
          <w:rFonts w:ascii="Times New Roman" w:hAnsi="Times New Roman" w:cs="Times New Roman"/>
          <w:bCs/>
          <w:sz w:val="24"/>
          <w:szCs w:val="24"/>
        </w:rPr>
        <w:t xml:space="preserve">každoročne </w:t>
      </w:r>
      <w:r w:rsidRPr="007577DE">
        <w:rPr>
          <w:rFonts w:ascii="Times New Roman" w:hAnsi="Times New Roman" w:cs="Times New Roman"/>
          <w:bCs/>
          <w:sz w:val="24"/>
          <w:szCs w:val="24"/>
        </w:rPr>
        <w:t xml:space="preserve">upravuje podľa </w:t>
      </w:r>
      <w:r w:rsidR="007B1B1D">
        <w:rPr>
          <w:rFonts w:ascii="Times New Roman" w:hAnsi="Times New Roman" w:cs="Times New Roman"/>
          <w:bCs/>
          <w:sz w:val="24"/>
          <w:szCs w:val="24"/>
        </w:rPr>
        <w:t>úrovne plnenia za predchádzajúce obdobie tak, aby bola dosiahnutá cieľová kumulatívna hodnota.</w:t>
      </w:r>
    </w:p>
    <w:p w14:paraId="1378661B" w14:textId="2EE99828" w:rsidR="00D73888" w:rsidRPr="001B1483" w:rsidRDefault="00D73888" w:rsidP="00D73888">
      <w:pPr>
        <w:tabs>
          <w:tab w:val="left" w:pos="1620"/>
        </w:tabs>
        <w:spacing w:line="264" w:lineRule="auto"/>
        <w:jc w:val="both"/>
        <w:rPr>
          <w:rFonts w:ascii="Times New Roman" w:hAnsi="Times New Roman" w:cs="Times New Roman"/>
          <w:sz w:val="24"/>
          <w:szCs w:val="24"/>
        </w:rPr>
      </w:pPr>
      <w:r w:rsidRPr="007B1B1D">
        <w:rPr>
          <w:rFonts w:ascii="Times New Roman" w:hAnsi="Times New Roman" w:cs="Times New Roman"/>
          <w:sz w:val="24"/>
          <w:szCs w:val="24"/>
        </w:rPr>
        <w:lastRenderedPageBreak/>
        <w:t xml:space="preserve">Na základe vyhodnotenia </w:t>
      </w:r>
      <w:r w:rsidR="000576BD">
        <w:rPr>
          <w:rFonts w:ascii="Times New Roman" w:hAnsi="Times New Roman" w:cs="Times New Roman"/>
          <w:sz w:val="24"/>
          <w:szCs w:val="24"/>
        </w:rPr>
        <w:t>plnenia cieľa v predchádzajúcich rokoch</w:t>
      </w:r>
      <w:r w:rsidR="007B1B1D">
        <w:rPr>
          <w:rFonts w:ascii="Times New Roman" w:hAnsi="Times New Roman" w:cs="Times New Roman"/>
          <w:sz w:val="24"/>
          <w:szCs w:val="24"/>
        </w:rPr>
        <w:t xml:space="preserve"> (2014-2015)</w:t>
      </w:r>
      <w:r w:rsidRPr="007B1B1D">
        <w:rPr>
          <w:rFonts w:ascii="Times New Roman" w:hAnsi="Times New Roman" w:cs="Times New Roman"/>
          <w:sz w:val="24"/>
          <w:szCs w:val="24"/>
        </w:rPr>
        <w:t xml:space="preserve"> </w:t>
      </w:r>
      <w:r w:rsidR="007B1B1D" w:rsidRPr="007B1B1D">
        <w:rPr>
          <w:rFonts w:ascii="Times New Roman" w:hAnsi="Times New Roman" w:cs="Times New Roman"/>
          <w:sz w:val="24"/>
          <w:szCs w:val="24"/>
        </w:rPr>
        <w:t xml:space="preserve">bol </w:t>
      </w:r>
      <w:r w:rsidRPr="001B1483">
        <w:rPr>
          <w:rFonts w:ascii="Times New Roman" w:hAnsi="Times New Roman" w:cs="Times New Roman"/>
          <w:sz w:val="24"/>
          <w:szCs w:val="24"/>
        </w:rPr>
        <w:t xml:space="preserve">ročný cieľ </w:t>
      </w:r>
      <w:r w:rsidR="007B1B1D" w:rsidRPr="001B1483">
        <w:rPr>
          <w:rFonts w:ascii="Times New Roman" w:hAnsi="Times New Roman" w:cs="Times New Roman"/>
          <w:sz w:val="24"/>
          <w:szCs w:val="24"/>
        </w:rPr>
        <w:t>na rok</w:t>
      </w:r>
      <w:r w:rsidR="000576BD">
        <w:rPr>
          <w:rFonts w:ascii="Times New Roman" w:hAnsi="Times New Roman" w:cs="Times New Roman"/>
          <w:sz w:val="24"/>
          <w:szCs w:val="24"/>
        </w:rPr>
        <w:t>y 2016-2020</w:t>
      </w:r>
      <w:r w:rsidR="007B1B1D" w:rsidRPr="001B1483">
        <w:rPr>
          <w:rFonts w:ascii="Times New Roman" w:hAnsi="Times New Roman" w:cs="Times New Roman"/>
          <w:sz w:val="24"/>
          <w:szCs w:val="24"/>
        </w:rPr>
        <w:t xml:space="preserve"> upravený</w:t>
      </w:r>
      <w:r w:rsidRPr="007B1B1D">
        <w:rPr>
          <w:rFonts w:ascii="Times New Roman" w:hAnsi="Times New Roman" w:cs="Times New Roman"/>
          <w:sz w:val="24"/>
          <w:szCs w:val="24"/>
        </w:rPr>
        <w:t xml:space="preserve"> na </w:t>
      </w:r>
      <w:r w:rsidR="000576BD">
        <w:rPr>
          <w:rFonts w:ascii="Times New Roman" w:hAnsi="Times New Roman" w:cs="Times New Roman"/>
          <w:sz w:val="24"/>
          <w:szCs w:val="24"/>
        </w:rPr>
        <w:t>h</w:t>
      </w:r>
      <w:r w:rsidRPr="007B1B1D">
        <w:rPr>
          <w:rFonts w:ascii="Times New Roman" w:hAnsi="Times New Roman" w:cs="Times New Roman"/>
          <w:sz w:val="24"/>
          <w:szCs w:val="24"/>
        </w:rPr>
        <w:t xml:space="preserve">odnotu </w:t>
      </w:r>
      <w:r w:rsidRPr="00EC14E2">
        <w:rPr>
          <w:rFonts w:ascii="Times New Roman" w:hAnsi="Times New Roman" w:cs="Times New Roman"/>
          <w:b/>
          <w:sz w:val="24"/>
          <w:szCs w:val="24"/>
        </w:rPr>
        <w:t>959,84 GWh/rok</w:t>
      </w:r>
      <w:r w:rsidR="007B1B1D">
        <w:rPr>
          <w:rFonts w:ascii="Times New Roman" w:hAnsi="Times New Roman" w:cs="Times New Roman"/>
          <w:sz w:val="24"/>
          <w:szCs w:val="24"/>
        </w:rPr>
        <w:t xml:space="preserve"> (</w:t>
      </w:r>
      <w:r w:rsidR="00AC19B2">
        <w:rPr>
          <w:rFonts w:ascii="Times New Roman" w:hAnsi="Times New Roman" w:cs="Times New Roman"/>
          <w:sz w:val="24"/>
          <w:szCs w:val="24"/>
        </w:rPr>
        <w:t xml:space="preserve">ročná </w:t>
      </w:r>
      <w:r w:rsidR="007B1B1D">
        <w:rPr>
          <w:rFonts w:ascii="Times New Roman" w:hAnsi="Times New Roman" w:cs="Times New Roman"/>
          <w:sz w:val="24"/>
          <w:szCs w:val="24"/>
        </w:rPr>
        <w:t>správa</w:t>
      </w:r>
      <w:r w:rsidR="007B1B1D" w:rsidRPr="00186024">
        <w:rPr>
          <w:rFonts w:ascii="Times New Roman" w:hAnsi="Times New Roman" w:cs="Times New Roman"/>
          <w:sz w:val="24"/>
          <w:szCs w:val="24"/>
        </w:rPr>
        <w:t xml:space="preserve"> za rok 2015)</w:t>
      </w:r>
      <w:r w:rsidRPr="001B1483">
        <w:rPr>
          <w:rFonts w:ascii="Times New Roman" w:hAnsi="Times New Roman" w:cs="Times New Roman"/>
          <w:sz w:val="24"/>
          <w:szCs w:val="24"/>
        </w:rPr>
        <w:t>.</w:t>
      </w:r>
      <w:r w:rsidRPr="001B1483">
        <w:rPr>
          <w:rFonts w:ascii="Times New Roman" w:hAnsi="Times New Roman" w:cs="Times New Roman"/>
          <w:bCs/>
          <w:sz w:val="24"/>
          <w:szCs w:val="24"/>
        </w:rPr>
        <w:t xml:space="preserve"> </w:t>
      </w:r>
    </w:p>
    <w:p w14:paraId="4AEE4B85" w14:textId="77777777" w:rsidR="00D73888" w:rsidRDefault="00D73888" w:rsidP="00D73888">
      <w:pPr>
        <w:jc w:val="both"/>
        <w:rPr>
          <w:rFonts w:ascii="Times New Roman" w:hAnsi="Times New Roman" w:cs="Times New Roman"/>
          <w:sz w:val="24"/>
          <w:szCs w:val="24"/>
        </w:rPr>
      </w:pPr>
    </w:p>
    <w:p w14:paraId="29F20157" w14:textId="407E3D6A" w:rsidR="00CB6891" w:rsidRDefault="00CB6891" w:rsidP="00CB6891">
      <w:pPr>
        <w:keepNext/>
        <w:rPr>
          <w:rFonts w:ascii="Times New Roman" w:hAnsi="Times New Roman" w:cs="Times New Roman"/>
        </w:rPr>
      </w:pPr>
      <w:r w:rsidRPr="000578FE">
        <w:rPr>
          <w:rFonts w:ascii="Times New Roman" w:hAnsi="Times New Roman" w:cs="Times New Roman"/>
        </w:rPr>
        <w:t xml:space="preserve">Graf č. </w:t>
      </w:r>
      <w:r w:rsidR="00AE42A2">
        <w:rPr>
          <w:rFonts w:ascii="Times New Roman" w:hAnsi="Times New Roman" w:cs="Times New Roman"/>
        </w:rPr>
        <w:t>4</w:t>
      </w:r>
      <w:r w:rsidRPr="000578FE">
        <w:rPr>
          <w:rFonts w:ascii="Times New Roman" w:hAnsi="Times New Roman" w:cs="Times New Roman"/>
        </w:rPr>
        <w:t>: Predikcia vývoja kumulovaných úspor energie (GWh)</w:t>
      </w:r>
      <w:r>
        <w:rPr>
          <w:rFonts w:ascii="Times New Roman" w:hAnsi="Times New Roman" w:cs="Times New Roman"/>
        </w:rPr>
        <w:t xml:space="preserve"> a tabuľka ročného cieľa úspor energie</w:t>
      </w:r>
    </w:p>
    <w:p w14:paraId="017C7B84" w14:textId="674DA56C" w:rsidR="00B26989" w:rsidRDefault="0064155A" w:rsidP="00AF5415">
      <w:pPr>
        <w:keepNext/>
        <w:rPr>
          <w:rFonts w:ascii="Times New Roman" w:eastAsiaTheme="majorEastAsia" w:hAnsi="Times New Roman" w:cs="Times New Roman"/>
          <w:bCs/>
          <w:sz w:val="24"/>
          <w:szCs w:val="24"/>
        </w:rPr>
      </w:pPr>
      <w:r>
        <w:rPr>
          <w:noProof/>
          <w:lang w:eastAsia="sk-SK"/>
        </w:rPr>
        <w:drawing>
          <wp:inline distT="0" distB="0" distL="0" distR="0" wp14:anchorId="2779EEDE" wp14:editId="6A221286">
            <wp:extent cx="5760720" cy="3219450"/>
            <wp:effectExtent l="0" t="0" r="1143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pPr w:leftFromText="141" w:rightFromText="141" w:vertAnchor="text" w:horzAnchor="margin" w:tblpY="126"/>
        <w:tblW w:w="5000" w:type="pct"/>
        <w:tblLayout w:type="fixed"/>
        <w:tblCellMar>
          <w:left w:w="70" w:type="dxa"/>
          <w:right w:w="70" w:type="dxa"/>
        </w:tblCellMar>
        <w:tblLook w:val="04A0" w:firstRow="1" w:lastRow="0" w:firstColumn="1" w:lastColumn="0" w:noHBand="0" w:noVBand="1"/>
      </w:tblPr>
      <w:tblGrid>
        <w:gridCol w:w="2689"/>
        <w:gridCol w:w="784"/>
        <w:gridCol w:w="931"/>
        <w:gridCol w:w="932"/>
        <w:gridCol w:w="930"/>
        <w:gridCol w:w="932"/>
        <w:gridCol w:w="932"/>
        <w:gridCol w:w="932"/>
      </w:tblGrid>
      <w:tr w:rsidR="00CB6891" w:rsidRPr="00121D42" w14:paraId="72DFC87B" w14:textId="77777777" w:rsidTr="00CB6891">
        <w:trPr>
          <w:trHeight w:val="130"/>
        </w:trPr>
        <w:tc>
          <w:tcPr>
            <w:tcW w:w="148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649D00B" w14:textId="77777777" w:rsidR="00CB6891" w:rsidRPr="00121D42" w:rsidRDefault="00CB6891" w:rsidP="00CB6891">
            <w:pPr>
              <w:spacing w:after="0" w:line="240" w:lineRule="auto"/>
              <w:rPr>
                <w:rFonts w:ascii="Times New Roman" w:eastAsia="Times New Roman" w:hAnsi="Times New Roman" w:cs="Times New Roman"/>
                <w:b/>
                <w:lang w:eastAsia="sk-SK"/>
              </w:rPr>
            </w:pPr>
            <w:r w:rsidRPr="00121D42">
              <w:rPr>
                <w:rFonts w:ascii="Times New Roman" w:eastAsia="Times New Roman" w:hAnsi="Times New Roman" w:cs="Times New Roman"/>
                <w:b/>
                <w:lang w:eastAsia="sk-SK"/>
              </w:rPr>
              <w:t>Cieľ úspor energie</w:t>
            </w:r>
          </w:p>
          <w:p w14:paraId="68BF28A3" w14:textId="77777777" w:rsidR="00CB6891" w:rsidRPr="00121D42" w:rsidRDefault="00CB6891" w:rsidP="00CB6891">
            <w:pPr>
              <w:spacing w:after="0" w:line="240" w:lineRule="auto"/>
              <w:rPr>
                <w:rFonts w:ascii="Times New Roman" w:eastAsia="Times New Roman" w:hAnsi="Times New Roman" w:cs="Times New Roman"/>
                <w:b/>
                <w:lang w:eastAsia="sk-SK"/>
              </w:rPr>
            </w:pPr>
            <w:r w:rsidRPr="00121D42">
              <w:rPr>
                <w:rFonts w:ascii="Times New Roman" w:eastAsia="Times New Roman" w:hAnsi="Times New Roman" w:cs="Times New Roman"/>
                <w:b/>
                <w:lang w:eastAsia="sk-SK"/>
              </w:rPr>
              <w:t xml:space="preserve"> (GWh)</w:t>
            </w:r>
          </w:p>
        </w:tc>
        <w:tc>
          <w:tcPr>
            <w:tcW w:w="43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886E29D" w14:textId="77777777" w:rsidR="00CB6891" w:rsidRPr="00121D42" w:rsidRDefault="00CB6891" w:rsidP="00CB6891">
            <w:pPr>
              <w:spacing w:after="0" w:line="240" w:lineRule="auto"/>
              <w:jc w:val="center"/>
              <w:rPr>
                <w:rFonts w:ascii="Times New Roman" w:eastAsia="Times New Roman" w:hAnsi="Times New Roman" w:cs="Times New Roman"/>
                <w:b/>
                <w:color w:val="000000"/>
                <w:lang w:eastAsia="sk-SK"/>
              </w:rPr>
            </w:pPr>
            <w:r w:rsidRPr="00121D42">
              <w:rPr>
                <w:rFonts w:ascii="Times New Roman" w:eastAsia="Times New Roman" w:hAnsi="Times New Roman" w:cs="Times New Roman"/>
                <w:b/>
                <w:color w:val="000000"/>
                <w:lang w:eastAsia="sk-SK"/>
              </w:rPr>
              <w:t>2014</w:t>
            </w:r>
          </w:p>
        </w:tc>
        <w:tc>
          <w:tcPr>
            <w:tcW w:w="51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9B05C01" w14:textId="77777777" w:rsidR="00CB6891" w:rsidRPr="00121D42" w:rsidRDefault="00CB6891" w:rsidP="00CB6891">
            <w:pPr>
              <w:spacing w:after="0" w:line="240" w:lineRule="auto"/>
              <w:jc w:val="center"/>
              <w:rPr>
                <w:rFonts w:ascii="Times New Roman" w:eastAsia="Times New Roman" w:hAnsi="Times New Roman" w:cs="Times New Roman"/>
                <w:b/>
                <w:color w:val="000000"/>
                <w:lang w:eastAsia="sk-SK"/>
              </w:rPr>
            </w:pPr>
            <w:r w:rsidRPr="00121D42">
              <w:rPr>
                <w:rFonts w:ascii="Times New Roman" w:eastAsia="Times New Roman" w:hAnsi="Times New Roman" w:cs="Times New Roman"/>
                <w:b/>
                <w:color w:val="000000"/>
                <w:lang w:eastAsia="sk-SK"/>
              </w:rPr>
              <w:t>2015</w:t>
            </w:r>
          </w:p>
        </w:tc>
        <w:tc>
          <w:tcPr>
            <w:tcW w:w="51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DC66A54" w14:textId="77777777" w:rsidR="00CB6891" w:rsidRPr="00121D42" w:rsidRDefault="00CB6891" w:rsidP="00CB6891">
            <w:pPr>
              <w:spacing w:after="0" w:line="240" w:lineRule="auto"/>
              <w:jc w:val="center"/>
              <w:rPr>
                <w:rFonts w:ascii="Times New Roman" w:eastAsia="Times New Roman" w:hAnsi="Times New Roman" w:cs="Times New Roman"/>
                <w:b/>
                <w:color w:val="000000"/>
                <w:lang w:eastAsia="sk-SK"/>
              </w:rPr>
            </w:pPr>
            <w:r w:rsidRPr="00121D42">
              <w:rPr>
                <w:rFonts w:ascii="Times New Roman" w:eastAsia="Times New Roman" w:hAnsi="Times New Roman" w:cs="Times New Roman"/>
                <w:b/>
                <w:color w:val="000000"/>
                <w:lang w:eastAsia="sk-SK"/>
              </w:rPr>
              <w:t>2016</w:t>
            </w:r>
          </w:p>
        </w:tc>
        <w:tc>
          <w:tcPr>
            <w:tcW w:w="51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FE9FBCB" w14:textId="77777777" w:rsidR="00CB6891" w:rsidRPr="00121D42" w:rsidRDefault="00CB6891" w:rsidP="00CB6891">
            <w:pPr>
              <w:spacing w:after="0" w:line="240" w:lineRule="auto"/>
              <w:jc w:val="center"/>
              <w:rPr>
                <w:rFonts w:ascii="Times New Roman" w:eastAsia="Times New Roman" w:hAnsi="Times New Roman" w:cs="Times New Roman"/>
                <w:b/>
                <w:color w:val="000000"/>
                <w:lang w:eastAsia="sk-SK"/>
              </w:rPr>
            </w:pPr>
            <w:r w:rsidRPr="00121D42">
              <w:rPr>
                <w:rFonts w:ascii="Times New Roman" w:eastAsia="Times New Roman" w:hAnsi="Times New Roman" w:cs="Times New Roman"/>
                <w:b/>
                <w:color w:val="000000"/>
                <w:lang w:eastAsia="sk-SK"/>
              </w:rPr>
              <w:t>2017</w:t>
            </w:r>
          </w:p>
        </w:tc>
        <w:tc>
          <w:tcPr>
            <w:tcW w:w="51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E6D8E6F" w14:textId="77777777" w:rsidR="00CB6891" w:rsidRPr="00121D42" w:rsidRDefault="00CB6891" w:rsidP="00CB6891">
            <w:pPr>
              <w:spacing w:after="0" w:line="240" w:lineRule="auto"/>
              <w:jc w:val="center"/>
              <w:rPr>
                <w:rFonts w:ascii="Times New Roman" w:eastAsia="Times New Roman" w:hAnsi="Times New Roman" w:cs="Times New Roman"/>
                <w:b/>
                <w:color w:val="000000"/>
                <w:lang w:eastAsia="sk-SK"/>
              </w:rPr>
            </w:pPr>
            <w:r w:rsidRPr="00121D42">
              <w:rPr>
                <w:rFonts w:ascii="Times New Roman" w:eastAsia="Times New Roman" w:hAnsi="Times New Roman" w:cs="Times New Roman"/>
                <w:b/>
                <w:color w:val="000000"/>
                <w:lang w:eastAsia="sk-SK"/>
              </w:rPr>
              <w:t>2018</w:t>
            </w:r>
          </w:p>
        </w:tc>
        <w:tc>
          <w:tcPr>
            <w:tcW w:w="51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BFE238C" w14:textId="77777777" w:rsidR="00CB6891" w:rsidRPr="00121D42" w:rsidRDefault="00CB6891" w:rsidP="00CB6891">
            <w:pPr>
              <w:spacing w:after="0" w:line="240" w:lineRule="auto"/>
              <w:jc w:val="center"/>
              <w:rPr>
                <w:rFonts w:ascii="Times New Roman" w:eastAsia="Times New Roman" w:hAnsi="Times New Roman" w:cs="Times New Roman"/>
                <w:b/>
                <w:color w:val="000000"/>
                <w:lang w:eastAsia="sk-SK"/>
              </w:rPr>
            </w:pPr>
            <w:r w:rsidRPr="00121D42">
              <w:rPr>
                <w:rFonts w:ascii="Times New Roman" w:eastAsia="Times New Roman" w:hAnsi="Times New Roman" w:cs="Times New Roman"/>
                <w:b/>
                <w:color w:val="000000"/>
                <w:lang w:eastAsia="sk-SK"/>
              </w:rPr>
              <w:t>2019</w:t>
            </w:r>
          </w:p>
        </w:tc>
        <w:tc>
          <w:tcPr>
            <w:tcW w:w="51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FA688ED" w14:textId="77777777" w:rsidR="00CB6891" w:rsidRPr="00121D42" w:rsidRDefault="00CB6891" w:rsidP="00CB6891">
            <w:pPr>
              <w:spacing w:after="0" w:line="240" w:lineRule="auto"/>
              <w:jc w:val="center"/>
              <w:rPr>
                <w:rFonts w:ascii="Times New Roman" w:eastAsia="Times New Roman" w:hAnsi="Times New Roman" w:cs="Times New Roman"/>
                <w:b/>
                <w:color w:val="000000"/>
                <w:lang w:eastAsia="sk-SK"/>
              </w:rPr>
            </w:pPr>
            <w:r w:rsidRPr="00121D42">
              <w:rPr>
                <w:rFonts w:ascii="Times New Roman" w:eastAsia="Times New Roman" w:hAnsi="Times New Roman" w:cs="Times New Roman"/>
                <w:b/>
                <w:color w:val="000000"/>
                <w:lang w:eastAsia="sk-SK"/>
              </w:rPr>
              <w:t>2020</w:t>
            </w:r>
          </w:p>
        </w:tc>
      </w:tr>
      <w:tr w:rsidR="00CB6891" w:rsidRPr="00121D42" w14:paraId="4B69A307" w14:textId="77777777" w:rsidTr="00CB6891">
        <w:trPr>
          <w:trHeight w:val="130"/>
        </w:trPr>
        <w:tc>
          <w:tcPr>
            <w:tcW w:w="1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B1577" w14:textId="77777777" w:rsidR="00CB6891" w:rsidRPr="00121D42" w:rsidRDefault="00CB6891" w:rsidP="00CB6891">
            <w:pPr>
              <w:spacing w:after="0" w:line="240" w:lineRule="auto"/>
              <w:rPr>
                <w:rFonts w:ascii="Times New Roman" w:eastAsia="Times New Roman" w:hAnsi="Times New Roman" w:cs="Times New Roman"/>
                <w:b/>
                <w:lang w:eastAsia="sk-SK"/>
              </w:rPr>
            </w:pPr>
            <w:r w:rsidRPr="00121D42">
              <w:rPr>
                <w:rFonts w:ascii="Times New Roman" w:hAnsi="Times New Roman" w:cs="Times New Roman"/>
              </w:rPr>
              <w:t>Pôvodný cieľ pre čl. 7</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133698" w14:textId="77777777" w:rsidR="00CB6891" w:rsidRPr="00121D42" w:rsidRDefault="00CB6891" w:rsidP="00CB6891">
            <w:pPr>
              <w:spacing w:after="0" w:line="240" w:lineRule="auto"/>
              <w:jc w:val="right"/>
              <w:rPr>
                <w:rFonts w:ascii="Times New Roman" w:eastAsia="Times New Roman" w:hAnsi="Times New Roman" w:cs="Times New Roman"/>
                <w:b/>
                <w:color w:val="000000"/>
                <w:lang w:eastAsia="sk-SK"/>
              </w:rPr>
            </w:pPr>
            <w:r w:rsidRPr="00121D42">
              <w:rPr>
                <w:rFonts w:ascii="Times New Roman" w:eastAsia="Times New Roman" w:hAnsi="Times New Roman" w:cs="Times New Roman"/>
                <w:color w:val="000000"/>
                <w:lang w:eastAsia="sk-SK"/>
              </w:rPr>
              <w:t>948,75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22402F" w14:textId="77777777" w:rsidR="00CB6891" w:rsidRPr="00121D42" w:rsidRDefault="00CB6891" w:rsidP="00CB6891">
            <w:pPr>
              <w:spacing w:after="0" w:line="240" w:lineRule="auto"/>
              <w:jc w:val="right"/>
              <w:rPr>
                <w:rFonts w:ascii="Times New Roman" w:eastAsia="Times New Roman" w:hAnsi="Times New Roman" w:cs="Times New Roman"/>
                <w:b/>
                <w:color w:val="000000"/>
                <w:lang w:eastAsia="sk-SK"/>
              </w:rPr>
            </w:pPr>
            <w:r w:rsidRPr="00121D42">
              <w:rPr>
                <w:rFonts w:ascii="Times New Roman" w:eastAsia="Times New Roman" w:hAnsi="Times New Roman" w:cs="Times New Roman"/>
                <w:color w:val="000000"/>
                <w:lang w:eastAsia="sk-SK"/>
              </w:rPr>
              <w:t>948,75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5122F" w14:textId="77777777" w:rsidR="00CB6891" w:rsidRPr="00121D42" w:rsidRDefault="00CB6891" w:rsidP="00CB6891">
            <w:pPr>
              <w:spacing w:after="0" w:line="240" w:lineRule="auto"/>
              <w:jc w:val="right"/>
              <w:rPr>
                <w:rFonts w:ascii="Times New Roman" w:eastAsia="Times New Roman" w:hAnsi="Times New Roman" w:cs="Times New Roman"/>
                <w:b/>
                <w:color w:val="000000"/>
                <w:lang w:eastAsia="sk-SK"/>
              </w:rPr>
            </w:pPr>
            <w:r w:rsidRPr="00121D42">
              <w:rPr>
                <w:rFonts w:ascii="Times New Roman" w:eastAsia="Times New Roman" w:hAnsi="Times New Roman" w:cs="Times New Roman"/>
                <w:color w:val="000000"/>
                <w:lang w:eastAsia="sk-SK"/>
              </w:rPr>
              <w:t>948,75</w:t>
            </w: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75703" w14:textId="77777777" w:rsidR="00CB6891" w:rsidRPr="00121D42" w:rsidRDefault="00CB6891" w:rsidP="00CB6891">
            <w:pPr>
              <w:spacing w:after="0" w:line="240" w:lineRule="auto"/>
              <w:jc w:val="right"/>
              <w:rPr>
                <w:rFonts w:ascii="Times New Roman" w:eastAsia="Times New Roman" w:hAnsi="Times New Roman" w:cs="Times New Roman"/>
                <w:b/>
                <w:color w:val="000000"/>
                <w:lang w:eastAsia="sk-SK"/>
              </w:rPr>
            </w:pPr>
            <w:r w:rsidRPr="00121D42">
              <w:rPr>
                <w:rFonts w:ascii="Times New Roman" w:eastAsia="Times New Roman" w:hAnsi="Times New Roman" w:cs="Times New Roman"/>
                <w:color w:val="000000"/>
                <w:lang w:eastAsia="sk-SK"/>
              </w:rPr>
              <w:t>948,75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F1E1F0" w14:textId="77777777" w:rsidR="00CB6891" w:rsidRPr="00121D42" w:rsidRDefault="00CB6891" w:rsidP="00CB6891">
            <w:pPr>
              <w:spacing w:after="0" w:line="240" w:lineRule="auto"/>
              <w:jc w:val="right"/>
              <w:rPr>
                <w:rFonts w:ascii="Times New Roman" w:eastAsia="Times New Roman" w:hAnsi="Times New Roman" w:cs="Times New Roman"/>
                <w:b/>
                <w:color w:val="000000"/>
                <w:lang w:eastAsia="sk-SK"/>
              </w:rPr>
            </w:pPr>
            <w:r w:rsidRPr="00121D42">
              <w:rPr>
                <w:rFonts w:ascii="Times New Roman" w:eastAsia="Times New Roman" w:hAnsi="Times New Roman" w:cs="Times New Roman"/>
                <w:color w:val="000000"/>
                <w:lang w:eastAsia="sk-SK"/>
              </w:rPr>
              <w:t>948,75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5717B" w14:textId="77777777" w:rsidR="00CB6891" w:rsidRPr="00121D42" w:rsidRDefault="00CB6891" w:rsidP="00CB6891">
            <w:pPr>
              <w:spacing w:after="0" w:line="240" w:lineRule="auto"/>
              <w:jc w:val="right"/>
              <w:rPr>
                <w:rFonts w:ascii="Times New Roman" w:eastAsia="Times New Roman" w:hAnsi="Times New Roman" w:cs="Times New Roman"/>
                <w:b/>
                <w:color w:val="000000"/>
                <w:lang w:eastAsia="sk-SK"/>
              </w:rPr>
            </w:pPr>
            <w:r w:rsidRPr="00121D42">
              <w:rPr>
                <w:rFonts w:ascii="Times New Roman" w:eastAsia="Times New Roman" w:hAnsi="Times New Roman" w:cs="Times New Roman"/>
                <w:color w:val="000000"/>
                <w:lang w:eastAsia="sk-SK"/>
              </w:rPr>
              <w:t>948,75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F457E" w14:textId="77777777" w:rsidR="00CB6891" w:rsidRPr="00121D42" w:rsidRDefault="00CB6891" w:rsidP="00CB6891">
            <w:pPr>
              <w:spacing w:after="0" w:line="240" w:lineRule="auto"/>
              <w:jc w:val="right"/>
              <w:rPr>
                <w:rFonts w:ascii="Times New Roman" w:eastAsia="Times New Roman" w:hAnsi="Times New Roman" w:cs="Times New Roman"/>
                <w:b/>
                <w:color w:val="000000"/>
                <w:lang w:eastAsia="sk-SK"/>
              </w:rPr>
            </w:pPr>
            <w:r w:rsidRPr="00121D42">
              <w:rPr>
                <w:rFonts w:ascii="Times New Roman" w:eastAsia="Times New Roman" w:hAnsi="Times New Roman" w:cs="Times New Roman"/>
                <w:color w:val="000000"/>
                <w:lang w:eastAsia="sk-SK"/>
              </w:rPr>
              <w:t>948,75</w:t>
            </w:r>
          </w:p>
        </w:tc>
      </w:tr>
      <w:tr w:rsidR="00192844" w:rsidRPr="00121D42" w14:paraId="4D8B79AF" w14:textId="77777777" w:rsidTr="00CB6891">
        <w:trPr>
          <w:trHeight w:val="130"/>
        </w:trPr>
        <w:tc>
          <w:tcPr>
            <w:tcW w:w="1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A01C7C" w14:textId="77777777" w:rsidR="00192844" w:rsidRPr="00121D42" w:rsidRDefault="00192844" w:rsidP="00192844">
            <w:pPr>
              <w:spacing w:after="0" w:line="240" w:lineRule="auto"/>
              <w:rPr>
                <w:rFonts w:ascii="Times New Roman" w:hAnsi="Times New Roman" w:cs="Times New Roman"/>
              </w:rPr>
            </w:pPr>
            <w:r w:rsidRPr="00121D42">
              <w:rPr>
                <w:rFonts w:ascii="Times New Roman" w:hAnsi="Times New Roman" w:cs="Times New Roman"/>
              </w:rPr>
              <w:t>Aktualizovaný cieľ v r. 2016</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18BD3" w14:textId="77777777" w:rsidR="00192844" w:rsidRPr="00121D42" w:rsidRDefault="00192844" w:rsidP="00192844">
            <w:pPr>
              <w:spacing w:after="0" w:line="240" w:lineRule="auto"/>
              <w:jc w:val="right"/>
              <w:rPr>
                <w:rFonts w:ascii="Times New Roman" w:eastAsia="Times New Roman" w:hAnsi="Times New Roman" w:cs="Times New Roman"/>
                <w:color w:val="000000"/>
                <w:lang w:eastAsia="sk-SK"/>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E0221" w14:textId="77777777" w:rsidR="00192844" w:rsidRPr="00121D42" w:rsidRDefault="00192844" w:rsidP="00192844">
            <w:pPr>
              <w:spacing w:after="0" w:line="240" w:lineRule="auto"/>
              <w:jc w:val="right"/>
              <w:rPr>
                <w:rFonts w:ascii="Times New Roman" w:eastAsia="Times New Roman" w:hAnsi="Times New Roman" w:cs="Times New Roman"/>
                <w:color w:val="000000"/>
                <w:lang w:eastAsia="sk-SK"/>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749C14" w14:textId="4BF979E0" w:rsidR="00192844" w:rsidRPr="00121D42" w:rsidRDefault="00192844" w:rsidP="00192844">
            <w:pPr>
              <w:spacing w:after="0" w:line="240" w:lineRule="auto"/>
              <w:jc w:val="right"/>
              <w:rPr>
                <w:rFonts w:ascii="Times New Roman" w:eastAsia="Times New Roman" w:hAnsi="Times New Roman" w:cs="Times New Roman"/>
                <w:color w:val="000000"/>
                <w:lang w:eastAsia="sk-SK"/>
              </w:rPr>
            </w:pPr>
            <w:r w:rsidRPr="00121D42">
              <w:rPr>
                <w:rFonts w:ascii="Times New Roman" w:eastAsia="Times New Roman" w:hAnsi="Times New Roman" w:cs="Times New Roman"/>
                <w:bCs/>
                <w:color w:val="000000"/>
                <w:lang w:eastAsia="sk-SK"/>
              </w:rPr>
              <w:t>959,84</w:t>
            </w: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4A147" w14:textId="77777777" w:rsidR="00192844" w:rsidRPr="00121D42" w:rsidRDefault="00192844" w:rsidP="00192844">
            <w:pPr>
              <w:spacing w:after="0" w:line="240" w:lineRule="auto"/>
              <w:jc w:val="right"/>
              <w:rPr>
                <w:rFonts w:ascii="Times New Roman" w:eastAsia="Times New Roman" w:hAnsi="Times New Roman" w:cs="Times New Roman"/>
                <w:color w:val="000000"/>
                <w:lang w:eastAsia="sk-SK"/>
              </w:rPr>
            </w:pPr>
            <w:r w:rsidRPr="00121D42">
              <w:rPr>
                <w:rFonts w:ascii="Times New Roman" w:eastAsia="Times New Roman" w:hAnsi="Times New Roman" w:cs="Times New Roman"/>
                <w:bCs/>
                <w:color w:val="000000"/>
                <w:lang w:eastAsia="sk-SK"/>
              </w:rPr>
              <w:t>959,84</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FBFDEF" w14:textId="77777777" w:rsidR="00192844" w:rsidRPr="00121D42" w:rsidRDefault="00192844" w:rsidP="00192844">
            <w:pPr>
              <w:spacing w:after="0" w:line="240" w:lineRule="auto"/>
              <w:jc w:val="right"/>
              <w:rPr>
                <w:rFonts w:ascii="Times New Roman" w:eastAsia="Times New Roman" w:hAnsi="Times New Roman" w:cs="Times New Roman"/>
                <w:color w:val="000000"/>
                <w:lang w:eastAsia="sk-SK"/>
              </w:rPr>
            </w:pPr>
            <w:r w:rsidRPr="00121D42">
              <w:rPr>
                <w:rFonts w:ascii="Times New Roman" w:eastAsia="Times New Roman" w:hAnsi="Times New Roman" w:cs="Times New Roman"/>
                <w:bCs/>
                <w:color w:val="000000"/>
                <w:lang w:eastAsia="sk-SK"/>
              </w:rPr>
              <w:t>959,84</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964D5" w14:textId="77777777" w:rsidR="00192844" w:rsidRPr="00121D42" w:rsidRDefault="00192844" w:rsidP="00192844">
            <w:pPr>
              <w:spacing w:after="0" w:line="240" w:lineRule="auto"/>
              <w:jc w:val="right"/>
              <w:rPr>
                <w:rFonts w:ascii="Times New Roman" w:eastAsia="Times New Roman" w:hAnsi="Times New Roman" w:cs="Times New Roman"/>
                <w:color w:val="000000"/>
                <w:lang w:eastAsia="sk-SK"/>
              </w:rPr>
            </w:pPr>
            <w:r w:rsidRPr="00121D42">
              <w:rPr>
                <w:rFonts w:ascii="Times New Roman" w:eastAsia="Times New Roman" w:hAnsi="Times New Roman" w:cs="Times New Roman"/>
                <w:bCs/>
                <w:color w:val="000000"/>
                <w:lang w:eastAsia="sk-SK"/>
              </w:rPr>
              <w:t>959,84</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AE2342" w14:textId="77777777" w:rsidR="00192844" w:rsidRPr="00121D42" w:rsidRDefault="00192844" w:rsidP="00192844">
            <w:pPr>
              <w:spacing w:after="0" w:line="240" w:lineRule="auto"/>
              <w:jc w:val="right"/>
              <w:rPr>
                <w:rFonts w:ascii="Times New Roman" w:eastAsia="Times New Roman" w:hAnsi="Times New Roman" w:cs="Times New Roman"/>
                <w:color w:val="000000"/>
                <w:lang w:eastAsia="sk-SK"/>
              </w:rPr>
            </w:pPr>
            <w:r w:rsidRPr="00121D42">
              <w:rPr>
                <w:rFonts w:ascii="Times New Roman" w:eastAsia="Times New Roman" w:hAnsi="Times New Roman" w:cs="Times New Roman"/>
                <w:bCs/>
                <w:color w:val="000000"/>
                <w:lang w:eastAsia="sk-SK"/>
              </w:rPr>
              <w:t>959,79</w:t>
            </w:r>
          </w:p>
        </w:tc>
      </w:tr>
      <w:tr w:rsidR="00121D42" w:rsidRPr="00121D42" w14:paraId="1445E1F1" w14:textId="77777777" w:rsidTr="00AF5415">
        <w:trPr>
          <w:trHeight w:val="130"/>
        </w:trPr>
        <w:tc>
          <w:tcPr>
            <w:tcW w:w="1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C81F30" w14:textId="77777777" w:rsidR="00121D42" w:rsidRPr="00121D42" w:rsidRDefault="00121D42" w:rsidP="00121D42">
            <w:pPr>
              <w:spacing w:after="0" w:line="240" w:lineRule="auto"/>
              <w:rPr>
                <w:rFonts w:ascii="Times New Roman" w:eastAsia="Times New Roman" w:hAnsi="Times New Roman" w:cs="Times New Roman"/>
                <w:b/>
                <w:lang w:eastAsia="sk-SK"/>
              </w:rPr>
            </w:pPr>
            <w:r w:rsidRPr="00121D42">
              <w:rPr>
                <w:rFonts w:ascii="Times New Roman" w:hAnsi="Times New Roman" w:cs="Times New Roman"/>
              </w:rPr>
              <w:t>Aktuálne plnenie cieľa (01/2017)</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174DD" w14:textId="439D6A16" w:rsidR="00121D42" w:rsidRPr="00121D42" w:rsidRDefault="00121D42" w:rsidP="0064155A">
            <w:pPr>
              <w:spacing w:after="0" w:line="240" w:lineRule="auto"/>
              <w:jc w:val="right"/>
              <w:rPr>
                <w:rFonts w:ascii="Times New Roman" w:eastAsia="Times New Roman" w:hAnsi="Times New Roman" w:cs="Times New Roman"/>
                <w:b/>
                <w:color w:val="000000"/>
                <w:lang w:eastAsia="sk-SK"/>
              </w:rPr>
            </w:pPr>
            <w:r w:rsidRPr="00AF5415">
              <w:rPr>
                <w:rFonts w:ascii="Times New Roman" w:hAnsi="Times New Roman" w:cs="Times New Roman"/>
                <w:b/>
              </w:rPr>
              <w:t>837,67</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D2903" w14:textId="79FAF8D6" w:rsidR="00121D42" w:rsidRPr="00121D42" w:rsidRDefault="00121D42" w:rsidP="0064155A">
            <w:pPr>
              <w:spacing w:after="0" w:line="240" w:lineRule="auto"/>
              <w:jc w:val="right"/>
              <w:rPr>
                <w:rFonts w:ascii="Times New Roman" w:eastAsia="Times New Roman" w:hAnsi="Times New Roman" w:cs="Times New Roman"/>
                <w:b/>
                <w:color w:val="000000"/>
                <w:lang w:eastAsia="sk-SK"/>
              </w:rPr>
            </w:pPr>
            <w:r w:rsidRPr="00AF5415">
              <w:rPr>
                <w:rFonts w:ascii="Times New Roman" w:hAnsi="Times New Roman" w:cs="Times New Roman"/>
                <w:b/>
              </w:rPr>
              <w:t>1 306,80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B330D" w14:textId="01381F26" w:rsidR="00121D42" w:rsidRPr="00121D42" w:rsidRDefault="00121D42" w:rsidP="0064155A">
            <w:pPr>
              <w:spacing w:after="0" w:line="240" w:lineRule="auto"/>
              <w:jc w:val="right"/>
              <w:rPr>
                <w:rFonts w:ascii="Times New Roman" w:eastAsia="Times New Roman" w:hAnsi="Times New Roman" w:cs="Times New Roman"/>
                <w:b/>
                <w:color w:val="000000"/>
                <w:lang w:eastAsia="sk-SK"/>
              </w:rPr>
            </w:pPr>
            <w:r w:rsidRPr="00AF5415">
              <w:rPr>
                <w:rFonts w:ascii="Times New Roman" w:hAnsi="Times New Roman" w:cs="Times New Roman"/>
                <w:b/>
              </w:rPr>
              <w:t>649,68</w:t>
            </w: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D26731" w14:textId="77777777" w:rsidR="00121D42" w:rsidRPr="00121D42" w:rsidRDefault="00121D42" w:rsidP="00FC1022">
            <w:pPr>
              <w:spacing w:after="0" w:line="240" w:lineRule="auto"/>
              <w:jc w:val="right"/>
              <w:rPr>
                <w:rFonts w:ascii="Times New Roman" w:eastAsia="Times New Roman" w:hAnsi="Times New Roman" w:cs="Times New Roman"/>
                <w:b/>
                <w:color w:val="000000"/>
                <w:lang w:eastAsia="sk-SK"/>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CDAB1B" w14:textId="77777777" w:rsidR="00121D42" w:rsidRPr="00121D42" w:rsidRDefault="00121D42" w:rsidP="00AE42A2">
            <w:pPr>
              <w:spacing w:after="0" w:line="240" w:lineRule="auto"/>
              <w:jc w:val="right"/>
              <w:rPr>
                <w:rFonts w:ascii="Times New Roman" w:eastAsia="Times New Roman" w:hAnsi="Times New Roman" w:cs="Times New Roman"/>
                <w:b/>
                <w:color w:val="000000"/>
                <w:lang w:eastAsia="sk-SK"/>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9D84A" w14:textId="77777777" w:rsidR="00121D42" w:rsidRPr="00121D42" w:rsidRDefault="00121D42" w:rsidP="00AF5415">
            <w:pPr>
              <w:spacing w:after="0" w:line="240" w:lineRule="auto"/>
              <w:jc w:val="right"/>
              <w:rPr>
                <w:rFonts w:ascii="Times New Roman" w:eastAsia="Times New Roman" w:hAnsi="Times New Roman" w:cs="Times New Roman"/>
                <w:b/>
                <w:color w:val="000000"/>
                <w:lang w:eastAsia="sk-SK"/>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B728B" w14:textId="77777777" w:rsidR="00121D42" w:rsidRPr="00121D42" w:rsidRDefault="00121D42" w:rsidP="00AF5415">
            <w:pPr>
              <w:spacing w:after="0" w:line="240" w:lineRule="auto"/>
              <w:jc w:val="right"/>
              <w:rPr>
                <w:rFonts w:ascii="Times New Roman" w:eastAsia="Times New Roman" w:hAnsi="Times New Roman" w:cs="Times New Roman"/>
                <w:b/>
                <w:color w:val="000000"/>
                <w:lang w:eastAsia="sk-SK"/>
              </w:rPr>
            </w:pPr>
          </w:p>
        </w:tc>
      </w:tr>
      <w:tr w:rsidR="00121D42" w:rsidRPr="00121D42" w14:paraId="73A76584" w14:textId="77777777" w:rsidTr="00AF5415">
        <w:trPr>
          <w:trHeight w:val="130"/>
        </w:trPr>
        <w:tc>
          <w:tcPr>
            <w:tcW w:w="1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98ACE" w14:textId="77777777" w:rsidR="00121D42" w:rsidRPr="00121D42" w:rsidRDefault="00121D42" w:rsidP="00121D42">
            <w:pPr>
              <w:spacing w:after="0" w:line="240" w:lineRule="auto"/>
              <w:rPr>
                <w:rFonts w:ascii="Times New Roman" w:eastAsia="Times New Roman" w:hAnsi="Times New Roman" w:cs="Times New Roman"/>
                <w:color w:val="000000"/>
                <w:lang w:eastAsia="sk-SK"/>
              </w:rPr>
            </w:pPr>
            <w:r w:rsidRPr="00121D42">
              <w:rPr>
                <w:rFonts w:ascii="Times New Roman" w:hAnsi="Times New Roman" w:cs="Times New Roman"/>
              </w:rPr>
              <w:t>Aktualizovaný cieľ v r. 2017</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ED9C7" w14:textId="77777777" w:rsidR="00121D42" w:rsidRPr="00121D42" w:rsidRDefault="00121D42" w:rsidP="0064155A">
            <w:pPr>
              <w:spacing w:after="0" w:line="240" w:lineRule="auto"/>
              <w:jc w:val="right"/>
              <w:rPr>
                <w:rFonts w:ascii="Times New Roman" w:eastAsia="Times New Roman" w:hAnsi="Times New Roman" w:cs="Times New Roman"/>
                <w:b/>
                <w:color w:val="000000"/>
                <w:lang w:eastAsia="sk-SK"/>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057212" w14:textId="77777777" w:rsidR="00121D42" w:rsidRPr="00121D42" w:rsidRDefault="00121D42" w:rsidP="00FC1022">
            <w:pPr>
              <w:spacing w:after="0" w:line="240" w:lineRule="auto"/>
              <w:jc w:val="right"/>
              <w:rPr>
                <w:rFonts w:ascii="Times New Roman" w:eastAsia="Times New Roman" w:hAnsi="Times New Roman" w:cs="Times New Roman"/>
                <w:b/>
                <w:color w:val="000000"/>
                <w:lang w:eastAsia="sk-SK"/>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F60104" w14:textId="77777777" w:rsidR="00121D42" w:rsidRPr="00AF5415" w:rsidRDefault="00121D42" w:rsidP="00FC1022">
            <w:pPr>
              <w:spacing w:after="0" w:line="240" w:lineRule="auto"/>
              <w:jc w:val="right"/>
              <w:rPr>
                <w:rFonts w:ascii="Times New Roman" w:eastAsia="Times New Roman" w:hAnsi="Times New Roman" w:cs="Times New Roman"/>
                <w:b/>
                <w:bCs/>
                <w:color w:val="000000"/>
                <w:lang w:eastAsia="sk-SK"/>
              </w:rPr>
            </w:pP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1E68C" w14:textId="610FB0AC" w:rsidR="00121D42" w:rsidRPr="00121D42" w:rsidRDefault="00121D42" w:rsidP="00AE42A2">
            <w:pPr>
              <w:spacing w:after="0" w:line="240" w:lineRule="auto"/>
              <w:jc w:val="right"/>
              <w:rPr>
                <w:rFonts w:ascii="Times New Roman" w:eastAsia="Times New Roman" w:hAnsi="Times New Roman" w:cs="Times New Roman"/>
                <w:b/>
                <w:color w:val="000000"/>
                <w:lang w:eastAsia="sk-SK"/>
              </w:rPr>
            </w:pPr>
            <w:r w:rsidRPr="00AF5415">
              <w:rPr>
                <w:rFonts w:ascii="Times New Roman" w:hAnsi="Times New Roman" w:cs="Times New Roman"/>
                <w:b/>
              </w:rPr>
              <w:t>1 022,45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465882" w14:textId="31F99559" w:rsidR="00121D42" w:rsidRPr="00121D42" w:rsidRDefault="00121D42" w:rsidP="00AE42A2">
            <w:pPr>
              <w:spacing w:after="0" w:line="240" w:lineRule="auto"/>
              <w:jc w:val="right"/>
              <w:rPr>
                <w:rFonts w:ascii="Times New Roman" w:eastAsia="Times New Roman" w:hAnsi="Times New Roman" w:cs="Times New Roman"/>
                <w:b/>
                <w:color w:val="000000"/>
                <w:lang w:eastAsia="sk-SK"/>
              </w:rPr>
            </w:pPr>
            <w:r w:rsidRPr="00AF5415">
              <w:rPr>
                <w:rFonts w:ascii="Times New Roman" w:hAnsi="Times New Roman" w:cs="Times New Roman"/>
                <w:b/>
              </w:rPr>
              <w:t>1 022,45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BE504A" w14:textId="4EE3349F" w:rsidR="00121D42" w:rsidRPr="00121D42" w:rsidRDefault="00121D42" w:rsidP="00AE42A2">
            <w:pPr>
              <w:spacing w:after="0" w:line="240" w:lineRule="auto"/>
              <w:jc w:val="right"/>
              <w:rPr>
                <w:rFonts w:ascii="Times New Roman" w:eastAsia="Times New Roman" w:hAnsi="Times New Roman" w:cs="Times New Roman"/>
                <w:b/>
                <w:color w:val="000000"/>
                <w:lang w:eastAsia="sk-SK"/>
              </w:rPr>
            </w:pPr>
            <w:r w:rsidRPr="00AF5415">
              <w:rPr>
                <w:rFonts w:ascii="Times New Roman" w:hAnsi="Times New Roman" w:cs="Times New Roman"/>
                <w:b/>
              </w:rPr>
              <w:t>1 022,45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AF14A" w14:textId="7D66A7ED" w:rsidR="00121D42" w:rsidRPr="00121D42" w:rsidRDefault="00121D42" w:rsidP="00AE42A2">
            <w:pPr>
              <w:spacing w:after="0" w:line="240" w:lineRule="auto"/>
              <w:jc w:val="right"/>
              <w:rPr>
                <w:rFonts w:ascii="Times New Roman" w:eastAsia="Times New Roman" w:hAnsi="Times New Roman" w:cs="Times New Roman"/>
                <w:b/>
                <w:color w:val="000000"/>
                <w:lang w:eastAsia="sk-SK"/>
              </w:rPr>
            </w:pPr>
            <w:r w:rsidRPr="00AF5415">
              <w:rPr>
                <w:rFonts w:ascii="Times New Roman" w:hAnsi="Times New Roman" w:cs="Times New Roman"/>
                <w:b/>
              </w:rPr>
              <w:t>1 022,37</w:t>
            </w:r>
          </w:p>
        </w:tc>
      </w:tr>
    </w:tbl>
    <w:p w14:paraId="7D6D89A3" w14:textId="77777777" w:rsidR="00121D42" w:rsidRPr="00AF5415" w:rsidRDefault="00121D42" w:rsidP="00D73888">
      <w:pPr>
        <w:jc w:val="both"/>
        <w:rPr>
          <w:rFonts w:ascii="Times New Roman" w:eastAsiaTheme="majorEastAsia" w:hAnsi="Times New Roman" w:cs="Times New Roman"/>
          <w:bCs/>
          <w:sz w:val="24"/>
          <w:szCs w:val="24"/>
          <w:lang w:val="en-US"/>
        </w:rPr>
      </w:pPr>
    </w:p>
    <w:p w14:paraId="300AD1A3" w14:textId="78124234" w:rsidR="000576BD" w:rsidRDefault="00CB6891" w:rsidP="00D73888">
      <w:pPr>
        <w:jc w:val="both"/>
        <w:rPr>
          <w:rFonts w:ascii="Times New Roman" w:hAnsi="Times New Roman" w:cs="Times New Roman"/>
          <w:b/>
          <w:sz w:val="24"/>
          <w:szCs w:val="24"/>
          <w:u w:val="single"/>
        </w:rPr>
      </w:pPr>
      <w:r>
        <w:rPr>
          <w:rFonts w:ascii="Times New Roman" w:eastAsiaTheme="majorEastAsia" w:hAnsi="Times New Roman" w:cs="Times New Roman"/>
          <w:bCs/>
          <w:sz w:val="24"/>
          <w:szCs w:val="24"/>
        </w:rPr>
        <w:t>V</w:t>
      </w:r>
      <w:r w:rsidR="00D73888" w:rsidRPr="001B1483">
        <w:rPr>
          <w:rFonts w:ascii="Times New Roman" w:eastAsiaTheme="majorEastAsia" w:hAnsi="Times New Roman" w:cs="Times New Roman"/>
          <w:bCs/>
          <w:sz w:val="24"/>
          <w:szCs w:val="24"/>
        </w:rPr>
        <w:t> roku 2016</w:t>
      </w:r>
      <w:r w:rsidR="00D73888" w:rsidRPr="000576BD">
        <w:rPr>
          <w:rFonts w:ascii="Times New Roman" w:eastAsiaTheme="majorEastAsia" w:hAnsi="Times New Roman" w:cs="Times New Roman"/>
          <w:bCs/>
          <w:sz w:val="24"/>
          <w:szCs w:val="24"/>
        </w:rPr>
        <w:t xml:space="preserve"> v podmienkach SR </w:t>
      </w:r>
      <w:r w:rsidR="00192844">
        <w:rPr>
          <w:rFonts w:ascii="Times New Roman" w:eastAsiaTheme="majorEastAsia" w:hAnsi="Times New Roman" w:cs="Times New Roman"/>
          <w:bCs/>
          <w:sz w:val="24"/>
          <w:szCs w:val="24"/>
        </w:rPr>
        <w:t xml:space="preserve">boli </w:t>
      </w:r>
      <w:r w:rsidR="00D73888" w:rsidRPr="001B1483">
        <w:rPr>
          <w:rFonts w:ascii="Times New Roman" w:eastAsiaTheme="majorEastAsia" w:hAnsi="Times New Roman" w:cs="Times New Roman"/>
          <w:bCs/>
          <w:sz w:val="24"/>
          <w:szCs w:val="24"/>
        </w:rPr>
        <w:t xml:space="preserve">identifikované úspory energie vo výške </w:t>
      </w:r>
      <w:r w:rsidR="007C54F1" w:rsidRPr="00AF5415">
        <w:rPr>
          <w:rFonts w:ascii="Times New Roman" w:eastAsiaTheme="majorEastAsia" w:hAnsi="Times New Roman" w:cs="Times New Roman"/>
          <w:b/>
          <w:bCs/>
          <w:sz w:val="24"/>
          <w:szCs w:val="24"/>
        </w:rPr>
        <w:t>649,68</w:t>
      </w:r>
      <w:r w:rsidR="00EB601D" w:rsidRPr="00AF5415">
        <w:rPr>
          <w:rFonts w:ascii="Times New Roman" w:eastAsiaTheme="majorEastAsia" w:hAnsi="Times New Roman" w:cs="Times New Roman"/>
          <w:b/>
          <w:bCs/>
          <w:sz w:val="24"/>
          <w:szCs w:val="24"/>
        </w:rPr>
        <w:t xml:space="preserve"> </w:t>
      </w:r>
      <w:r w:rsidR="00D73888" w:rsidRPr="00AF5415">
        <w:rPr>
          <w:rFonts w:ascii="Times New Roman" w:eastAsiaTheme="majorEastAsia" w:hAnsi="Times New Roman" w:cs="Times New Roman"/>
          <w:b/>
          <w:bCs/>
          <w:sz w:val="24"/>
          <w:szCs w:val="24"/>
        </w:rPr>
        <w:t>GWh/rok</w:t>
      </w:r>
      <w:r w:rsidR="000576BD">
        <w:rPr>
          <w:rFonts w:ascii="Times New Roman" w:eastAsiaTheme="majorEastAsia" w:hAnsi="Times New Roman" w:cs="Times New Roman"/>
          <w:bCs/>
          <w:sz w:val="24"/>
          <w:szCs w:val="24"/>
        </w:rPr>
        <w:t>, t.</w:t>
      </w:r>
      <w:r w:rsidR="00AC19B2">
        <w:rPr>
          <w:rFonts w:ascii="Times New Roman" w:eastAsiaTheme="majorEastAsia" w:hAnsi="Times New Roman" w:cs="Times New Roman"/>
          <w:bCs/>
          <w:sz w:val="24"/>
          <w:szCs w:val="24"/>
        </w:rPr>
        <w:t xml:space="preserve"> </w:t>
      </w:r>
      <w:r w:rsidR="000576BD">
        <w:rPr>
          <w:rFonts w:ascii="Times New Roman" w:eastAsiaTheme="majorEastAsia" w:hAnsi="Times New Roman" w:cs="Times New Roman"/>
          <w:bCs/>
          <w:sz w:val="24"/>
          <w:szCs w:val="24"/>
        </w:rPr>
        <w:t>j.</w:t>
      </w:r>
      <w:r w:rsidR="00D73888" w:rsidRPr="000576BD">
        <w:rPr>
          <w:rFonts w:ascii="Times New Roman" w:eastAsiaTheme="majorEastAsia" w:hAnsi="Times New Roman" w:cs="Times New Roman"/>
          <w:bCs/>
          <w:sz w:val="24"/>
          <w:szCs w:val="24"/>
        </w:rPr>
        <w:t xml:space="preserve"> </w:t>
      </w:r>
      <w:r w:rsidR="000576BD" w:rsidRPr="001B1483">
        <w:rPr>
          <w:rFonts w:ascii="Times New Roman" w:eastAsiaTheme="majorEastAsia" w:hAnsi="Times New Roman" w:cs="Times New Roman"/>
          <w:b/>
          <w:bCs/>
          <w:sz w:val="24"/>
          <w:szCs w:val="24"/>
        </w:rPr>
        <w:t xml:space="preserve">na úrovni </w:t>
      </w:r>
      <w:r w:rsidR="00D311ED" w:rsidRPr="00D311ED">
        <w:rPr>
          <w:rFonts w:ascii="Times New Roman" w:eastAsiaTheme="majorEastAsia" w:hAnsi="Times New Roman" w:cs="Times New Roman"/>
          <w:b/>
          <w:bCs/>
          <w:sz w:val="24"/>
          <w:szCs w:val="24"/>
        </w:rPr>
        <w:t>67,7%</w:t>
      </w:r>
      <w:r w:rsidR="000576BD" w:rsidRPr="001B1483">
        <w:rPr>
          <w:rFonts w:ascii="Times New Roman" w:eastAsiaTheme="majorEastAsia" w:hAnsi="Times New Roman" w:cs="Times New Roman"/>
          <w:b/>
          <w:bCs/>
          <w:sz w:val="24"/>
          <w:szCs w:val="24"/>
        </w:rPr>
        <w:t xml:space="preserve"> </w:t>
      </w:r>
      <w:r w:rsidR="007C54F1">
        <w:rPr>
          <w:rFonts w:ascii="Times New Roman" w:eastAsiaTheme="majorEastAsia" w:hAnsi="Times New Roman" w:cs="Times New Roman"/>
          <w:b/>
          <w:bCs/>
          <w:sz w:val="24"/>
          <w:szCs w:val="24"/>
        </w:rPr>
        <w:t xml:space="preserve">aktualizovaného </w:t>
      </w:r>
      <w:r w:rsidR="000576BD" w:rsidRPr="001B1483">
        <w:rPr>
          <w:rFonts w:ascii="Times New Roman" w:eastAsiaTheme="majorEastAsia" w:hAnsi="Times New Roman" w:cs="Times New Roman"/>
          <w:b/>
          <w:bCs/>
          <w:sz w:val="24"/>
          <w:szCs w:val="24"/>
        </w:rPr>
        <w:t>cieľa</w:t>
      </w:r>
      <w:r w:rsidR="00D73888" w:rsidRPr="0036379D">
        <w:rPr>
          <w:rFonts w:ascii="Times New Roman" w:eastAsiaTheme="majorEastAsia" w:hAnsi="Times New Roman" w:cs="Times New Roman"/>
          <w:bCs/>
          <w:sz w:val="24"/>
          <w:szCs w:val="24"/>
        </w:rPr>
        <w:t>.</w:t>
      </w:r>
      <w:r w:rsidR="00765FF8">
        <w:rPr>
          <w:rStyle w:val="Odkaznapoznmkupodiarou"/>
          <w:rFonts w:ascii="Times New Roman" w:eastAsiaTheme="majorEastAsia" w:hAnsi="Times New Roman" w:cs="Times New Roman"/>
          <w:bCs/>
          <w:sz w:val="24"/>
          <w:szCs w:val="24"/>
        </w:rPr>
        <w:footnoteReference w:id="15"/>
      </w:r>
      <w:r w:rsidR="00D73888" w:rsidRPr="0036379D">
        <w:rPr>
          <w:rFonts w:ascii="Times New Roman" w:eastAsiaTheme="majorEastAsia" w:hAnsi="Times New Roman" w:cs="Times New Roman"/>
          <w:bCs/>
          <w:sz w:val="24"/>
          <w:szCs w:val="24"/>
        </w:rPr>
        <w:t xml:space="preserve"> </w:t>
      </w:r>
      <w:r w:rsidR="000576BD" w:rsidRPr="000576BD">
        <w:rPr>
          <w:rFonts w:ascii="Times New Roman" w:hAnsi="Times New Roman" w:cs="Times New Roman"/>
          <w:sz w:val="24"/>
          <w:szCs w:val="24"/>
        </w:rPr>
        <w:t xml:space="preserve">Na základe uvedeného </w:t>
      </w:r>
      <w:r w:rsidR="00AC19B2">
        <w:rPr>
          <w:rFonts w:ascii="Times New Roman" w:hAnsi="Times New Roman" w:cs="Times New Roman"/>
          <w:sz w:val="24"/>
          <w:szCs w:val="24"/>
        </w:rPr>
        <w:t>vy</w:t>
      </w:r>
      <w:r w:rsidR="000576BD" w:rsidRPr="000576BD">
        <w:rPr>
          <w:rFonts w:ascii="Times New Roman" w:hAnsi="Times New Roman" w:cs="Times New Roman"/>
          <w:sz w:val="24"/>
          <w:szCs w:val="24"/>
        </w:rPr>
        <w:t>hodnotenia je možné konštatovať</w:t>
      </w:r>
      <w:r w:rsidR="000576BD">
        <w:rPr>
          <w:rFonts w:ascii="Times New Roman" w:hAnsi="Times New Roman" w:cs="Times New Roman"/>
          <w:sz w:val="24"/>
          <w:szCs w:val="24"/>
        </w:rPr>
        <w:t xml:space="preserve">, že </w:t>
      </w:r>
      <w:r w:rsidR="000576BD" w:rsidRPr="001B1483">
        <w:rPr>
          <w:rFonts w:ascii="Times New Roman" w:hAnsi="Times New Roman" w:cs="Times New Roman"/>
          <w:b/>
          <w:sz w:val="24"/>
          <w:szCs w:val="24"/>
          <w:u w:val="single"/>
        </w:rPr>
        <w:t xml:space="preserve">cieľ </w:t>
      </w:r>
      <w:r w:rsidR="000576BD" w:rsidRPr="001B1483">
        <w:rPr>
          <w:rFonts w:ascii="Times New Roman" w:eastAsiaTheme="majorEastAsia" w:hAnsi="Times New Roman" w:cs="Times New Roman"/>
          <w:b/>
          <w:bCs/>
          <w:sz w:val="24"/>
          <w:szCs w:val="24"/>
          <w:u w:val="single"/>
        </w:rPr>
        <w:t>úspor energie u konečného spotrebiteľa podľa čl. 7 smernice 2012/27/EÚ</w:t>
      </w:r>
      <w:r w:rsidR="000576BD" w:rsidRPr="001B1483">
        <w:rPr>
          <w:rFonts w:ascii="Times New Roman" w:hAnsi="Times New Roman" w:cs="Times New Roman"/>
          <w:b/>
          <w:sz w:val="24"/>
          <w:szCs w:val="24"/>
          <w:u w:val="single"/>
        </w:rPr>
        <w:t xml:space="preserve"> nebol v roku 2016 splnený</w:t>
      </w:r>
      <w:r w:rsidR="000576BD">
        <w:rPr>
          <w:rFonts w:ascii="Times New Roman" w:hAnsi="Times New Roman" w:cs="Times New Roman"/>
          <w:b/>
          <w:sz w:val="24"/>
          <w:szCs w:val="24"/>
          <w:u w:val="single"/>
        </w:rPr>
        <w:t>.</w:t>
      </w:r>
    </w:p>
    <w:p w14:paraId="63436A7E" w14:textId="5252A14E" w:rsidR="00CB6891" w:rsidRDefault="000576BD" w:rsidP="00D73888">
      <w:pPr>
        <w:jc w:val="both"/>
        <w:rPr>
          <w:rFonts w:ascii="Times New Roman" w:hAnsi="Times New Roman" w:cs="Times New Roman"/>
          <w:sz w:val="24"/>
          <w:szCs w:val="24"/>
        </w:rPr>
      </w:pPr>
      <w:r>
        <w:rPr>
          <w:rFonts w:ascii="Times New Roman" w:hAnsi="Times New Roman" w:cs="Times New Roman"/>
          <w:sz w:val="24"/>
          <w:szCs w:val="24"/>
        </w:rPr>
        <w:t xml:space="preserve">Z toho </w:t>
      </w:r>
      <w:r w:rsidR="00D73888" w:rsidRPr="001B1483">
        <w:rPr>
          <w:rFonts w:ascii="Times New Roman" w:eastAsiaTheme="majorEastAsia" w:hAnsi="Times New Roman" w:cs="Times New Roman"/>
          <w:bCs/>
          <w:sz w:val="24"/>
          <w:szCs w:val="24"/>
        </w:rPr>
        <w:t xml:space="preserve">dôvodu </w:t>
      </w:r>
      <w:r>
        <w:rPr>
          <w:rFonts w:ascii="Times New Roman" w:eastAsiaTheme="majorEastAsia" w:hAnsi="Times New Roman" w:cs="Times New Roman"/>
          <w:bCs/>
          <w:sz w:val="24"/>
          <w:szCs w:val="24"/>
        </w:rPr>
        <w:t xml:space="preserve">bolo potrebné opäť prepočítať hodnotu ročného cieľa </w:t>
      </w:r>
      <w:r w:rsidR="00D73888" w:rsidRPr="001B1483">
        <w:rPr>
          <w:rFonts w:ascii="Times New Roman" w:eastAsiaTheme="majorEastAsia" w:hAnsi="Times New Roman" w:cs="Times New Roman"/>
          <w:bCs/>
          <w:sz w:val="24"/>
          <w:szCs w:val="24"/>
        </w:rPr>
        <w:t>na obdobie rokov</w:t>
      </w:r>
      <w:r>
        <w:rPr>
          <w:rFonts w:ascii="Times New Roman" w:eastAsiaTheme="majorEastAsia" w:hAnsi="Times New Roman" w:cs="Times New Roman"/>
          <w:bCs/>
          <w:sz w:val="24"/>
          <w:szCs w:val="24"/>
        </w:rPr>
        <w:t xml:space="preserve"> </w:t>
      </w:r>
      <w:r w:rsidR="00CB6891">
        <w:rPr>
          <w:rFonts w:ascii="Times New Roman" w:eastAsiaTheme="majorEastAsia" w:hAnsi="Times New Roman" w:cs="Times New Roman"/>
          <w:bCs/>
          <w:sz w:val="24"/>
          <w:szCs w:val="24"/>
        </w:rPr>
        <w:t xml:space="preserve">        </w:t>
      </w:r>
      <w:r w:rsidR="00D73888" w:rsidRPr="001B1483">
        <w:rPr>
          <w:rFonts w:ascii="Times New Roman" w:eastAsiaTheme="majorEastAsia" w:hAnsi="Times New Roman" w:cs="Times New Roman"/>
          <w:bCs/>
          <w:sz w:val="24"/>
          <w:szCs w:val="24"/>
        </w:rPr>
        <w:t>2017</w:t>
      </w:r>
      <w:r>
        <w:rPr>
          <w:rFonts w:ascii="Times New Roman" w:eastAsiaTheme="majorEastAsia" w:hAnsi="Times New Roman" w:cs="Times New Roman"/>
          <w:bCs/>
          <w:sz w:val="24"/>
          <w:szCs w:val="24"/>
        </w:rPr>
        <w:t>-</w:t>
      </w:r>
      <w:r w:rsidR="00D73888" w:rsidRPr="001B1483">
        <w:rPr>
          <w:rFonts w:ascii="Times New Roman" w:eastAsiaTheme="majorEastAsia" w:hAnsi="Times New Roman" w:cs="Times New Roman"/>
          <w:bCs/>
          <w:sz w:val="24"/>
          <w:szCs w:val="24"/>
        </w:rPr>
        <w:t>2020</w:t>
      </w:r>
      <w:r w:rsidR="00AC19B2">
        <w:rPr>
          <w:rFonts w:ascii="Times New Roman" w:eastAsiaTheme="majorEastAsia" w:hAnsi="Times New Roman" w:cs="Times New Roman"/>
          <w:bCs/>
          <w:sz w:val="24"/>
          <w:szCs w:val="24"/>
        </w:rPr>
        <w:t>,</w:t>
      </w:r>
      <w:r w:rsidR="00D73888" w:rsidRPr="001B1483">
        <w:rPr>
          <w:rFonts w:ascii="Times New Roman" w:eastAsiaTheme="majorEastAsia" w:hAnsi="Times New Roman" w:cs="Times New Roman"/>
          <w:bCs/>
          <w:sz w:val="24"/>
          <w:szCs w:val="24"/>
        </w:rPr>
        <w:t xml:space="preserve"> a to na hodnotu</w:t>
      </w:r>
      <w:r w:rsidR="00D73888" w:rsidRPr="001B1483">
        <w:rPr>
          <w:rFonts w:ascii="Times New Roman" w:hAnsi="Times New Roman" w:cs="Times New Roman"/>
          <w:bCs/>
          <w:sz w:val="24"/>
          <w:szCs w:val="24"/>
        </w:rPr>
        <w:t xml:space="preserve"> </w:t>
      </w:r>
      <w:r w:rsidR="00A3552C" w:rsidRPr="00AF5415">
        <w:rPr>
          <w:rFonts w:ascii="Times New Roman" w:hAnsi="Times New Roman" w:cs="Times New Roman"/>
          <w:b/>
          <w:bCs/>
          <w:sz w:val="24"/>
          <w:szCs w:val="24"/>
        </w:rPr>
        <w:t>1 022</w:t>
      </w:r>
      <w:r w:rsidR="00A3552C">
        <w:rPr>
          <w:rFonts w:ascii="Times New Roman" w:hAnsi="Times New Roman" w:cs="Times New Roman"/>
          <w:bCs/>
          <w:sz w:val="24"/>
          <w:szCs w:val="24"/>
        </w:rPr>
        <w:t xml:space="preserve"> </w:t>
      </w:r>
      <w:r w:rsidR="00D73888" w:rsidRPr="00CB6891">
        <w:rPr>
          <w:rFonts w:ascii="Times New Roman" w:hAnsi="Times New Roman" w:cs="Times New Roman"/>
          <w:b/>
          <w:sz w:val="24"/>
          <w:szCs w:val="24"/>
        </w:rPr>
        <w:t>GWh</w:t>
      </w:r>
      <w:r w:rsidR="00EC14E2">
        <w:rPr>
          <w:rFonts w:ascii="Times New Roman" w:hAnsi="Times New Roman" w:cs="Times New Roman"/>
          <w:b/>
          <w:sz w:val="24"/>
          <w:szCs w:val="24"/>
        </w:rPr>
        <w:t>/rok</w:t>
      </w:r>
      <w:r w:rsidR="00D73888" w:rsidRPr="00681AD4">
        <w:rPr>
          <w:rFonts w:ascii="Times New Roman" w:hAnsi="Times New Roman" w:cs="Times New Roman"/>
          <w:sz w:val="24"/>
          <w:szCs w:val="24"/>
        </w:rPr>
        <w:t xml:space="preserve">.  </w:t>
      </w:r>
    </w:p>
    <w:p w14:paraId="3B37E2D5" w14:textId="77777777" w:rsidR="00D04983" w:rsidRDefault="00D04983">
      <w:pPr>
        <w:rPr>
          <w:rFonts w:ascii="Times New Roman" w:eastAsiaTheme="majorEastAsia" w:hAnsi="Times New Roman" w:cs="Times New Roman"/>
          <w:b/>
          <w:bCs/>
        </w:rPr>
      </w:pPr>
      <w:bookmarkStart w:id="19" w:name="_Toc475461010"/>
      <w:bookmarkStart w:id="20" w:name="_Toc475461011"/>
      <w:bookmarkStart w:id="21" w:name="_Toc475461012"/>
      <w:bookmarkStart w:id="22" w:name="_Toc475461013"/>
      <w:bookmarkStart w:id="23" w:name="_Toc475461014"/>
      <w:bookmarkStart w:id="24" w:name="_Toc475461018"/>
      <w:bookmarkStart w:id="25" w:name="_Toc475461019"/>
      <w:bookmarkStart w:id="26" w:name="_Toc475461020"/>
      <w:bookmarkStart w:id="27" w:name="_Toc475021727"/>
      <w:bookmarkStart w:id="28" w:name="_Toc474910311"/>
      <w:bookmarkEnd w:id="19"/>
      <w:bookmarkEnd w:id="20"/>
      <w:bookmarkEnd w:id="21"/>
      <w:bookmarkEnd w:id="22"/>
      <w:bookmarkEnd w:id="23"/>
      <w:bookmarkEnd w:id="24"/>
      <w:bookmarkEnd w:id="25"/>
      <w:bookmarkEnd w:id="26"/>
      <w:bookmarkEnd w:id="27"/>
      <w:bookmarkEnd w:id="28"/>
      <w:r>
        <w:rPr>
          <w:rFonts w:ascii="Times New Roman" w:hAnsi="Times New Roman" w:cs="Times New Roman"/>
        </w:rPr>
        <w:br w:type="page"/>
      </w:r>
    </w:p>
    <w:p w14:paraId="400D3992" w14:textId="4D4DC2D2" w:rsidR="00BD1237" w:rsidRPr="000578FE" w:rsidRDefault="00E60DE4" w:rsidP="00AF5415">
      <w:pPr>
        <w:pStyle w:val="Nadpis3"/>
        <w:numPr>
          <w:ilvl w:val="2"/>
          <w:numId w:val="30"/>
        </w:numPr>
        <w:rPr>
          <w:rFonts w:ascii="Times New Roman" w:hAnsi="Times New Roman" w:cs="Times New Roman"/>
          <w:color w:val="auto"/>
        </w:rPr>
      </w:pPr>
      <w:bookmarkStart w:id="29" w:name="_Toc477345344"/>
      <w:r w:rsidRPr="000578FE">
        <w:rPr>
          <w:rFonts w:ascii="Times New Roman" w:hAnsi="Times New Roman" w:cs="Times New Roman"/>
          <w:color w:val="auto"/>
        </w:rPr>
        <w:lastRenderedPageBreak/>
        <w:t>Ú</w:t>
      </w:r>
      <w:r w:rsidR="00BC6E06" w:rsidRPr="000578FE">
        <w:rPr>
          <w:rFonts w:ascii="Times New Roman" w:hAnsi="Times New Roman" w:cs="Times New Roman"/>
          <w:color w:val="auto"/>
        </w:rPr>
        <w:t>spory primárnej energie</w:t>
      </w:r>
      <w:bookmarkEnd w:id="29"/>
    </w:p>
    <w:p w14:paraId="1CF86868" w14:textId="77777777" w:rsidR="00424D9C" w:rsidRDefault="00424D9C" w:rsidP="00382EAD">
      <w:pPr>
        <w:jc w:val="both"/>
        <w:rPr>
          <w:rFonts w:ascii="Times New Roman" w:hAnsi="Times New Roman" w:cs="Times New Roman"/>
          <w:sz w:val="24"/>
          <w:szCs w:val="24"/>
        </w:rPr>
      </w:pPr>
    </w:p>
    <w:p w14:paraId="31EA8767" w14:textId="659DF945" w:rsidR="008C48EE" w:rsidRPr="001B1483" w:rsidRDefault="00E539F5" w:rsidP="00382EAD">
      <w:pPr>
        <w:jc w:val="both"/>
        <w:rPr>
          <w:rFonts w:ascii="Times New Roman" w:hAnsi="Times New Roman" w:cs="Times New Roman"/>
          <w:sz w:val="24"/>
          <w:szCs w:val="24"/>
        </w:rPr>
      </w:pPr>
      <w:r w:rsidRPr="007577DE">
        <w:rPr>
          <w:rFonts w:ascii="Times New Roman" w:hAnsi="Times New Roman" w:cs="Times New Roman"/>
          <w:sz w:val="24"/>
          <w:szCs w:val="24"/>
        </w:rPr>
        <w:t xml:space="preserve">Tabuľka </w:t>
      </w:r>
      <w:r w:rsidR="00434D49">
        <w:rPr>
          <w:rFonts w:ascii="Times New Roman" w:hAnsi="Times New Roman" w:cs="Times New Roman"/>
          <w:sz w:val="24"/>
          <w:szCs w:val="24"/>
        </w:rPr>
        <w:t xml:space="preserve">č. 5 </w:t>
      </w:r>
      <w:r w:rsidRPr="007577DE">
        <w:rPr>
          <w:rFonts w:ascii="Times New Roman" w:hAnsi="Times New Roman" w:cs="Times New Roman"/>
          <w:sz w:val="24"/>
          <w:szCs w:val="24"/>
        </w:rPr>
        <w:t xml:space="preserve">uvádza </w:t>
      </w:r>
      <w:r w:rsidR="00BD1237" w:rsidRPr="007577DE">
        <w:rPr>
          <w:rFonts w:ascii="Times New Roman" w:hAnsi="Times New Roman" w:cs="Times New Roman"/>
          <w:sz w:val="24"/>
          <w:szCs w:val="24"/>
        </w:rPr>
        <w:t xml:space="preserve">prehľad úspor primárnej energie dosiahnutých k termínu podania správy a odhady očakávaných úspor </w:t>
      </w:r>
      <w:r w:rsidRPr="007577DE">
        <w:rPr>
          <w:rFonts w:ascii="Times New Roman" w:hAnsi="Times New Roman" w:cs="Times New Roman"/>
          <w:sz w:val="24"/>
          <w:szCs w:val="24"/>
        </w:rPr>
        <w:t xml:space="preserve">energie </w:t>
      </w:r>
      <w:r w:rsidR="003F7FAC" w:rsidRPr="007577DE">
        <w:rPr>
          <w:rFonts w:ascii="Times New Roman" w:hAnsi="Times New Roman" w:cs="Times New Roman"/>
          <w:sz w:val="24"/>
          <w:szCs w:val="24"/>
        </w:rPr>
        <w:t xml:space="preserve">do </w:t>
      </w:r>
      <w:r w:rsidR="00BD1237" w:rsidRPr="007577DE">
        <w:rPr>
          <w:rFonts w:ascii="Times New Roman" w:hAnsi="Times New Roman" w:cs="Times New Roman"/>
          <w:sz w:val="24"/>
          <w:szCs w:val="24"/>
        </w:rPr>
        <w:t>rok</w:t>
      </w:r>
      <w:r w:rsidR="003F7FAC" w:rsidRPr="007577DE">
        <w:rPr>
          <w:rFonts w:ascii="Times New Roman" w:hAnsi="Times New Roman" w:cs="Times New Roman"/>
          <w:sz w:val="24"/>
          <w:szCs w:val="24"/>
        </w:rPr>
        <w:t>u</w:t>
      </w:r>
      <w:r w:rsidR="00BD1237" w:rsidRPr="007577DE">
        <w:rPr>
          <w:rFonts w:ascii="Times New Roman" w:hAnsi="Times New Roman" w:cs="Times New Roman"/>
          <w:sz w:val="24"/>
          <w:szCs w:val="24"/>
        </w:rPr>
        <w:t xml:space="preserve"> 2020</w:t>
      </w:r>
      <w:r w:rsidR="00BD1237" w:rsidRPr="007577DE">
        <w:rPr>
          <w:rFonts w:ascii="Times New Roman" w:hAnsi="Times New Roman" w:cs="Times New Roman"/>
          <w:b/>
          <w:sz w:val="24"/>
          <w:szCs w:val="24"/>
        </w:rPr>
        <w:t xml:space="preserve"> </w:t>
      </w:r>
      <w:r w:rsidR="003F7FAC" w:rsidRPr="007577DE">
        <w:rPr>
          <w:rFonts w:ascii="Times New Roman" w:hAnsi="Times New Roman" w:cs="Times New Roman"/>
          <w:sz w:val="24"/>
          <w:szCs w:val="24"/>
        </w:rPr>
        <w:t>podľa jednotlivých sektorov</w:t>
      </w:r>
      <w:r w:rsidR="003F7FAC" w:rsidRPr="007577DE">
        <w:rPr>
          <w:rFonts w:ascii="Times New Roman" w:hAnsi="Times New Roman" w:cs="Times New Roman"/>
          <w:b/>
          <w:sz w:val="24"/>
          <w:szCs w:val="24"/>
        </w:rPr>
        <w:t xml:space="preserve"> </w:t>
      </w:r>
      <w:r w:rsidR="00BD1237" w:rsidRPr="007577DE">
        <w:rPr>
          <w:rFonts w:ascii="Times New Roman" w:hAnsi="Times New Roman" w:cs="Times New Roman"/>
          <w:sz w:val="24"/>
          <w:szCs w:val="24"/>
        </w:rPr>
        <w:t>(článok 3 ods. 1, článok 24 ods. 2 SEE, prílohy XIV časť 2 bod 2 písm. a) k nej).</w:t>
      </w:r>
      <w:r w:rsidR="003F7FAC" w:rsidRPr="007577DE">
        <w:rPr>
          <w:rFonts w:ascii="Times New Roman" w:hAnsi="Times New Roman" w:cs="Times New Roman"/>
          <w:sz w:val="24"/>
          <w:szCs w:val="24"/>
        </w:rPr>
        <w:t xml:space="preserve"> </w:t>
      </w:r>
    </w:p>
    <w:p w14:paraId="1DE12FD9" w14:textId="19ABCA91" w:rsidR="00434D49" w:rsidRPr="00903DF0" w:rsidRDefault="00434D49" w:rsidP="001B1483">
      <w:pPr>
        <w:keepNext/>
        <w:jc w:val="both"/>
        <w:rPr>
          <w:rFonts w:ascii="Times New Roman" w:hAnsi="Times New Roman" w:cs="Times New Roman"/>
          <w:i/>
          <w:sz w:val="24"/>
          <w:szCs w:val="24"/>
        </w:rPr>
      </w:pPr>
      <w:r w:rsidRPr="000578FE">
        <w:rPr>
          <w:rFonts w:ascii="Times New Roman" w:hAnsi="Times New Roman" w:cs="Times New Roman"/>
          <w:sz w:val="24"/>
          <w:szCs w:val="24"/>
        </w:rPr>
        <w:t xml:space="preserve">Tabuľka č. 5: </w:t>
      </w:r>
      <w:r w:rsidRPr="000578FE">
        <w:rPr>
          <w:rFonts w:ascii="Times New Roman" w:hAnsi="Times New Roman" w:cs="Times New Roman"/>
          <w:color w:val="000000"/>
          <w:sz w:val="24"/>
          <w:szCs w:val="24"/>
        </w:rPr>
        <w:t>Plánované a dosiahnuté úspory energie vo forme primárnej energetickej spotreby</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3298"/>
        <w:gridCol w:w="1876"/>
        <w:gridCol w:w="1767"/>
        <w:gridCol w:w="2121"/>
      </w:tblGrid>
      <w:tr w:rsidR="004C2160" w:rsidRPr="00A3552C" w14:paraId="0172D7DC" w14:textId="77777777" w:rsidTr="007577DE">
        <w:trPr>
          <w:trHeight w:val="1059"/>
        </w:trPr>
        <w:tc>
          <w:tcPr>
            <w:tcW w:w="1820" w:type="pct"/>
            <w:vMerge w:val="restart"/>
            <w:shd w:val="clear" w:color="auto" w:fill="C0C0C0"/>
            <w:vAlign w:val="center"/>
          </w:tcPr>
          <w:p w14:paraId="0E1F330C" w14:textId="77777777" w:rsidR="004C2160" w:rsidRPr="00A3552C" w:rsidRDefault="004C2160" w:rsidP="00DC146B">
            <w:pPr>
              <w:spacing w:after="0" w:line="240" w:lineRule="auto"/>
              <w:jc w:val="center"/>
              <w:rPr>
                <w:rFonts w:ascii="Times New Roman" w:hAnsi="Times New Roman" w:cs="Times New Roman"/>
                <w:b/>
                <w:sz w:val="20"/>
                <w:szCs w:val="20"/>
              </w:rPr>
            </w:pPr>
            <w:r w:rsidRPr="00A3552C">
              <w:rPr>
                <w:rFonts w:ascii="Times New Roman" w:hAnsi="Times New Roman" w:cs="Times New Roman"/>
                <w:b/>
                <w:sz w:val="20"/>
                <w:szCs w:val="20"/>
              </w:rPr>
              <w:t>Sektor</w:t>
            </w:r>
          </w:p>
        </w:tc>
        <w:tc>
          <w:tcPr>
            <w:tcW w:w="2010" w:type="pct"/>
            <w:gridSpan w:val="2"/>
            <w:shd w:val="clear" w:color="auto" w:fill="C0C0C0"/>
            <w:noWrap/>
            <w:vAlign w:val="center"/>
          </w:tcPr>
          <w:p w14:paraId="5DF6131F" w14:textId="0B58E7FA" w:rsidR="004C2160" w:rsidRPr="00A3552C" w:rsidRDefault="004C2160" w:rsidP="00DC146B">
            <w:pPr>
              <w:spacing w:after="0" w:line="240" w:lineRule="auto"/>
              <w:jc w:val="center"/>
              <w:rPr>
                <w:rFonts w:ascii="Times New Roman" w:hAnsi="Times New Roman" w:cs="Times New Roman"/>
                <w:b/>
                <w:sz w:val="20"/>
                <w:szCs w:val="20"/>
              </w:rPr>
            </w:pPr>
            <w:r w:rsidRPr="00A3552C">
              <w:rPr>
                <w:rFonts w:ascii="Times New Roman" w:hAnsi="Times New Roman" w:cs="Times New Roman"/>
                <w:b/>
                <w:sz w:val="20"/>
                <w:szCs w:val="20"/>
              </w:rPr>
              <w:t>Úspora energie (PES)</w:t>
            </w:r>
          </w:p>
          <w:p w14:paraId="2A122DE1" w14:textId="03709DA4" w:rsidR="00036138" w:rsidRPr="00A3552C" w:rsidRDefault="004C2160" w:rsidP="00DC146B">
            <w:pPr>
              <w:spacing w:after="0" w:line="240" w:lineRule="auto"/>
              <w:jc w:val="center"/>
              <w:rPr>
                <w:rFonts w:ascii="Times New Roman" w:hAnsi="Times New Roman" w:cs="Times New Roman"/>
                <w:b/>
                <w:sz w:val="20"/>
                <w:szCs w:val="20"/>
              </w:rPr>
            </w:pPr>
            <w:r w:rsidRPr="00A3552C">
              <w:rPr>
                <w:rFonts w:ascii="Times New Roman" w:hAnsi="Times New Roman" w:cs="Times New Roman"/>
                <w:b/>
                <w:sz w:val="20"/>
                <w:szCs w:val="20"/>
              </w:rPr>
              <w:t>2014-2016</w:t>
            </w:r>
          </w:p>
          <w:p w14:paraId="44487C34" w14:textId="1676D646" w:rsidR="004C2160" w:rsidRPr="00A3552C" w:rsidRDefault="00036138" w:rsidP="00DC146B">
            <w:pPr>
              <w:spacing w:after="0" w:line="240" w:lineRule="auto"/>
              <w:jc w:val="center"/>
              <w:rPr>
                <w:rFonts w:ascii="Times New Roman" w:hAnsi="Times New Roman" w:cs="Times New Roman"/>
                <w:b/>
                <w:sz w:val="20"/>
                <w:szCs w:val="20"/>
              </w:rPr>
            </w:pPr>
            <w:r w:rsidRPr="00A3552C">
              <w:rPr>
                <w:rFonts w:ascii="Times New Roman" w:hAnsi="Times New Roman" w:cs="Times New Roman"/>
                <w:b/>
                <w:sz w:val="20"/>
                <w:szCs w:val="20"/>
              </w:rPr>
              <w:t>(3 roky)</w:t>
            </w:r>
          </w:p>
          <w:p w14:paraId="2BD1BEF8" w14:textId="77777777" w:rsidR="004C2160" w:rsidRPr="00A3552C" w:rsidRDefault="004C2160" w:rsidP="00DC146B">
            <w:pPr>
              <w:spacing w:after="0" w:line="240" w:lineRule="auto"/>
              <w:jc w:val="center"/>
              <w:rPr>
                <w:rFonts w:ascii="Times New Roman" w:hAnsi="Times New Roman" w:cs="Times New Roman"/>
                <w:b/>
                <w:sz w:val="20"/>
                <w:szCs w:val="20"/>
              </w:rPr>
            </w:pPr>
            <w:r w:rsidRPr="00A3552C">
              <w:rPr>
                <w:rFonts w:ascii="Times New Roman" w:hAnsi="Times New Roman" w:cs="Times New Roman"/>
                <w:b/>
                <w:sz w:val="20"/>
                <w:szCs w:val="20"/>
              </w:rPr>
              <w:t>[TJ]</w:t>
            </w:r>
          </w:p>
        </w:tc>
        <w:tc>
          <w:tcPr>
            <w:tcW w:w="1170" w:type="pct"/>
            <w:shd w:val="clear" w:color="auto" w:fill="C0C0C0"/>
            <w:vAlign w:val="center"/>
          </w:tcPr>
          <w:p w14:paraId="2897EF09" w14:textId="77777777" w:rsidR="004C2160" w:rsidRPr="00A3552C" w:rsidRDefault="004C2160" w:rsidP="00DC146B">
            <w:pPr>
              <w:spacing w:after="0" w:line="240" w:lineRule="auto"/>
              <w:jc w:val="center"/>
              <w:rPr>
                <w:rFonts w:ascii="Times New Roman" w:hAnsi="Times New Roman" w:cs="Times New Roman"/>
                <w:b/>
                <w:sz w:val="20"/>
                <w:szCs w:val="20"/>
              </w:rPr>
            </w:pPr>
          </w:p>
          <w:p w14:paraId="67B9F5EC" w14:textId="736AA76E" w:rsidR="004C2160" w:rsidRPr="00A3552C" w:rsidRDefault="004C2160" w:rsidP="00DC146B">
            <w:pPr>
              <w:spacing w:after="0" w:line="240" w:lineRule="auto"/>
              <w:jc w:val="center"/>
              <w:rPr>
                <w:rFonts w:ascii="Times New Roman" w:hAnsi="Times New Roman" w:cs="Times New Roman"/>
                <w:b/>
                <w:sz w:val="20"/>
                <w:szCs w:val="20"/>
              </w:rPr>
            </w:pPr>
            <w:r w:rsidRPr="00A3552C">
              <w:rPr>
                <w:rFonts w:ascii="Times New Roman" w:hAnsi="Times New Roman" w:cs="Times New Roman"/>
                <w:b/>
                <w:sz w:val="20"/>
                <w:szCs w:val="20"/>
              </w:rPr>
              <w:t>Plánovaná úspora energie (PES)</w:t>
            </w:r>
          </w:p>
          <w:p w14:paraId="358BEBE6" w14:textId="7AD3F69E" w:rsidR="00036138" w:rsidRPr="00A3552C" w:rsidRDefault="004C2160" w:rsidP="00DC146B">
            <w:pPr>
              <w:spacing w:after="0" w:line="240" w:lineRule="auto"/>
              <w:jc w:val="center"/>
              <w:rPr>
                <w:rFonts w:ascii="Times New Roman" w:hAnsi="Times New Roman" w:cs="Times New Roman"/>
                <w:b/>
                <w:sz w:val="20"/>
                <w:szCs w:val="20"/>
              </w:rPr>
            </w:pPr>
            <w:r w:rsidRPr="00A3552C">
              <w:rPr>
                <w:rFonts w:ascii="Times New Roman" w:hAnsi="Times New Roman" w:cs="Times New Roman"/>
                <w:b/>
                <w:sz w:val="20"/>
                <w:szCs w:val="20"/>
              </w:rPr>
              <w:t>2017-2020</w:t>
            </w:r>
          </w:p>
          <w:p w14:paraId="1DCC1457" w14:textId="30A8FA5E" w:rsidR="004C2160" w:rsidRPr="00A3552C" w:rsidRDefault="00036138" w:rsidP="00DC146B">
            <w:pPr>
              <w:spacing w:after="0" w:line="240" w:lineRule="auto"/>
              <w:jc w:val="center"/>
              <w:rPr>
                <w:rFonts w:ascii="Times New Roman" w:hAnsi="Times New Roman" w:cs="Times New Roman"/>
                <w:b/>
                <w:sz w:val="20"/>
                <w:szCs w:val="20"/>
              </w:rPr>
            </w:pPr>
            <w:r w:rsidRPr="00A3552C">
              <w:rPr>
                <w:rFonts w:ascii="Times New Roman" w:hAnsi="Times New Roman" w:cs="Times New Roman"/>
                <w:b/>
                <w:sz w:val="20"/>
                <w:szCs w:val="20"/>
              </w:rPr>
              <w:t>(4 roky)</w:t>
            </w:r>
          </w:p>
          <w:p w14:paraId="3A06A74D" w14:textId="0BB719AC" w:rsidR="004C2160" w:rsidRPr="00A3552C" w:rsidRDefault="004C2160" w:rsidP="00DC146B">
            <w:pPr>
              <w:spacing w:after="0" w:line="240" w:lineRule="auto"/>
              <w:jc w:val="center"/>
              <w:rPr>
                <w:rFonts w:ascii="Times New Roman" w:hAnsi="Times New Roman" w:cs="Times New Roman"/>
                <w:b/>
                <w:sz w:val="20"/>
                <w:szCs w:val="20"/>
              </w:rPr>
            </w:pPr>
            <w:r w:rsidRPr="00A3552C">
              <w:rPr>
                <w:rFonts w:ascii="Times New Roman" w:hAnsi="Times New Roman" w:cs="Times New Roman"/>
                <w:b/>
                <w:sz w:val="20"/>
                <w:szCs w:val="20"/>
              </w:rPr>
              <w:t>[TJ</w:t>
            </w:r>
            <w:r w:rsidR="00036138" w:rsidRPr="00A3552C">
              <w:rPr>
                <w:rFonts w:ascii="Times New Roman" w:hAnsi="Times New Roman" w:cs="Times New Roman"/>
                <w:b/>
                <w:sz w:val="20"/>
                <w:szCs w:val="20"/>
              </w:rPr>
              <w:t>]</w:t>
            </w:r>
          </w:p>
        </w:tc>
      </w:tr>
      <w:tr w:rsidR="004C2160" w:rsidRPr="00A3552C" w14:paraId="474FADED" w14:textId="77777777" w:rsidTr="004E746F">
        <w:trPr>
          <w:trHeight w:val="255"/>
        </w:trPr>
        <w:tc>
          <w:tcPr>
            <w:tcW w:w="1820" w:type="pct"/>
            <w:vMerge/>
            <w:tcBorders>
              <w:bottom w:val="single" w:sz="4" w:space="0" w:color="auto"/>
            </w:tcBorders>
            <w:shd w:val="clear" w:color="auto" w:fill="C0C0C0"/>
            <w:vAlign w:val="center"/>
          </w:tcPr>
          <w:p w14:paraId="2DCFB923" w14:textId="53E59857" w:rsidR="004C2160" w:rsidRPr="00A3552C" w:rsidRDefault="004C2160" w:rsidP="00DC146B">
            <w:pPr>
              <w:spacing w:after="0" w:line="240" w:lineRule="auto"/>
              <w:jc w:val="center"/>
              <w:rPr>
                <w:rFonts w:ascii="Times New Roman" w:hAnsi="Times New Roman" w:cs="Times New Roman"/>
                <w:b/>
                <w:sz w:val="20"/>
                <w:szCs w:val="20"/>
              </w:rPr>
            </w:pPr>
          </w:p>
        </w:tc>
        <w:tc>
          <w:tcPr>
            <w:tcW w:w="1035" w:type="pct"/>
            <w:tcBorders>
              <w:bottom w:val="single" w:sz="4" w:space="0" w:color="auto"/>
            </w:tcBorders>
            <w:shd w:val="clear" w:color="auto" w:fill="C0C0C0"/>
            <w:noWrap/>
            <w:vAlign w:val="center"/>
          </w:tcPr>
          <w:p w14:paraId="14FE3F9F" w14:textId="432B3E16" w:rsidR="004C2160" w:rsidRPr="00A3552C" w:rsidRDefault="004C2160">
            <w:pPr>
              <w:spacing w:after="0" w:line="240" w:lineRule="auto"/>
              <w:jc w:val="center"/>
              <w:rPr>
                <w:rFonts w:ascii="Times New Roman" w:hAnsi="Times New Roman" w:cs="Times New Roman"/>
                <w:b/>
                <w:sz w:val="20"/>
                <w:szCs w:val="20"/>
              </w:rPr>
            </w:pPr>
            <w:r w:rsidRPr="00A3552C">
              <w:rPr>
                <w:rFonts w:ascii="Times New Roman" w:hAnsi="Times New Roman" w:cs="Times New Roman"/>
                <w:b/>
                <w:sz w:val="20"/>
                <w:szCs w:val="20"/>
              </w:rPr>
              <w:t>Plánovaná v 3AP</w:t>
            </w:r>
          </w:p>
        </w:tc>
        <w:tc>
          <w:tcPr>
            <w:tcW w:w="975" w:type="pct"/>
            <w:tcBorders>
              <w:bottom w:val="single" w:sz="4" w:space="0" w:color="auto"/>
            </w:tcBorders>
            <w:shd w:val="clear" w:color="auto" w:fill="C0C0C0"/>
            <w:vAlign w:val="center"/>
          </w:tcPr>
          <w:p w14:paraId="78DB75D0" w14:textId="7B92CB9B" w:rsidR="004C2160" w:rsidRPr="00A3552C" w:rsidRDefault="004C2160" w:rsidP="00DC146B">
            <w:pPr>
              <w:spacing w:after="0" w:line="240" w:lineRule="auto"/>
              <w:jc w:val="center"/>
              <w:rPr>
                <w:rFonts w:ascii="Times New Roman" w:hAnsi="Times New Roman" w:cs="Times New Roman"/>
                <w:b/>
                <w:sz w:val="20"/>
                <w:szCs w:val="20"/>
              </w:rPr>
            </w:pPr>
            <w:r w:rsidRPr="00A3552C">
              <w:rPr>
                <w:rFonts w:ascii="Times New Roman" w:hAnsi="Times New Roman" w:cs="Times New Roman"/>
                <w:b/>
                <w:sz w:val="20"/>
                <w:szCs w:val="20"/>
              </w:rPr>
              <w:t>Dosiahnutá</w:t>
            </w:r>
            <w:r w:rsidR="0044012B" w:rsidRPr="00A3552C">
              <w:rPr>
                <w:rStyle w:val="Odkaznapoznmkupodiarou"/>
                <w:rFonts w:ascii="Times New Roman" w:hAnsi="Times New Roman" w:cs="Times New Roman"/>
                <w:b/>
                <w:sz w:val="20"/>
                <w:szCs w:val="20"/>
              </w:rPr>
              <w:footnoteReference w:id="16"/>
            </w:r>
          </w:p>
        </w:tc>
        <w:tc>
          <w:tcPr>
            <w:tcW w:w="1170" w:type="pct"/>
            <w:tcBorders>
              <w:bottom w:val="single" w:sz="4" w:space="0" w:color="auto"/>
            </w:tcBorders>
            <w:shd w:val="clear" w:color="auto" w:fill="C0C0C0"/>
            <w:vAlign w:val="center"/>
          </w:tcPr>
          <w:p w14:paraId="164393DB" w14:textId="5DE1C86C" w:rsidR="004C2160" w:rsidRPr="00A3552C" w:rsidRDefault="004C2160">
            <w:pPr>
              <w:spacing w:after="0" w:line="240" w:lineRule="auto"/>
              <w:jc w:val="center"/>
              <w:rPr>
                <w:rFonts w:ascii="Times New Roman" w:hAnsi="Times New Roman" w:cs="Times New Roman"/>
                <w:b/>
                <w:sz w:val="20"/>
                <w:szCs w:val="20"/>
              </w:rPr>
            </w:pPr>
            <w:r w:rsidRPr="00A3552C">
              <w:rPr>
                <w:rFonts w:ascii="Times New Roman" w:hAnsi="Times New Roman" w:cs="Times New Roman"/>
                <w:b/>
                <w:sz w:val="20"/>
                <w:szCs w:val="20"/>
              </w:rPr>
              <w:t>Plánovan</w:t>
            </w:r>
            <w:r w:rsidR="003F7FAC" w:rsidRPr="00A3552C">
              <w:rPr>
                <w:rFonts w:ascii="Times New Roman" w:hAnsi="Times New Roman" w:cs="Times New Roman"/>
                <w:b/>
                <w:sz w:val="20"/>
                <w:szCs w:val="20"/>
              </w:rPr>
              <w:t>á</w:t>
            </w:r>
            <w:r w:rsidRPr="00A3552C">
              <w:rPr>
                <w:rFonts w:ascii="Times New Roman" w:hAnsi="Times New Roman" w:cs="Times New Roman"/>
                <w:b/>
                <w:sz w:val="20"/>
                <w:szCs w:val="20"/>
              </w:rPr>
              <w:t xml:space="preserve"> v </w:t>
            </w:r>
            <w:r w:rsidR="00234BB3" w:rsidRPr="00A3552C">
              <w:rPr>
                <w:rFonts w:ascii="Times New Roman" w:hAnsi="Times New Roman" w:cs="Times New Roman"/>
                <w:b/>
                <w:sz w:val="20"/>
                <w:szCs w:val="20"/>
              </w:rPr>
              <w:t>4</w:t>
            </w:r>
            <w:r w:rsidRPr="00A3552C">
              <w:rPr>
                <w:rFonts w:ascii="Times New Roman" w:hAnsi="Times New Roman" w:cs="Times New Roman"/>
                <w:b/>
                <w:sz w:val="20"/>
                <w:szCs w:val="20"/>
              </w:rPr>
              <w:t>AP</w:t>
            </w:r>
          </w:p>
        </w:tc>
      </w:tr>
      <w:tr w:rsidR="00A3552C" w:rsidRPr="00A3552C" w14:paraId="6072D74B" w14:textId="77777777" w:rsidTr="00AF5415">
        <w:trPr>
          <w:trHeight w:val="255"/>
        </w:trPr>
        <w:tc>
          <w:tcPr>
            <w:tcW w:w="1820" w:type="pct"/>
            <w:tcBorders>
              <w:top w:val="single" w:sz="4" w:space="0" w:color="auto"/>
              <w:bottom w:val="single" w:sz="4" w:space="0" w:color="auto"/>
              <w:right w:val="single" w:sz="4" w:space="0" w:color="auto"/>
            </w:tcBorders>
            <w:shd w:val="clear" w:color="auto" w:fill="FFFFFF"/>
            <w:vAlign w:val="center"/>
          </w:tcPr>
          <w:p w14:paraId="56D02ED8" w14:textId="77777777" w:rsidR="00A3552C" w:rsidRPr="00A3552C" w:rsidRDefault="00A3552C">
            <w:pPr>
              <w:spacing w:after="0" w:line="240" w:lineRule="auto"/>
              <w:rPr>
                <w:rFonts w:ascii="Times New Roman" w:hAnsi="Times New Roman" w:cs="Times New Roman"/>
                <w:sz w:val="20"/>
                <w:szCs w:val="20"/>
              </w:rPr>
            </w:pPr>
            <w:r w:rsidRPr="00A3552C">
              <w:rPr>
                <w:rFonts w:ascii="Times New Roman" w:hAnsi="Times New Roman" w:cs="Times New Roman"/>
                <w:sz w:val="20"/>
                <w:szCs w:val="20"/>
              </w:rPr>
              <w:t>Budovy</w:t>
            </w:r>
          </w:p>
        </w:tc>
        <w:tc>
          <w:tcPr>
            <w:tcW w:w="103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A1F4D4" w14:textId="1B67CECA" w:rsidR="00A3552C" w:rsidRPr="00A3552C" w:rsidRDefault="00A3552C">
            <w:pPr>
              <w:spacing w:after="0" w:line="240" w:lineRule="auto"/>
              <w:jc w:val="right"/>
              <w:rPr>
                <w:rFonts w:ascii="Times New Roman" w:hAnsi="Times New Roman" w:cs="Times New Roman"/>
                <w:sz w:val="20"/>
                <w:szCs w:val="20"/>
              </w:rPr>
            </w:pPr>
            <w:r w:rsidRPr="00A3552C">
              <w:rPr>
                <w:rFonts w:ascii="Times New Roman" w:hAnsi="Times New Roman" w:cs="Times New Roman"/>
                <w:sz w:val="20"/>
                <w:szCs w:val="20"/>
              </w:rPr>
              <w:t>4 830</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14:paraId="5F3A331E" w14:textId="6F1A5FF9" w:rsidR="00A3552C" w:rsidRPr="00A3552C" w:rsidRDefault="00A3552C">
            <w:pPr>
              <w:spacing w:after="0" w:line="240" w:lineRule="auto"/>
              <w:jc w:val="right"/>
              <w:rPr>
                <w:rFonts w:ascii="Times New Roman" w:hAnsi="Times New Roman" w:cs="Times New Roman"/>
                <w:sz w:val="20"/>
                <w:szCs w:val="20"/>
              </w:rPr>
            </w:pPr>
            <w:r w:rsidRPr="00AF5415">
              <w:rPr>
                <w:rFonts w:ascii="Times New Roman" w:hAnsi="Times New Roman" w:cs="Times New Roman"/>
                <w:sz w:val="20"/>
                <w:szCs w:val="20"/>
              </w:rPr>
              <w:t>7 904</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56C7F863" w14:textId="0E8215E4" w:rsidR="00A3552C" w:rsidRPr="00A3552C" w:rsidRDefault="00A3552C">
            <w:pPr>
              <w:spacing w:after="0" w:line="240" w:lineRule="auto"/>
              <w:jc w:val="right"/>
              <w:rPr>
                <w:rFonts w:ascii="Times New Roman" w:hAnsi="Times New Roman" w:cs="Times New Roman"/>
                <w:sz w:val="20"/>
                <w:szCs w:val="20"/>
              </w:rPr>
            </w:pPr>
            <w:r w:rsidRPr="00AF5415">
              <w:rPr>
                <w:rFonts w:ascii="Times New Roman" w:hAnsi="Times New Roman" w:cs="Times New Roman"/>
                <w:sz w:val="20"/>
                <w:szCs w:val="20"/>
              </w:rPr>
              <w:t>6 698</w:t>
            </w:r>
          </w:p>
        </w:tc>
      </w:tr>
      <w:tr w:rsidR="00A3552C" w:rsidRPr="00A3552C" w14:paraId="0FE4AFAB" w14:textId="77777777" w:rsidTr="00AF5415">
        <w:trPr>
          <w:trHeight w:val="255"/>
        </w:trPr>
        <w:tc>
          <w:tcPr>
            <w:tcW w:w="1820" w:type="pct"/>
            <w:tcBorders>
              <w:top w:val="single" w:sz="4" w:space="0" w:color="auto"/>
              <w:bottom w:val="single" w:sz="4" w:space="0" w:color="auto"/>
              <w:right w:val="single" w:sz="4" w:space="0" w:color="auto"/>
            </w:tcBorders>
            <w:shd w:val="clear" w:color="auto" w:fill="FFFFFF"/>
            <w:vAlign w:val="center"/>
          </w:tcPr>
          <w:p w14:paraId="30BA5501" w14:textId="77777777" w:rsidR="00A3552C" w:rsidRPr="00A3552C" w:rsidRDefault="00A3552C">
            <w:pPr>
              <w:spacing w:after="0" w:line="240" w:lineRule="auto"/>
              <w:rPr>
                <w:rFonts w:ascii="Times New Roman" w:hAnsi="Times New Roman" w:cs="Times New Roman"/>
                <w:sz w:val="20"/>
                <w:szCs w:val="20"/>
              </w:rPr>
            </w:pPr>
            <w:r w:rsidRPr="00A3552C">
              <w:rPr>
                <w:rFonts w:ascii="Times New Roman" w:hAnsi="Times New Roman" w:cs="Times New Roman"/>
                <w:sz w:val="20"/>
                <w:szCs w:val="20"/>
              </w:rPr>
              <w:t>Priemysel</w:t>
            </w:r>
          </w:p>
        </w:tc>
        <w:tc>
          <w:tcPr>
            <w:tcW w:w="103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75BCB65" w14:textId="7874D1B4" w:rsidR="00A3552C" w:rsidRPr="00A3552C" w:rsidRDefault="00A3552C">
            <w:pPr>
              <w:spacing w:after="0" w:line="240" w:lineRule="auto"/>
              <w:jc w:val="right"/>
              <w:rPr>
                <w:rFonts w:ascii="Times New Roman" w:hAnsi="Times New Roman" w:cs="Times New Roman"/>
                <w:sz w:val="20"/>
                <w:szCs w:val="20"/>
              </w:rPr>
            </w:pPr>
            <w:r w:rsidRPr="00A3552C">
              <w:rPr>
                <w:rFonts w:ascii="Times New Roman" w:hAnsi="Times New Roman" w:cs="Times New Roman"/>
                <w:sz w:val="20"/>
                <w:szCs w:val="20"/>
              </w:rPr>
              <w:t>4 020</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14:paraId="1796DF33" w14:textId="471BBFDA" w:rsidR="00A3552C" w:rsidRPr="00A3552C" w:rsidRDefault="00A3552C">
            <w:pPr>
              <w:spacing w:after="0" w:line="240" w:lineRule="auto"/>
              <w:jc w:val="right"/>
              <w:rPr>
                <w:rFonts w:ascii="Times New Roman" w:hAnsi="Times New Roman" w:cs="Times New Roman"/>
                <w:sz w:val="20"/>
                <w:szCs w:val="20"/>
              </w:rPr>
            </w:pPr>
            <w:r w:rsidRPr="00AF5415">
              <w:rPr>
                <w:rFonts w:ascii="Times New Roman" w:hAnsi="Times New Roman" w:cs="Times New Roman"/>
                <w:sz w:val="20"/>
                <w:szCs w:val="20"/>
              </w:rPr>
              <w:t>4 338</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11FD6499" w14:textId="5F085148" w:rsidR="00A3552C" w:rsidRPr="00A3552C" w:rsidRDefault="00A3552C">
            <w:pPr>
              <w:spacing w:after="0" w:line="240" w:lineRule="auto"/>
              <w:jc w:val="right"/>
              <w:rPr>
                <w:rFonts w:ascii="Times New Roman" w:hAnsi="Times New Roman" w:cs="Times New Roman"/>
                <w:sz w:val="20"/>
                <w:szCs w:val="20"/>
              </w:rPr>
            </w:pPr>
            <w:r w:rsidRPr="00AF5415">
              <w:rPr>
                <w:rFonts w:ascii="Times New Roman" w:hAnsi="Times New Roman" w:cs="Times New Roman"/>
                <w:sz w:val="20"/>
                <w:szCs w:val="20"/>
              </w:rPr>
              <w:t>10 159</w:t>
            </w:r>
          </w:p>
        </w:tc>
      </w:tr>
      <w:tr w:rsidR="00A3552C" w:rsidRPr="00A3552C" w14:paraId="73F5BE2C" w14:textId="77777777" w:rsidTr="00AF5415">
        <w:trPr>
          <w:trHeight w:val="255"/>
        </w:trPr>
        <w:tc>
          <w:tcPr>
            <w:tcW w:w="1820" w:type="pct"/>
            <w:tcBorders>
              <w:top w:val="single" w:sz="4" w:space="0" w:color="auto"/>
              <w:bottom w:val="single" w:sz="4" w:space="0" w:color="auto"/>
              <w:right w:val="single" w:sz="4" w:space="0" w:color="auto"/>
            </w:tcBorders>
            <w:shd w:val="clear" w:color="auto" w:fill="FFFFFF"/>
            <w:vAlign w:val="center"/>
          </w:tcPr>
          <w:p w14:paraId="5333E493" w14:textId="77777777" w:rsidR="00A3552C" w:rsidRPr="00A3552C" w:rsidRDefault="00A3552C">
            <w:pPr>
              <w:spacing w:after="0" w:line="240" w:lineRule="auto"/>
              <w:rPr>
                <w:rFonts w:ascii="Times New Roman" w:hAnsi="Times New Roman" w:cs="Times New Roman"/>
                <w:sz w:val="20"/>
                <w:szCs w:val="20"/>
              </w:rPr>
            </w:pPr>
            <w:r w:rsidRPr="00A3552C">
              <w:rPr>
                <w:rFonts w:ascii="Times New Roman" w:hAnsi="Times New Roman" w:cs="Times New Roman"/>
                <w:sz w:val="20"/>
                <w:szCs w:val="20"/>
              </w:rPr>
              <w:t>Verejný sektor</w:t>
            </w:r>
          </w:p>
        </w:tc>
        <w:tc>
          <w:tcPr>
            <w:tcW w:w="103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8D4B0C0" w14:textId="06D2E62E" w:rsidR="00A3552C" w:rsidRPr="00A3552C" w:rsidRDefault="00A3552C">
            <w:pPr>
              <w:spacing w:after="0" w:line="240" w:lineRule="auto"/>
              <w:jc w:val="right"/>
              <w:rPr>
                <w:rFonts w:ascii="Times New Roman" w:hAnsi="Times New Roman" w:cs="Times New Roman"/>
                <w:sz w:val="20"/>
                <w:szCs w:val="20"/>
              </w:rPr>
            </w:pPr>
            <w:r w:rsidRPr="00A3552C">
              <w:rPr>
                <w:rFonts w:ascii="Times New Roman" w:hAnsi="Times New Roman" w:cs="Times New Roman"/>
                <w:sz w:val="20"/>
                <w:szCs w:val="20"/>
              </w:rPr>
              <w:t>2 616</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14:paraId="628D64F4" w14:textId="5D232680" w:rsidR="00A3552C" w:rsidRPr="00A3552C" w:rsidRDefault="00A3552C">
            <w:pPr>
              <w:spacing w:after="0" w:line="240" w:lineRule="auto"/>
              <w:jc w:val="right"/>
              <w:rPr>
                <w:rFonts w:ascii="Times New Roman" w:hAnsi="Times New Roman" w:cs="Times New Roman"/>
                <w:sz w:val="20"/>
                <w:szCs w:val="20"/>
              </w:rPr>
            </w:pPr>
            <w:r w:rsidRPr="00AF5415">
              <w:rPr>
                <w:rFonts w:ascii="Times New Roman" w:hAnsi="Times New Roman" w:cs="Times New Roman"/>
                <w:sz w:val="20"/>
                <w:szCs w:val="20"/>
              </w:rPr>
              <w:t>1 215</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6566CF1D" w14:textId="2888D332" w:rsidR="00A3552C" w:rsidRPr="00A3552C" w:rsidRDefault="00A3552C">
            <w:pPr>
              <w:spacing w:after="0" w:line="240" w:lineRule="auto"/>
              <w:jc w:val="right"/>
              <w:rPr>
                <w:rFonts w:ascii="Times New Roman" w:hAnsi="Times New Roman" w:cs="Times New Roman"/>
                <w:sz w:val="20"/>
                <w:szCs w:val="20"/>
              </w:rPr>
            </w:pPr>
            <w:r w:rsidRPr="00AF5415">
              <w:rPr>
                <w:rFonts w:ascii="Times New Roman" w:hAnsi="Times New Roman" w:cs="Times New Roman"/>
                <w:sz w:val="20"/>
                <w:szCs w:val="20"/>
              </w:rPr>
              <w:t>2 670</w:t>
            </w:r>
          </w:p>
        </w:tc>
      </w:tr>
      <w:tr w:rsidR="00A3552C" w:rsidRPr="00A3552C" w14:paraId="2FF44DA3" w14:textId="77777777" w:rsidTr="00AF5415">
        <w:trPr>
          <w:trHeight w:val="255"/>
        </w:trPr>
        <w:tc>
          <w:tcPr>
            <w:tcW w:w="1820" w:type="pct"/>
            <w:tcBorders>
              <w:top w:val="single" w:sz="4" w:space="0" w:color="auto"/>
              <w:bottom w:val="single" w:sz="4" w:space="0" w:color="auto"/>
              <w:right w:val="single" w:sz="4" w:space="0" w:color="auto"/>
            </w:tcBorders>
            <w:shd w:val="clear" w:color="auto" w:fill="FFFFFF"/>
            <w:vAlign w:val="center"/>
          </w:tcPr>
          <w:p w14:paraId="358D9905" w14:textId="77777777" w:rsidR="00A3552C" w:rsidRPr="00A3552C" w:rsidRDefault="00A3552C">
            <w:pPr>
              <w:spacing w:after="0" w:line="240" w:lineRule="auto"/>
              <w:rPr>
                <w:rFonts w:ascii="Times New Roman" w:hAnsi="Times New Roman" w:cs="Times New Roman"/>
                <w:sz w:val="20"/>
                <w:szCs w:val="20"/>
              </w:rPr>
            </w:pPr>
            <w:r w:rsidRPr="00A3552C">
              <w:rPr>
                <w:rFonts w:ascii="Times New Roman" w:hAnsi="Times New Roman" w:cs="Times New Roman"/>
                <w:sz w:val="20"/>
                <w:szCs w:val="20"/>
              </w:rPr>
              <w:t>Doprava</w:t>
            </w:r>
          </w:p>
        </w:tc>
        <w:tc>
          <w:tcPr>
            <w:tcW w:w="103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4341230" w14:textId="6A509919" w:rsidR="00A3552C" w:rsidRPr="00A3552C" w:rsidRDefault="00A3552C">
            <w:pPr>
              <w:spacing w:after="0" w:line="240" w:lineRule="auto"/>
              <w:jc w:val="right"/>
              <w:rPr>
                <w:rFonts w:ascii="Times New Roman" w:hAnsi="Times New Roman" w:cs="Times New Roman"/>
                <w:sz w:val="20"/>
                <w:szCs w:val="20"/>
              </w:rPr>
            </w:pPr>
            <w:r w:rsidRPr="00A3552C">
              <w:rPr>
                <w:rFonts w:ascii="Times New Roman" w:hAnsi="Times New Roman" w:cs="Times New Roman"/>
                <w:sz w:val="20"/>
                <w:szCs w:val="20"/>
              </w:rPr>
              <w:t>901</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14:paraId="2CAA65D9" w14:textId="241ADEB6" w:rsidR="00A3552C" w:rsidRPr="00A3552C" w:rsidRDefault="00A3552C">
            <w:pPr>
              <w:spacing w:after="0" w:line="240" w:lineRule="auto"/>
              <w:jc w:val="right"/>
              <w:rPr>
                <w:rFonts w:ascii="Times New Roman" w:hAnsi="Times New Roman" w:cs="Times New Roman"/>
                <w:sz w:val="20"/>
                <w:szCs w:val="20"/>
              </w:rPr>
            </w:pPr>
            <w:r w:rsidRPr="00AF5415">
              <w:rPr>
                <w:rFonts w:ascii="Times New Roman" w:hAnsi="Times New Roman" w:cs="Times New Roman"/>
                <w:sz w:val="20"/>
                <w:szCs w:val="20"/>
              </w:rPr>
              <w:t>1 403</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20120855" w14:textId="35DEB2C7" w:rsidR="00A3552C" w:rsidRPr="00A3552C" w:rsidRDefault="00A3552C">
            <w:pPr>
              <w:spacing w:after="0" w:line="240" w:lineRule="auto"/>
              <w:jc w:val="right"/>
              <w:rPr>
                <w:rFonts w:ascii="Times New Roman" w:hAnsi="Times New Roman" w:cs="Times New Roman"/>
                <w:sz w:val="20"/>
                <w:szCs w:val="20"/>
              </w:rPr>
            </w:pPr>
            <w:r w:rsidRPr="00AF5415">
              <w:rPr>
                <w:rFonts w:ascii="Times New Roman" w:hAnsi="Times New Roman" w:cs="Times New Roman"/>
                <w:sz w:val="20"/>
                <w:szCs w:val="20"/>
              </w:rPr>
              <w:t>1 798</w:t>
            </w:r>
          </w:p>
        </w:tc>
      </w:tr>
      <w:tr w:rsidR="00A3552C" w:rsidRPr="00A3552C" w14:paraId="00887436" w14:textId="77777777" w:rsidTr="00AF5415">
        <w:trPr>
          <w:trHeight w:val="255"/>
        </w:trPr>
        <w:tc>
          <w:tcPr>
            <w:tcW w:w="1820" w:type="pct"/>
            <w:tcBorders>
              <w:top w:val="single" w:sz="4" w:space="0" w:color="auto"/>
              <w:bottom w:val="single" w:sz="4" w:space="0" w:color="auto"/>
              <w:right w:val="single" w:sz="4" w:space="0" w:color="auto"/>
            </w:tcBorders>
            <w:shd w:val="clear" w:color="auto" w:fill="FFFFFF"/>
            <w:vAlign w:val="center"/>
          </w:tcPr>
          <w:p w14:paraId="4A53362A" w14:textId="77777777" w:rsidR="00A3552C" w:rsidRPr="00A3552C" w:rsidRDefault="00A3552C">
            <w:pPr>
              <w:spacing w:after="0" w:line="240" w:lineRule="auto"/>
              <w:rPr>
                <w:rFonts w:ascii="Times New Roman" w:hAnsi="Times New Roman" w:cs="Times New Roman"/>
                <w:sz w:val="20"/>
                <w:szCs w:val="20"/>
              </w:rPr>
            </w:pPr>
            <w:r w:rsidRPr="00A3552C">
              <w:rPr>
                <w:rFonts w:ascii="Times New Roman" w:hAnsi="Times New Roman" w:cs="Times New Roman"/>
                <w:sz w:val="20"/>
                <w:szCs w:val="20"/>
              </w:rPr>
              <w:t>Spotrebiče</w:t>
            </w:r>
          </w:p>
        </w:tc>
        <w:tc>
          <w:tcPr>
            <w:tcW w:w="103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51BBD3" w14:textId="4796FF74" w:rsidR="00A3552C" w:rsidRPr="00A3552C" w:rsidRDefault="00A3552C">
            <w:pPr>
              <w:spacing w:after="0" w:line="240" w:lineRule="auto"/>
              <w:jc w:val="right"/>
              <w:rPr>
                <w:rFonts w:ascii="Times New Roman" w:hAnsi="Times New Roman" w:cs="Times New Roman"/>
                <w:sz w:val="20"/>
                <w:szCs w:val="20"/>
              </w:rPr>
            </w:pPr>
            <w:r w:rsidRPr="00A3552C">
              <w:rPr>
                <w:rFonts w:ascii="Times New Roman" w:hAnsi="Times New Roman" w:cs="Times New Roman"/>
                <w:sz w:val="20"/>
                <w:szCs w:val="20"/>
              </w:rPr>
              <w:t>1 154</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14:paraId="5B9F944C" w14:textId="3B7D3AC9" w:rsidR="00A3552C" w:rsidRPr="00A3552C" w:rsidRDefault="00A3552C">
            <w:pPr>
              <w:spacing w:after="0" w:line="240" w:lineRule="auto"/>
              <w:jc w:val="right"/>
              <w:rPr>
                <w:rFonts w:ascii="Times New Roman" w:hAnsi="Times New Roman" w:cs="Times New Roman"/>
                <w:sz w:val="20"/>
                <w:szCs w:val="20"/>
              </w:rPr>
            </w:pPr>
            <w:r w:rsidRPr="00AF5415">
              <w:rPr>
                <w:rFonts w:ascii="Times New Roman" w:hAnsi="Times New Roman" w:cs="Times New Roman"/>
                <w:sz w:val="20"/>
                <w:szCs w:val="20"/>
              </w:rPr>
              <w:t>892</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14091130" w14:textId="46CD4D7A" w:rsidR="00A3552C" w:rsidRPr="00A3552C" w:rsidRDefault="00A3552C">
            <w:pPr>
              <w:spacing w:after="0" w:line="240" w:lineRule="auto"/>
              <w:jc w:val="right"/>
              <w:rPr>
                <w:rFonts w:ascii="Times New Roman" w:hAnsi="Times New Roman" w:cs="Times New Roman"/>
                <w:sz w:val="20"/>
                <w:szCs w:val="20"/>
              </w:rPr>
            </w:pPr>
            <w:r w:rsidRPr="00AF5415">
              <w:rPr>
                <w:rFonts w:ascii="Times New Roman" w:hAnsi="Times New Roman" w:cs="Times New Roman"/>
                <w:sz w:val="20"/>
                <w:szCs w:val="20"/>
              </w:rPr>
              <w:t>1 412</w:t>
            </w:r>
          </w:p>
        </w:tc>
      </w:tr>
      <w:tr w:rsidR="00A3552C" w:rsidRPr="00A3552C" w14:paraId="47CC1446" w14:textId="77777777" w:rsidTr="00AF5415">
        <w:trPr>
          <w:trHeight w:val="255"/>
        </w:trPr>
        <w:tc>
          <w:tcPr>
            <w:tcW w:w="1820" w:type="pct"/>
            <w:tcBorders>
              <w:top w:val="single" w:sz="4" w:space="0" w:color="auto"/>
              <w:bottom w:val="single" w:sz="4" w:space="0" w:color="auto"/>
              <w:right w:val="single" w:sz="4" w:space="0" w:color="auto"/>
            </w:tcBorders>
            <w:shd w:val="clear" w:color="auto" w:fill="FFFFFF"/>
            <w:vAlign w:val="center"/>
          </w:tcPr>
          <w:p w14:paraId="7776CFB4" w14:textId="46B539E5" w:rsidR="00A3552C" w:rsidRPr="00A3552C" w:rsidRDefault="00A3552C">
            <w:pPr>
              <w:spacing w:after="0" w:line="240" w:lineRule="auto"/>
              <w:rPr>
                <w:rFonts w:ascii="Times New Roman" w:hAnsi="Times New Roman" w:cs="Times New Roman"/>
                <w:sz w:val="20"/>
                <w:szCs w:val="20"/>
              </w:rPr>
            </w:pPr>
            <w:r w:rsidRPr="00A3552C">
              <w:rPr>
                <w:rFonts w:ascii="Times New Roman" w:hAnsi="Times New Roman" w:cs="Times New Roman"/>
                <w:sz w:val="20"/>
                <w:szCs w:val="20"/>
              </w:rPr>
              <w:t>Premena, prenos a distribúcia energie</w:t>
            </w:r>
          </w:p>
        </w:tc>
        <w:tc>
          <w:tcPr>
            <w:tcW w:w="103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40B143E" w14:textId="3EB90D9A" w:rsidR="00A3552C" w:rsidRPr="00A3552C" w:rsidRDefault="00A3552C">
            <w:pPr>
              <w:spacing w:after="0" w:line="240" w:lineRule="auto"/>
              <w:jc w:val="right"/>
              <w:rPr>
                <w:rFonts w:ascii="Times New Roman" w:hAnsi="Times New Roman" w:cs="Times New Roman"/>
                <w:sz w:val="20"/>
                <w:szCs w:val="20"/>
              </w:rPr>
            </w:pPr>
            <w:r w:rsidRPr="00A3552C">
              <w:rPr>
                <w:rFonts w:ascii="Times New Roman" w:hAnsi="Times New Roman" w:cs="Times New Roman"/>
                <w:sz w:val="20"/>
                <w:szCs w:val="20"/>
              </w:rPr>
              <w:t>2 422</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14:paraId="58145F12" w14:textId="4D222041" w:rsidR="00A3552C" w:rsidRPr="00A3552C" w:rsidRDefault="00A3552C">
            <w:pPr>
              <w:spacing w:after="0" w:line="240" w:lineRule="auto"/>
              <w:jc w:val="right"/>
              <w:rPr>
                <w:rFonts w:ascii="Times New Roman" w:hAnsi="Times New Roman" w:cs="Times New Roman"/>
                <w:sz w:val="20"/>
                <w:szCs w:val="20"/>
              </w:rPr>
            </w:pPr>
            <w:r w:rsidRPr="00AF5415">
              <w:rPr>
                <w:rFonts w:ascii="Times New Roman" w:hAnsi="Times New Roman" w:cs="Times New Roman"/>
                <w:sz w:val="20"/>
                <w:szCs w:val="20"/>
              </w:rPr>
              <w:t>1 438</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2090197F" w14:textId="313C3CC6" w:rsidR="00A3552C" w:rsidRPr="00A3552C" w:rsidRDefault="00A3552C">
            <w:pPr>
              <w:spacing w:after="0" w:line="240" w:lineRule="auto"/>
              <w:jc w:val="right"/>
              <w:rPr>
                <w:rFonts w:ascii="Times New Roman" w:hAnsi="Times New Roman" w:cs="Times New Roman"/>
                <w:sz w:val="20"/>
                <w:szCs w:val="20"/>
              </w:rPr>
            </w:pPr>
            <w:r w:rsidRPr="00AF5415">
              <w:rPr>
                <w:rFonts w:ascii="Times New Roman" w:hAnsi="Times New Roman" w:cs="Times New Roman"/>
                <w:sz w:val="20"/>
                <w:szCs w:val="20"/>
              </w:rPr>
              <w:t>4 212</w:t>
            </w:r>
          </w:p>
        </w:tc>
      </w:tr>
      <w:tr w:rsidR="00A3552C" w:rsidRPr="00A3552C" w14:paraId="0E3C197A" w14:textId="77777777" w:rsidTr="00AF5415">
        <w:trPr>
          <w:trHeight w:val="270"/>
        </w:trPr>
        <w:tc>
          <w:tcPr>
            <w:tcW w:w="1820" w:type="pct"/>
            <w:tcBorders>
              <w:top w:val="single" w:sz="4" w:space="0" w:color="auto"/>
              <w:bottom w:val="single" w:sz="4" w:space="0" w:color="auto"/>
              <w:right w:val="single" w:sz="4" w:space="0" w:color="auto"/>
            </w:tcBorders>
            <w:shd w:val="clear" w:color="auto" w:fill="auto"/>
            <w:vAlign w:val="center"/>
          </w:tcPr>
          <w:p w14:paraId="0DDEE56E" w14:textId="77777777" w:rsidR="00A3552C" w:rsidRPr="00A3552C" w:rsidRDefault="00A3552C">
            <w:pPr>
              <w:spacing w:after="0" w:line="240" w:lineRule="auto"/>
              <w:rPr>
                <w:rFonts w:ascii="Times New Roman" w:hAnsi="Times New Roman" w:cs="Times New Roman"/>
                <w:b/>
                <w:sz w:val="20"/>
                <w:szCs w:val="20"/>
              </w:rPr>
            </w:pPr>
            <w:r w:rsidRPr="00A3552C">
              <w:rPr>
                <w:rFonts w:ascii="Times New Roman" w:hAnsi="Times New Roman" w:cs="Times New Roman"/>
                <w:b/>
                <w:sz w:val="20"/>
                <w:szCs w:val="20"/>
              </w:rPr>
              <w:t>Spolu</w:t>
            </w: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46E13" w14:textId="122B38BC" w:rsidR="00A3552C" w:rsidRPr="00A3552C" w:rsidRDefault="00A3552C">
            <w:pPr>
              <w:spacing w:after="0" w:line="240" w:lineRule="auto"/>
              <w:jc w:val="right"/>
              <w:rPr>
                <w:rFonts w:ascii="Times New Roman" w:hAnsi="Times New Roman" w:cs="Times New Roman"/>
                <w:b/>
                <w:sz w:val="20"/>
                <w:szCs w:val="20"/>
              </w:rPr>
            </w:pPr>
            <w:r w:rsidRPr="00A3552C">
              <w:rPr>
                <w:rFonts w:ascii="Times New Roman" w:hAnsi="Times New Roman" w:cs="Times New Roman"/>
                <w:b/>
                <w:sz w:val="20"/>
                <w:szCs w:val="20"/>
              </w:rPr>
              <w:t>15 975</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14:paraId="19CFAE54" w14:textId="6EF445A1" w:rsidR="00A3552C" w:rsidRPr="00A3552C" w:rsidRDefault="00A3552C">
            <w:pPr>
              <w:spacing w:after="0" w:line="240" w:lineRule="auto"/>
              <w:jc w:val="right"/>
              <w:rPr>
                <w:rFonts w:ascii="Times New Roman" w:hAnsi="Times New Roman" w:cs="Times New Roman"/>
                <w:b/>
                <w:sz w:val="20"/>
                <w:szCs w:val="20"/>
              </w:rPr>
            </w:pPr>
            <w:r w:rsidRPr="00AF5415">
              <w:rPr>
                <w:rFonts w:ascii="Times New Roman" w:hAnsi="Times New Roman" w:cs="Times New Roman"/>
                <w:b/>
                <w:sz w:val="20"/>
                <w:szCs w:val="20"/>
              </w:rPr>
              <w:t>17 190</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4F5F7906" w14:textId="2C201931" w:rsidR="00A3552C" w:rsidRPr="00A3552C" w:rsidRDefault="00A3552C">
            <w:pPr>
              <w:spacing w:after="0" w:line="240" w:lineRule="auto"/>
              <w:jc w:val="right"/>
              <w:rPr>
                <w:rFonts w:ascii="Times New Roman" w:hAnsi="Times New Roman" w:cs="Times New Roman"/>
                <w:b/>
                <w:sz w:val="20"/>
                <w:szCs w:val="20"/>
              </w:rPr>
            </w:pPr>
            <w:r w:rsidRPr="00AF5415">
              <w:rPr>
                <w:rFonts w:ascii="Times New Roman" w:hAnsi="Times New Roman" w:cs="Times New Roman"/>
                <w:b/>
                <w:sz w:val="20"/>
                <w:szCs w:val="20"/>
              </w:rPr>
              <w:t>26 949</w:t>
            </w:r>
          </w:p>
        </w:tc>
      </w:tr>
    </w:tbl>
    <w:p w14:paraId="4FA857F3" w14:textId="77777777" w:rsidR="001C4BCA" w:rsidRDefault="001C4BCA" w:rsidP="00CB4F37">
      <w:pPr>
        <w:jc w:val="both"/>
        <w:rPr>
          <w:rFonts w:ascii="Times New Roman" w:hAnsi="Times New Roman" w:cs="Times New Roman"/>
        </w:rPr>
      </w:pPr>
    </w:p>
    <w:p w14:paraId="357D50A8" w14:textId="3C8A62B5" w:rsidR="00740B73" w:rsidRDefault="004600C9" w:rsidP="00CB4F37">
      <w:pPr>
        <w:jc w:val="both"/>
        <w:rPr>
          <w:rFonts w:ascii="Times New Roman" w:hAnsi="Times New Roman" w:cs="Times New Roman"/>
          <w:sz w:val="24"/>
          <w:szCs w:val="24"/>
        </w:rPr>
      </w:pPr>
      <w:r>
        <w:rPr>
          <w:rFonts w:ascii="Times New Roman" w:hAnsi="Times New Roman" w:cs="Times New Roman"/>
          <w:sz w:val="24"/>
          <w:szCs w:val="24"/>
        </w:rPr>
        <w:t xml:space="preserve">V sledovanom </w:t>
      </w:r>
      <w:r w:rsidRPr="003D35E8">
        <w:rPr>
          <w:rFonts w:ascii="Times New Roman" w:hAnsi="Times New Roman" w:cs="Times New Roman"/>
          <w:b/>
          <w:sz w:val="24"/>
          <w:szCs w:val="24"/>
        </w:rPr>
        <w:t xml:space="preserve">období rokov 2014-2016 </w:t>
      </w:r>
      <w:r>
        <w:rPr>
          <w:rFonts w:ascii="Times New Roman" w:hAnsi="Times New Roman" w:cs="Times New Roman"/>
          <w:sz w:val="24"/>
          <w:szCs w:val="24"/>
        </w:rPr>
        <w:t xml:space="preserve">boli dosiahnuté úspory energie vyjadrené vo forme PES vo výške </w:t>
      </w:r>
      <w:r w:rsidR="0041389B" w:rsidRPr="00AF5415">
        <w:rPr>
          <w:rFonts w:ascii="Times New Roman" w:hAnsi="Times New Roman" w:cs="Times New Roman"/>
          <w:b/>
          <w:sz w:val="24"/>
          <w:szCs w:val="24"/>
        </w:rPr>
        <w:t>17 190</w:t>
      </w:r>
      <w:r w:rsidR="00E16FFA">
        <w:rPr>
          <w:rFonts w:ascii="Times New Roman" w:hAnsi="Times New Roman" w:cs="Times New Roman"/>
          <w:b/>
          <w:sz w:val="24"/>
          <w:szCs w:val="24"/>
        </w:rPr>
        <w:t xml:space="preserve"> </w:t>
      </w:r>
      <w:r w:rsidRPr="003D35E8">
        <w:rPr>
          <w:rFonts w:ascii="Times New Roman" w:hAnsi="Times New Roman" w:cs="Times New Roman"/>
          <w:b/>
          <w:sz w:val="24"/>
          <w:szCs w:val="24"/>
        </w:rPr>
        <w:t>TJ</w:t>
      </w:r>
      <w:r w:rsidRPr="003D35E8">
        <w:rPr>
          <w:rFonts w:ascii="Times New Roman" w:hAnsi="Times New Roman" w:cs="Times New Roman"/>
          <w:sz w:val="24"/>
          <w:szCs w:val="24"/>
        </w:rPr>
        <w:t>.</w:t>
      </w:r>
    </w:p>
    <w:p w14:paraId="6E9F83B0" w14:textId="436A847D" w:rsidR="003654F7" w:rsidRDefault="003654F7" w:rsidP="00CB4F37">
      <w:pPr>
        <w:jc w:val="both"/>
        <w:rPr>
          <w:rFonts w:ascii="Times New Roman" w:hAnsi="Times New Roman" w:cs="Times New Roman"/>
          <w:sz w:val="24"/>
          <w:szCs w:val="24"/>
        </w:rPr>
      </w:pPr>
    </w:p>
    <w:p w14:paraId="686999CE" w14:textId="77777777" w:rsidR="003654F7" w:rsidRDefault="003654F7" w:rsidP="00CB4F37">
      <w:pPr>
        <w:jc w:val="both"/>
        <w:rPr>
          <w:rFonts w:ascii="Times New Roman" w:hAnsi="Times New Roman" w:cs="Times New Roman"/>
        </w:rPr>
        <w:sectPr w:rsidR="003654F7" w:rsidSect="00EE7874">
          <w:footerReference w:type="default" r:id="rId12"/>
          <w:pgSz w:w="11906" w:h="16838"/>
          <w:pgMar w:top="1417" w:right="1417" w:bottom="1417" w:left="1417" w:header="708" w:footer="708" w:gutter="0"/>
          <w:pgBorders w:offsetFrom="page">
            <w:top w:val="single" w:sz="4" w:space="24" w:color="FFFFFF"/>
            <w:left w:val="single" w:sz="4" w:space="24" w:color="FFFFFF"/>
            <w:bottom w:val="single" w:sz="4" w:space="24" w:color="FFFFFF"/>
            <w:right w:val="single" w:sz="4" w:space="24" w:color="FFFFFF"/>
          </w:pgBorders>
          <w:cols w:space="708"/>
          <w:titlePg/>
          <w:docGrid w:linePitch="360"/>
        </w:sectPr>
      </w:pPr>
    </w:p>
    <w:p w14:paraId="58D3BEAC" w14:textId="7E31ADB0" w:rsidR="00CB4F37" w:rsidRPr="004E746F" w:rsidRDefault="009927E4" w:rsidP="004E746F">
      <w:pPr>
        <w:pStyle w:val="Nadpis1"/>
        <w:rPr>
          <w:rFonts w:ascii="Times New Roman" w:hAnsi="Times New Roman" w:cs="Times New Roman"/>
          <w:b/>
        </w:rPr>
      </w:pPr>
      <w:bookmarkStart w:id="30" w:name="_Toc477166331"/>
      <w:bookmarkStart w:id="31" w:name="_Toc477166416"/>
      <w:bookmarkStart w:id="32" w:name="_Toc477166498"/>
      <w:bookmarkStart w:id="33" w:name="_Toc477166610"/>
      <w:bookmarkStart w:id="34" w:name="_Toc477345345"/>
      <w:bookmarkEnd w:id="30"/>
      <w:bookmarkEnd w:id="31"/>
      <w:bookmarkEnd w:id="32"/>
      <w:bookmarkEnd w:id="33"/>
      <w:r w:rsidRPr="004E746F">
        <w:rPr>
          <w:rFonts w:ascii="Times New Roman" w:hAnsi="Times New Roman" w:cs="Times New Roman"/>
          <w:b/>
          <w:color w:val="auto"/>
        </w:rPr>
        <w:lastRenderedPageBreak/>
        <w:t>Opatrenia energetickej efektívnosti</w:t>
      </w:r>
      <w:bookmarkEnd w:id="34"/>
    </w:p>
    <w:p w14:paraId="49653399" w14:textId="77777777" w:rsidR="00E86B71" w:rsidRPr="007577DE" w:rsidRDefault="000B4A2F" w:rsidP="000B4A2F">
      <w:pPr>
        <w:jc w:val="both"/>
        <w:rPr>
          <w:rFonts w:ascii="Times New Roman" w:hAnsi="Times New Roman" w:cs="Times New Roman"/>
          <w:sz w:val="24"/>
          <w:szCs w:val="24"/>
        </w:rPr>
      </w:pPr>
      <w:r w:rsidRPr="007577DE">
        <w:rPr>
          <w:rFonts w:ascii="Times New Roman" w:hAnsi="Times New Roman" w:cs="Times New Roman"/>
          <w:sz w:val="24"/>
          <w:szCs w:val="24"/>
        </w:rPr>
        <w:t>Na plnenie cieľa SR v oblasti energetickej efektívnosti sú opatrenia členené na</w:t>
      </w:r>
      <w:r w:rsidR="00E86B71" w:rsidRPr="007577DE">
        <w:rPr>
          <w:rFonts w:ascii="Times New Roman" w:hAnsi="Times New Roman" w:cs="Times New Roman"/>
          <w:sz w:val="24"/>
          <w:szCs w:val="24"/>
        </w:rPr>
        <w:t>:</w:t>
      </w:r>
    </w:p>
    <w:p w14:paraId="4A7961E7" w14:textId="5B67385F" w:rsidR="00E86B71" w:rsidRPr="007577DE" w:rsidRDefault="000B4A2F" w:rsidP="008F19ED">
      <w:pPr>
        <w:pStyle w:val="Odsekzoznamu"/>
        <w:numPr>
          <w:ilvl w:val="0"/>
          <w:numId w:val="5"/>
        </w:numPr>
        <w:jc w:val="both"/>
        <w:rPr>
          <w:rFonts w:ascii="Times New Roman" w:hAnsi="Times New Roman" w:cs="Times New Roman"/>
          <w:sz w:val="24"/>
          <w:szCs w:val="24"/>
        </w:rPr>
      </w:pPr>
      <w:r w:rsidRPr="007577DE">
        <w:rPr>
          <w:rFonts w:ascii="Times New Roman" w:hAnsi="Times New Roman" w:cs="Times New Roman"/>
          <w:sz w:val="24"/>
          <w:szCs w:val="24"/>
        </w:rPr>
        <w:t>opatrenia na strane spotreby energie (budovy, priemysel, verejný sektor, doprava, spotrebiče), </w:t>
      </w:r>
    </w:p>
    <w:p w14:paraId="2DADB548" w14:textId="21EA8415" w:rsidR="00E86B71" w:rsidRPr="007577DE" w:rsidRDefault="00E86B71" w:rsidP="008F19ED">
      <w:pPr>
        <w:pStyle w:val="Odsekzoznamu"/>
        <w:numPr>
          <w:ilvl w:val="0"/>
          <w:numId w:val="5"/>
        </w:numPr>
        <w:jc w:val="both"/>
        <w:rPr>
          <w:rFonts w:ascii="Times New Roman" w:hAnsi="Times New Roman" w:cs="Times New Roman"/>
          <w:sz w:val="24"/>
          <w:szCs w:val="24"/>
        </w:rPr>
      </w:pPr>
      <w:r w:rsidRPr="007577DE">
        <w:rPr>
          <w:rFonts w:ascii="Times New Roman" w:hAnsi="Times New Roman" w:cs="Times New Roman"/>
          <w:sz w:val="24"/>
          <w:szCs w:val="24"/>
        </w:rPr>
        <w:t xml:space="preserve">opatrenia </w:t>
      </w:r>
      <w:r w:rsidR="000B4A2F" w:rsidRPr="007577DE">
        <w:rPr>
          <w:rFonts w:ascii="Times New Roman" w:hAnsi="Times New Roman" w:cs="Times New Roman"/>
          <w:sz w:val="24"/>
          <w:szCs w:val="24"/>
        </w:rPr>
        <w:t>na strane premeny, prenosu a distribúcie energie</w:t>
      </w:r>
      <w:r w:rsidRPr="007577DE">
        <w:rPr>
          <w:rFonts w:ascii="Times New Roman" w:hAnsi="Times New Roman" w:cs="Times New Roman"/>
          <w:sz w:val="24"/>
          <w:szCs w:val="24"/>
        </w:rPr>
        <w:t>,</w:t>
      </w:r>
    </w:p>
    <w:p w14:paraId="7C10673D" w14:textId="3CD9DEDD" w:rsidR="00E86B71" w:rsidRPr="007577DE" w:rsidRDefault="000B4A2F" w:rsidP="008F19ED">
      <w:pPr>
        <w:pStyle w:val="Odsekzoznamu"/>
        <w:numPr>
          <w:ilvl w:val="0"/>
          <w:numId w:val="5"/>
        </w:numPr>
        <w:jc w:val="both"/>
        <w:rPr>
          <w:rFonts w:ascii="Times New Roman" w:hAnsi="Times New Roman" w:cs="Times New Roman"/>
          <w:sz w:val="24"/>
          <w:szCs w:val="24"/>
        </w:rPr>
      </w:pPr>
      <w:r w:rsidRPr="007577DE">
        <w:rPr>
          <w:rFonts w:ascii="Times New Roman" w:hAnsi="Times New Roman" w:cs="Times New Roman"/>
          <w:sz w:val="24"/>
          <w:szCs w:val="24"/>
        </w:rPr>
        <w:t xml:space="preserve">horizontálne opatrenia. </w:t>
      </w:r>
    </w:p>
    <w:p w14:paraId="625EE514" w14:textId="35460B85" w:rsidR="007E4A95" w:rsidRPr="007577DE" w:rsidRDefault="00E86B71" w:rsidP="007E4A95">
      <w:pPr>
        <w:jc w:val="both"/>
        <w:rPr>
          <w:rFonts w:ascii="Times New Roman" w:hAnsi="Times New Roman" w:cs="Times New Roman"/>
          <w:sz w:val="24"/>
          <w:szCs w:val="24"/>
        </w:rPr>
      </w:pPr>
      <w:r w:rsidRPr="007577DE">
        <w:rPr>
          <w:rFonts w:ascii="Times New Roman" w:hAnsi="Times New Roman" w:cs="Times New Roman"/>
          <w:sz w:val="24"/>
          <w:szCs w:val="24"/>
        </w:rPr>
        <w:t>Vyhodnotenie plnenia opatrení za roky 2014-2016 je uvedené v prílohe č. 1. Plán opatrení na roky 2017-2019 s výhľadom do roku 2020 je súčasťou prílohy č. 2.</w:t>
      </w:r>
      <w:r w:rsidR="003E4614" w:rsidRPr="007577DE">
        <w:rPr>
          <w:rFonts w:ascii="Times New Roman" w:hAnsi="Times New Roman" w:cs="Times New Roman"/>
          <w:sz w:val="24"/>
          <w:szCs w:val="24"/>
        </w:rPr>
        <w:t xml:space="preserve"> Úspora energie sa započítava v roku ukončenia realizácie projektu. </w:t>
      </w:r>
      <w:r w:rsidR="0001635C">
        <w:rPr>
          <w:rFonts w:ascii="Times New Roman" w:hAnsi="Times New Roman" w:cs="Times New Roman"/>
          <w:sz w:val="24"/>
          <w:szCs w:val="24"/>
        </w:rPr>
        <w:t>V prílohe č. 3 sú uvedené horizontálne opatrenia realizované v</w:t>
      </w:r>
      <w:r w:rsidR="0001635C" w:rsidRPr="00463FFB">
        <w:rPr>
          <w:rFonts w:ascii="Times New Roman" w:hAnsi="Times New Roman" w:cs="Times New Roman"/>
          <w:sz w:val="24"/>
          <w:szCs w:val="24"/>
        </w:rPr>
        <w:t xml:space="preserve"> </w:t>
      </w:r>
      <w:r w:rsidR="0001635C" w:rsidRPr="00D027D1">
        <w:rPr>
          <w:rFonts w:ascii="Times New Roman" w:hAnsi="Times New Roman" w:cs="Times New Roman"/>
          <w:sz w:val="24"/>
          <w:szCs w:val="24"/>
        </w:rPr>
        <w:t>rok</w:t>
      </w:r>
      <w:r w:rsidR="0001635C">
        <w:rPr>
          <w:rFonts w:ascii="Times New Roman" w:hAnsi="Times New Roman" w:cs="Times New Roman"/>
          <w:sz w:val="24"/>
          <w:szCs w:val="24"/>
        </w:rPr>
        <w:t>och</w:t>
      </w:r>
      <w:r w:rsidR="0001635C" w:rsidRPr="00D027D1">
        <w:rPr>
          <w:rFonts w:ascii="Times New Roman" w:hAnsi="Times New Roman" w:cs="Times New Roman"/>
          <w:sz w:val="24"/>
          <w:szCs w:val="24"/>
        </w:rPr>
        <w:t xml:space="preserve"> 2014-2016</w:t>
      </w:r>
      <w:r w:rsidR="0001635C">
        <w:rPr>
          <w:rFonts w:ascii="Times New Roman" w:hAnsi="Times New Roman" w:cs="Times New Roman"/>
          <w:sz w:val="24"/>
          <w:szCs w:val="24"/>
        </w:rPr>
        <w:t xml:space="preserve">. </w:t>
      </w:r>
      <w:r w:rsidRPr="007577DE">
        <w:rPr>
          <w:rFonts w:ascii="Times New Roman" w:hAnsi="Times New Roman" w:cs="Times New Roman"/>
          <w:sz w:val="24"/>
          <w:szCs w:val="24"/>
        </w:rPr>
        <w:t xml:space="preserve">Príloha č. </w:t>
      </w:r>
      <w:r w:rsidR="00B60651">
        <w:rPr>
          <w:rFonts w:ascii="Times New Roman" w:hAnsi="Times New Roman" w:cs="Times New Roman"/>
          <w:sz w:val="24"/>
          <w:szCs w:val="24"/>
        </w:rPr>
        <w:t>5</w:t>
      </w:r>
      <w:r w:rsidRPr="007577DE">
        <w:rPr>
          <w:rFonts w:ascii="Times New Roman" w:hAnsi="Times New Roman" w:cs="Times New Roman"/>
          <w:sz w:val="24"/>
          <w:szCs w:val="24"/>
        </w:rPr>
        <w:t xml:space="preserve"> obsahuje </w:t>
      </w:r>
      <w:r w:rsidR="00BE2428" w:rsidRPr="007577DE">
        <w:rPr>
          <w:rFonts w:ascii="Times New Roman" w:hAnsi="Times New Roman" w:cs="Times New Roman"/>
          <w:sz w:val="24"/>
          <w:szCs w:val="24"/>
        </w:rPr>
        <w:t>tzv</w:t>
      </w:r>
      <w:r w:rsidR="00E577B7" w:rsidRPr="007577DE">
        <w:rPr>
          <w:rFonts w:ascii="Times New Roman" w:hAnsi="Times New Roman" w:cs="Times New Roman"/>
          <w:sz w:val="24"/>
          <w:szCs w:val="24"/>
        </w:rPr>
        <w:t>.</w:t>
      </w:r>
      <w:r w:rsidR="00BE2428" w:rsidRPr="007577DE">
        <w:rPr>
          <w:rFonts w:ascii="Times New Roman" w:hAnsi="Times New Roman" w:cs="Times New Roman"/>
          <w:sz w:val="24"/>
          <w:szCs w:val="24"/>
        </w:rPr>
        <w:t xml:space="preserve"> Metodické tabuľky, t. j. </w:t>
      </w:r>
      <w:r w:rsidRPr="007577DE">
        <w:rPr>
          <w:rFonts w:ascii="Times New Roman" w:hAnsi="Times New Roman" w:cs="Times New Roman"/>
          <w:sz w:val="24"/>
          <w:szCs w:val="24"/>
        </w:rPr>
        <w:t xml:space="preserve">podrobné </w:t>
      </w:r>
      <w:r w:rsidR="000B4A2F" w:rsidRPr="007577DE">
        <w:rPr>
          <w:rFonts w:ascii="Times New Roman" w:hAnsi="Times New Roman" w:cs="Times New Roman"/>
          <w:sz w:val="24"/>
          <w:szCs w:val="24"/>
        </w:rPr>
        <w:t xml:space="preserve">informácie </w:t>
      </w:r>
      <w:r w:rsidRPr="007577DE">
        <w:rPr>
          <w:rFonts w:ascii="Times New Roman" w:hAnsi="Times New Roman" w:cs="Times New Roman"/>
          <w:sz w:val="24"/>
          <w:szCs w:val="24"/>
        </w:rPr>
        <w:t>o postupe vyhodnotenia</w:t>
      </w:r>
      <w:r w:rsidR="00FA13D8" w:rsidRPr="007577DE">
        <w:rPr>
          <w:rFonts w:ascii="Times New Roman" w:hAnsi="Times New Roman" w:cs="Times New Roman"/>
          <w:sz w:val="24"/>
          <w:szCs w:val="24"/>
        </w:rPr>
        <w:t xml:space="preserve">, verifikácie </w:t>
      </w:r>
      <w:r w:rsidR="003E4614" w:rsidRPr="007577DE">
        <w:rPr>
          <w:rFonts w:ascii="Times New Roman" w:hAnsi="Times New Roman" w:cs="Times New Roman"/>
          <w:sz w:val="24"/>
          <w:szCs w:val="24"/>
        </w:rPr>
        <w:t xml:space="preserve">a plánovania </w:t>
      </w:r>
      <w:r w:rsidR="000B4A2F" w:rsidRPr="007577DE">
        <w:rPr>
          <w:rFonts w:ascii="Times New Roman" w:hAnsi="Times New Roman" w:cs="Times New Roman"/>
          <w:sz w:val="24"/>
          <w:szCs w:val="24"/>
        </w:rPr>
        <w:t>jednotlivý</w:t>
      </w:r>
      <w:r w:rsidRPr="007577DE">
        <w:rPr>
          <w:rFonts w:ascii="Times New Roman" w:hAnsi="Times New Roman" w:cs="Times New Roman"/>
          <w:sz w:val="24"/>
          <w:szCs w:val="24"/>
        </w:rPr>
        <w:t>ch opatrení</w:t>
      </w:r>
      <w:r w:rsidR="00CD05EA" w:rsidRPr="007577DE">
        <w:rPr>
          <w:rFonts w:ascii="Times New Roman" w:hAnsi="Times New Roman" w:cs="Times New Roman"/>
          <w:sz w:val="24"/>
          <w:szCs w:val="24"/>
        </w:rPr>
        <w:t xml:space="preserve"> s výnimkou tzv. podporných opatrení</w:t>
      </w:r>
      <w:r w:rsidRPr="007577DE">
        <w:rPr>
          <w:rFonts w:ascii="Times New Roman" w:hAnsi="Times New Roman" w:cs="Times New Roman"/>
          <w:sz w:val="24"/>
          <w:szCs w:val="24"/>
        </w:rPr>
        <w:t>.</w:t>
      </w:r>
      <w:r w:rsidR="003E4614" w:rsidRPr="007577DE">
        <w:rPr>
          <w:rFonts w:ascii="Times New Roman" w:hAnsi="Times New Roman" w:cs="Times New Roman"/>
          <w:sz w:val="24"/>
          <w:szCs w:val="24"/>
        </w:rPr>
        <w:t xml:space="preserve"> </w:t>
      </w:r>
      <w:r w:rsidR="008335BA" w:rsidRPr="007577DE">
        <w:rPr>
          <w:rFonts w:ascii="Times New Roman" w:hAnsi="Times New Roman" w:cs="Times New Roman"/>
          <w:sz w:val="24"/>
          <w:szCs w:val="24"/>
        </w:rPr>
        <w:t xml:space="preserve">Koeficienty prepočtu celkovej spotreby pre jednotlivé palivá </w:t>
      </w:r>
      <w:r w:rsidR="007E4A95" w:rsidRPr="007577DE">
        <w:rPr>
          <w:rFonts w:ascii="Times New Roman" w:hAnsi="Times New Roman" w:cs="Times New Roman"/>
          <w:sz w:val="24"/>
          <w:szCs w:val="24"/>
        </w:rPr>
        <w:t>a životnosti opatrení použité pre zápočet úspor do kumulatívneho cieľa sú uvedené vo vyhláške MH SR č. 327/2015</w:t>
      </w:r>
      <w:r w:rsidR="00FA13D8" w:rsidRPr="007577DE">
        <w:rPr>
          <w:rFonts w:ascii="Times New Roman" w:hAnsi="Times New Roman" w:cs="Times New Roman"/>
          <w:sz w:val="24"/>
          <w:szCs w:val="24"/>
        </w:rPr>
        <w:t> Z. z</w:t>
      </w:r>
      <w:r w:rsidR="007E4A95" w:rsidRPr="007577DE">
        <w:rPr>
          <w:rFonts w:ascii="Times New Roman" w:hAnsi="Times New Roman" w:cs="Times New Roman"/>
          <w:sz w:val="24"/>
          <w:szCs w:val="24"/>
        </w:rPr>
        <w:t>.</w:t>
      </w:r>
      <w:r w:rsidR="00B40851">
        <w:rPr>
          <w:rFonts w:ascii="Times New Roman" w:hAnsi="Times New Roman" w:cs="Times New Roman"/>
          <w:sz w:val="24"/>
          <w:szCs w:val="24"/>
        </w:rPr>
        <w:t xml:space="preserve"> </w:t>
      </w:r>
      <w:r w:rsidR="00B40851" w:rsidRPr="00B40851">
        <w:rPr>
          <w:rFonts w:ascii="Times New Roman" w:hAnsi="Times New Roman" w:cs="Times New Roman"/>
          <w:sz w:val="24"/>
          <w:szCs w:val="24"/>
        </w:rPr>
        <w:t>o výpočte a plnení cieľov energetickej efektívnosti.</w:t>
      </w:r>
    </w:p>
    <w:p w14:paraId="5FDF1C1F" w14:textId="4C61BE29" w:rsidR="0063397C" w:rsidRPr="007577DE" w:rsidRDefault="00903DF0" w:rsidP="00E17394">
      <w:pPr>
        <w:jc w:val="both"/>
        <w:rPr>
          <w:rFonts w:ascii="Times New Roman" w:hAnsi="Times New Roman" w:cs="Times New Roman"/>
          <w:sz w:val="24"/>
          <w:szCs w:val="24"/>
        </w:rPr>
      </w:pPr>
      <w:r w:rsidRPr="000578FE">
        <w:rPr>
          <w:rFonts w:ascii="Times New Roman" w:hAnsi="Times New Roman" w:cs="Times New Roman"/>
          <w:sz w:val="24"/>
          <w:szCs w:val="24"/>
        </w:rPr>
        <w:t>Výs</w:t>
      </w:r>
      <w:r w:rsidR="00AA6B00" w:rsidRPr="00E17394">
        <w:rPr>
          <w:rFonts w:ascii="Times New Roman" w:hAnsi="Times New Roman" w:cs="Times New Roman"/>
          <w:sz w:val="24"/>
          <w:szCs w:val="24"/>
        </w:rPr>
        <w:t>led</w:t>
      </w:r>
      <w:r w:rsidRPr="00E17394">
        <w:rPr>
          <w:rFonts w:ascii="Times New Roman" w:hAnsi="Times New Roman" w:cs="Times New Roman"/>
          <w:sz w:val="24"/>
          <w:szCs w:val="24"/>
        </w:rPr>
        <w:t>ky</w:t>
      </w:r>
      <w:r w:rsidR="00AA6B00" w:rsidRPr="007577DE">
        <w:rPr>
          <w:rFonts w:ascii="Times New Roman" w:hAnsi="Times New Roman" w:cs="Times New Roman"/>
          <w:sz w:val="24"/>
          <w:szCs w:val="24"/>
        </w:rPr>
        <w:t xml:space="preserve"> dosiahnut</w:t>
      </w:r>
      <w:r>
        <w:rPr>
          <w:rFonts w:ascii="Times New Roman" w:hAnsi="Times New Roman" w:cs="Times New Roman"/>
          <w:sz w:val="24"/>
          <w:szCs w:val="24"/>
        </w:rPr>
        <w:t xml:space="preserve">é </w:t>
      </w:r>
      <w:r w:rsidR="00AA6B00" w:rsidRPr="007577DE">
        <w:rPr>
          <w:rFonts w:ascii="Times New Roman" w:hAnsi="Times New Roman" w:cs="Times New Roman"/>
          <w:sz w:val="24"/>
          <w:szCs w:val="24"/>
        </w:rPr>
        <w:t xml:space="preserve">v období </w:t>
      </w:r>
      <w:r w:rsidR="0001635C">
        <w:rPr>
          <w:rFonts w:ascii="Times New Roman" w:hAnsi="Times New Roman" w:cs="Times New Roman"/>
          <w:sz w:val="24"/>
          <w:szCs w:val="24"/>
        </w:rPr>
        <w:t>rokov 2014-2016</w:t>
      </w:r>
      <w:r>
        <w:rPr>
          <w:rFonts w:ascii="Times New Roman" w:hAnsi="Times New Roman" w:cs="Times New Roman"/>
          <w:sz w:val="24"/>
          <w:szCs w:val="24"/>
        </w:rPr>
        <w:t xml:space="preserve"> (pozri graf č. </w:t>
      </w:r>
      <w:r w:rsidR="00AE42A2">
        <w:rPr>
          <w:rFonts w:ascii="Times New Roman" w:hAnsi="Times New Roman" w:cs="Times New Roman"/>
          <w:sz w:val="24"/>
          <w:szCs w:val="24"/>
        </w:rPr>
        <w:t>5</w:t>
      </w:r>
      <w:r w:rsidR="00E17394">
        <w:rPr>
          <w:rFonts w:ascii="Times New Roman" w:hAnsi="Times New Roman" w:cs="Times New Roman"/>
          <w:sz w:val="24"/>
          <w:szCs w:val="24"/>
        </w:rPr>
        <w:t>)</w:t>
      </w:r>
      <w:r w:rsidR="00AA6B00" w:rsidRPr="007577DE">
        <w:rPr>
          <w:rFonts w:ascii="Times New Roman" w:hAnsi="Times New Roman" w:cs="Times New Roman"/>
          <w:sz w:val="24"/>
          <w:szCs w:val="24"/>
        </w:rPr>
        <w:t>, teda plnenia ročných cieľov úspor vyjadren</w:t>
      </w:r>
      <w:r w:rsidR="00FA13D8" w:rsidRPr="007577DE">
        <w:rPr>
          <w:rFonts w:ascii="Times New Roman" w:hAnsi="Times New Roman" w:cs="Times New Roman"/>
          <w:sz w:val="24"/>
          <w:szCs w:val="24"/>
        </w:rPr>
        <w:t>ých</w:t>
      </w:r>
      <w:r w:rsidR="00AA6B00" w:rsidRPr="007577DE">
        <w:rPr>
          <w:rFonts w:ascii="Times New Roman" w:hAnsi="Times New Roman" w:cs="Times New Roman"/>
          <w:sz w:val="24"/>
          <w:szCs w:val="24"/>
        </w:rPr>
        <w:t xml:space="preserve"> v technických jednotkách (TJ</w:t>
      </w:r>
      <w:r w:rsidR="009927E4">
        <w:rPr>
          <w:rFonts w:ascii="Times New Roman" w:hAnsi="Times New Roman" w:cs="Times New Roman"/>
          <w:sz w:val="24"/>
          <w:szCs w:val="24"/>
        </w:rPr>
        <w:t>,</w:t>
      </w:r>
      <w:r w:rsidR="00AA6B00" w:rsidRPr="007577DE">
        <w:rPr>
          <w:rFonts w:ascii="Times New Roman" w:hAnsi="Times New Roman" w:cs="Times New Roman"/>
          <w:sz w:val="24"/>
          <w:szCs w:val="24"/>
        </w:rPr>
        <w:t xml:space="preserve"> resp. GWh)</w:t>
      </w:r>
      <w:r>
        <w:rPr>
          <w:rFonts w:ascii="Times New Roman" w:hAnsi="Times New Roman" w:cs="Times New Roman"/>
          <w:sz w:val="24"/>
          <w:szCs w:val="24"/>
        </w:rPr>
        <w:t xml:space="preserve"> môžu byť korigované po získaní doplňujúcich údajov, ktoré v čase vypracovania dokumentu neboli k dispozícii.</w:t>
      </w:r>
    </w:p>
    <w:p w14:paraId="6C7AA677" w14:textId="018A3B33" w:rsidR="0063397C" w:rsidRPr="009F2998" w:rsidRDefault="00052505" w:rsidP="000578FE">
      <w:pPr>
        <w:rPr>
          <w:rFonts w:ascii="Times New Roman" w:hAnsi="Times New Roman" w:cs="Times New Roman"/>
        </w:rPr>
      </w:pPr>
      <w:r w:rsidRPr="00052505">
        <w:t xml:space="preserve"> </w:t>
      </w:r>
      <w:r w:rsidR="00E17394" w:rsidRPr="000578FE">
        <w:rPr>
          <w:rFonts w:ascii="Times New Roman" w:hAnsi="Times New Roman" w:cs="Times New Roman"/>
          <w:sz w:val="24"/>
          <w:szCs w:val="24"/>
        </w:rPr>
        <w:t xml:space="preserve">Graf č. </w:t>
      </w:r>
      <w:r w:rsidR="00AE42A2">
        <w:rPr>
          <w:rFonts w:ascii="Times New Roman" w:hAnsi="Times New Roman" w:cs="Times New Roman"/>
          <w:sz w:val="24"/>
          <w:szCs w:val="24"/>
        </w:rPr>
        <w:t>5</w:t>
      </w:r>
      <w:r w:rsidR="00E17394" w:rsidRPr="000578FE">
        <w:rPr>
          <w:rFonts w:ascii="Times New Roman" w:hAnsi="Times New Roman" w:cs="Times New Roman"/>
          <w:sz w:val="24"/>
          <w:szCs w:val="24"/>
        </w:rPr>
        <w:t>: Postup poskytovania údajov pre hodnotenie úspor z pohľadu času vykazovania.</w:t>
      </w:r>
      <w:r>
        <w:rPr>
          <w:noProof/>
          <w:lang w:eastAsia="sk-SK"/>
        </w:rPr>
        <w:drawing>
          <wp:inline distT="0" distB="0" distL="0" distR="0" wp14:anchorId="28F91F95" wp14:editId="6AC4A9E0">
            <wp:extent cx="5760720" cy="2551552"/>
            <wp:effectExtent l="0" t="0" r="0" b="1270"/>
            <wp:docPr id="5" name="Obrázok 5" descr="C:\Users\stibrany\AppData\Local\Microsoft\Windows\Temporary Internet Files\Content.Word\obr1_u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brany\AppData\Local\Microsoft\Windows\Temporary Internet Files\Content.Word\obr1_up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551552"/>
                    </a:xfrm>
                    <a:prstGeom prst="rect">
                      <a:avLst/>
                    </a:prstGeom>
                    <a:noFill/>
                    <a:ln>
                      <a:noFill/>
                    </a:ln>
                  </pic:spPr>
                </pic:pic>
              </a:graphicData>
            </a:graphic>
          </wp:inline>
        </w:drawing>
      </w:r>
    </w:p>
    <w:p w14:paraId="60D4F256" w14:textId="64449B16" w:rsidR="007E4A95" w:rsidRDefault="00AA6B00" w:rsidP="007E4A95">
      <w:pPr>
        <w:jc w:val="both"/>
        <w:rPr>
          <w:rFonts w:ascii="Times New Roman" w:hAnsi="Times New Roman" w:cs="Times New Roman"/>
          <w:sz w:val="24"/>
          <w:szCs w:val="24"/>
        </w:rPr>
      </w:pPr>
      <w:r w:rsidRPr="009F2998">
        <w:rPr>
          <w:rFonts w:ascii="Times New Roman" w:hAnsi="Times New Roman" w:cs="Times New Roman"/>
        </w:rPr>
        <w:t xml:space="preserve"> </w:t>
      </w:r>
      <w:r w:rsidR="00E17394">
        <w:rPr>
          <w:rFonts w:ascii="Times New Roman" w:hAnsi="Times New Roman" w:cs="Times New Roman"/>
          <w:sz w:val="24"/>
          <w:szCs w:val="24"/>
        </w:rPr>
        <w:t xml:space="preserve">V roku </w:t>
      </w:r>
      <w:r w:rsidR="00B2131A" w:rsidRPr="007577DE">
        <w:rPr>
          <w:rFonts w:ascii="Times New Roman" w:hAnsi="Times New Roman" w:cs="Times New Roman"/>
          <w:sz w:val="24"/>
          <w:szCs w:val="24"/>
        </w:rPr>
        <w:t xml:space="preserve">2016 </w:t>
      </w:r>
      <w:r w:rsidR="00E17394">
        <w:rPr>
          <w:rFonts w:ascii="Times New Roman" w:hAnsi="Times New Roman" w:cs="Times New Roman"/>
          <w:sz w:val="24"/>
          <w:szCs w:val="24"/>
        </w:rPr>
        <w:t xml:space="preserve">sa nedosahuje </w:t>
      </w:r>
      <w:r w:rsidR="00B2131A" w:rsidRPr="007577DE">
        <w:rPr>
          <w:rFonts w:ascii="Times New Roman" w:hAnsi="Times New Roman" w:cs="Times New Roman"/>
          <w:sz w:val="24"/>
          <w:szCs w:val="24"/>
        </w:rPr>
        <w:t xml:space="preserve">úroveň úspor </w:t>
      </w:r>
      <w:r w:rsidR="00E17394">
        <w:rPr>
          <w:rFonts w:ascii="Times New Roman" w:hAnsi="Times New Roman" w:cs="Times New Roman"/>
          <w:sz w:val="24"/>
          <w:szCs w:val="24"/>
        </w:rPr>
        <w:t xml:space="preserve">energie z </w:t>
      </w:r>
      <w:r w:rsidR="00B2131A" w:rsidRPr="007577DE">
        <w:rPr>
          <w:rFonts w:ascii="Times New Roman" w:hAnsi="Times New Roman" w:cs="Times New Roman"/>
          <w:sz w:val="24"/>
          <w:szCs w:val="24"/>
        </w:rPr>
        <w:t>roku 2015, nakoľko neboli realizované opatrenia súvisiace s financovaním</w:t>
      </w:r>
      <w:r w:rsidR="00200F3D" w:rsidRPr="007577DE">
        <w:rPr>
          <w:rFonts w:ascii="Times New Roman" w:hAnsi="Times New Roman" w:cs="Times New Roman"/>
          <w:sz w:val="24"/>
          <w:szCs w:val="24"/>
        </w:rPr>
        <w:t xml:space="preserve"> z </w:t>
      </w:r>
      <w:r w:rsidR="00B2131A" w:rsidRPr="007577DE">
        <w:rPr>
          <w:rFonts w:ascii="Times New Roman" w:hAnsi="Times New Roman" w:cs="Times New Roman"/>
          <w:sz w:val="24"/>
          <w:szCs w:val="24"/>
        </w:rPr>
        <w:t xml:space="preserve">Európskych štrukturálnych </w:t>
      </w:r>
      <w:r w:rsidR="00200F3D" w:rsidRPr="007577DE">
        <w:rPr>
          <w:rFonts w:ascii="Times New Roman" w:hAnsi="Times New Roman" w:cs="Times New Roman"/>
          <w:sz w:val="24"/>
          <w:szCs w:val="24"/>
        </w:rPr>
        <w:t xml:space="preserve">a </w:t>
      </w:r>
      <w:r w:rsidR="00B2131A" w:rsidRPr="007577DE">
        <w:rPr>
          <w:rFonts w:ascii="Times New Roman" w:hAnsi="Times New Roman" w:cs="Times New Roman"/>
          <w:sz w:val="24"/>
          <w:szCs w:val="24"/>
        </w:rPr>
        <w:t xml:space="preserve">investičných fondov. </w:t>
      </w:r>
      <w:r w:rsidR="004739F4" w:rsidRPr="007577DE">
        <w:rPr>
          <w:rFonts w:ascii="Times New Roman" w:hAnsi="Times New Roman" w:cs="Times New Roman"/>
          <w:sz w:val="24"/>
          <w:szCs w:val="24"/>
        </w:rPr>
        <w:t xml:space="preserve">Predpokladá sa </w:t>
      </w:r>
      <w:r w:rsidR="00B2131A" w:rsidRPr="007577DE">
        <w:rPr>
          <w:rFonts w:ascii="Times New Roman" w:hAnsi="Times New Roman" w:cs="Times New Roman"/>
          <w:sz w:val="24"/>
          <w:szCs w:val="24"/>
        </w:rPr>
        <w:t xml:space="preserve"> 1</w:t>
      </w:r>
      <w:r w:rsidR="00A17E88" w:rsidRPr="007577DE">
        <w:rPr>
          <w:rFonts w:ascii="Times New Roman" w:hAnsi="Times New Roman" w:cs="Times New Roman"/>
          <w:sz w:val="24"/>
          <w:szCs w:val="24"/>
        </w:rPr>
        <w:t>-</w:t>
      </w:r>
      <w:r w:rsidR="00B2131A" w:rsidRPr="007577DE">
        <w:rPr>
          <w:rFonts w:ascii="Times New Roman" w:hAnsi="Times New Roman" w:cs="Times New Roman"/>
          <w:sz w:val="24"/>
          <w:szCs w:val="24"/>
        </w:rPr>
        <w:t xml:space="preserve"> až 2</w:t>
      </w:r>
      <w:r w:rsidR="00A17E88" w:rsidRPr="007577DE">
        <w:rPr>
          <w:rFonts w:ascii="Times New Roman" w:hAnsi="Times New Roman" w:cs="Times New Roman"/>
          <w:sz w:val="24"/>
          <w:szCs w:val="24"/>
        </w:rPr>
        <w:t>-</w:t>
      </w:r>
      <w:r w:rsidR="00B2131A" w:rsidRPr="007577DE">
        <w:rPr>
          <w:rFonts w:ascii="Times New Roman" w:hAnsi="Times New Roman" w:cs="Times New Roman"/>
          <w:sz w:val="24"/>
          <w:szCs w:val="24"/>
        </w:rPr>
        <w:t xml:space="preserve"> ročný časový posun v realizácii </w:t>
      </w:r>
      <w:r w:rsidR="00200F3D" w:rsidRPr="007577DE">
        <w:rPr>
          <w:rFonts w:ascii="Times New Roman" w:hAnsi="Times New Roman" w:cs="Times New Roman"/>
          <w:sz w:val="24"/>
          <w:szCs w:val="24"/>
        </w:rPr>
        <w:t xml:space="preserve">plánovaných </w:t>
      </w:r>
      <w:r w:rsidR="00B2131A" w:rsidRPr="007577DE">
        <w:rPr>
          <w:rFonts w:ascii="Times New Roman" w:hAnsi="Times New Roman" w:cs="Times New Roman"/>
          <w:sz w:val="24"/>
          <w:szCs w:val="24"/>
        </w:rPr>
        <w:t>opatrení</w:t>
      </w:r>
      <w:r w:rsidR="004739F4" w:rsidRPr="007577DE">
        <w:rPr>
          <w:rFonts w:ascii="Times New Roman" w:hAnsi="Times New Roman" w:cs="Times New Roman"/>
          <w:sz w:val="24"/>
          <w:szCs w:val="24"/>
        </w:rPr>
        <w:t xml:space="preserve">. </w:t>
      </w:r>
      <w:r w:rsidR="00E17394">
        <w:rPr>
          <w:rFonts w:ascii="Times New Roman" w:hAnsi="Times New Roman" w:cs="Times New Roman"/>
          <w:sz w:val="24"/>
          <w:szCs w:val="24"/>
        </w:rPr>
        <w:t>Vplyv EŠIF</w:t>
      </w:r>
      <w:r w:rsidR="007E4A95" w:rsidRPr="007577DE">
        <w:rPr>
          <w:rFonts w:ascii="Times New Roman" w:hAnsi="Times New Roman" w:cs="Times New Roman"/>
          <w:sz w:val="24"/>
          <w:szCs w:val="24"/>
        </w:rPr>
        <w:t xml:space="preserve"> je podrobnejšie analyzovaný v článku 2.3. Pri  plánovaní cieľov úspor sa počíta s následným dočerpaním fondov. </w:t>
      </w:r>
    </w:p>
    <w:p w14:paraId="00CA11B6" w14:textId="77777777" w:rsidR="00424D9C" w:rsidRDefault="00424D9C" w:rsidP="007E4A95">
      <w:pPr>
        <w:jc w:val="both"/>
        <w:rPr>
          <w:rFonts w:ascii="Times New Roman" w:hAnsi="Times New Roman" w:cs="Times New Roman"/>
          <w:sz w:val="24"/>
          <w:szCs w:val="24"/>
        </w:rPr>
      </w:pPr>
    </w:p>
    <w:p w14:paraId="631621DF" w14:textId="70F5CABE" w:rsidR="000E078E" w:rsidRDefault="000E078E">
      <w:pPr>
        <w:rPr>
          <w:rFonts w:ascii="Times New Roman" w:hAnsi="Times New Roman" w:cs="Times New Roman"/>
          <w:sz w:val="24"/>
          <w:szCs w:val="24"/>
        </w:rPr>
      </w:pPr>
      <w:r>
        <w:rPr>
          <w:rFonts w:ascii="Times New Roman" w:hAnsi="Times New Roman" w:cs="Times New Roman"/>
          <w:sz w:val="24"/>
          <w:szCs w:val="24"/>
        </w:rPr>
        <w:br w:type="page"/>
      </w:r>
    </w:p>
    <w:p w14:paraId="311543E6" w14:textId="42D20935" w:rsidR="00952652" w:rsidRPr="00AF5415" w:rsidRDefault="001978DE">
      <w:pPr>
        <w:pStyle w:val="Nadpis2"/>
        <w:rPr>
          <w:rFonts w:ascii="Times New Roman" w:hAnsi="Times New Roman" w:cs="Times New Roman"/>
          <w:color w:val="auto"/>
        </w:rPr>
      </w:pPr>
      <w:bookmarkStart w:id="35" w:name="_Toc477166333"/>
      <w:bookmarkStart w:id="36" w:name="_Toc477166418"/>
      <w:bookmarkStart w:id="37" w:name="_Toc477166500"/>
      <w:bookmarkStart w:id="38" w:name="_Toc477166612"/>
      <w:bookmarkStart w:id="39" w:name="_Toc477166334"/>
      <w:bookmarkStart w:id="40" w:name="_Toc477166419"/>
      <w:bookmarkStart w:id="41" w:name="_Toc477166501"/>
      <w:bookmarkStart w:id="42" w:name="_Toc477166613"/>
      <w:bookmarkStart w:id="43" w:name="_Toc477345346"/>
      <w:bookmarkEnd w:id="35"/>
      <w:bookmarkEnd w:id="36"/>
      <w:bookmarkEnd w:id="37"/>
      <w:bookmarkEnd w:id="38"/>
      <w:bookmarkEnd w:id="39"/>
      <w:bookmarkEnd w:id="40"/>
      <w:bookmarkEnd w:id="41"/>
      <w:bookmarkEnd w:id="42"/>
      <w:r w:rsidRPr="00AF5415">
        <w:rPr>
          <w:rFonts w:ascii="Times New Roman" w:hAnsi="Times New Roman" w:cs="Times New Roman"/>
          <w:color w:val="auto"/>
        </w:rPr>
        <w:lastRenderedPageBreak/>
        <w:t>Opatrenia na strane spotreby energie v rokoch 2014 – 2016</w:t>
      </w:r>
      <w:bookmarkStart w:id="44" w:name="_Toc473638111"/>
      <w:bookmarkEnd w:id="43"/>
      <w:bookmarkEnd w:id="44"/>
    </w:p>
    <w:p w14:paraId="2BC9D14F" w14:textId="77777777" w:rsidR="001978DE" w:rsidRPr="004E746F" w:rsidRDefault="001978DE" w:rsidP="001978DE">
      <w:pPr>
        <w:rPr>
          <w:rFonts w:ascii="Times New Roman" w:hAnsi="Times New Roman" w:cs="Times New Roman"/>
          <w:sz w:val="24"/>
          <w:szCs w:val="24"/>
        </w:rPr>
      </w:pPr>
    </w:p>
    <w:p w14:paraId="17DA8B19" w14:textId="35314D6E" w:rsidR="000B4A2F" w:rsidRPr="007577DE" w:rsidRDefault="000B4A2F" w:rsidP="00D12DE0">
      <w:pPr>
        <w:jc w:val="both"/>
        <w:rPr>
          <w:rFonts w:ascii="Times New Roman" w:hAnsi="Times New Roman" w:cs="Times New Roman"/>
          <w:sz w:val="24"/>
          <w:szCs w:val="24"/>
        </w:rPr>
      </w:pPr>
      <w:r w:rsidRPr="007577DE">
        <w:rPr>
          <w:rFonts w:ascii="Times New Roman" w:hAnsi="Times New Roman" w:cs="Times New Roman"/>
          <w:sz w:val="24"/>
          <w:szCs w:val="24"/>
        </w:rPr>
        <w:t>Opatrenia na strane spotreby energie, pri ktorých sa úspora energie prejaví znížením konečnej energetickej spotreby</w:t>
      </w:r>
      <w:r w:rsidR="00200F3D" w:rsidRPr="007577DE">
        <w:rPr>
          <w:rFonts w:ascii="Times New Roman" w:hAnsi="Times New Roman" w:cs="Times New Roman"/>
          <w:sz w:val="24"/>
          <w:szCs w:val="24"/>
        </w:rPr>
        <w:t>,</w:t>
      </w:r>
      <w:r w:rsidRPr="007577DE">
        <w:rPr>
          <w:rFonts w:ascii="Times New Roman" w:hAnsi="Times New Roman" w:cs="Times New Roman"/>
          <w:sz w:val="24"/>
          <w:szCs w:val="24"/>
        </w:rPr>
        <w:t xml:space="preserve"> sú rozdelené podľa jednotlivých sektorov (budovy, priemysel, verejný sektor, doprava, spotrebiče).</w:t>
      </w:r>
    </w:p>
    <w:p w14:paraId="0DF20133" w14:textId="112DA8F3" w:rsidR="004A17E8" w:rsidRDefault="00952652" w:rsidP="00D12DE0">
      <w:pPr>
        <w:jc w:val="both"/>
        <w:rPr>
          <w:rFonts w:ascii="Times New Roman" w:hAnsi="Times New Roman" w:cs="Times New Roman"/>
          <w:sz w:val="24"/>
          <w:szCs w:val="24"/>
        </w:rPr>
      </w:pPr>
      <w:r w:rsidRPr="007577DE">
        <w:rPr>
          <w:rFonts w:ascii="Times New Roman" w:hAnsi="Times New Roman" w:cs="Times New Roman"/>
          <w:sz w:val="24"/>
          <w:szCs w:val="24"/>
        </w:rPr>
        <w:t xml:space="preserve">Opatrenia sa vyhodnocujú metódou zdola-nahor podľa jednotlivých projektov alebo podľa skupín projektov napríklad v príslušných finančných mechanizmoch. Podiel jednotlivých opatrení na plnení cieľa v znížení konečnej energetickej spotreby je znázornený v grafe </w:t>
      </w:r>
      <w:r w:rsidR="00E17394">
        <w:rPr>
          <w:rFonts w:ascii="Times New Roman" w:hAnsi="Times New Roman" w:cs="Times New Roman"/>
          <w:sz w:val="24"/>
          <w:szCs w:val="24"/>
        </w:rPr>
        <w:t xml:space="preserve">č. </w:t>
      </w:r>
      <w:r w:rsidR="00AE42A2">
        <w:rPr>
          <w:rFonts w:ascii="Times New Roman" w:hAnsi="Times New Roman" w:cs="Times New Roman"/>
          <w:sz w:val="24"/>
          <w:szCs w:val="24"/>
        </w:rPr>
        <w:t>6</w:t>
      </w:r>
      <w:r w:rsidR="00E17394">
        <w:rPr>
          <w:rFonts w:ascii="Times New Roman" w:hAnsi="Times New Roman" w:cs="Times New Roman"/>
          <w:sz w:val="24"/>
          <w:szCs w:val="24"/>
        </w:rPr>
        <w:t>.</w:t>
      </w:r>
    </w:p>
    <w:p w14:paraId="068AF412" w14:textId="77777777" w:rsidR="00E17394" w:rsidRDefault="00E17394" w:rsidP="00D12DE0">
      <w:pPr>
        <w:jc w:val="both"/>
        <w:rPr>
          <w:rFonts w:ascii="Times New Roman" w:hAnsi="Times New Roman" w:cs="Times New Roman"/>
          <w:sz w:val="24"/>
          <w:szCs w:val="24"/>
        </w:rPr>
      </w:pPr>
    </w:p>
    <w:p w14:paraId="54C1110D" w14:textId="522B89A2" w:rsidR="00E17394" w:rsidRPr="00E17394" w:rsidRDefault="00E17394" w:rsidP="00D12DE0">
      <w:pPr>
        <w:jc w:val="both"/>
        <w:rPr>
          <w:rFonts w:ascii="Times New Roman" w:hAnsi="Times New Roman" w:cs="Times New Roman"/>
          <w:sz w:val="24"/>
          <w:szCs w:val="24"/>
        </w:rPr>
      </w:pPr>
      <w:r w:rsidRPr="00E17394">
        <w:rPr>
          <w:rFonts w:ascii="Times New Roman" w:hAnsi="Times New Roman" w:cs="Times New Roman"/>
          <w:sz w:val="24"/>
          <w:szCs w:val="24"/>
        </w:rPr>
        <w:t xml:space="preserve">Graf č. </w:t>
      </w:r>
      <w:r w:rsidR="00AE42A2">
        <w:rPr>
          <w:rFonts w:ascii="Times New Roman" w:hAnsi="Times New Roman" w:cs="Times New Roman"/>
          <w:sz w:val="24"/>
          <w:szCs w:val="24"/>
        </w:rPr>
        <w:t>6</w:t>
      </w:r>
      <w:r w:rsidRPr="00E17394">
        <w:rPr>
          <w:rFonts w:ascii="Times New Roman" w:hAnsi="Times New Roman" w:cs="Times New Roman"/>
          <w:sz w:val="24"/>
          <w:szCs w:val="24"/>
        </w:rPr>
        <w:t xml:space="preserve">: </w:t>
      </w:r>
      <w:r w:rsidRPr="000578FE">
        <w:rPr>
          <w:rFonts w:ascii="Times New Roman" w:hAnsi="Times New Roman" w:cs="Times New Roman"/>
          <w:sz w:val="24"/>
          <w:szCs w:val="24"/>
        </w:rPr>
        <w:t>Zníženie konečnej energetickej spotreby - podiel opatrení na plnení cieľa v rokoch 2014-2016 podľa sektorov</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4696"/>
      </w:tblGrid>
      <w:tr w:rsidR="00207D7D" w:rsidRPr="009F2998" w14:paraId="6104141F" w14:textId="77777777" w:rsidTr="000578FE">
        <w:trPr>
          <w:trHeight w:val="3143"/>
        </w:trPr>
        <w:tc>
          <w:tcPr>
            <w:tcW w:w="2412" w:type="pct"/>
          </w:tcPr>
          <w:p w14:paraId="4C5109F8" w14:textId="784F9ACE" w:rsidR="00207D7D" w:rsidRPr="009F2998" w:rsidRDefault="00207D7D" w:rsidP="00207D7D">
            <w:pPr>
              <w:jc w:val="center"/>
              <w:rPr>
                <w:rFonts w:ascii="Times New Roman" w:hAnsi="Times New Roman" w:cs="Times New Roman"/>
              </w:rPr>
            </w:pPr>
            <w:r w:rsidRPr="009F2998">
              <w:rPr>
                <w:rFonts w:ascii="Times New Roman" w:hAnsi="Times New Roman" w:cs="Times New Roman"/>
                <w:noProof/>
                <w:lang w:eastAsia="sk-SK"/>
              </w:rPr>
              <w:drawing>
                <wp:inline distT="0" distB="0" distL="0" distR="0" wp14:anchorId="20F2C14E" wp14:editId="758B0D33">
                  <wp:extent cx="2200275" cy="2143125"/>
                  <wp:effectExtent l="0" t="0" r="0"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588" w:type="pct"/>
          </w:tcPr>
          <w:tbl>
            <w:tblPr>
              <w:tblpPr w:leftFromText="141" w:rightFromText="141" w:vertAnchor="text" w:horzAnchor="margin" w:tblpY="471"/>
              <w:tblOverlap w:val="never"/>
              <w:tblW w:w="4459" w:type="dxa"/>
              <w:tblCellMar>
                <w:left w:w="70" w:type="dxa"/>
                <w:right w:w="70" w:type="dxa"/>
              </w:tblCellMar>
              <w:tblLook w:val="04A0" w:firstRow="1" w:lastRow="0" w:firstColumn="1" w:lastColumn="0" w:noHBand="0" w:noVBand="1"/>
            </w:tblPr>
            <w:tblGrid>
              <w:gridCol w:w="373"/>
              <w:gridCol w:w="2801"/>
              <w:gridCol w:w="1285"/>
            </w:tblGrid>
            <w:tr w:rsidR="00207D7D" w:rsidRPr="00A31B3F" w14:paraId="74C4B146" w14:textId="77777777" w:rsidTr="00207D7D">
              <w:trPr>
                <w:trHeight w:val="300"/>
              </w:trPr>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7E8B0" w14:textId="09523A29" w:rsidR="00207D7D" w:rsidRPr="00A31B3F" w:rsidRDefault="00207D7D" w:rsidP="00207D7D">
                  <w:pPr>
                    <w:spacing w:after="0" w:line="240" w:lineRule="auto"/>
                    <w:jc w:val="center"/>
                    <w:rPr>
                      <w:rFonts w:ascii="Times New Roman" w:eastAsia="Times New Roman" w:hAnsi="Times New Roman" w:cs="Times New Roman"/>
                      <w:color w:val="000000"/>
                      <w:lang w:eastAsia="sk-SK"/>
                    </w:rPr>
                  </w:pPr>
                </w:p>
              </w:tc>
              <w:tc>
                <w:tcPr>
                  <w:tcW w:w="2801" w:type="dxa"/>
                  <w:tcBorders>
                    <w:top w:val="single" w:sz="4" w:space="0" w:color="auto"/>
                    <w:left w:val="nil"/>
                    <w:bottom w:val="single" w:sz="4" w:space="0" w:color="auto"/>
                    <w:right w:val="single" w:sz="4" w:space="0" w:color="auto"/>
                  </w:tcBorders>
                  <w:shd w:val="clear" w:color="auto" w:fill="auto"/>
                  <w:noWrap/>
                  <w:vAlign w:val="center"/>
                  <w:hideMark/>
                </w:tcPr>
                <w:p w14:paraId="6B06B03B" w14:textId="77777777" w:rsidR="00207D7D" w:rsidRPr="004E746F" w:rsidRDefault="00207D7D" w:rsidP="00207D7D">
                  <w:pPr>
                    <w:spacing w:after="0" w:line="240" w:lineRule="auto"/>
                    <w:rPr>
                      <w:rFonts w:ascii="Times New Roman" w:eastAsia="Times New Roman" w:hAnsi="Times New Roman" w:cs="Times New Roman"/>
                      <w:color w:val="000000"/>
                      <w:lang w:eastAsia="sk-SK"/>
                    </w:rPr>
                  </w:pPr>
                  <w:r w:rsidRPr="004E746F">
                    <w:rPr>
                      <w:rFonts w:ascii="Times New Roman" w:eastAsia="Times New Roman" w:hAnsi="Times New Roman" w:cs="Times New Roman"/>
                      <w:color w:val="000000"/>
                      <w:lang w:eastAsia="sk-SK"/>
                    </w:rPr>
                    <w:t>Sektor:</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7AA3B0DB" w14:textId="77777777" w:rsidR="00207D7D" w:rsidRPr="004E746F" w:rsidRDefault="00207D7D" w:rsidP="00207D7D">
                  <w:pPr>
                    <w:spacing w:after="0" w:line="240" w:lineRule="auto"/>
                    <w:jc w:val="right"/>
                    <w:rPr>
                      <w:rFonts w:ascii="Times New Roman" w:eastAsia="Times New Roman" w:hAnsi="Times New Roman" w:cs="Times New Roman"/>
                      <w:color w:val="000000"/>
                      <w:lang w:eastAsia="sk-SK"/>
                    </w:rPr>
                  </w:pPr>
                  <w:r w:rsidRPr="004E746F">
                    <w:rPr>
                      <w:rFonts w:ascii="Times New Roman" w:eastAsia="Times New Roman" w:hAnsi="Times New Roman" w:cs="Times New Roman"/>
                      <w:color w:val="000000"/>
                      <w:lang w:eastAsia="sk-SK"/>
                    </w:rPr>
                    <w:t xml:space="preserve">Úspora [TJ]   </w:t>
                  </w:r>
                </w:p>
              </w:tc>
            </w:tr>
            <w:tr w:rsidR="0064155A" w:rsidRPr="00A31B3F" w14:paraId="402598D0" w14:textId="77777777" w:rsidTr="00AF5415">
              <w:trPr>
                <w:trHeight w:val="300"/>
              </w:trPr>
              <w:tc>
                <w:tcPr>
                  <w:tcW w:w="373" w:type="dxa"/>
                  <w:tcBorders>
                    <w:top w:val="nil"/>
                    <w:left w:val="single" w:sz="4" w:space="0" w:color="auto"/>
                    <w:bottom w:val="single" w:sz="4" w:space="0" w:color="auto"/>
                    <w:right w:val="single" w:sz="4" w:space="0" w:color="auto"/>
                  </w:tcBorders>
                  <w:shd w:val="clear" w:color="000000" w:fill="FF7857"/>
                  <w:noWrap/>
                  <w:vAlign w:val="bottom"/>
                  <w:hideMark/>
                </w:tcPr>
                <w:p w14:paraId="38D1C40A" w14:textId="77777777" w:rsidR="0064155A" w:rsidRPr="00A31B3F" w:rsidRDefault="0064155A" w:rsidP="0064155A">
                  <w:pPr>
                    <w:spacing w:after="0" w:line="240" w:lineRule="auto"/>
                    <w:rPr>
                      <w:rFonts w:ascii="Times New Roman" w:eastAsia="Times New Roman" w:hAnsi="Times New Roman" w:cs="Times New Roman"/>
                      <w:color w:val="000000"/>
                      <w:lang w:eastAsia="sk-SK"/>
                    </w:rPr>
                  </w:pPr>
                  <w:r w:rsidRPr="00A31B3F">
                    <w:rPr>
                      <w:rFonts w:ascii="Times New Roman" w:eastAsia="Times New Roman" w:hAnsi="Times New Roman" w:cs="Times New Roman"/>
                      <w:color w:val="000000"/>
                      <w:lang w:eastAsia="sk-SK"/>
                    </w:rPr>
                    <w:t> </w:t>
                  </w:r>
                </w:p>
              </w:tc>
              <w:tc>
                <w:tcPr>
                  <w:tcW w:w="2801" w:type="dxa"/>
                  <w:tcBorders>
                    <w:top w:val="nil"/>
                    <w:left w:val="nil"/>
                    <w:bottom w:val="single" w:sz="4" w:space="0" w:color="auto"/>
                    <w:right w:val="single" w:sz="4" w:space="0" w:color="auto"/>
                  </w:tcBorders>
                  <w:shd w:val="clear" w:color="auto" w:fill="auto"/>
                  <w:noWrap/>
                  <w:vAlign w:val="bottom"/>
                  <w:hideMark/>
                </w:tcPr>
                <w:p w14:paraId="625A85FA" w14:textId="77777777" w:rsidR="0064155A" w:rsidRPr="004E746F" w:rsidRDefault="0064155A" w:rsidP="0064155A">
                  <w:pPr>
                    <w:spacing w:after="0" w:line="240" w:lineRule="auto"/>
                    <w:rPr>
                      <w:rFonts w:ascii="Times New Roman" w:eastAsia="Times New Roman" w:hAnsi="Times New Roman" w:cs="Times New Roman"/>
                      <w:color w:val="000000"/>
                      <w:lang w:eastAsia="sk-SK"/>
                    </w:rPr>
                  </w:pPr>
                  <w:r w:rsidRPr="004E746F">
                    <w:rPr>
                      <w:rFonts w:ascii="Times New Roman" w:eastAsia="Times New Roman" w:hAnsi="Times New Roman" w:cs="Times New Roman"/>
                      <w:color w:val="000000"/>
                      <w:lang w:eastAsia="sk-SK"/>
                    </w:rPr>
                    <w:t xml:space="preserve">Budovy </w:t>
                  </w:r>
                </w:p>
              </w:tc>
              <w:tc>
                <w:tcPr>
                  <w:tcW w:w="1285" w:type="dxa"/>
                  <w:tcBorders>
                    <w:top w:val="nil"/>
                    <w:left w:val="nil"/>
                    <w:bottom w:val="single" w:sz="4" w:space="0" w:color="auto"/>
                    <w:right w:val="single" w:sz="4" w:space="0" w:color="auto"/>
                  </w:tcBorders>
                  <w:shd w:val="clear" w:color="auto" w:fill="auto"/>
                  <w:noWrap/>
                  <w:vAlign w:val="center"/>
                  <w:hideMark/>
                </w:tcPr>
                <w:p w14:paraId="45D2B990" w14:textId="784A9503" w:rsidR="0064155A" w:rsidRPr="0064155A" w:rsidRDefault="0064155A">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5 050,81</w:t>
                  </w:r>
                </w:p>
              </w:tc>
            </w:tr>
            <w:tr w:rsidR="0064155A" w:rsidRPr="00A31B3F" w14:paraId="3161F97D" w14:textId="77777777" w:rsidTr="00AF5415">
              <w:trPr>
                <w:trHeight w:val="300"/>
              </w:trPr>
              <w:tc>
                <w:tcPr>
                  <w:tcW w:w="373" w:type="dxa"/>
                  <w:tcBorders>
                    <w:top w:val="nil"/>
                    <w:left w:val="single" w:sz="4" w:space="0" w:color="auto"/>
                    <w:bottom w:val="single" w:sz="4" w:space="0" w:color="auto"/>
                    <w:right w:val="single" w:sz="4" w:space="0" w:color="auto"/>
                  </w:tcBorders>
                  <w:shd w:val="clear" w:color="000000" w:fill="FF9933"/>
                  <w:noWrap/>
                  <w:vAlign w:val="bottom"/>
                  <w:hideMark/>
                </w:tcPr>
                <w:p w14:paraId="7D6432AF" w14:textId="77777777" w:rsidR="0064155A" w:rsidRPr="00A31B3F" w:rsidRDefault="0064155A" w:rsidP="0064155A">
                  <w:pPr>
                    <w:spacing w:after="0" w:line="240" w:lineRule="auto"/>
                    <w:rPr>
                      <w:rFonts w:ascii="Times New Roman" w:eastAsia="Times New Roman" w:hAnsi="Times New Roman" w:cs="Times New Roman"/>
                      <w:color w:val="000000"/>
                      <w:lang w:eastAsia="sk-SK"/>
                    </w:rPr>
                  </w:pPr>
                  <w:r w:rsidRPr="00A31B3F">
                    <w:rPr>
                      <w:rFonts w:ascii="Times New Roman" w:eastAsia="Times New Roman" w:hAnsi="Times New Roman" w:cs="Times New Roman"/>
                      <w:color w:val="000000"/>
                      <w:lang w:eastAsia="sk-SK"/>
                    </w:rPr>
                    <w:t> </w:t>
                  </w:r>
                </w:p>
              </w:tc>
              <w:tc>
                <w:tcPr>
                  <w:tcW w:w="2801" w:type="dxa"/>
                  <w:tcBorders>
                    <w:top w:val="nil"/>
                    <w:left w:val="nil"/>
                    <w:bottom w:val="single" w:sz="4" w:space="0" w:color="auto"/>
                    <w:right w:val="single" w:sz="4" w:space="0" w:color="auto"/>
                  </w:tcBorders>
                  <w:shd w:val="clear" w:color="auto" w:fill="auto"/>
                  <w:noWrap/>
                  <w:vAlign w:val="bottom"/>
                  <w:hideMark/>
                </w:tcPr>
                <w:p w14:paraId="07F95C96" w14:textId="77777777" w:rsidR="0064155A" w:rsidRPr="004E746F" w:rsidRDefault="0064155A" w:rsidP="0064155A">
                  <w:pPr>
                    <w:spacing w:after="0" w:line="240" w:lineRule="auto"/>
                    <w:rPr>
                      <w:rFonts w:ascii="Times New Roman" w:eastAsia="Times New Roman" w:hAnsi="Times New Roman" w:cs="Times New Roman"/>
                      <w:color w:val="000000"/>
                      <w:lang w:eastAsia="sk-SK"/>
                    </w:rPr>
                  </w:pPr>
                  <w:r w:rsidRPr="004E746F">
                    <w:rPr>
                      <w:rFonts w:ascii="Times New Roman" w:eastAsia="Times New Roman" w:hAnsi="Times New Roman" w:cs="Times New Roman"/>
                      <w:color w:val="000000"/>
                      <w:lang w:eastAsia="sk-SK"/>
                    </w:rPr>
                    <w:t xml:space="preserve">Priemysel </w:t>
                  </w:r>
                </w:p>
              </w:tc>
              <w:tc>
                <w:tcPr>
                  <w:tcW w:w="1285" w:type="dxa"/>
                  <w:tcBorders>
                    <w:top w:val="nil"/>
                    <w:left w:val="nil"/>
                    <w:bottom w:val="single" w:sz="4" w:space="0" w:color="auto"/>
                    <w:right w:val="single" w:sz="4" w:space="0" w:color="auto"/>
                  </w:tcBorders>
                  <w:shd w:val="clear" w:color="auto" w:fill="auto"/>
                  <w:noWrap/>
                  <w:vAlign w:val="center"/>
                  <w:hideMark/>
                </w:tcPr>
                <w:p w14:paraId="0461A775" w14:textId="5DB7C1BB" w:rsidR="0064155A" w:rsidRPr="0064155A" w:rsidRDefault="0064155A">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2 772,04</w:t>
                  </w:r>
                </w:p>
              </w:tc>
            </w:tr>
            <w:tr w:rsidR="0064155A" w:rsidRPr="00A31B3F" w14:paraId="1F40AAC3" w14:textId="77777777" w:rsidTr="00AF5415">
              <w:trPr>
                <w:trHeight w:val="300"/>
              </w:trPr>
              <w:tc>
                <w:tcPr>
                  <w:tcW w:w="373" w:type="dxa"/>
                  <w:tcBorders>
                    <w:top w:val="nil"/>
                    <w:left w:val="single" w:sz="4" w:space="0" w:color="auto"/>
                    <w:bottom w:val="single" w:sz="4" w:space="0" w:color="auto"/>
                    <w:right w:val="single" w:sz="4" w:space="0" w:color="auto"/>
                  </w:tcBorders>
                  <w:shd w:val="clear" w:color="000000" w:fill="FFCC00"/>
                  <w:noWrap/>
                  <w:vAlign w:val="bottom"/>
                  <w:hideMark/>
                </w:tcPr>
                <w:p w14:paraId="16ACFCEA" w14:textId="77777777" w:rsidR="0064155A" w:rsidRPr="00A31B3F" w:rsidRDefault="0064155A" w:rsidP="0064155A">
                  <w:pPr>
                    <w:spacing w:after="0" w:line="240" w:lineRule="auto"/>
                    <w:rPr>
                      <w:rFonts w:ascii="Times New Roman" w:eastAsia="Times New Roman" w:hAnsi="Times New Roman" w:cs="Times New Roman"/>
                      <w:color w:val="000000"/>
                      <w:lang w:eastAsia="sk-SK"/>
                    </w:rPr>
                  </w:pPr>
                  <w:r w:rsidRPr="00A31B3F">
                    <w:rPr>
                      <w:rFonts w:ascii="Times New Roman" w:eastAsia="Times New Roman" w:hAnsi="Times New Roman" w:cs="Times New Roman"/>
                      <w:color w:val="000000"/>
                      <w:lang w:eastAsia="sk-SK"/>
                    </w:rPr>
                    <w:t> </w:t>
                  </w:r>
                </w:p>
              </w:tc>
              <w:tc>
                <w:tcPr>
                  <w:tcW w:w="2801" w:type="dxa"/>
                  <w:tcBorders>
                    <w:top w:val="nil"/>
                    <w:left w:val="nil"/>
                    <w:bottom w:val="single" w:sz="4" w:space="0" w:color="auto"/>
                    <w:right w:val="single" w:sz="4" w:space="0" w:color="auto"/>
                  </w:tcBorders>
                  <w:shd w:val="clear" w:color="auto" w:fill="auto"/>
                  <w:noWrap/>
                  <w:vAlign w:val="bottom"/>
                  <w:hideMark/>
                </w:tcPr>
                <w:p w14:paraId="056F61F2" w14:textId="77777777" w:rsidR="0064155A" w:rsidRPr="004E746F" w:rsidRDefault="0064155A" w:rsidP="0064155A">
                  <w:pPr>
                    <w:spacing w:after="0" w:line="240" w:lineRule="auto"/>
                    <w:rPr>
                      <w:rFonts w:ascii="Times New Roman" w:eastAsia="Times New Roman" w:hAnsi="Times New Roman" w:cs="Times New Roman"/>
                      <w:color w:val="000000"/>
                      <w:lang w:eastAsia="sk-SK"/>
                    </w:rPr>
                  </w:pPr>
                  <w:r w:rsidRPr="004E746F">
                    <w:rPr>
                      <w:rFonts w:ascii="Times New Roman" w:eastAsia="Times New Roman" w:hAnsi="Times New Roman" w:cs="Times New Roman"/>
                      <w:color w:val="000000"/>
                      <w:lang w:eastAsia="sk-SK"/>
                    </w:rPr>
                    <w:t xml:space="preserve">Verejný sektor </w:t>
                  </w:r>
                </w:p>
              </w:tc>
              <w:tc>
                <w:tcPr>
                  <w:tcW w:w="1285" w:type="dxa"/>
                  <w:tcBorders>
                    <w:top w:val="nil"/>
                    <w:left w:val="nil"/>
                    <w:bottom w:val="single" w:sz="4" w:space="0" w:color="auto"/>
                    <w:right w:val="single" w:sz="4" w:space="0" w:color="auto"/>
                  </w:tcBorders>
                  <w:shd w:val="clear" w:color="auto" w:fill="auto"/>
                  <w:noWrap/>
                  <w:vAlign w:val="center"/>
                  <w:hideMark/>
                </w:tcPr>
                <w:p w14:paraId="1D0D3897" w14:textId="29D00EC3" w:rsidR="0064155A" w:rsidRPr="0064155A" w:rsidRDefault="0064155A">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776,31</w:t>
                  </w:r>
                </w:p>
              </w:tc>
            </w:tr>
            <w:tr w:rsidR="0064155A" w:rsidRPr="00A31B3F" w14:paraId="4B658858" w14:textId="77777777" w:rsidTr="00AF5415">
              <w:trPr>
                <w:trHeight w:val="300"/>
              </w:trPr>
              <w:tc>
                <w:tcPr>
                  <w:tcW w:w="373" w:type="dxa"/>
                  <w:tcBorders>
                    <w:top w:val="nil"/>
                    <w:left w:val="single" w:sz="4" w:space="0" w:color="auto"/>
                    <w:bottom w:val="single" w:sz="4" w:space="0" w:color="auto"/>
                    <w:right w:val="single" w:sz="4" w:space="0" w:color="auto"/>
                  </w:tcBorders>
                  <w:shd w:val="clear" w:color="000000" w:fill="92D050"/>
                  <w:noWrap/>
                  <w:vAlign w:val="bottom"/>
                  <w:hideMark/>
                </w:tcPr>
                <w:p w14:paraId="0EE3AD45" w14:textId="77777777" w:rsidR="0064155A" w:rsidRPr="00A31B3F" w:rsidRDefault="0064155A" w:rsidP="0064155A">
                  <w:pPr>
                    <w:spacing w:after="0" w:line="240" w:lineRule="auto"/>
                    <w:rPr>
                      <w:rFonts w:ascii="Times New Roman" w:eastAsia="Times New Roman" w:hAnsi="Times New Roman" w:cs="Times New Roman"/>
                      <w:color w:val="000000"/>
                      <w:lang w:eastAsia="sk-SK"/>
                    </w:rPr>
                  </w:pPr>
                  <w:r w:rsidRPr="00A31B3F">
                    <w:rPr>
                      <w:rFonts w:ascii="Times New Roman" w:eastAsia="Times New Roman" w:hAnsi="Times New Roman" w:cs="Times New Roman"/>
                      <w:color w:val="000000"/>
                      <w:lang w:eastAsia="sk-SK"/>
                    </w:rPr>
                    <w:t> </w:t>
                  </w:r>
                </w:p>
              </w:tc>
              <w:tc>
                <w:tcPr>
                  <w:tcW w:w="2801" w:type="dxa"/>
                  <w:tcBorders>
                    <w:top w:val="nil"/>
                    <w:left w:val="nil"/>
                    <w:bottom w:val="single" w:sz="4" w:space="0" w:color="auto"/>
                    <w:right w:val="single" w:sz="4" w:space="0" w:color="auto"/>
                  </w:tcBorders>
                  <w:shd w:val="clear" w:color="auto" w:fill="auto"/>
                  <w:noWrap/>
                  <w:vAlign w:val="bottom"/>
                  <w:hideMark/>
                </w:tcPr>
                <w:p w14:paraId="4F7AECE8" w14:textId="77777777" w:rsidR="0064155A" w:rsidRPr="004E746F" w:rsidRDefault="0064155A" w:rsidP="0064155A">
                  <w:pPr>
                    <w:spacing w:after="0" w:line="240" w:lineRule="auto"/>
                    <w:rPr>
                      <w:rFonts w:ascii="Times New Roman" w:eastAsia="Times New Roman" w:hAnsi="Times New Roman" w:cs="Times New Roman"/>
                      <w:color w:val="000000"/>
                      <w:lang w:eastAsia="sk-SK"/>
                    </w:rPr>
                  </w:pPr>
                  <w:r w:rsidRPr="004E746F">
                    <w:rPr>
                      <w:rFonts w:ascii="Times New Roman" w:eastAsia="Times New Roman" w:hAnsi="Times New Roman" w:cs="Times New Roman"/>
                      <w:color w:val="000000"/>
                      <w:lang w:eastAsia="sk-SK"/>
                    </w:rPr>
                    <w:t xml:space="preserve">Doprava </w:t>
                  </w:r>
                </w:p>
              </w:tc>
              <w:tc>
                <w:tcPr>
                  <w:tcW w:w="1285" w:type="dxa"/>
                  <w:tcBorders>
                    <w:top w:val="nil"/>
                    <w:left w:val="nil"/>
                    <w:bottom w:val="single" w:sz="4" w:space="0" w:color="auto"/>
                    <w:right w:val="single" w:sz="4" w:space="0" w:color="auto"/>
                  </w:tcBorders>
                  <w:shd w:val="clear" w:color="auto" w:fill="auto"/>
                  <w:noWrap/>
                  <w:vAlign w:val="center"/>
                  <w:hideMark/>
                </w:tcPr>
                <w:p w14:paraId="39DF6D01" w14:textId="563BF1D8" w:rsidR="0064155A" w:rsidRPr="0064155A" w:rsidRDefault="0064155A">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896,52</w:t>
                  </w:r>
                </w:p>
              </w:tc>
            </w:tr>
            <w:tr w:rsidR="0064155A" w:rsidRPr="00A31B3F" w14:paraId="5C0D0433" w14:textId="77777777" w:rsidTr="00AF5415">
              <w:trPr>
                <w:trHeight w:val="300"/>
              </w:trPr>
              <w:tc>
                <w:tcPr>
                  <w:tcW w:w="373" w:type="dxa"/>
                  <w:tcBorders>
                    <w:top w:val="nil"/>
                    <w:left w:val="single" w:sz="4" w:space="0" w:color="auto"/>
                    <w:bottom w:val="single" w:sz="4" w:space="0" w:color="auto"/>
                    <w:right w:val="single" w:sz="4" w:space="0" w:color="auto"/>
                  </w:tcBorders>
                  <w:shd w:val="clear" w:color="000000" w:fill="9BE5FF"/>
                  <w:noWrap/>
                  <w:vAlign w:val="bottom"/>
                  <w:hideMark/>
                </w:tcPr>
                <w:p w14:paraId="112C6EAA" w14:textId="77777777" w:rsidR="0064155A" w:rsidRPr="00A31B3F" w:rsidRDefault="0064155A" w:rsidP="0064155A">
                  <w:pPr>
                    <w:spacing w:after="0" w:line="240" w:lineRule="auto"/>
                    <w:rPr>
                      <w:rFonts w:ascii="Times New Roman" w:eastAsia="Times New Roman" w:hAnsi="Times New Roman" w:cs="Times New Roman"/>
                      <w:color w:val="000000"/>
                      <w:lang w:eastAsia="sk-SK"/>
                    </w:rPr>
                  </w:pPr>
                  <w:r w:rsidRPr="00A31B3F">
                    <w:rPr>
                      <w:rFonts w:ascii="Times New Roman" w:eastAsia="Times New Roman" w:hAnsi="Times New Roman" w:cs="Times New Roman"/>
                      <w:color w:val="000000"/>
                      <w:lang w:eastAsia="sk-SK"/>
                    </w:rPr>
                    <w:t> </w:t>
                  </w:r>
                </w:p>
              </w:tc>
              <w:tc>
                <w:tcPr>
                  <w:tcW w:w="2801" w:type="dxa"/>
                  <w:tcBorders>
                    <w:top w:val="nil"/>
                    <w:left w:val="nil"/>
                    <w:bottom w:val="single" w:sz="4" w:space="0" w:color="auto"/>
                    <w:right w:val="single" w:sz="4" w:space="0" w:color="auto"/>
                  </w:tcBorders>
                  <w:shd w:val="clear" w:color="auto" w:fill="auto"/>
                  <w:noWrap/>
                  <w:vAlign w:val="bottom"/>
                  <w:hideMark/>
                </w:tcPr>
                <w:p w14:paraId="709E294D" w14:textId="77777777" w:rsidR="0064155A" w:rsidRPr="004E746F" w:rsidRDefault="0064155A" w:rsidP="0064155A">
                  <w:pPr>
                    <w:spacing w:after="0" w:line="240" w:lineRule="auto"/>
                    <w:rPr>
                      <w:rFonts w:ascii="Times New Roman" w:eastAsia="Times New Roman" w:hAnsi="Times New Roman" w:cs="Times New Roman"/>
                      <w:color w:val="000000"/>
                      <w:lang w:eastAsia="sk-SK"/>
                    </w:rPr>
                  </w:pPr>
                  <w:r w:rsidRPr="004E746F">
                    <w:rPr>
                      <w:rFonts w:ascii="Times New Roman" w:eastAsia="Times New Roman" w:hAnsi="Times New Roman" w:cs="Times New Roman"/>
                      <w:color w:val="000000"/>
                      <w:lang w:eastAsia="sk-SK"/>
                    </w:rPr>
                    <w:t xml:space="preserve">Spotrebiče </w:t>
                  </w:r>
                </w:p>
              </w:tc>
              <w:tc>
                <w:tcPr>
                  <w:tcW w:w="1285" w:type="dxa"/>
                  <w:tcBorders>
                    <w:top w:val="nil"/>
                    <w:left w:val="nil"/>
                    <w:bottom w:val="single" w:sz="4" w:space="0" w:color="auto"/>
                    <w:right w:val="single" w:sz="4" w:space="0" w:color="auto"/>
                  </w:tcBorders>
                  <w:shd w:val="clear" w:color="auto" w:fill="auto"/>
                  <w:noWrap/>
                  <w:vAlign w:val="center"/>
                  <w:hideMark/>
                </w:tcPr>
                <w:p w14:paraId="7EA35BFD" w14:textId="5ECEC22D" w:rsidR="0064155A" w:rsidRPr="0064155A" w:rsidRDefault="0064155A">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569,77</w:t>
                  </w:r>
                </w:p>
              </w:tc>
            </w:tr>
            <w:tr w:rsidR="0064155A" w:rsidRPr="00A31B3F" w14:paraId="4194ECEE" w14:textId="77777777" w:rsidTr="00AF5415">
              <w:trPr>
                <w:trHeight w:val="300"/>
              </w:trPr>
              <w:tc>
                <w:tcPr>
                  <w:tcW w:w="373" w:type="dxa"/>
                  <w:tcBorders>
                    <w:top w:val="nil"/>
                    <w:left w:val="nil"/>
                    <w:bottom w:val="nil"/>
                    <w:right w:val="nil"/>
                  </w:tcBorders>
                  <w:shd w:val="clear" w:color="auto" w:fill="auto"/>
                  <w:noWrap/>
                  <w:vAlign w:val="bottom"/>
                  <w:hideMark/>
                </w:tcPr>
                <w:p w14:paraId="7A670C23" w14:textId="77777777" w:rsidR="0064155A" w:rsidRPr="004E746F" w:rsidRDefault="0064155A" w:rsidP="0064155A">
                  <w:pPr>
                    <w:spacing w:after="0" w:line="240" w:lineRule="auto"/>
                    <w:jc w:val="right"/>
                    <w:rPr>
                      <w:rFonts w:ascii="Times New Roman" w:eastAsia="Times New Roman" w:hAnsi="Times New Roman" w:cs="Times New Roman"/>
                      <w:color w:val="000000"/>
                      <w:lang w:eastAsia="sk-SK"/>
                    </w:rPr>
                  </w:pPr>
                </w:p>
              </w:tc>
              <w:tc>
                <w:tcPr>
                  <w:tcW w:w="2801" w:type="dxa"/>
                  <w:tcBorders>
                    <w:top w:val="nil"/>
                    <w:left w:val="single" w:sz="4" w:space="0" w:color="auto"/>
                    <w:bottom w:val="single" w:sz="4" w:space="0" w:color="auto"/>
                    <w:right w:val="single" w:sz="4" w:space="0" w:color="auto"/>
                  </w:tcBorders>
                  <w:shd w:val="clear" w:color="auto" w:fill="auto"/>
                  <w:vAlign w:val="center"/>
                  <w:hideMark/>
                </w:tcPr>
                <w:p w14:paraId="5E49A555" w14:textId="77777777" w:rsidR="0064155A" w:rsidRPr="004E746F" w:rsidRDefault="0064155A" w:rsidP="0064155A">
                  <w:pPr>
                    <w:spacing w:after="0" w:line="240" w:lineRule="auto"/>
                    <w:rPr>
                      <w:rFonts w:ascii="Times New Roman" w:eastAsia="Times New Roman" w:hAnsi="Times New Roman" w:cs="Times New Roman"/>
                      <w:b/>
                      <w:bCs/>
                      <w:color w:val="000000"/>
                      <w:lang w:eastAsia="sk-SK"/>
                    </w:rPr>
                  </w:pPr>
                  <w:r w:rsidRPr="004E746F">
                    <w:rPr>
                      <w:rFonts w:ascii="Times New Roman" w:eastAsia="Times New Roman" w:hAnsi="Times New Roman" w:cs="Times New Roman"/>
                      <w:b/>
                      <w:bCs/>
                      <w:color w:val="000000"/>
                      <w:lang w:eastAsia="sk-SK"/>
                    </w:rPr>
                    <w:t>Spolu:</w:t>
                  </w:r>
                </w:p>
              </w:tc>
              <w:tc>
                <w:tcPr>
                  <w:tcW w:w="1285" w:type="dxa"/>
                  <w:tcBorders>
                    <w:top w:val="nil"/>
                    <w:left w:val="nil"/>
                    <w:bottom w:val="single" w:sz="4" w:space="0" w:color="auto"/>
                    <w:right w:val="single" w:sz="4" w:space="0" w:color="auto"/>
                  </w:tcBorders>
                  <w:shd w:val="clear" w:color="auto" w:fill="auto"/>
                  <w:noWrap/>
                  <w:vAlign w:val="center"/>
                  <w:hideMark/>
                </w:tcPr>
                <w:p w14:paraId="4A588937" w14:textId="45836B8B" w:rsidR="0064155A" w:rsidRPr="0064155A" w:rsidRDefault="0064155A">
                  <w:pPr>
                    <w:spacing w:after="0" w:line="240" w:lineRule="auto"/>
                    <w:jc w:val="right"/>
                    <w:rPr>
                      <w:rFonts w:ascii="Times New Roman" w:eastAsia="Times New Roman" w:hAnsi="Times New Roman" w:cs="Times New Roman"/>
                      <w:b/>
                      <w:color w:val="000000"/>
                      <w:lang w:eastAsia="sk-SK"/>
                    </w:rPr>
                  </w:pPr>
                  <w:r w:rsidRPr="00AF5415">
                    <w:rPr>
                      <w:rFonts w:ascii="Times New Roman" w:hAnsi="Times New Roman" w:cs="Times New Roman"/>
                      <w:b/>
                    </w:rPr>
                    <w:t>10 065,45</w:t>
                  </w:r>
                </w:p>
              </w:tc>
            </w:tr>
          </w:tbl>
          <w:p w14:paraId="5BF855E5" w14:textId="77777777" w:rsidR="00207D7D" w:rsidRPr="009F2998" w:rsidRDefault="00207D7D" w:rsidP="00D12DE0">
            <w:pPr>
              <w:jc w:val="both"/>
              <w:rPr>
                <w:rFonts w:ascii="Times New Roman" w:hAnsi="Times New Roman" w:cs="Times New Roman"/>
              </w:rPr>
            </w:pPr>
          </w:p>
        </w:tc>
      </w:tr>
    </w:tbl>
    <w:p w14:paraId="269AC3C1" w14:textId="3B350210" w:rsidR="00E00713" w:rsidRPr="007577DE" w:rsidRDefault="004C3A87" w:rsidP="000578FE">
      <w:pPr>
        <w:jc w:val="both"/>
        <w:rPr>
          <w:rFonts w:ascii="Times New Roman" w:hAnsi="Times New Roman" w:cs="Times New Roman"/>
          <w:sz w:val="24"/>
          <w:szCs w:val="24"/>
        </w:rPr>
      </w:pPr>
      <w:r w:rsidRPr="007577DE">
        <w:rPr>
          <w:rFonts w:ascii="Times New Roman" w:hAnsi="Times New Roman" w:cs="Times New Roman"/>
          <w:sz w:val="24"/>
          <w:szCs w:val="24"/>
        </w:rPr>
        <w:t>Najvyšší prínos na plnenie cieľa úspor vykázal sektor budov</w:t>
      </w:r>
      <w:r w:rsidR="00B12D6B" w:rsidRPr="007577DE">
        <w:rPr>
          <w:rFonts w:ascii="Times New Roman" w:hAnsi="Times New Roman" w:cs="Times New Roman"/>
          <w:sz w:val="24"/>
          <w:szCs w:val="24"/>
        </w:rPr>
        <w:t xml:space="preserve"> a to </w:t>
      </w:r>
      <w:r w:rsidR="00E00713" w:rsidRPr="007577DE">
        <w:rPr>
          <w:rFonts w:ascii="Times New Roman" w:hAnsi="Times New Roman" w:cs="Times New Roman"/>
          <w:sz w:val="24"/>
          <w:szCs w:val="24"/>
        </w:rPr>
        <w:t>takmer dvojnásobok plánovanej</w:t>
      </w:r>
      <w:r w:rsidR="00CC11E5" w:rsidRPr="007577DE">
        <w:rPr>
          <w:rFonts w:ascii="Times New Roman" w:hAnsi="Times New Roman" w:cs="Times New Roman"/>
          <w:sz w:val="24"/>
          <w:szCs w:val="24"/>
        </w:rPr>
        <w:t xml:space="preserve"> úspory, k čomu významne prispeli aj dodatočné f</w:t>
      </w:r>
      <w:r w:rsidR="00E00713" w:rsidRPr="007577DE">
        <w:rPr>
          <w:rFonts w:ascii="Times New Roman" w:hAnsi="Times New Roman" w:cs="Times New Roman"/>
          <w:sz w:val="24"/>
          <w:szCs w:val="24"/>
        </w:rPr>
        <w:t>inančné prostriedky</w:t>
      </w:r>
      <w:r w:rsidR="00CC11E5" w:rsidRPr="007577DE">
        <w:rPr>
          <w:rFonts w:ascii="Times New Roman" w:hAnsi="Times New Roman" w:cs="Times New Roman"/>
          <w:sz w:val="24"/>
          <w:szCs w:val="24"/>
        </w:rPr>
        <w:t xml:space="preserve"> realokované z troch operačných programov programového obdobia 2007 – 2013</w:t>
      </w:r>
      <w:r w:rsidR="00E72DF6" w:rsidRPr="007577DE">
        <w:rPr>
          <w:rFonts w:ascii="Times New Roman" w:hAnsi="Times New Roman" w:cs="Times New Roman"/>
          <w:sz w:val="24"/>
          <w:szCs w:val="24"/>
        </w:rPr>
        <w:t>,</w:t>
      </w:r>
      <w:r w:rsidR="00CC11E5" w:rsidRPr="007577DE">
        <w:rPr>
          <w:rFonts w:ascii="Times New Roman" w:hAnsi="Times New Roman" w:cs="Times New Roman"/>
          <w:sz w:val="24"/>
          <w:szCs w:val="24"/>
        </w:rPr>
        <w:t xml:space="preserve"> a to z ROP, OPBK a OP KaHR.</w:t>
      </w:r>
      <w:r w:rsidR="00E00713" w:rsidRPr="007577DE">
        <w:rPr>
          <w:rFonts w:ascii="Times New Roman" w:hAnsi="Times New Roman" w:cs="Times New Roman"/>
          <w:sz w:val="24"/>
          <w:szCs w:val="24"/>
        </w:rPr>
        <w:t xml:space="preserve">  </w:t>
      </w:r>
    </w:p>
    <w:p w14:paraId="03660BC3" w14:textId="3BF90771" w:rsidR="00567A8F" w:rsidRPr="007577DE" w:rsidRDefault="004C3A87" w:rsidP="000578FE">
      <w:pPr>
        <w:jc w:val="both"/>
        <w:rPr>
          <w:rFonts w:ascii="Times New Roman" w:hAnsi="Times New Roman" w:cs="Times New Roman"/>
          <w:sz w:val="24"/>
          <w:szCs w:val="24"/>
        </w:rPr>
      </w:pPr>
      <w:r w:rsidRPr="007577DE">
        <w:rPr>
          <w:rFonts w:ascii="Times New Roman" w:hAnsi="Times New Roman" w:cs="Times New Roman"/>
          <w:sz w:val="24"/>
          <w:szCs w:val="24"/>
        </w:rPr>
        <w:t xml:space="preserve"> Veľmi dôležitým segmentom je priemysel</w:t>
      </w:r>
      <w:r w:rsidR="00CC11E5" w:rsidRPr="007577DE">
        <w:rPr>
          <w:rFonts w:ascii="Times New Roman" w:hAnsi="Times New Roman" w:cs="Times New Roman"/>
          <w:sz w:val="24"/>
          <w:szCs w:val="24"/>
        </w:rPr>
        <w:t xml:space="preserve">, kde </w:t>
      </w:r>
      <w:r w:rsidR="00A17E88" w:rsidRPr="007577DE">
        <w:rPr>
          <w:rFonts w:ascii="Times New Roman" w:hAnsi="Times New Roman" w:cs="Times New Roman"/>
          <w:sz w:val="24"/>
          <w:szCs w:val="24"/>
        </w:rPr>
        <w:t xml:space="preserve">sa </w:t>
      </w:r>
      <w:r w:rsidR="00CC11E5" w:rsidRPr="007577DE">
        <w:rPr>
          <w:rFonts w:ascii="Times New Roman" w:hAnsi="Times New Roman" w:cs="Times New Roman"/>
          <w:sz w:val="24"/>
          <w:szCs w:val="24"/>
        </w:rPr>
        <w:t xml:space="preserve">zavedením povinných energetických auditov od roku 2009 </w:t>
      </w:r>
      <w:r w:rsidR="007F058E" w:rsidRPr="007577DE">
        <w:rPr>
          <w:rFonts w:ascii="Times New Roman" w:hAnsi="Times New Roman" w:cs="Times New Roman"/>
          <w:sz w:val="24"/>
          <w:szCs w:val="24"/>
        </w:rPr>
        <w:t xml:space="preserve">a sprístupnením finančných mechanizmov, </w:t>
      </w:r>
      <w:r w:rsidR="00CC11E5" w:rsidRPr="007577DE">
        <w:rPr>
          <w:rFonts w:ascii="Times New Roman" w:hAnsi="Times New Roman" w:cs="Times New Roman"/>
          <w:sz w:val="24"/>
          <w:szCs w:val="24"/>
        </w:rPr>
        <w:t>začalo intenzívnejšie využívanie potenciálu úspor energie</w:t>
      </w:r>
      <w:r w:rsidR="00965D08" w:rsidRPr="007577DE">
        <w:rPr>
          <w:rFonts w:ascii="Times New Roman" w:hAnsi="Times New Roman" w:cs="Times New Roman"/>
          <w:sz w:val="24"/>
          <w:szCs w:val="24"/>
        </w:rPr>
        <w:t xml:space="preserve">.  </w:t>
      </w:r>
      <w:r w:rsidRPr="007577DE">
        <w:rPr>
          <w:rFonts w:ascii="Times New Roman" w:hAnsi="Times New Roman" w:cs="Times New Roman"/>
          <w:sz w:val="24"/>
          <w:szCs w:val="24"/>
        </w:rPr>
        <w:t xml:space="preserve"> </w:t>
      </w:r>
    </w:p>
    <w:p w14:paraId="3D90A452" w14:textId="3BCF540C" w:rsidR="0035512F" w:rsidRPr="009F2998" w:rsidRDefault="0035512F">
      <w:pPr>
        <w:rPr>
          <w:rFonts w:ascii="Times New Roman" w:eastAsiaTheme="majorEastAsia" w:hAnsi="Times New Roman" w:cs="Times New Roman"/>
          <w:b/>
          <w:bCs/>
          <w:color w:val="5B9BD5" w:themeColor="accent1"/>
        </w:rPr>
      </w:pPr>
    </w:p>
    <w:p w14:paraId="6840381B" w14:textId="6DFAD684" w:rsidR="001D5205" w:rsidRPr="000578FE" w:rsidRDefault="001D5205" w:rsidP="00AF5415">
      <w:pPr>
        <w:pStyle w:val="Nadpis3"/>
        <w:keepNext w:val="0"/>
        <w:keepLines w:val="0"/>
        <w:numPr>
          <w:ilvl w:val="2"/>
          <w:numId w:val="32"/>
        </w:numPr>
        <w:rPr>
          <w:rFonts w:ascii="Times New Roman" w:hAnsi="Times New Roman" w:cs="Times New Roman"/>
          <w:color w:val="auto"/>
        </w:rPr>
      </w:pPr>
      <w:bookmarkStart w:id="45" w:name="_Toc477345347"/>
      <w:r w:rsidRPr="000578FE">
        <w:rPr>
          <w:rFonts w:ascii="Times New Roman" w:hAnsi="Times New Roman" w:cs="Times New Roman"/>
          <w:color w:val="auto"/>
        </w:rPr>
        <w:t>Opatrenia energetickej efektívnosti v sektore budov</w:t>
      </w:r>
      <w:bookmarkEnd w:id="45"/>
    </w:p>
    <w:p w14:paraId="02B549F1" w14:textId="6FC47C92" w:rsidR="007666A5" w:rsidRPr="009F2998" w:rsidRDefault="007666A5" w:rsidP="000B4A2F">
      <w:pPr>
        <w:jc w:val="both"/>
        <w:rPr>
          <w:rFonts w:ascii="Times New Roman" w:hAnsi="Times New Roman" w:cs="Times New Roman"/>
        </w:rPr>
      </w:pPr>
    </w:p>
    <w:p w14:paraId="7FE245C3" w14:textId="081D8FD2" w:rsidR="007666A5" w:rsidRPr="007577DE" w:rsidRDefault="007666A5" w:rsidP="000B4A2F">
      <w:pPr>
        <w:jc w:val="both"/>
        <w:rPr>
          <w:rFonts w:ascii="Times New Roman" w:hAnsi="Times New Roman" w:cs="Times New Roman"/>
          <w:sz w:val="24"/>
          <w:szCs w:val="24"/>
        </w:rPr>
      </w:pPr>
      <w:r w:rsidRPr="007577DE">
        <w:rPr>
          <w:rFonts w:ascii="Times New Roman" w:hAnsi="Times New Roman" w:cs="Times New Roman"/>
          <w:sz w:val="24"/>
          <w:szCs w:val="24"/>
        </w:rPr>
        <w:t>Opatrenia energetickej efektívnosti v sektore budov sú zamerané najmä na:</w:t>
      </w:r>
    </w:p>
    <w:p w14:paraId="269B5848" w14:textId="10FECFF5" w:rsidR="007666A5" w:rsidRPr="007577DE" w:rsidRDefault="007666A5" w:rsidP="008F19ED">
      <w:pPr>
        <w:pStyle w:val="Odsekzoznamu"/>
        <w:numPr>
          <w:ilvl w:val="0"/>
          <w:numId w:val="6"/>
        </w:numPr>
        <w:jc w:val="both"/>
        <w:rPr>
          <w:rFonts w:ascii="Times New Roman" w:hAnsi="Times New Roman" w:cs="Times New Roman"/>
          <w:sz w:val="24"/>
          <w:szCs w:val="24"/>
        </w:rPr>
      </w:pPr>
      <w:r w:rsidRPr="007577DE">
        <w:rPr>
          <w:rFonts w:ascii="Times New Roman" w:hAnsi="Times New Roman" w:cs="Times New Roman"/>
          <w:sz w:val="24"/>
          <w:szCs w:val="24"/>
        </w:rPr>
        <w:t xml:space="preserve">zlepšovanie tepelnotechnických vlastností budov </w:t>
      </w:r>
      <w:r w:rsidR="00D555FE">
        <w:rPr>
          <w:rFonts w:ascii="Times New Roman" w:hAnsi="Times New Roman" w:cs="Times New Roman"/>
          <w:sz w:val="24"/>
          <w:szCs w:val="24"/>
        </w:rPr>
        <w:t>významnou</w:t>
      </w:r>
      <w:r w:rsidR="00D555FE" w:rsidRPr="007577DE">
        <w:rPr>
          <w:rFonts w:ascii="Times New Roman" w:hAnsi="Times New Roman" w:cs="Times New Roman"/>
          <w:sz w:val="24"/>
          <w:szCs w:val="24"/>
        </w:rPr>
        <w:t xml:space="preserve"> </w:t>
      </w:r>
      <w:r w:rsidRPr="007577DE">
        <w:rPr>
          <w:rFonts w:ascii="Times New Roman" w:hAnsi="Times New Roman" w:cs="Times New Roman"/>
          <w:sz w:val="24"/>
          <w:szCs w:val="24"/>
        </w:rPr>
        <w:t>alebo čiastkovou obnovou,</w:t>
      </w:r>
    </w:p>
    <w:p w14:paraId="3096981A" w14:textId="77777777" w:rsidR="007666A5" w:rsidRPr="007577DE" w:rsidRDefault="007666A5" w:rsidP="008F19ED">
      <w:pPr>
        <w:pStyle w:val="Odsekzoznamu"/>
        <w:numPr>
          <w:ilvl w:val="0"/>
          <w:numId w:val="6"/>
        </w:numPr>
        <w:jc w:val="both"/>
        <w:rPr>
          <w:rFonts w:ascii="Times New Roman" w:hAnsi="Times New Roman" w:cs="Times New Roman"/>
          <w:sz w:val="24"/>
          <w:szCs w:val="24"/>
        </w:rPr>
      </w:pPr>
      <w:r w:rsidRPr="007577DE">
        <w:rPr>
          <w:rFonts w:ascii="Times New Roman" w:hAnsi="Times New Roman" w:cs="Times New Roman"/>
          <w:sz w:val="24"/>
          <w:szCs w:val="24"/>
        </w:rPr>
        <w:t>novú výstavbu nízkoenergetických a ultranízkoenergetických budov ako aj budov s takmer nulovou potrebou energie,</w:t>
      </w:r>
    </w:p>
    <w:p w14:paraId="1C55DE09" w14:textId="74254505" w:rsidR="007666A5" w:rsidRDefault="00E67FF3" w:rsidP="00E67FF3">
      <w:pPr>
        <w:pStyle w:val="Odsekzoznamu"/>
        <w:numPr>
          <w:ilvl w:val="0"/>
          <w:numId w:val="6"/>
        </w:numPr>
        <w:jc w:val="both"/>
        <w:rPr>
          <w:rFonts w:ascii="Times New Roman" w:hAnsi="Times New Roman" w:cs="Times New Roman"/>
          <w:sz w:val="24"/>
          <w:szCs w:val="24"/>
        </w:rPr>
      </w:pPr>
      <w:r w:rsidRPr="007577DE">
        <w:rPr>
          <w:rFonts w:ascii="Times New Roman" w:hAnsi="Times New Roman" w:cs="Times New Roman"/>
          <w:sz w:val="24"/>
          <w:szCs w:val="24"/>
        </w:rPr>
        <w:t>opatrenia na úsporu energie na technických zariadeniach budov realizované na základe aplikácie koncepčných a strategických materiálov, legislatívnych povinností alebo prostredníctvom energetických služieb.</w:t>
      </w:r>
    </w:p>
    <w:p w14:paraId="54790867" w14:textId="6A2C70AB" w:rsidR="00DF3038" w:rsidRPr="000578FE" w:rsidRDefault="00DF3038" w:rsidP="000578FE">
      <w:pPr>
        <w:jc w:val="both"/>
        <w:rPr>
          <w:rFonts w:ascii="Times New Roman" w:hAnsi="Times New Roman" w:cs="Times New Roman"/>
          <w:sz w:val="24"/>
          <w:szCs w:val="24"/>
        </w:rPr>
      </w:pPr>
      <w:r w:rsidRPr="00DF3038">
        <w:rPr>
          <w:rFonts w:ascii="Times New Roman" w:hAnsi="Times New Roman" w:cs="Times New Roman"/>
          <w:sz w:val="24"/>
          <w:szCs w:val="24"/>
        </w:rPr>
        <w:lastRenderedPageBreak/>
        <w:t xml:space="preserve">Graf č. </w:t>
      </w:r>
      <w:r w:rsidR="00AE42A2">
        <w:rPr>
          <w:rFonts w:ascii="Times New Roman" w:hAnsi="Times New Roman" w:cs="Times New Roman"/>
          <w:sz w:val="24"/>
          <w:szCs w:val="24"/>
        </w:rPr>
        <w:t>7</w:t>
      </w:r>
      <w:r w:rsidRPr="00DF3038">
        <w:rPr>
          <w:rFonts w:ascii="Times New Roman" w:hAnsi="Times New Roman" w:cs="Times New Roman"/>
          <w:sz w:val="24"/>
          <w:szCs w:val="24"/>
        </w:rPr>
        <w:t xml:space="preserve">: </w:t>
      </w:r>
      <w:r w:rsidRPr="000578FE">
        <w:rPr>
          <w:rFonts w:ascii="Times New Roman" w:hAnsi="Times New Roman" w:cs="Times New Roman"/>
          <w:sz w:val="24"/>
          <w:szCs w:val="24"/>
        </w:rPr>
        <w:t>Zníženie konečnej energetickej spotreby  v sektore budov - podiel skupín opatrení na plnení cieľa v rokoch 2014-2016</w:t>
      </w:r>
    </w:p>
    <w:tbl>
      <w:tblPr>
        <w:tblStyle w:val="Mriekatabuky"/>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2872A4" w:rsidRPr="009F2998" w14:paraId="5E9F5C86" w14:textId="77777777" w:rsidTr="00AC7FF7">
        <w:trPr>
          <w:trHeight w:val="3748"/>
          <w:jc w:val="center"/>
        </w:trPr>
        <w:tc>
          <w:tcPr>
            <w:tcW w:w="2500" w:type="pct"/>
          </w:tcPr>
          <w:p w14:paraId="444E48F0" w14:textId="383263A6" w:rsidR="002872A4" w:rsidRPr="009F2998" w:rsidRDefault="002872A4" w:rsidP="002872A4">
            <w:pPr>
              <w:jc w:val="center"/>
              <w:rPr>
                <w:rFonts w:ascii="Times New Roman" w:hAnsi="Times New Roman" w:cs="Times New Roman"/>
                <w:highlight w:val="yellow"/>
              </w:rPr>
            </w:pPr>
            <w:r w:rsidRPr="009F2998">
              <w:rPr>
                <w:rFonts w:ascii="Times New Roman" w:hAnsi="Times New Roman" w:cs="Times New Roman"/>
                <w:noProof/>
                <w:lang w:eastAsia="sk-SK"/>
              </w:rPr>
              <w:drawing>
                <wp:anchor distT="0" distB="0" distL="114300" distR="114300" simplePos="0" relativeHeight="251658240" behindDoc="0" locked="0" layoutInCell="1" allowOverlap="1" wp14:anchorId="59236AD9" wp14:editId="728645C0">
                  <wp:simplePos x="0" y="0"/>
                  <wp:positionH relativeFrom="column">
                    <wp:posOffset>196850</wp:posOffset>
                  </wp:positionH>
                  <wp:positionV relativeFrom="paragraph">
                    <wp:posOffset>81915</wp:posOffset>
                  </wp:positionV>
                  <wp:extent cx="2257425" cy="2190750"/>
                  <wp:effectExtent l="0" t="0" r="0" b="0"/>
                  <wp:wrapNone/>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c>
        <w:tc>
          <w:tcPr>
            <w:tcW w:w="2500" w:type="pct"/>
          </w:tcPr>
          <w:tbl>
            <w:tblPr>
              <w:tblpPr w:leftFromText="141" w:rightFromText="141" w:vertAnchor="text" w:horzAnchor="margin" w:tblpY="599"/>
              <w:tblOverlap w:val="never"/>
              <w:tblW w:w="4111" w:type="dxa"/>
              <w:tblCellMar>
                <w:left w:w="70" w:type="dxa"/>
                <w:right w:w="70" w:type="dxa"/>
              </w:tblCellMar>
              <w:tblLook w:val="04A0" w:firstRow="1" w:lastRow="0" w:firstColumn="1" w:lastColumn="0" w:noHBand="0" w:noVBand="1"/>
            </w:tblPr>
            <w:tblGrid>
              <w:gridCol w:w="378"/>
              <w:gridCol w:w="2599"/>
              <w:gridCol w:w="1134"/>
            </w:tblGrid>
            <w:tr w:rsidR="002872A4" w:rsidRPr="003504A2" w14:paraId="457114E1" w14:textId="77777777" w:rsidTr="002872A4">
              <w:trPr>
                <w:trHeight w:val="315"/>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9BA05" w14:textId="77777777" w:rsidR="002872A4" w:rsidRPr="004E746F" w:rsidRDefault="002872A4" w:rsidP="002872A4">
                  <w:pPr>
                    <w:spacing w:after="0" w:line="240" w:lineRule="auto"/>
                    <w:jc w:val="center"/>
                    <w:rPr>
                      <w:rFonts w:ascii="Times New Roman" w:eastAsia="Times New Roman" w:hAnsi="Times New Roman" w:cs="Times New Roman"/>
                      <w:color w:val="000000"/>
                      <w:sz w:val="20"/>
                      <w:szCs w:val="20"/>
                      <w:lang w:eastAsia="sk-SK"/>
                    </w:rPr>
                  </w:pP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12A2139B" w14:textId="77777777" w:rsidR="002872A4" w:rsidRPr="003504A2" w:rsidRDefault="002872A4" w:rsidP="002872A4">
                  <w:pPr>
                    <w:spacing w:after="0" w:line="240" w:lineRule="auto"/>
                    <w:rPr>
                      <w:rFonts w:ascii="Times New Roman" w:eastAsia="Times New Roman" w:hAnsi="Times New Roman" w:cs="Times New Roman"/>
                      <w:color w:val="000000"/>
                      <w:sz w:val="20"/>
                      <w:szCs w:val="20"/>
                      <w:lang w:eastAsia="sk-SK"/>
                    </w:rPr>
                  </w:pPr>
                  <w:r w:rsidRPr="003504A2">
                    <w:rPr>
                      <w:rFonts w:ascii="Times New Roman" w:eastAsia="Times New Roman" w:hAnsi="Times New Roman" w:cs="Times New Roman"/>
                      <w:color w:val="000000"/>
                      <w:sz w:val="20"/>
                      <w:szCs w:val="20"/>
                      <w:lang w:eastAsia="sk-SK"/>
                    </w:rPr>
                    <w:t>Skupiny opatrení v budovách:</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ED6E737" w14:textId="77777777" w:rsidR="002872A4" w:rsidRPr="003504A2" w:rsidRDefault="002872A4" w:rsidP="002872A4">
                  <w:pPr>
                    <w:spacing w:after="0" w:line="240" w:lineRule="auto"/>
                    <w:jc w:val="center"/>
                    <w:rPr>
                      <w:rFonts w:ascii="Times New Roman" w:eastAsia="Times New Roman" w:hAnsi="Times New Roman" w:cs="Times New Roman"/>
                      <w:color w:val="000000"/>
                      <w:sz w:val="20"/>
                      <w:szCs w:val="20"/>
                      <w:lang w:eastAsia="sk-SK"/>
                    </w:rPr>
                  </w:pPr>
                  <w:r w:rsidRPr="003504A2">
                    <w:rPr>
                      <w:rFonts w:ascii="Times New Roman" w:eastAsia="Times New Roman" w:hAnsi="Times New Roman" w:cs="Times New Roman"/>
                      <w:color w:val="000000"/>
                      <w:sz w:val="20"/>
                      <w:szCs w:val="20"/>
                      <w:lang w:eastAsia="sk-SK"/>
                    </w:rPr>
                    <w:t>Úspora [TJ]</w:t>
                  </w:r>
                </w:p>
              </w:tc>
            </w:tr>
            <w:tr w:rsidR="003D2ED6" w:rsidRPr="003504A2" w14:paraId="7A64DA11" w14:textId="77777777" w:rsidTr="00AF5415">
              <w:trPr>
                <w:trHeight w:val="499"/>
              </w:trPr>
              <w:tc>
                <w:tcPr>
                  <w:tcW w:w="378" w:type="dxa"/>
                  <w:tcBorders>
                    <w:top w:val="nil"/>
                    <w:left w:val="single" w:sz="4" w:space="0" w:color="auto"/>
                    <w:bottom w:val="single" w:sz="4" w:space="0" w:color="auto"/>
                    <w:right w:val="single" w:sz="4" w:space="0" w:color="auto"/>
                  </w:tcBorders>
                  <w:shd w:val="clear" w:color="000000" w:fill="FF7857"/>
                  <w:noWrap/>
                  <w:vAlign w:val="bottom"/>
                  <w:hideMark/>
                </w:tcPr>
                <w:p w14:paraId="1E3AC4CC" w14:textId="77777777" w:rsidR="003D2ED6" w:rsidRPr="004E746F" w:rsidRDefault="003D2ED6" w:rsidP="003D2ED6">
                  <w:pPr>
                    <w:spacing w:after="0" w:line="240" w:lineRule="auto"/>
                    <w:rPr>
                      <w:rFonts w:ascii="Times New Roman" w:eastAsia="Times New Roman" w:hAnsi="Times New Roman" w:cs="Times New Roman"/>
                      <w:color w:val="000000"/>
                      <w:sz w:val="20"/>
                      <w:szCs w:val="20"/>
                      <w:lang w:eastAsia="sk-SK"/>
                    </w:rPr>
                  </w:pPr>
                  <w:r w:rsidRPr="004E746F">
                    <w:rPr>
                      <w:rFonts w:ascii="Times New Roman" w:eastAsia="Times New Roman" w:hAnsi="Times New Roman" w:cs="Times New Roman"/>
                      <w:color w:val="000000"/>
                      <w:sz w:val="20"/>
                      <w:szCs w:val="20"/>
                      <w:lang w:eastAsia="sk-SK"/>
                    </w:rPr>
                    <w:t> </w:t>
                  </w:r>
                </w:p>
              </w:tc>
              <w:tc>
                <w:tcPr>
                  <w:tcW w:w="2599" w:type="dxa"/>
                  <w:tcBorders>
                    <w:top w:val="nil"/>
                    <w:left w:val="nil"/>
                    <w:bottom w:val="single" w:sz="4" w:space="0" w:color="auto"/>
                    <w:right w:val="single" w:sz="4" w:space="0" w:color="auto"/>
                  </w:tcBorders>
                  <w:shd w:val="clear" w:color="auto" w:fill="auto"/>
                  <w:vAlign w:val="center"/>
                  <w:hideMark/>
                </w:tcPr>
                <w:p w14:paraId="4F9C7D68" w14:textId="77777777" w:rsidR="003D2ED6" w:rsidRPr="003504A2" w:rsidRDefault="003D2ED6" w:rsidP="003D2ED6">
                  <w:pPr>
                    <w:spacing w:after="0" w:line="240" w:lineRule="auto"/>
                    <w:rPr>
                      <w:rFonts w:ascii="Times New Roman" w:eastAsia="Times New Roman" w:hAnsi="Times New Roman" w:cs="Times New Roman"/>
                      <w:color w:val="000000"/>
                      <w:sz w:val="20"/>
                      <w:szCs w:val="20"/>
                      <w:lang w:eastAsia="sk-SK"/>
                    </w:rPr>
                  </w:pPr>
                  <w:r w:rsidRPr="003504A2">
                    <w:rPr>
                      <w:rFonts w:ascii="Times New Roman" w:eastAsia="Times New Roman" w:hAnsi="Times New Roman" w:cs="Times New Roman"/>
                      <w:color w:val="000000"/>
                      <w:sz w:val="20"/>
                      <w:szCs w:val="20"/>
                      <w:lang w:eastAsia="sk-SK"/>
                    </w:rPr>
                    <w:t>Zlepšovanie tepelno-technických vlastností budov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3DA92" w14:textId="72D1E556" w:rsidR="003D2ED6" w:rsidRPr="003D2ED6" w:rsidRDefault="003D2ED6">
                  <w:pPr>
                    <w:spacing w:after="0" w:line="240" w:lineRule="auto"/>
                    <w:jc w:val="right"/>
                    <w:rPr>
                      <w:rFonts w:ascii="Times New Roman" w:eastAsia="Times New Roman" w:hAnsi="Times New Roman" w:cs="Times New Roman"/>
                      <w:color w:val="000000"/>
                      <w:sz w:val="20"/>
                      <w:szCs w:val="20"/>
                      <w:lang w:eastAsia="sk-SK"/>
                    </w:rPr>
                  </w:pPr>
                  <w:r w:rsidRPr="00AF5415">
                    <w:rPr>
                      <w:rFonts w:ascii="Times New Roman" w:hAnsi="Times New Roman" w:cs="Times New Roman"/>
                      <w:sz w:val="20"/>
                      <w:szCs w:val="20"/>
                    </w:rPr>
                    <w:t>4 227,60</w:t>
                  </w:r>
                </w:p>
              </w:tc>
            </w:tr>
            <w:tr w:rsidR="003D2ED6" w:rsidRPr="003504A2" w14:paraId="3B3B79D0" w14:textId="77777777" w:rsidTr="00AF5415">
              <w:trPr>
                <w:trHeight w:val="499"/>
              </w:trPr>
              <w:tc>
                <w:tcPr>
                  <w:tcW w:w="378" w:type="dxa"/>
                  <w:tcBorders>
                    <w:top w:val="nil"/>
                    <w:left w:val="single" w:sz="4" w:space="0" w:color="auto"/>
                    <w:bottom w:val="single" w:sz="4" w:space="0" w:color="auto"/>
                    <w:right w:val="single" w:sz="4" w:space="0" w:color="auto"/>
                  </w:tcBorders>
                  <w:shd w:val="clear" w:color="000000" w:fill="FF9933"/>
                  <w:noWrap/>
                  <w:vAlign w:val="bottom"/>
                  <w:hideMark/>
                </w:tcPr>
                <w:p w14:paraId="0A0EC5E0" w14:textId="77777777" w:rsidR="003D2ED6" w:rsidRPr="004E746F" w:rsidRDefault="003D2ED6" w:rsidP="003D2ED6">
                  <w:pPr>
                    <w:spacing w:after="0" w:line="240" w:lineRule="auto"/>
                    <w:rPr>
                      <w:rFonts w:ascii="Times New Roman" w:eastAsia="Times New Roman" w:hAnsi="Times New Roman" w:cs="Times New Roman"/>
                      <w:color w:val="000000"/>
                      <w:sz w:val="20"/>
                      <w:szCs w:val="20"/>
                      <w:lang w:eastAsia="sk-SK"/>
                    </w:rPr>
                  </w:pPr>
                  <w:r w:rsidRPr="004E746F">
                    <w:rPr>
                      <w:rFonts w:ascii="Times New Roman" w:eastAsia="Times New Roman" w:hAnsi="Times New Roman" w:cs="Times New Roman"/>
                      <w:color w:val="000000"/>
                      <w:sz w:val="20"/>
                      <w:szCs w:val="20"/>
                      <w:lang w:eastAsia="sk-SK"/>
                    </w:rPr>
                    <w:t> </w:t>
                  </w:r>
                </w:p>
              </w:tc>
              <w:tc>
                <w:tcPr>
                  <w:tcW w:w="2599" w:type="dxa"/>
                  <w:tcBorders>
                    <w:top w:val="nil"/>
                    <w:left w:val="nil"/>
                    <w:bottom w:val="single" w:sz="4" w:space="0" w:color="auto"/>
                    <w:right w:val="single" w:sz="4" w:space="0" w:color="auto"/>
                  </w:tcBorders>
                  <w:shd w:val="clear" w:color="auto" w:fill="auto"/>
                  <w:vAlign w:val="center"/>
                  <w:hideMark/>
                </w:tcPr>
                <w:p w14:paraId="73C9D40D" w14:textId="77777777" w:rsidR="003D2ED6" w:rsidRPr="003504A2" w:rsidRDefault="003D2ED6" w:rsidP="003D2ED6">
                  <w:pPr>
                    <w:spacing w:after="0" w:line="240" w:lineRule="auto"/>
                    <w:rPr>
                      <w:rFonts w:ascii="Times New Roman" w:eastAsia="Times New Roman" w:hAnsi="Times New Roman" w:cs="Times New Roman"/>
                      <w:color w:val="000000"/>
                      <w:sz w:val="20"/>
                      <w:szCs w:val="20"/>
                      <w:lang w:eastAsia="sk-SK"/>
                    </w:rPr>
                  </w:pPr>
                  <w:r w:rsidRPr="003504A2">
                    <w:rPr>
                      <w:rFonts w:ascii="Times New Roman" w:eastAsia="Times New Roman" w:hAnsi="Times New Roman" w:cs="Times New Roman"/>
                      <w:color w:val="000000"/>
                      <w:sz w:val="20"/>
                      <w:szCs w:val="20"/>
                      <w:lang w:eastAsia="sk-SK"/>
                    </w:rPr>
                    <w:t>Nová výstavba v nízkoenergetickom štandarde</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0D8E0F9" w14:textId="43C0702E" w:rsidR="003D2ED6" w:rsidRPr="003D2ED6" w:rsidRDefault="003D2ED6">
                  <w:pPr>
                    <w:spacing w:after="0" w:line="240" w:lineRule="auto"/>
                    <w:jc w:val="right"/>
                    <w:rPr>
                      <w:rFonts w:ascii="Times New Roman" w:eastAsia="Times New Roman" w:hAnsi="Times New Roman" w:cs="Times New Roman"/>
                      <w:color w:val="000000"/>
                      <w:sz w:val="20"/>
                      <w:szCs w:val="20"/>
                      <w:lang w:eastAsia="sk-SK"/>
                    </w:rPr>
                  </w:pPr>
                  <w:r w:rsidRPr="00AF5415">
                    <w:rPr>
                      <w:rFonts w:ascii="Times New Roman" w:hAnsi="Times New Roman" w:cs="Times New Roman"/>
                      <w:sz w:val="20"/>
                      <w:szCs w:val="20"/>
                    </w:rPr>
                    <w:t>340,23</w:t>
                  </w:r>
                </w:p>
              </w:tc>
            </w:tr>
            <w:tr w:rsidR="003D2ED6" w:rsidRPr="003504A2" w14:paraId="4DDE9570" w14:textId="77777777" w:rsidTr="00AF5415">
              <w:trPr>
                <w:trHeight w:val="360"/>
              </w:trPr>
              <w:tc>
                <w:tcPr>
                  <w:tcW w:w="378" w:type="dxa"/>
                  <w:tcBorders>
                    <w:top w:val="nil"/>
                    <w:left w:val="single" w:sz="4" w:space="0" w:color="auto"/>
                    <w:bottom w:val="single" w:sz="4" w:space="0" w:color="auto"/>
                    <w:right w:val="single" w:sz="4" w:space="0" w:color="auto"/>
                  </w:tcBorders>
                  <w:shd w:val="clear" w:color="000000" w:fill="FFCC00"/>
                  <w:noWrap/>
                  <w:vAlign w:val="bottom"/>
                  <w:hideMark/>
                </w:tcPr>
                <w:p w14:paraId="73BCF3BB" w14:textId="77777777" w:rsidR="003D2ED6" w:rsidRPr="004E746F" w:rsidRDefault="003D2ED6" w:rsidP="003D2ED6">
                  <w:pPr>
                    <w:spacing w:after="0" w:line="240" w:lineRule="auto"/>
                    <w:rPr>
                      <w:rFonts w:ascii="Times New Roman" w:eastAsia="Times New Roman" w:hAnsi="Times New Roman" w:cs="Times New Roman"/>
                      <w:color w:val="000000"/>
                      <w:sz w:val="20"/>
                      <w:szCs w:val="20"/>
                      <w:lang w:eastAsia="sk-SK"/>
                    </w:rPr>
                  </w:pPr>
                  <w:r w:rsidRPr="004E746F">
                    <w:rPr>
                      <w:rFonts w:ascii="Times New Roman" w:eastAsia="Times New Roman" w:hAnsi="Times New Roman" w:cs="Times New Roman"/>
                      <w:color w:val="000000"/>
                      <w:sz w:val="20"/>
                      <w:szCs w:val="20"/>
                      <w:lang w:eastAsia="sk-SK"/>
                    </w:rPr>
                    <w:t> </w:t>
                  </w:r>
                </w:p>
              </w:tc>
              <w:tc>
                <w:tcPr>
                  <w:tcW w:w="2599" w:type="dxa"/>
                  <w:tcBorders>
                    <w:top w:val="nil"/>
                    <w:left w:val="nil"/>
                    <w:bottom w:val="single" w:sz="4" w:space="0" w:color="auto"/>
                    <w:right w:val="single" w:sz="4" w:space="0" w:color="auto"/>
                  </w:tcBorders>
                  <w:shd w:val="clear" w:color="auto" w:fill="auto"/>
                  <w:noWrap/>
                  <w:vAlign w:val="bottom"/>
                  <w:hideMark/>
                </w:tcPr>
                <w:p w14:paraId="32DF3E9A" w14:textId="77777777" w:rsidR="003D2ED6" w:rsidRPr="003504A2" w:rsidRDefault="003D2ED6" w:rsidP="003D2ED6">
                  <w:pPr>
                    <w:spacing w:after="0" w:line="240" w:lineRule="auto"/>
                    <w:rPr>
                      <w:rFonts w:ascii="Times New Roman" w:eastAsia="Times New Roman" w:hAnsi="Times New Roman" w:cs="Times New Roman"/>
                      <w:color w:val="000000"/>
                      <w:sz w:val="20"/>
                      <w:szCs w:val="20"/>
                      <w:lang w:eastAsia="sk-SK"/>
                    </w:rPr>
                  </w:pPr>
                  <w:r w:rsidRPr="003504A2">
                    <w:rPr>
                      <w:rFonts w:ascii="Times New Roman" w:eastAsia="Times New Roman" w:hAnsi="Times New Roman" w:cs="Times New Roman"/>
                      <w:color w:val="000000"/>
                      <w:sz w:val="20"/>
                      <w:szCs w:val="20"/>
                      <w:lang w:eastAsia="sk-SK"/>
                    </w:rPr>
                    <w:t>Opatrenia na úsporu energie na TZB</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971628D" w14:textId="7E678007" w:rsidR="003D2ED6" w:rsidRPr="003D2ED6" w:rsidRDefault="003D2ED6">
                  <w:pPr>
                    <w:spacing w:after="0" w:line="240" w:lineRule="auto"/>
                    <w:jc w:val="right"/>
                    <w:rPr>
                      <w:rFonts w:ascii="Times New Roman" w:eastAsia="Times New Roman" w:hAnsi="Times New Roman" w:cs="Times New Roman"/>
                      <w:color w:val="000000"/>
                      <w:sz w:val="20"/>
                      <w:szCs w:val="20"/>
                      <w:lang w:eastAsia="sk-SK"/>
                    </w:rPr>
                  </w:pPr>
                  <w:r w:rsidRPr="00AF5415">
                    <w:rPr>
                      <w:rFonts w:ascii="Times New Roman" w:hAnsi="Times New Roman" w:cs="Times New Roman"/>
                      <w:sz w:val="20"/>
                      <w:szCs w:val="20"/>
                    </w:rPr>
                    <w:t>482,99</w:t>
                  </w:r>
                </w:p>
              </w:tc>
            </w:tr>
            <w:tr w:rsidR="003D2ED6" w:rsidRPr="003504A2" w14:paraId="0C2F656D" w14:textId="77777777" w:rsidTr="00AF5415">
              <w:trPr>
                <w:trHeight w:val="327"/>
              </w:trPr>
              <w:tc>
                <w:tcPr>
                  <w:tcW w:w="378" w:type="dxa"/>
                  <w:tcBorders>
                    <w:top w:val="nil"/>
                    <w:left w:val="nil"/>
                    <w:bottom w:val="nil"/>
                    <w:right w:val="nil"/>
                  </w:tcBorders>
                  <w:shd w:val="clear" w:color="auto" w:fill="auto"/>
                  <w:noWrap/>
                  <w:vAlign w:val="bottom"/>
                  <w:hideMark/>
                </w:tcPr>
                <w:p w14:paraId="6F17B7D6" w14:textId="77777777" w:rsidR="003D2ED6" w:rsidRPr="003504A2" w:rsidRDefault="003D2ED6" w:rsidP="003D2ED6">
                  <w:pPr>
                    <w:spacing w:after="0" w:line="240" w:lineRule="auto"/>
                    <w:jc w:val="right"/>
                    <w:rPr>
                      <w:rFonts w:ascii="Times New Roman" w:eastAsia="Times New Roman" w:hAnsi="Times New Roman" w:cs="Times New Roman"/>
                      <w:color w:val="000000"/>
                      <w:sz w:val="20"/>
                      <w:szCs w:val="20"/>
                      <w:lang w:eastAsia="sk-SK"/>
                    </w:rPr>
                  </w:pPr>
                </w:p>
              </w:tc>
              <w:tc>
                <w:tcPr>
                  <w:tcW w:w="2599" w:type="dxa"/>
                  <w:tcBorders>
                    <w:top w:val="nil"/>
                    <w:left w:val="single" w:sz="4" w:space="0" w:color="auto"/>
                    <w:bottom w:val="single" w:sz="4" w:space="0" w:color="auto"/>
                    <w:right w:val="single" w:sz="4" w:space="0" w:color="auto"/>
                  </w:tcBorders>
                  <w:shd w:val="clear" w:color="auto" w:fill="auto"/>
                  <w:vAlign w:val="center"/>
                  <w:hideMark/>
                </w:tcPr>
                <w:p w14:paraId="7BF477E3" w14:textId="77777777" w:rsidR="003D2ED6" w:rsidRPr="003504A2" w:rsidRDefault="003D2ED6" w:rsidP="003D2ED6">
                  <w:pPr>
                    <w:spacing w:after="0" w:line="240" w:lineRule="auto"/>
                    <w:rPr>
                      <w:rFonts w:ascii="Times New Roman" w:eastAsia="Times New Roman" w:hAnsi="Times New Roman" w:cs="Times New Roman"/>
                      <w:b/>
                      <w:bCs/>
                      <w:color w:val="000000"/>
                      <w:sz w:val="20"/>
                      <w:szCs w:val="20"/>
                      <w:lang w:eastAsia="sk-SK"/>
                    </w:rPr>
                  </w:pPr>
                  <w:r w:rsidRPr="003504A2">
                    <w:rPr>
                      <w:rFonts w:ascii="Times New Roman" w:eastAsia="Times New Roman" w:hAnsi="Times New Roman" w:cs="Times New Roman"/>
                      <w:b/>
                      <w:bCs/>
                      <w:color w:val="000000"/>
                      <w:sz w:val="20"/>
                      <w:szCs w:val="20"/>
                      <w:lang w:eastAsia="sk-SK"/>
                    </w:rPr>
                    <w:t>Spolu:</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CA83613" w14:textId="4D279462" w:rsidR="003D2ED6" w:rsidRPr="003D2ED6" w:rsidRDefault="003D2ED6">
                  <w:pPr>
                    <w:spacing w:after="0" w:line="240" w:lineRule="auto"/>
                    <w:jc w:val="right"/>
                    <w:rPr>
                      <w:rFonts w:ascii="Times New Roman" w:eastAsia="Times New Roman" w:hAnsi="Times New Roman" w:cs="Times New Roman"/>
                      <w:b/>
                      <w:bCs/>
                      <w:color w:val="000000"/>
                      <w:sz w:val="20"/>
                      <w:szCs w:val="20"/>
                      <w:lang w:eastAsia="sk-SK"/>
                    </w:rPr>
                  </w:pPr>
                  <w:r w:rsidRPr="00AF5415">
                    <w:rPr>
                      <w:rFonts w:ascii="Times New Roman" w:hAnsi="Times New Roman" w:cs="Times New Roman"/>
                      <w:b/>
                      <w:sz w:val="20"/>
                      <w:szCs w:val="20"/>
                    </w:rPr>
                    <w:t>5 050,81</w:t>
                  </w:r>
                </w:p>
              </w:tc>
            </w:tr>
          </w:tbl>
          <w:p w14:paraId="0A50F3A3" w14:textId="77777777" w:rsidR="002872A4" w:rsidRPr="009F2998" w:rsidRDefault="002872A4" w:rsidP="00567A8F">
            <w:pPr>
              <w:rPr>
                <w:rFonts w:ascii="Times New Roman" w:hAnsi="Times New Roman" w:cs="Times New Roman"/>
                <w:highlight w:val="yellow"/>
              </w:rPr>
            </w:pPr>
          </w:p>
        </w:tc>
      </w:tr>
    </w:tbl>
    <w:p w14:paraId="4E64D12B" w14:textId="77777777" w:rsidR="00207D7D" w:rsidRPr="009F2998" w:rsidRDefault="00207D7D" w:rsidP="00567A8F">
      <w:pPr>
        <w:rPr>
          <w:rFonts w:ascii="Times New Roman" w:hAnsi="Times New Roman" w:cs="Times New Roman"/>
          <w:highlight w:val="yellow"/>
        </w:rPr>
      </w:pPr>
    </w:p>
    <w:p w14:paraId="67C54A10" w14:textId="1A7CA041" w:rsidR="00567A8F" w:rsidRPr="007577DE" w:rsidRDefault="00EF2ED4" w:rsidP="000578FE">
      <w:pPr>
        <w:jc w:val="both"/>
        <w:rPr>
          <w:rFonts w:ascii="Times New Roman" w:hAnsi="Times New Roman" w:cs="Times New Roman"/>
          <w:sz w:val="24"/>
          <w:szCs w:val="24"/>
        </w:rPr>
      </w:pPr>
      <w:r w:rsidRPr="007577DE">
        <w:rPr>
          <w:rFonts w:ascii="Times New Roman" w:hAnsi="Times New Roman" w:cs="Times New Roman"/>
          <w:sz w:val="24"/>
          <w:szCs w:val="24"/>
        </w:rPr>
        <w:t xml:space="preserve">Najvýznamnejší podiel na znižovaní konečnej spotreby energie má zlepšovanie tepelnotechnických vlastností </w:t>
      </w:r>
      <w:r w:rsidR="00A17E88" w:rsidRPr="007577DE">
        <w:rPr>
          <w:rFonts w:ascii="Times New Roman" w:hAnsi="Times New Roman" w:cs="Times New Roman"/>
          <w:sz w:val="24"/>
          <w:szCs w:val="24"/>
        </w:rPr>
        <w:t xml:space="preserve">existujúcich </w:t>
      </w:r>
      <w:r w:rsidRPr="007577DE">
        <w:rPr>
          <w:rFonts w:ascii="Times New Roman" w:hAnsi="Times New Roman" w:cs="Times New Roman"/>
          <w:sz w:val="24"/>
          <w:szCs w:val="24"/>
        </w:rPr>
        <w:t>budov</w:t>
      </w:r>
      <w:r w:rsidR="00200F3D" w:rsidRPr="007577DE">
        <w:rPr>
          <w:rFonts w:ascii="Times New Roman" w:hAnsi="Times New Roman" w:cs="Times New Roman"/>
          <w:sz w:val="24"/>
          <w:szCs w:val="24"/>
        </w:rPr>
        <w:t xml:space="preserve">. </w:t>
      </w:r>
    </w:p>
    <w:p w14:paraId="16B72E18" w14:textId="3A1CA492" w:rsidR="00850ACA" w:rsidRPr="007577DE" w:rsidRDefault="00850ACA" w:rsidP="00411EEA">
      <w:pPr>
        <w:jc w:val="both"/>
        <w:rPr>
          <w:rFonts w:ascii="Times New Roman" w:hAnsi="Times New Roman" w:cs="Times New Roman"/>
          <w:sz w:val="24"/>
          <w:szCs w:val="24"/>
        </w:rPr>
      </w:pPr>
      <w:r w:rsidRPr="007577DE">
        <w:rPr>
          <w:rFonts w:ascii="Times New Roman" w:hAnsi="Times New Roman" w:cs="Times New Roman"/>
          <w:sz w:val="24"/>
          <w:szCs w:val="24"/>
        </w:rPr>
        <w:t>K zlepšovaniu energetickej efektívnosti budov prispelo najmä zvýšenie dostupných finančných prostriedkov na zlepšovanie tepelnotechnických vlastností bytových domov prostredníctvom finančného mechanizmu JESSI</w:t>
      </w:r>
      <w:r w:rsidR="00327DF6" w:rsidRPr="007577DE">
        <w:rPr>
          <w:rFonts w:ascii="Times New Roman" w:hAnsi="Times New Roman" w:cs="Times New Roman"/>
          <w:sz w:val="24"/>
          <w:szCs w:val="24"/>
        </w:rPr>
        <w:t>C</w:t>
      </w:r>
      <w:r w:rsidRPr="007577DE">
        <w:rPr>
          <w:rFonts w:ascii="Times New Roman" w:hAnsi="Times New Roman" w:cs="Times New Roman"/>
          <w:sz w:val="24"/>
          <w:szCs w:val="24"/>
        </w:rPr>
        <w:t>A</w:t>
      </w:r>
      <w:r w:rsidR="009E7DCA">
        <w:rPr>
          <w:rFonts w:ascii="Times New Roman" w:hAnsi="Times New Roman" w:cs="Times New Roman"/>
          <w:sz w:val="24"/>
          <w:szCs w:val="24"/>
        </w:rPr>
        <w:t>.</w:t>
      </w:r>
      <w:r w:rsidRPr="007577DE">
        <w:rPr>
          <w:rFonts w:ascii="Times New Roman" w:hAnsi="Times New Roman" w:cs="Times New Roman"/>
          <w:sz w:val="24"/>
          <w:szCs w:val="24"/>
        </w:rPr>
        <w:t xml:space="preserve"> Finančné prostriedky boli poskytnuté sprostredkovateľovi Štátnemu fondu rozvoja bývania</w:t>
      </w:r>
      <w:r w:rsidR="00661C72" w:rsidRPr="007577DE">
        <w:rPr>
          <w:rFonts w:ascii="Times New Roman" w:hAnsi="Times New Roman" w:cs="Times New Roman"/>
          <w:sz w:val="24"/>
          <w:szCs w:val="24"/>
        </w:rPr>
        <w:t xml:space="preserve"> (ďalej aj „ŠFRB“)</w:t>
      </w:r>
      <w:r w:rsidRPr="007577DE">
        <w:rPr>
          <w:rFonts w:ascii="Times New Roman" w:hAnsi="Times New Roman" w:cs="Times New Roman"/>
          <w:sz w:val="24"/>
          <w:szCs w:val="24"/>
        </w:rPr>
        <w:t xml:space="preserve"> z troch operačných programov</w:t>
      </w:r>
      <w:r w:rsidR="00E67FF3" w:rsidRPr="007577DE">
        <w:rPr>
          <w:rFonts w:ascii="Times New Roman" w:hAnsi="Times New Roman" w:cs="Times New Roman"/>
          <w:sz w:val="24"/>
          <w:szCs w:val="24"/>
        </w:rPr>
        <w:t>,</w:t>
      </w:r>
      <w:r w:rsidRPr="007577DE">
        <w:rPr>
          <w:rFonts w:ascii="Times New Roman" w:hAnsi="Times New Roman" w:cs="Times New Roman"/>
          <w:sz w:val="24"/>
          <w:szCs w:val="24"/>
        </w:rPr>
        <w:t xml:space="preserve"> a to </w:t>
      </w:r>
      <w:r w:rsidR="00A17E88" w:rsidRPr="007577DE">
        <w:rPr>
          <w:rFonts w:ascii="Times New Roman" w:hAnsi="Times New Roman" w:cs="Times New Roman"/>
          <w:sz w:val="24"/>
          <w:szCs w:val="24"/>
        </w:rPr>
        <w:t xml:space="preserve">z </w:t>
      </w:r>
      <w:r w:rsidRPr="007577DE">
        <w:rPr>
          <w:rFonts w:ascii="Times New Roman" w:hAnsi="Times New Roman" w:cs="Times New Roman"/>
          <w:sz w:val="24"/>
          <w:szCs w:val="24"/>
        </w:rPr>
        <w:t>Regionáln</w:t>
      </w:r>
      <w:r w:rsidR="00A17E88" w:rsidRPr="007577DE">
        <w:rPr>
          <w:rFonts w:ascii="Times New Roman" w:hAnsi="Times New Roman" w:cs="Times New Roman"/>
          <w:sz w:val="24"/>
          <w:szCs w:val="24"/>
        </w:rPr>
        <w:t>eho</w:t>
      </w:r>
      <w:r w:rsidRPr="007577DE">
        <w:rPr>
          <w:rFonts w:ascii="Times New Roman" w:hAnsi="Times New Roman" w:cs="Times New Roman"/>
          <w:sz w:val="24"/>
          <w:szCs w:val="24"/>
        </w:rPr>
        <w:t xml:space="preserve"> operačn</w:t>
      </w:r>
      <w:r w:rsidR="00A17E88" w:rsidRPr="007577DE">
        <w:rPr>
          <w:rFonts w:ascii="Times New Roman" w:hAnsi="Times New Roman" w:cs="Times New Roman"/>
          <w:sz w:val="24"/>
          <w:szCs w:val="24"/>
        </w:rPr>
        <w:t>ého</w:t>
      </w:r>
      <w:r w:rsidRPr="007577DE">
        <w:rPr>
          <w:rFonts w:ascii="Times New Roman" w:hAnsi="Times New Roman" w:cs="Times New Roman"/>
          <w:sz w:val="24"/>
          <w:szCs w:val="24"/>
        </w:rPr>
        <w:t xml:space="preserve"> program</w:t>
      </w:r>
      <w:r w:rsidR="00A17E88" w:rsidRPr="007577DE">
        <w:rPr>
          <w:rFonts w:ascii="Times New Roman" w:hAnsi="Times New Roman" w:cs="Times New Roman"/>
          <w:sz w:val="24"/>
          <w:szCs w:val="24"/>
        </w:rPr>
        <w:t>u</w:t>
      </w:r>
      <w:r w:rsidR="00661C72" w:rsidRPr="007577DE">
        <w:rPr>
          <w:rFonts w:ascii="Times New Roman" w:hAnsi="Times New Roman" w:cs="Times New Roman"/>
          <w:sz w:val="24"/>
          <w:szCs w:val="24"/>
        </w:rPr>
        <w:t xml:space="preserve"> (ďalej aj „ROP“)</w:t>
      </w:r>
      <w:r w:rsidRPr="007577DE">
        <w:rPr>
          <w:rFonts w:ascii="Times New Roman" w:hAnsi="Times New Roman" w:cs="Times New Roman"/>
          <w:sz w:val="24"/>
          <w:szCs w:val="24"/>
        </w:rPr>
        <w:t>, Operačn</w:t>
      </w:r>
      <w:r w:rsidR="00A17E88" w:rsidRPr="007577DE">
        <w:rPr>
          <w:rFonts w:ascii="Times New Roman" w:hAnsi="Times New Roman" w:cs="Times New Roman"/>
          <w:sz w:val="24"/>
          <w:szCs w:val="24"/>
        </w:rPr>
        <w:t>ého</w:t>
      </w:r>
      <w:r w:rsidRPr="007577DE">
        <w:rPr>
          <w:rFonts w:ascii="Times New Roman" w:hAnsi="Times New Roman" w:cs="Times New Roman"/>
          <w:sz w:val="24"/>
          <w:szCs w:val="24"/>
        </w:rPr>
        <w:t xml:space="preserve"> program</w:t>
      </w:r>
      <w:r w:rsidR="00A17E88" w:rsidRPr="007577DE">
        <w:rPr>
          <w:rFonts w:ascii="Times New Roman" w:hAnsi="Times New Roman" w:cs="Times New Roman"/>
          <w:sz w:val="24"/>
          <w:szCs w:val="24"/>
        </w:rPr>
        <w:t>u</w:t>
      </w:r>
      <w:r w:rsidRPr="007577DE">
        <w:rPr>
          <w:rFonts w:ascii="Times New Roman" w:hAnsi="Times New Roman" w:cs="Times New Roman"/>
          <w:sz w:val="24"/>
          <w:szCs w:val="24"/>
        </w:rPr>
        <w:t xml:space="preserve"> Bratislavský kraj </w:t>
      </w:r>
      <w:r w:rsidR="00661C72" w:rsidRPr="007577DE">
        <w:rPr>
          <w:rFonts w:ascii="Times New Roman" w:hAnsi="Times New Roman" w:cs="Times New Roman"/>
          <w:sz w:val="24"/>
          <w:szCs w:val="24"/>
        </w:rPr>
        <w:t xml:space="preserve">(ďalej aj „OP BK“) </w:t>
      </w:r>
      <w:r w:rsidRPr="007577DE">
        <w:rPr>
          <w:rFonts w:ascii="Times New Roman" w:hAnsi="Times New Roman" w:cs="Times New Roman"/>
          <w:sz w:val="24"/>
          <w:szCs w:val="24"/>
        </w:rPr>
        <w:t>a Operačn</w:t>
      </w:r>
      <w:r w:rsidR="00A17E88" w:rsidRPr="007577DE">
        <w:rPr>
          <w:rFonts w:ascii="Times New Roman" w:hAnsi="Times New Roman" w:cs="Times New Roman"/>
          <w:sz w:val="24"/>
          <w:szCs w:val="24"/>
        </w:rPr>
        <w:t>ého</w:t>
      </w:r>
      <w:r w:rsidRPr="007577DE">
        <w:rPr>
          <w:rFonts w:ascii="Times New Roman" w:hAnsi="Times New Roman" w:cs="Times New Roman"/>
          <w:sz w:val="24"/>
          <w:szCs w:val="24"/>
        </w:rPr>
        <w:t xml:space="preserve"> program</w:t>
      </w:r>
      <w:r w:rsidR="00A17E88" w:rsidRPr="007577DE">
        <w:rPr>
          <w:rFonts w:ascii="Times New Roman" w:hAnsi="Times New Roman" w:cs="Times New Roman"/>
          <w:sz w:val="24"/>
          <w:szCs w:val="24"/>
        </w:rPr>
        <w:t>u</w:t>
      </w:r>
      <w:r w:rsidRPr="007577DE">
        <w:rPr>
          <w:rFonts w:ascii="Times New Roman" w:hAnsi="Times New Roman" w:cs="Times New Roman"/>
          <w:sz w:val="24"/>
          <w:szCs w:val="24"/>
        </w:rPr>
        <w:t xml:space="preserve"> Konkurencieschopnosť a</w:t>
      </w:r>
      <w:r w:rsidR="00661C72" w:rsidRPr="007577DE">
        <w:rPr>
          <w:rFonts w:ascii="Times New Roman" w:hAnsi="Times New Roman" w:cs="Times New Roman"/>
          <w:sz w:val="24"/>
          <w:szCs w:val="24"/>
        </w:rPr>
        <w:t> </w:t>
      </w:r>
      <w:r w:rsidRPr="007577DE">
        <w:rPr>
          <w:rFonts w:ascii="Times New Roman" w:hAnsi="Times New Roman" w:cs="Times New Roman"/>
          <w:sz w:val="24"/>
          <w:szCs w:val="24"/>
        </w:rPr>
        <w:t>hospodárs</w:t>
      </w:r>
      <w:r w:rsidR="00661C72" w:rsidRPr="007577DE">
        <w:rPr>
          <w:rFonts w:ascii="Times New Roman" w:hAnsi="Times New Roman" w:cs="Times New Roman"/>
          <w:sz w:val="24"/>
          <w:szCs w:val="24"/>
        </w:rPr>
        <w:t>ky rast (ďalej aj „OP KaHR“).</w:t>
      </w:r>
    </w:p>
    <w:p w14:paraId="0C6FFFE0" w14:textId="77E24F66" w:rsidR="00661C72" w:rsidRPr="007577DE" w:rsidRDefault="00661C72" w:rsidP="00411EEA">
      <w:pPr>
        <w:jc w:val="both"/>
        <w:rPr>
          <w:rFonts w:ascii="Times New Roman" w:hAnsi="Times New Roman" w:cs="Times New Roman"/>
          <w:sz w:val="24"/>
          <w:szCs w:val="24"/>
        </w:rPr>
      </w:pPr>
      <w:r w:rsidRPr="007577DE">
        <w:rPr>
          <w:rFonts w:ascii="Times New Roman" w:hAnsi="Times New Roman" w:cs="Times New Roman"/>
          <w:sz w:val="24"/>
          <w:szCs w:val="24"/>
        </w:rPr>
        <w:t xml:space="preserve">Okrem prostriedkov zo štrukturálnych fondov poskytol ŠFRB </w:t>
      </w:r>
      <w:r w:rsidR="00E73341" w:rsidRPr="007577DE">
        <w:rPr>
          <w:rFonts w:ascii="Times New Roman" w:hAnsi="Times New Roman" w:cs="Times New Roman"/>
          <w:sz w:val="24"/>
          <w:szCs w:val="24"/>
        </w:rPr>
        <w:t xml:space="preserve">v rokoch 2014-2016 </w:t>
      </w:r>
      <w:r w:rsidRPr="007577DE">
        <w:rPr>
          <w:rFonts w:ascii="Times New Roman" w:hAnsi="Times New Roman" w:cs="Times New Roman"/>
          <w:sz w:val="24"/>
          <w:szCs w:val="24"/>
        </w:rPr>
        <w:t>finančné prostriedky na zlepšovanie tepelnotechnických vlastností bytových domov zo štátneho rozpočtu</w:t>
      </w:r>
      <w:r w:rsidR="00D11389" w:rsidRPr="007577DE">
        <w:rPr>
          <w:rFonts w:ascii="Times New Roman" w:hAnsi="Times New Roman" w:cs="Times New Roman"/>
          <w:sz w:val="24"/>
          <w:szCs w:val="24"/>
        </w:rPr>
        <w:t xml:space="preserve"> SR v celkovej výške </w:t>
      </w:r>
      <w:r w:rsidR="00B874F5" w:rsidRPr="007577DE">
        <w:rPr>
          <w:rFonts w:ascii="Times New Roman" w:hAnsi="Times New Roman" w:cs="Times New Roman"/>
          <w:sz w:val="24"/>
          <w:szCs w:val="24"/>
        </w:rPr>
        <w:t xml:space="preserve">viac ako </w:t>
      </w:r>
      <w:r w:rsidR="003274B3" w:rsidRPr="007577DE">
        <w:rPr>
          <w:rFonts w:ascii="Times New Roman" w:hAnsi="Times New Roman" w:cs="Times New Roman"/>
          <w:sz w:val="24"/>
          <w:szCs w:val="24"/>
        </w:rPr>
        <w:t xml:space="preserve">262 </w:t>
      </w:r>
      <w:r w:rsidR="00B874F5" w:rsidRPr="007577DE">
        <w:rPr>
          <w:rFonts w:ascii="Times New Roman" w:hAnsi="Times New Roman" w:cs="Times New Roman"/>
          <w:sz w:val="24"/>
          <w:szCs w:val="24"/>
        </w:rPr>
        <w:t>mil.</w:t>
      </w:r>
      <w:r w:rsidR="003274B3" w:rsidRPr="007577DE">
        <w:rPr>
          <w:rFonts w:ascii="Times New Roman" w:hAnsi="Times New Roman" w:cs="Times New Roman"/>
          <w:sz w:val="24"/>
          <w:szCs w:val="24"/>
        </w:rPr>
        <w:t xml:space="preserve"> </w:t>
      </w:r>
      <w:r w:rsidR="000C2919">
        <w:rPr>
          <w:rFonts w:ascii="Times New Roman" w:hAnsi="Times New Roman" w:cs="Times New Roman"/>
          <w:sz w:val="24"/>
          <w:szCs w:val="24"/>
        </w:rPr>
        <w:t>Eur</w:t>
      </w:r>
      <w:r w:rsidR="00D11389" w:rsidRPr="007577DE">
        <w:rPr>
          <w:rFonts w:ascii="Times New Roman" w:hAnsi="Times New Roman" w:cs="Times New Roman"/>
          <w:sz w:val="24"/>
          <w:szCs w:val="24"/>
        </w:rPr>
        <w:t>.</w:t>
      </w:r>
      <w:r w:rsidR="00CD7212" w:rsidRPr="007577DE">
        <w:rPr>
          <w:rFonts w:ascii="Times New Roman" w:hAnsi="Times New Roman" w:cs="Times New Roman"/>
          <w:sz w:val="24"/>
          <w:szCs w:val="24"/>
        </w:rPr>
        <w:t xml:space="preserve"> V roku 2016 bol vyhlásený Program na podporu zatepľovania rodinných domov</w:t>
      </w:r>
      <w:r w:rsidR="00780D08" w:rsidRPr="007577DE">
        <w:rPr>
          <w:rFonts w:ascii="Times New Roman" w:hAnsi="Times New Roman" w:cs="Times New Roman"/>
          <w:sz w:val="24"/>
          <w:szCs w:val="24"/>
        </w:rPr>
        <w:t>, na ktorý bolo vyčlenených</w:t>
      </w:r>
      <w:r w:rsidR="00A17E88" w:rsidRPr="007577DE">
        <w:rPr>
          <w:rFonts w:ascii="Times New Roman" w:hAnsi="Times New Roman" w:cs="Times New Roman"/>
          <w:sz w:val="24"/>
          <w:szCs w:val="24"/>
        </w:rPr>
        <w:t xml:space="preserve"> ďalších</w:t>
      </w:r>
      <w:r w:rsidR="00780D08" w:rsidRPr="007577DE">
        <w:rPr>
          <w:rFonts w:ascii="Times New Roman" w:hAnsi="Times New Roman" w:cs="Times New Roman"/>
          <w:sz w:val="24"/>
          <w:szCs w:val="24"/>
        </w:rPr>
        <w:t xml:space="preserve"> 30 mil</w:t>
      </w:r>
      <w:r w:rsidR="003A4BD2">
        <w:rPr>
          <w:rFonts w:ascii="Times New Roman" w:hAnsi="Times New Roman" w:cs="Times New Roman"/>
          <w:sz w:val="24"/>
          <w:szCs w:val="24"/>
        </w:rPr>
        <w:t>.</w:t>
      </w:r>
      <w:r w:rsidR="00780D08" w:rsidRPr="007577DE">
        <w:rPr>
          <w:rFonts w:ascii="Times New Roman" w:hAnsi="Times New Roman" w:cs="Times New Roman"/>
          <w:sz w:val="24"/>
          <w:szCs w:val="24"/>
        </w:rPr>
        <w:t xml:space="preserve"> </w:t>
      </w:r>
      <w:r w:rsidR="000C2919">
        <w:rPr>
          <w:rFonts w:ascii="Times New Roman" w:hAnsi="Times New Roman" w:cs="Times New Roman"/>
          <w:sz w:val="24"/>
          <w:szCs w:val="24"/>
        </w:rPr>
        <w:t>Eur</w:t>
      </w:r>
      <w:r w:rsidR="00780D08" w:rsidRPr="007577DE">
        <w:rPr>
          <w:rFonts w:ascii="Times New Roman" w:hAnsi="Times New Roman" w:cs="Times New Roman"/>
          <w:sz w:val="24"/>
          <w:szCs w:val="24"/>
        </w:rPr>
        <w:t xml:space="preserve"> zo štátneho rozpočtu</w:t>
      </w:r>
      <w:r w:rsidR="00D74F59" w:rsidRPr="007577DE">
        <w:rPr>
          <w:rFonts w:ascii="Times New Roman" w:hAnsi="Times New Roman" w:cs="Times New Roman"/>
          <w:sz w:val="24"/>
          <w:szCs w:val="24"/>
        </w:rPr>
        <w:t>.</w:t>
      </w:r>
      <w:r w:rsidR="003B1A29" w:rsidRPr="007577DE">
        <w:rPr>
          <w:rFonts w:ascii="Times New Roman" w:hAnsi="Times New Roman" w:cs="Times New Roman"/>
          <w:sz w:val="24"/>
          <w:szCs w:val="24"/>
        </w:rPr>
        <w:t xml:space="preserve"> </w:t>
      </w:r>
    </w:p>
    <w:p w14:paraId="5932DF71" w14:textId="28BBCD10" w:rsidR="00DE2B59" w:rsidRPr="007577DE" w:rsidRDefault="00DE2B59" w:rsidP="00411EEA">
      <w:pPr>
        <w:jc w:val="both"/>
        <w:rPr>
          <w:rFonts w:ascii="Times New Roman" w:hAnsi="Times New Roman" w:cs="Times New Roman"/>
          <w:sz w:val="24"/>
          <w:szCs w:val="24"/>
        </w:rPr>
      </w:pPr>
      <w:r w:rsidRPr="007577DE">
        <w:rPr>
          <w:rFonts w:ascii="Times New Roman" w:hAnsi="Times New Roman" w:cs="Times New Roman"/>
          <w:sz w:val="24"/>
          <w:szCs w:val="24"/>
        </w:rPr>
        <w:t>Výstavba nových budov</w:t>
      </w:r>
      <w:r w:rsidR="00A17E88" w:rsidRPr="007577DE">
        <w:rPr>
          <w:rFonts w:ascii="Times New Roman" w:hAnsi="Times New Roman" w:cs="Times New Roman"/>
          <w:sz w:val="24"/>
          <w:szCs w:val="24"/>
        </w:rPr>
        <w:t>,</w:t>
      </w:r>
      <w:r w:rsidRPr="007577DE">
        <w:rPr>
          <w:rFonts w:ascii="Times New Roman" w:hAnsi="Times New Roman" w:cs="Times New Roman"/>
          <w:sz w:val="24"/>
          <w:szCs w:val="24"/>
        </w:rPr>
        <w:t xml:space="preserve"> ako aj požiadavky na významnú obnovu existujúcic</w:t>
      </w:r>
      <w:r w:rsidR="00141EDF" w:rsidRPr="007577DE">
        <w:rPr>
          <w:rFonts w:ascii="Times New Roman" w:hAnsi="Times New Roman" w:cs="Times New Roman"/>
          <w:sz w:val="24"/>
          <w:szCs w:val="24"/>
        </w:rPr>
        <w:t>h budov sú ustanovené zákonom č.</w:t>
      </w:r>
      <w:r w:rsidRPr="007577DE">
        <w:rPr>
          <w:rFonts w:ascii="Times New Roman" w:hAnsi="Times New Roman" w:cs="Times New Roman"/>
          <w:sz w:val="24"/>
          <w:szCs w:val="24"/>
        </w:rPr>
        <w:t xml:space="preserve"> 555/2005 Z. z. o energetickej hospodárnosti budov a vykonávacími predpismi k tomuto zákonu. </w:t>
      </w:r>
      <w:r w:rsidR="00141EDF" w:rsidRPr="007577DE">
        <w:rPr>
          <w:rFonts w:ascii="Times New Roman" w:hAnsi="Times New Roman" w:cs="Times New Roman"/>
          <w:sz w:val="24"/>
          <w:szCs w:val="24"/>
        </w:rPr>
        <w:t xml:space="preserve">Na základe zvyšovania informovanosti a poskytovania poradenstva cieľovým skupinám napr. aj prostredníctvom národného projektu Žiť energiou, ktorý realizovala SIEA v rokoch 2014-2016 boli budovy postavené alebo obnovené nad rámec minimálnych požiadaviek, čo prispelo k úsporám energie v budovách na bývanie a poskytovanie komerčných služieb vyčísliteľným prostredníctvom systému INFOREG, ktorý slúži na vydávanie certifikátov budov. </w:t>
      </w:r>
      <w:r w:rsidR="00E67FF3" w:rsidRPr="007577DE">
        <w:rPr>
          <w:rFonts w:ascii="Times New Roman" w:hAnsi="Times New Roman" w:cs="Times New Roman"/>
          <w:sz w:val="24"/>
          <w:szCs w:val="24"/>
        </w:rPr>
        <w:t xml:space="preserve">V rokoch 2014-2016 bolo vydaných </w:t>
      </w:r>
      <w:r w:rsidR="00D555FE">
        <w:rPr>
          <w:rFonts w:ascii="Times New Roman" w:hAnsi="Times New Roman" w:cs="Times New Roman"/>
          <w:sz w:val="24"/>
          <w:szCs w:val="24"/>
        </w:rPr>
        <w:t xml:space="preserve">celkovo </w:t>
      </w:r>
      <w:r w:rsidR="00B85763" w:rsidRPr="007577DE">
        <w:rPr>
          <w:rFonts w:ascii="Times New Roman" w:hAnsi="Times New Roman" w:cs="Times New Roman"/>
          <w:sz w:val="24"/>
          <w:szCs w:val="24"/>
        </w:rPr>
        <w:t>4</w:t>
      </w:r>
      <w:r w:rsidR="00E6252B" w:rsidRPr="007577DE">
        <w:rPr>
          <w:rFonts w:ascii="Times New Roman" w:hAnsi="Times New Roman" w:cs="Times New Roman"/>
          <w:sz w:val="24"/>
          <w:szCs w:val="24"/>
        </w:rPr>
        <w:t xml:space="preserve">4 371 </w:t>
      </w:r>
      <w:r w:rsidR="00082781" w:rsidRPr="007577DE">
        <w:rPr>
          <w:rFonts w:ascii="Times New Roman" w:hAnsi="Times New Roman" w:cs="Times New Roman"/>
          <w:sz w:val="24"/>
          <w:szCs w:val="24"/>
        </w:rPr>
        <w:t xml:space="preserve">energetických </w:t>
      </w:r>
      <w:r w:rsidR="00E67FF3" w:rsidRPr="007577DE">
        <w:rPr>
          <w:rFonts w:ascii="Times New Roman" w:hAnsi="Times New Roman" w:cs="Times New Roman"/>
          <w:sz w:val="24"/>
          <w:szCs w:val="24"/>
        </w:rPr>
        <w:t>certifikátov.</w:t>
      </w:r>
    </w:p>
    <w:p w14:paraId="3FB7EDD8" w14:textId="29D87F27" w:rsidR="00D11389" w:rsidRPr="007577DE" w:rsidRDefault="00D11389" w:rsidP="00411EEA">
      <w:pPr>
        <w:jc w:val="both"/>
        <w:rPr>
          <w:rFonts w:ascii="Times New Roman" w:hAnsi="Times New Roman" w:cs="Times New Roman"/>
          <w:sz w:val="24"/>
          <w:szCs w:val="24"/>
        </w:rPr>
      </w:pPr>
      <w:r w:rsidRPr="007577DE">
        <w:rPr>
          <w:rFonts w:ascii="Times New Roman" w:hAnsi="Times New Roman" w:cs="Times New Roman"/>
          <w:sz w:val="24"/>
          <w:szCs w:val="24"/>
        </w:rPr>
        <w:t xml:space="preserve">Aplikáciou ustanovení zákona č. 321/2014 Z. z. o energetickej efektívnosti s účinnosťou od 1. decembra 2014 boli postupne vykonávané opatrenia na úsporu energie na technických zariadeniach budov a to najmä </w:t>
      </w:r>
      <w:r w:rsidR="00E67FF3" w:rsidRPr="007577DE">
        <w:rPr>
          <w:rFonts w:ascii="Times New Roman" w:hAnsi="Times New Roman" w:cs="Times New Roman"/>
          <w:sz w:val="24"/>
          <w:szCs w:val="24"/>
        </w:rPr>
        <w:t xml:space="preserve">povinným </w:t>
      </w:r>
      <w:r w:rsidRPr="007577DE">
        <w:rPr>
          <w:rFonts w:ascii="Times New Roman" w:hAnsi="Times New Roman" w:cs="Times New Roman"/>
          <w:sz w:val="24"/>
          <w:szCs w:val="24"/>
        </w:rPr>
        <w:t>hydraulickým vyregulovaním rozvodov tepla a teplej vody a</w:t>
      </w:r>
      <w:r w:rsidR="0020622D" w:rsidRPr="007577DE">
        <w:rPr>
          <w:rFonts w:ascii="Times New Roman" w:hAnsi="Times New Roman" w:cs="Times New Roman"/>
          <w:sz w:val="24"/>
          <w:szCs w:val="24"/>
        </w:rPr>
        <w:t> zabezpeč</w:t>
      </w:r>
      <w:r w:rsidR="004A579A" w:rsidRPr="007577DE">
        <w:rPr>
          <w:rFonts w:ascii="Times New Roman" w:hAnsi="Times New Roman" w:cs="Times New Roman"/>
          <w:sz w:val="24"/>
          <w:szCs w:val="24"/>
        </w:rPr>
        <w:t>en</w:t>
      </w:r>
      <w:r w:rsidR="0020622D" w:rsidRPr="007577DE">
        <w:rPr>
          <w:rFonts w:ascii="Times New Roman" w:hAnsi="Times New Roman" w:cs="Times New Roman"/>
          <w:sz w:val="24"/>
          <w:szCs w:val="24"/>
        </w:rPr>
        <w:t xml:space="preserve">ím </w:t>
      </w:r>
      <w:r w:rsidRPr="007577DE">
        <w:rPr>
          <w:rFonts w:ascii="Times New Roman" w:hAnsi="Times New Roman" w:cs="Times New Roman"/>
          <w:sz w:val="24"/>
          <w:szCs w:val="24"/>
        </w:rPr>
        <w:t xml:space="preserve">rozvodov teplej vody vhodnou </w:t>
      </w:r>
      <w:r w:rsidR="0020622D" w:rsidRPr="007577DE">
        <w:rPr>
          <w:rFonts w:ascii="Times New Roman" w:hAnsi="Times New Roman" w:cs="Times New Roman"/>
          <w:sz w:val="24"/>
          <w:szCs w:val="24"/>
        </w:rPr>
        <w:t xml:space="preserve">tepelnou </w:t>
      </w:r>
      <w:r w:rsidRPr="007577DE">
        <w:rPr>
          <w:rFonts w:ascii="Times New Roman" w:hAnsi="Times New Roman" w:cs="Times New Roman"/>
          <w:sz w:val="24"/>
          <w:szCs w:val="24"/>
        </w:rPr>
        <w:t xml:space="preserve">izoláciou. </w:t>
      </w:r>
    </w:p>
    <w:p w14:paraId="0E2C5D86" w14:textId="22A1037E" w:rsidR="00D11389" w:rsidRPr="007577DE" w:rsidRDefault="00D11389" w:rsidP="00411EEA">
      <w:pPr>
        <w:jc w:val="both"/>
        <w:rPr>
          <w:rFonts w:ascii="Times New Roman" w:hAnsi="Times New Roman" w:cs="Times New Roman"/>
          <w:sz w:val="24"/>
          <w:szCs w:val="24"/>
        </w:rPr>
      </w:pPr>
      <w:r w:rsidRPr="007577DE">
        <w:rPr>
          <w:rFonts w:ascii="Times New Roman" w:hAnsi="Times New Roman" w:cs="Times New Roman"/>
          <w:sz w:val="24"/>
          <w:szCs w:val="24"/>
        </w:rPr>
        <w:lastRenderedPageBreak/>
        <w:t xml:space="preserve">Novelizáciou zákona </w:t>
      </w:r>
      <w:r w:rsidR="00B215D3" w:rsidRPr="007577DE">
        <w:rPr>
          <w:rFonts w:ascii="Times New Roman" w:hAnsi="Times New Roman" w:cs="Times New Roman"/>
          <w:sz w:val="24"/>
          <w:szCs w:val="24"/>
        </w:rPr>
        <w:t xml:space="preserve">č. 657/2004 Z. z. </w:t>
      </w:r>
      <w:r w:rsidRPr="007577DE">
        <w:rPr>
          <w:rFonts w:ascii="Times New Roman" w:hAnsi="Times New Roman" w:cs="Times New Roman"/>
          <w:sz w:val="24"/>
          <w:szCs w:val="24"/>
        </w:rPr>
        <w:t>o</w:t>
      </w:r>
      <w:r w:rsidR="00DE2B59" w:rsidRPr="007577DE">
        <w:rPr>
          <w:rFonts w:ascii="Times New Roman" w:hAnsi="Times New Roman" w:cs="Times New Roman"/>
          <w:sz w:val="24"/>
          <w:szCs w:val="24"/>
        </w:rPr>
        <w:t> </w:t>
      </w:r>
      <w:r w:rsidRPr="007577DE">
        <w:rPr>
          <w:rFonts w:ascii="Times New Roman" w:hAnsi="Times New Roman" w:cs="Times New Roman"/>
          <w:sz w:val="24"/>
          <w:szCs w:val="24"/>
        </w:rPr>
        <w:t xml:space="preserve">tepelnej energetike, boli ustanovené povinnosti </w:t>
      </w:r>
      <w:r w:rsidR="0020622D" w:rsidRPr="007577DE">
        <w:rPr>
          <w:rFonts w:ascii="Times New Roman" w:hAnsi="Times New Roman" w:cs="Times New Roman"/>
          <w:sz w:val="24"/>
          <w:szCs w:val="24"/>
        </w:rPr>
        <w:t xml:space="preserve">v súvislosti s inštaláciou merania množstva teplej vody a množstva tepla na vykurovanie pre konečných spotrebiteľov, ktorými sú najmä byty v bytových domoch </w:t>
      </w:r>
      <w:r w:rsidR="00525505" w:rsidRPr="007577DE">
        <w:rPr>
          <w:rFonts w:ascii="Times New Roman" w:hAnsi="Times New Roman" w:cs="Times New Roman"/>
          <w:sz w:val="24"/>
          <w:szCs w:val="24"/>
        </w:rPr>
        <w:t xml:space="preserve">aj </w:t>
      </w:r>
      <w:r w:rsidRPr="007577DE">
        <w:rPr>
          <w:rFonts w:ascii="Times New Roman" w:hAnsi="Times New Roman" w:cs="Times New Roman"/>
          <w:sz w:val="24"/>
          <w:szCs w:val="24"/>
        </w:rPr>
        <w:t>pre budovy s</w:t>
      </w:r>
      <w:r w:rsidR="00DE2B59" w:rsidRPr="007577DE">
        <w:rPr>
          <w:rFonts w:ascii="Times New Roman" w:hAnsi="Times New Roman" w:cs="Times New Roman"/>
          <w:sz w:val="24"/>
          <w:szCs w:val="24"/>
        </w:rPr>
        <w:t> </w:t>
      </w:r>
      <w:r w:rsidRPr="007577DE">
        <w:rPr>
          <w:rFonts w:ascii="Times New Roman" w:hAnsi="Times New Roman" w:cs="Times New Roman"/>
          <w:sz w:val="24"/>
          <w:szCs w:val="24"/>
        </w:rPr>
        <w:t>tzv. vlastnými plynovými kotolňami</w:t>
      </w:r>
      <w:r w:rsidR="00525505" w:rsidRPr="007577DE">
        <w:rPr>
          <w:rFonts w:ascii="Times New Roman" w:hAnsi="Times New Roman" w:cs="Times New Roman"/>
          <w:sz w:val="24"/>
          <w:szCs w:val="24"/>
        </w:rPr>
        <w:t>. Inštaláciou meradiel sa najmä domácnosti začali viacej venovať sledovaniu spotreby energie, čo  prispelo najmä k</w:t>
      </w:r>
      <w:r w:rsidR="00DE2B59" w:rsidRPr="007577DE">
        <w:rPr>
          <w:rFonts w:ascii="Times New Roman" w:hAnsi="Times New Roman" w:cs="Times New Roman"/>
          <w:sz w:val="24"/>
          <w:szCs w:val="24"/>
        </w:rPr>
        <w:t> </w:t>
      </w:r>
      <w:r w:rsidR="00525505" w:rsidRPr="007577DE">
        <w:rPr>
          <w:rFonts w:ascii="Times New Roman" w:hAnsi="Times New Roman" w:cs="Times New Roman"/>
          <w:sz w:val="24"/>
          <w:szCs w:val="24"/>
        </w:rPr>
        <w:t>úsporám tepla na vykurovanie a</w:t>
      </w:r>
      <w:r w:rsidR="00DE2B59" w:rsidRPr="007577DE">
        <w:rPr>
          <w:rFonts w:ascii="Times New Roman" w:hAnsi="Times New Roman" w:cs="Times New Roman"/>
          <w:sz w:val="24"/>
          <w:szCs w:val="24"/>
        </w:rPr>
        <w:t> </w:t>
      </w:r>
      <w:r w:rsidR="00525505" w:rsidRPr="007577DE">
        <w:rPr>
          <w:rFonts w:ascii="Times New Roman" w:hAnsi="Times New Roman" w:cs="Times New Roman"/>
          <w:sz w:val="24"/>
          <w:szCs w:val="24"/>
        </w:rPr>
        <w:t xml:space="preserve">prípravu teplej vody. </w:t>
      </w:r>
    </w:p>
    <w:p w14:paraId="36524459" w14:textId="67063F0C" w:rsidR="00525505" w:rsidRPr="007577DE" w:rsidRDefault="00DE2B59" w:rsidP="00411EEA">
      <w:pPr>
        <w:jc w:val="both"/>
        <w:rPr>
          <w:rFonts w:ascii="Times New Roman" w:hAnsi="Times New Roman" w:cs="Times New Roman"/>
          <w:sz w:val="24"/>
          <w:szCs w:val="24"/>
        </w:rPr>
      </w:pPr>
      <w:r w:rsidRPr="007577DE">
        <w:rPr>
          <w:rFonts w:ascii="Times New Roman" w:hAnsi="Times New Roman" w:cs="Times New Roman"/>
          <w:sz w:val="24"/>
          <w:szCs w:val="24"/>
        </w:rPr>
        <w:t>K opatreniam na úsporu energie v budovách prispieva aj legislatívna podpora pre rozvoj energetických služieb a to najmä ustanovením konkrétnych transparentných podmienok ich poskytovania.</w:t>
      </w:r>
    </w:p>
    <w:p w14:paraId="0013993D" w14:textId="13AD6A47" w:rsidR="00D44064" w:rsidRPr="007577DE" w:rsidRDefault="00D44064" w:rsidP="00411EEA">
      <w:pPr>
        <w:jc w:val="both"/>
        <w:rPr>
          <w:rFonts w:ascii="Times New Roman" w:hAnsi="Times New Roman" w:cs="Times New Roman"/>
          <w:sz w:val="24"/>
          <w:szCs w:val="24"/>
        </w:rPr>
      </w:pPr>
      <w:r w:rsidRPr="007577DE">
        <w:rPr>
          <w:rFonts w:ascii="Times New Roman" w:hAnsi="Times New Roman" w:cs="Times New Roman"/>
          <w:sz w:val="24"/>
          <w:szCs w:val="24"/>
        </w:rPr>
        <w:t>Podrobné vyhodnotenie opatrení energetickej efektívnosti v sektore budov je uvedené v prílohe č. 1 tab. P1-1.</w:t>
      </w:r>
      <w:r w:rsidR="00D471E9" w:rsidRPr="007577DE">
        <w:rPr>
          <w:rFonts w:ascii="Times New Roman" w:hAnsi="Times New Roman" w:cs="Times New Roman"/>
          <w:sz w:val="24"/>
          <w:szCs w:val="24"/>
        </w:rPr>
        <w:t xml:space="preserve"> </w:t>
      </w:r>
      <w:r w:rsidR="00E67FF3" w:rsidRPr="007577DE">
        <w:rPr>
          <w:rFonts w:ascii="Times New Roman" w:hAnsi="Times New Roman" w:cs="Times New Roman"/>
          <w:sz w:val="24"/>
          <w:szCs w:val="24"/>
        </w:rPr>
        <w:t xml:space="preserve">Niektoré významné </w:t>
      </w:r>
      <w:r w:rsidR="00D471E9" w:rsidRPr="007577DE">
        <w:rPr>
          <w:rFonts w:ascii="Times New Roman" w:hAnsi="Times New Roman" w:cs="Times New Roman"/>
          <w:sz w:val="24"/>
          <w:szCs w:val="24"/>
        </w:rPr>
        <w:t xml:space="preserve">podporné opatrenia, ktoré prispievajú k plneniu cieľov opatrení energetickej efektívnosti v sektore budov sa individuálne nevyhodnocujú z dôvodu zamedzenia dvojitému započítavaniu úspor energie. Prehľad podporných opatrení je uvedený v prílohe č. 1 tab. P1-2. </w:t>
      </w:r>
    </w:p>
    <w:p w14:paraId="5F1F6550" w14:textId="160FCB1F" w:rsidR="00BF111E" w:rsidRDefault="00BF111E">
      <w:pPr>
        <w:rPr>
          <w:rFonts w:ascii="Times New Roman" w:eastAsiaTheme="majorEastAsia" w:hAnsi="Times New Roman" w:cs="Times New Roman"/>
          <w:b/>
          <w:bCs/>
          <w:color w:val="5B9BD5" w:themeColor="accent1"/>
        </w:rPr>
      </w:pPr>
    </w:p>
    <w:p w14:paraId="5B902761" w14:textId="322477D5" w:rsidR="001D5205" w:rsidRPr="000578FE" w:rsidRDefault="001D5205" w:rsidP="00AF5415">
      <w:pPr>
        <w:pStyle w:val="Nadpis3"/>
        <w:keepNext w:val="0"/>
        <w:keepLines w:val="0"/>
        <w:numPr>
          <w:ilvl w:val="2"/>
          <w:numId w:val="32"/>
        </w:numPr>
        <w:rPr>
          <w:rFonts w:ascii="Times New Roman" w:hAnsi="Times New Roman" w:cs="Times New Roman"/>
          <w:color w:val="auto"/>
        </w:rPr>
      </w:pPr>
      <w:bookmarkStart w:id="46" w:name="_Toc477345348"/>
      <w:r w:rsidRPr="000578FE">
        <w:rPr>
          <w:rFonts w:ascii="Times New Roman" w:hAnsi="Times New Roman" w:cs="Times New Roman"/>
          <w:color w:val="auto"/>
        </w:rPr>
        <w:t>Opatrenia energetickej efektívnosti v sektore priemysel</w:t>
      </w:r>
      <w:bookmarkEnd w:id="46"/>
    </w:p>
    <w:p w14:paraId="4711A7F7" w14:textId="77777777" w:rsidR="00CD05EA" w:rsidRPr="009F2998" w:rsidRDefault="00CD05EA" w:rsidP="00B64D7F">
      <w:pPr>
        <w:pStyle w:val="Nadpis4"/>
        <w:numPr>
          <w:ilvl w:val="0"/>
          <w:numId w:val="0"/>
        </w:numPr>
        <w:rPr>
          <w:rFonts w:ascii="Times New Roman" w:hAnsi="Times New Roman" w:cs="Times New Roman"/>
        </w:rPr>
      </w:pPr>
    </w:p>
    <w:p w14:paraId="52292B97" w14:textId="599DC0F8" w:rsidR="00CD05EA" w:rsidRPr="000745A8" w:rsidRDefault="00CD05EA" w:rsidP="00CD05EA">
      <w:pPr>
        <w:jc w:val="both"/>
        <w:rPr>
          <w:rFonts w:ascii="Times New Roman" w:hAnsi="Times New Roman" w:cs="Times New Roman"/>
          <w:sz w:val="24"/>
          <w:szCs w:val="24"/>
        </w:rPr>
      </w:pPr>
      <w:r w:rsidRPr="000745A8">
        <w:rPr>
          <w:rFonts w:ascii="Times New Roman" w:hAnsi="Times New Roman" w:cs="Times New Roman"/>
          <w:sz w:val="24"/>
          <w:szCs w:val="24"/>
        </w:rPr>
        <w:t xml:space="preserve">Opatrenia energetickej efektívnosti v sektore </w:t>
      </w:r>
      <w:r w:rsidR="00887867" w:rsidRPr="000745A8">
        <w:rPr>
          <w:rFonts w:ascii="Times New Roman" w:hAnsi="Times New Roman" w:cs="Times New Roman"/>
          <w:sz w:val="24"/>
          <w:szCs w:val="24"/>
        </w:rPr>
        <w:t>priemysel</w:t>
      </w:r>
      <w:r w:rsidRPr="000745A8">
        <w:rPr>
          <w:rFonts w:ascii="Times New Roman" w:hAnsi="Times New Roman" w:cs="Times New Roman"/>
          <w:sz w:val="24"/>
          <w:szCs w:val="24"/>
        </w:rPr>
        <w:t xml:space="preserve"> sú zamerané najmä na</w:t>
      </w:r>
      <w:r w:rsidR="00887867" w:rsidRPr="000745A8">
        <w:rPr>
          <w:rFonts w:ascii="Times New Roman" w:hAnsi="Times New Roman" w:cs="Times New Roman"/>
          <w:sz w:val="24"/>
          <w:szCs w:val="24"/>
        </w:rPr>
        <w:t xml:space="preserve"> znižovanie energetickej náročnosti priemyselnej výroby prostredníctvom</w:t>
      </w:r>
      <w:r w:rsidRPr="000745A8">
        <w:rPr>
          <w:rFonts w:ascii="Times New Roman" w:hAnsi="Times New Roman" w:cs="Times New Roman"/>
          <w:sz w:val="24"/>
          <w:szCs w:val="24"/>
        </w:rPr>
        <w:t>:</w:t>
      </w:r>
    </w:p>
    <w:p w14:paraId="6F942C98" w14:textId="2BB452E4" w:rsidR="00887867" w:rsidRPr="000745A8" w:rsidRDefault="00375311" w:rsidP="008F19ED">
      <w:pPr>
        <w:pStyle w:val="Odsekzoznamu"/>
        <w:numPr>
          <w:ilvl w:val="0"/>
          <w:numId w:val="6"/>
        </w:numPr>
        <w:jc w:val="both"/>
        <w:rPr>
          <w:rFonts w:ascii="Times New Roman" w:hAnsi="Times New Roman" w:cs="Times New Roman"/>
          <w:sz w:val="24"/>
          <w:szCs w:val="24"/>
        </w:rPr>
      </w:pPr>
      <w:r w:rsidRPr="000745A8">
        <w:rPr>
          <w:rFonts w:ascii="Times New Roman" w:hAnsi="Times New Roman" w:cs="Times New Roman"/>
          <w:sz w:val="24"/>
          <w:szCs w:val="24"/>
        </w:rPr>
        <w:t xml:space="preserve">podpory </w:t>
      </w:r>
      <w:r w:rsidR="00887867" w:rsidRPr="000745A8">
        <w:rPr>
          <w:rFonts w:ascii="Times New Roman" w:hAnsi="Times New Roman" w:cs="Times New Roman"/>
          <w:sz w:val="24"/>
          <w:szCs w:val="24"/>
        </w:rPr>
        <w:t xml:space="preserve">inovácií a technologických transferov v priemyselných podnikoch </w:t>
      </w:r>
      <w:r w:rsidR="001C68B1" w:rsidRPr="000745A8">
        <w:rPr>
          <w:rFonts w:ascii="Times New Roman" w:hAnsi="Times New Roman" w:cs="Times New Roman"/>
          <w:sz w:val="24"/>
          <w:szCs w:val="24"/>
        </w:rPr>
        <w:br/>
      </w:r>
      <w:r w:rsidR="00887867" w:rsidRPr="000745A8">
        <w:rPr>
          <w:rFonts w:ascii="Times New Roman" w:hAnsi="Times New Roman" w:cs="Times New Roman"/>
          <w:sz w:val="24"/>
          <w:szCs w:val="24"/>
        </w:rPr>
        <w:t>(výrobné linky a technológie),</w:t>
      </w:r>
    </w:p>
    <w:p w14:paraId="4168D351" w14:textId="3FDCAC33" w:rsidR="00887867" w:rsidRPr="000745A8" w:rsidRDefault="00375311" w:rsidP="008F19ED">
      <w:pPr>
        <w:pStyle w:val="Odsekzoznamu"/>
        <w:numPr>
          <w:ilvl w:val="0"/>
          <w:numId w:val="6"/>
        </w:numPr>
        <w:jc w:val="both"/>
        <w:rPr>
          <w:rFonts w:ascii="Times New Roman" w:hAnsi="Times New Roman" w:cs="Times New Roman"/>
          <w:sz w:val="24"/>
          <w:szCs w:val="24"/>
        </w:rPr>
      </w:pPr>
      <w:r w:rsidRPr="000745A8">
        <w:rPr>
          <w:rFonts w:ascii="Times New Roman" w:hAnsi="Times New Roman" w:cs="Times New Roman"/>
          <w:sz w:val="24"/>
          <w:szCs w:val="24"/>
        </w:rPr>
        <w:t xml:space="preserve">podpory </w:t>
      </w:r>
      <w:r w:rsidR="00887867" w:rsidRPr="000745A8">
        <w:rPr>
          <w:rFonts w:ascii="Times New Roman" w:hAnsi="Times New Roman" w:cs="Times New Roman"/>
          <w:sz w:val="24"/>
          <w:szCs w:val="24"/>
        </w:rPr>
        <w:t>opatren</w:t>
      </w:r>
      <w:r w:rsidRPr="000745A8">
        <w:rPr>
          <w:rFonts w:ascii="Times New Roman" w:hAnsi="Times New Roman" w:cs="Times New Roman"/>
          <w:sz w:val="24"/>
          <w:szCs w:val="24"/>
        </w:rPr>
        <w:t>í</w:t>
      </w:r>
      <w:r w:rsidR="00887867" w:rsidRPr="000745A8">
        <w:rPr>
          <w:rFonts w:ascii="Times New Roman" w:hAnsi="Times New Roman" w:cs="Times New Roman"/>
          <w:sz w:val="24"/>
          <w:szCs w:val="24"/>
        </w:rPr>
        <w:t xml:space="preserve"> v oblasti využívania energie v priemyselných podnikoch </w:t>
      </w:r>
      <w:r w:rsidR="001C68B1" w:rsidRPr="000745A8">
        <w:rPr>
          <w:rFonts w:ascii="Times New Roman" w:hAnsi="Times New Roman" w:cs="Times New Roman"/>
          <w:sz w:val="24"/>
          <w:szCs w:val="24"/>
        </w:rPr>
        <w:br/>
      </w:r>
      <w:r w:rsidR="00887867" w:rsidRPr="000745A8">
        <w:rPr>
          <w:rFonts w:ascii="Times New Roman" w:hAnsi="Times New Roman" w:cs="Times New Roman"/>
          <w:sz w:val="24"/>
          <w:szCs w:val="24"/>
        </w:rPr>
        <w:t>(priemyselná energetika),</w:t>
      </w:r>
    </w:p>
    <w:p w14:paraId="08E8DAB7" w14:textId="62DE5F0F" w:rsidR="00CD05EA" w:rsidRDefault="00375311" w:rsidP="008F19ED">
      <w:pPr>
        <w:pStyle w:val="Odsekzoznamu"/>
        <w:numPr>
          <w:ilvl w:val="0"/>
          <w:numId w:val="6"/>
        </w:numPr>
        <w:jc w:val="both"/>
        <w:rPr>
          <w:rFonts w:ascii="Times New Roman" w:hAnsi="Times New Roman" w:cs="Times New Roman"/>
          <w:sz w:val="24"/>
          <w:szCs w:val="24"/>
        </w:rPr>
      </w:pPr>
      <w:r w:rsidRPr="000745A8">
        <w:rPr>
          <w:rFonts w:ascii="Times New Roman" w:hAnsi="Times New Roman" w:cs="Times New Roman"/>
          <w:sz w:val="24"/>
          <w:szCs w:val="24"/>
        </w:rPr>
        <w:t>realizácie opatrení na základe výsledkov povinných energetických auditov</w:t>
      </w:r>
      <w:r w:rsidR="00D20B44" w:rsidRPr="000745A8">
        <w:rPr>
          <w:rFonts w:ascii="Times New Roman" w:hAnsi="Times New Roman" w:cs="Times New Roman"/>
          <w:sz w:val="24"/>
          <w:szCs w:val="24"/>
        </w:rPr>
        <w:t xml:space="preserve"> a využívania </w:t>
      </w:r>
      <w:r w:rsidR="00887867" w:rsidRPr="000745A8">
        <w:rPr>
          <w:rFonts w:ascii="Times New Roman" w:hAnsi="Times New Roman" w:cs="Times New Roman"/>
          <w:sz w:val="24"/>
          <w:szCs w:val="24"/>
        </w:rPr>
        <w:t>podporný</w:t>
      </w:r>
      <w:r w:rsidRPr="000745A8">
        <w:rPr>
          <w:rFonts w:ascii="Times New Roman" w:hAnsi="Times New Roman" w:cs="Times New Roman"/>
          <w:sz w:val="24"/>
          <w:szCs w:val="24"/>
        </w:rPr>
        <w:t xml:space="preserve">ch </w:t>
      </w:r>
      <w:r w:rsidR="00887867" w:rsidRPr="000745A8">
        <w:rPr>
          <w:rFonts w:ascii="Times New Roman" w:hAnsi="Times New Roman" w:cs="Times New Roman"/>
          <w:sz w:val="24"/>
          <w:szCs w:val="24"/>
        </w:rPr>
        <w:t>nástroj</w:t>
      </w:r>
      <w:r w:rsidRPr="000745A8">
        <w:rPr>
          <w:rFonts w:ascii="Times New Roman" w:hAnsi="Times New Roman" w:cs="Times New Roman"/>
          <w:sz w:val="24"/>
          <w:szCs w:val="24"/>
        </w:rPr>
        <w:t>ov na znižovanie energetickej náročnosti priemyselnej výroby</w:t>
      </w:r>
      <w:r w:rsidR="00D20B44" w:rsidRPr="000745A8">
        <w:rPr>
          <w:rFonts w:ascii="Times New Roman" w:hAnsi="Times New Roman" w:cs="Times New Roman"/>
          <w:sz w:val="24"/>
          <w:szCs w:val="24"/>
        </w:rPr>
        <w:t>.</w:t>
      </w:r>
    </w:p>
    <w:p w14:paraId="786AA87B" w14:textId="77777777" w:rsidR="009E7DCA" w:rsidRDefault="009E7DCA" w:rsidP="000578FE">
      <w:pPr>
        <w:pStyle w:val="Odsekzoznamu"/>
        <w:jc w:val="both"/>
        <w:rPr>
          <w:rFonts w:ascii="Times New Roman" w:hAnsi="Times New Roman" w:cs="Times New Roman"/>
          <w:sz w:val="24"/>
          <w:szCs w:val="24"/>
        </w:rPr>
      </w:pPr>
    </w:p>
    <w:p w14:paraId="4057E953" w14:textId="310B74A9" w:rsidR="009E7DCA" w:rsidRPr="000578FE" w:rsidRDefault="009E7DCA" w:rsidP="000578FE">
      <w:pPr>
        <w:keepNext/>
        <w:jc w:val="both"/>
        <w:rPr>
          <w:rFonts w:ascii="Times New Roman" w:hAnsi="Times New Roman" w:cs="Times New Roman"/>
          <w:sz w:val="24"/>
          <w:szCs w:val="24"/>
        </w:rPr>
      </w:pPr>
      <w:r w:rsidRPr="009E7DCA">
        <w:rPr>
          <w:rFonts w:ascii="Times New Roman" w:hAnsi="Times New Roman" w:cs="Times New Roman"/>
          <w:sz w:val="24"/>
          <w:szCs w:val="24"/>
        </w:rPr>
        <w:t xml:space="preserve">Graf č. </w:t>
      </w:r>
      <w:r w:rsidR="00AE42A2">
        <w:rPr>
          <w:rFonts w:ascii="Times New Roman" w:hAnsi="Times New Roman" w:cs="Times New Roman"/>
          <w:sz w:val="24"/>
          <w:szCs w:val="24"/>
        </w:rPr>
        <w:t>8</w:t>
      </w:r>
      <w:r w:rsidRPr="009E7DCA">
        <w:rPr>
          <w:rFonts w:ascii="Times New Roman" w:hAnsi="Times New Roman" w:cs="Times New Roman"/>
          <w:sz w:val="24"/>
          <w:szCs w:val="24"/>
        </w:rPr>
        <w:t xml:space="preserve">: </w:t>
      </w:r>
      <w:r w:rsidRPr="000578FE">
        <w:rPr>
          <w:rFonts w:ascii="Times New Roman" w:hAnsi="Times New Roman" w:cs="Times New Roman"/>
          <w:sz w:val="24"/>
          <w:szCs w:val="24"/>
        </w:rPr>
        <w:t>Zníženie konečnej energetickej spotreby  v sektore priemysel - podiel skupín opatrení na plnení cieľa v rokoch 2014-2016</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3"/>
        <w:gridCol w:w="5329"/>
      </w:tblGrid>
      <w:tr w:rsidR="00FE5933" w:rsidRPr="009F2998" w14:paraId="7CE13EC0" w14:textId="77777777" w:rsidTr="00AC7FF7">
        <w:trPr>
          <w:trHeight w:val="3606"/>
        </w:trPr>
        <w:tc>
          <w:tcPr>
            <w:tcW w:w="2063" w:type="pct"/>
          </w:tcPr>
          <w:p w14:paraId="5A29E772" w14:textId="1EB45B1A" w:rsidR="00FE5933" w:rsidRPr="009F2998" w:rsidRDefault="00FE5933" w:rsidP="00FE5933">
            <w:pPr>
              <w:jc w:val="center"/>
              <w:rPr>
                <w:rFonts w:ascii="Times New Roman" w:hAnsi="Times New Roman" w:cs="Times New Roman"/>
              </w:rPr>
            </w:pPr>
            <w:r w:rsidRPr="009F2998">
              <w:rPr>
                <w:rFonts w:ascii="Times New Roman" w:hAnsi="Times New Roman" w:cs="Times New Roman"/>
                <w:noProof/>
                <w:lang w:eastAsia="sk-SK"/>
              </w:rPr>
              <w:drawing>
                <wp:anchor distT="0" distB="0" distL="114300" distR="114300" simplePos="0" relativeHeight="251657216" behindDoc="1" locked="0" layoutInCell="1" allowOverlap="1" wp14:anchorId="7DCFDB83" wp14:editId="600D3120">
                  <wp:simplePos x="0" y="0"/>
                  <wp:positionH relativeFrom="margin">
                    <wp:posOffset>187960</wp:posOffset>
                  </wp:positionH>
                  <wp:positionV relativeFrom="paragraph">
                    <wp:posOffset>92710</wp:posOffset>
                  </wp:positionV>
                  <wp:extent cx="2225675" cy="2085975"/>
                  <wp:effectExtent l="0" t="0" r="3175" b="0"/>
                  <wp:wrapNone/>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c>
        <w:tc>
          <w:tcPr>
            <w:tcW w:w="2937" w:type="pct"/>
          </w:tcPr>
          <w:tbl>
            <w:tblPr>
              <w:tblpPr w:leftFromText="141" w:rightFromText="141" w:vertAnchor="text" w:horzAnchor="margin" w:tblpY="932"/>
              <w:tblOverlap w:val="never"/>
              <w:tblW w:w="5103" w:type="dxa"/>
              <w:tblCellMar>
                <w:left w:w="70" w:type="dxa"/>
                <w:right w:w="70" w:type="dxa"/>
              </w:tblCellMar>
              <w:tblLook w:val="04A0" w:firstRow="1" w:lastRow="0" w:firstColumn="1" w:lastColumn="0" w:noHBand="0" w:noVBand="1"/>
            </w:tblPr>
            <w:tblGrid>
              <w:gridCol w:w="284"/>
              <w:gridCol w:w="3685"/>
              <w:gridCol w:w="1134"/>
            </w:tblGrid>
            <w:tr w:rsidR="00FE5933" w:rsidRPr="00370A1A" w14:paraId="23A351AB" w14:textId="77777777" w:rsidTr="00FE5933">
              <w:trPr>
                <w:trHeight w:val="225"/>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5494A" w14:textId="77777777" w:rsidR="00FE5933" w:rsidRPr="004E746F" w:rsidRDefault="00FE5933" w:rsidP="00FE5933">
                  <w:pPr>
                    <w:spacing w:after="0" w:line="240" w:lineRule="auto"/>
                    <w:jc w:val="center"/>
                    <w:rPr>
                      <w:rFonts w:ascii="Times New Roman" w:eastAsia="Times New Roman" w:hAnsi="Times New Roman" w:cs="Times New Roman"/>
                      <w:sz w:val="20"/>
                      <w:szCs w:val="20"/>
                      <w:lang w:eastAsia="sk-SK"/>
                    </w:rPr>
                  </w:pPr>
                </w:p>
              </w:tc>
              <w:tc>
                <w:tcPr>
                  <w:tcW w:w="3685" w:type="dxa"/>
                  <w:tcBorders>
                    <w:top w:val="single" w:sz="4" w:space="0" w:color="auto"/>
                    <w:left w:val="nil"/>
                    <w:bottom w:val="single" w:sz="4" w:space="0" w:color="auto"/>
                    <w:right w:val="single" w:sz="4" w:space="0" w:color="auto"/>
                  </w:tcBorders>
                  <w:shd w:val="clear" w:color="auto" w:fill="auto"/>
                  <w:noWrap/>
                  <w:vAlign w:val="bottom"/>
                </w:tcPr>
                <w:p w14:paraId="2D998D40" w14:textId="77777777" w:rsidR="00FE5933" w:rsidRPr="00370A1A" w:rsidRDefault="00FE5933" w:rsidP="00FE5933">
                  <w:pPr>
                    <w:spacing w:after="0" w:line="240" w:lineRule="auto"/>
                    <w:rPr>
                      <w:rFonts w:ascii="Times New Roman" w:eastAsia="Times New Roman" w:hAnsi="Times New Roman" w:cs="Times New Roman"/>
                      <w:color w:val="000000"/>
                      <w:sz w:val="20"/>
                      <w:szCs w:val="20"/>
                      <w:lang w:eastAsia="sk-SK"/>
                    </w:rPr>
                  </w:pPr>
                  <w:r w:rsidRPr="00370A1A">
                    <w:rPr>
                      <w:rFonts w:ascii="Times New Roman" w:eastAsia="Times New Roman" w:hAnsi="Times New Roman" w:cs="Times New Roman"/>
                      <w:color w:val="000000"/>
                      <w:sz w:val="20"/>
                      <w:szCs w:val="20"/>
                      <w:lang w:eastAsia="sk-SK"/>
                    </w:rPr>
                    <w:t xml:space="preserve">Skupiny opatrení v priemysle: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6CCA358" w14:textId="77777777" w:rsidR="00FE5933" w:rsidRPr="00370A1A" w:rsidRDefault="00FE5933" w:rsidP="00FE5933">
                  <w:pPr>
                    <w:spacing w:after="0" w:line="240" w:lineRule="auto"/>
                    <w:jc w:val="right"/>
                    <w:rPr>
                      <w:rFonts w:ascii="Times New Roman" w:eastAsia="Times New Roman" w:hAnsi="Times New Roman" w:cs="Times New Roman"/>
                      <w:color w:val="000000"/>
                      <w:sz w:val="20"/>
                      <w:szCs w:val="20"/>
                      <w:lang w:eastAsia="sk-SK"/>
                    </w:rPr>
                  </w:pPr>
                  <w:r w:rsidRPr="00370A1A">
                    <w:rPr>
                      <w:rFonts w:ascii="Times New Roman" w:eastAsia="Times New Roman" w:hAnsi="Times New Roman" w:cs="Times New Roman"/>
                      <w:color w:val="000000"/>
                      <w:sz w:val="20"/>
                      <w:szCs w:val="20"/>
                      <w:lang w:eastAsia="sk-SK"/>
                    </w:rPr>
                    <w:t>Úspora [TJ]</w:t>
                  </w:r>
                </w:p>
              </w:tc>
            </w:tr>
            <w:tr w:rsidR="00ED7AE8" w:rsidRPr="00370A1A" w14:paraId="246CCAB8" w14:textId="77777777" w:rsidTr="00AF5415">
              <w:trPr>
                <w:trHeight w:val="225"/>
              </w:trPr>
              <w:tc>
                <w:tcPr>
                  <w:tcW w:w="284" w:type="dxa"/>
                  <w:tcBorders>
                    <w:top w:val="single" w:sz="4" w:space="0" w:color="auto"/>
                    <w:left w:val="single" w:sz="4" w:space="0" w:color="auto"/>
                    <w:bottom w:val="single" w:sz="4" w:space="0" w:color="auto"/>
                    <w:right w:val="single" w:sz="4" w:space="0" w:color="auto"/>
                  </w:tcBorders>
                  <w:shd w:val="clear" w:color="000000" w:fill="FF7857"/>
                  <w:noWrap/>
                  <w:vAlign w:val="center"/>
                  <w:hideMark/>
                </w:tcPr>
                <w:p w14:paraId="4B80D9C6" w14:textId="77777777" w:rsidR="00ED7AE8" w:rsidRPr="004E746F" w:rsidRDefault="00ED7AE8">
                  <w:pPr>
                    <w:spacing w:after="0" w:line="240" w:lineRule="auto"/>
                    <w:rPr>
                      <w:rFonts w:ascii="Times New Roman" w:eastAsia="Times New Roman" w:hAnsi="Times New Roman" w:cs="Times New Roman"/>
                      <w:color w:val="000000"/>
                      <w:sz w:val="20"/>
                      <w:szCs w:val="20"/>
                      <w:lang w:eastAsia="sk-SK"/>
                    </w:rPr>
                  </w:pPr>
                  <w:r w:rsidRPr="004E746F">
                    <w:rPr>
                      <w:rFonts w:ascii="Times New Roman" w:eastAsia="Times New Roman" w:hAnsi="Times New Roman" w:cs="Times New Roman"/>
                      <w:color w:val="000000"/>
                      <w:sz w:val="20"/>
                      <w:szCs w:val="20"/>
                      <w:lang w:eastAsia="sk-SK"/>
                    </w:rPr>
                    <w:t>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292F53CD" w14:textId="77777777" w:rsidR="00ED7AE8" w:rsidRPr="00370A1A" w:rsidRDefault="00ED7AE8">
                  <w:pPr>
                    <w:spacing w:after="0" w:line="240" w:lineRule="auto"/>
                    <w:rPr>
                      <w:rFonts w:ascii="Times New Roman" w:eastAsia="Times New Roman" w:hAnsi="Times New Roman" w:cs="Times New Roman"/>
                      <w:color w:val="000000"/>
                      <w:sz w:val="20"/>
                      <w:szCs w:val="20"/>
                      <w:lang w:eastAsia="sk-SK"/>
                    </w:rPr>
                  </w:pPr>
                  <w:r w:rsidRPr="00370A1A">
                    <w:rPr>
                      <w:rFonts w:ascii="Times New Roman" w:eastAsia="Times New Roman" w:hAnsi="Times New Roman" w:cs="Times New Roman"/>
                      <w:color w:val="000000"/>
                      <w:sz w:val="20"/>
                      <w:szCs w:val="20"/>
                      <w:lang w:eastAsia="sk-SK"/>
                    </w:rPr>
                    <w:t>Inovácie a technologické transfery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EB545" w14:textId="316898A4" w:rsidR="00ED7AE8" w:rsidRPr="00ED7AE8" w:rsidRDefault="00ED7AE8">
                  <w:pPr>
                    <w:spacing w:after="0" w:line="240" w:lineRule="auto"/>
                    <w:jc w:val="right"/>
                    <w:rPr>
                      <w:rFonts w:ascii="Times New Roman" w:eastAsia="Times New Roman" w:hAnsi="Times New Roman" w:cs="Times New Roman"/>
                      <w:color w:val="000000"/>
                      <w:sz w:val="20"/>
                      <w:szCs w:val="20"/>
                      <w:lang w:eastAsia="sk-SK"/>
                    </w:rPr>
                  </w:pPr>
                  <w:r w:rsidRPr="00AF5415">
                    <w:rPr>
                      <w:rFonts w:ascii="Times New Roman" w:hAnsi="Times New Roman" w:cs="Times New Roman"/>
                      <w:color w:val="000000"/>
                      <w:sz w:val="20"/>
                      <w:szCs w:val="20"/>
                    </w:rPr>
                    <w:t>6,86</w:t>
                  </w:r>
                </w:p>
              </w:tc>
            </w:tr>
            <w:tr w:rsidR="00ED7AE8" w:rsidRPr="00370A1A" w14:paraId="1907E6DD" w14:textId="77777777" w:rsidTr="00AF5415">
              <w:trPr>
                <w:trHeight w:val="273"/>
              </w:trPr>
              <w:tc>
                <w:tcPr>
                  <w:tcW w:w="284" w:type="dxa"/>
                  <w:tcBorders>
                    <w:top w:val="nil"/>
                    <w:left w:val="single" w:sz="4" w:space="0" w:color="auto"/>
                    <w:bottom w:val="single" w:sz="4" w:space="0" w:color="auto"/>
                    <w:right w:val="single" w:sz="4" w:space="0" w:color="auto"/>
                  </w:tcBorders>
                  <w:shd w:val="clear" w:color="000000" w:fill="FF9933"/>
                  <w:noWrap/>
                  <w:vAlign w:val="center"/>
                  <w:hideMark/>
                </w:tcPr>
                <w:p w14:paraId="7CA9C696" w14:textId="77777777" w:rsidR="00ED7AE8" w:rsidRPr="004E746F" w:rsidRDefault="00ED7AE8">
                  <w:pPr>
                    <w:spacing w:after="0" w:line="240" w:lineRule="auto"/>
                    <w:rPr>
                      <w:rFonts w:ascii="Times New Roman" w:eastAsia="Times New Roman" w:hAnsi="Times New Roman" w:cs="Times New Roman"/>
                      <w:color w:val="000000"/>
                      <w:sz w:val="20"/>
                      <w:szCs w:val="20"/>
                      <w:lang w:eastAsia="sk-SK"/>
                    </w:rPr>
                  </w:pPr>
                  <w:r w:rsidRPr="004E746F">
                    <w:rPr>
                      <w:rFonts w:ascii="Times New Roman" w:eastAsia="Times New Roman" w:hAnsi="Times New Roman" w:cs="Times New Roman"/>
                      <w:color w:val="000000"/>
                      <w:sz w:val="20"/>
                      <w:szCs w:val="20"/>
                      <w:lang w:eastAsia="sk-SK"/>
                    </w:rPr>
                    <w:t> </w:t>
                  </w:r>
                </w:p>
              </w:tc>
              <w:tc>
                <w:tcPr>
                  <w:tcW w:w="3685" w:type="dxa"/>
                  <w:tcBorders>
                    <w:top w:val="nil"/>
                    <w:left w:val="nil"/>
                    <w:bottom w:val="single" w:sz="4" w:space="0" w:color="auto"/>
                    <w:right w:val="single" w:sz="4" w:space="0" w:color="auto"/>
                  </w:tcBorders>
                  <w:shd w:val="clear" w:color="auto" w:fill="auto"/>
                  <w:noWrap/>
                  <w:vAlign w:val="center"/>
                  <w:hideMark/>
                </w:tcPr>
                <w:p w14:paraId="18346F37" w14:textId="77777777" w:rsidR="00ED7AE8" w:rsidRPr="00370A1A" w:rsidRDefault="00ED7AE8">
                  <w:pPr>
                    <w:spacing w:after="0" w:line="240" w:lineRule="auto"/>
                    <w:rPr>
                      <w:rFonts w:ascii="Times New Roman" w:eastAsia="Times New Roman" w:hAnsi="Times New Roman" w:cs="Times New Roman"/>
                      <w:color w:val="000000"/>
                      <w:sz w:val="20"/>
                      <w:szCs w:val="20"/>
                      <w:lang w:eastAsia="sk-SK"/>
                    </w:rPr>
                  </w:pPr>
                  <w:r w:rsidRPr="00370A1A">
                    <w:rPr>
                      <w:rFonts w:ascii="Times New Roman" w:eastAsia="Times New Roman" w:hAnsi="Times New Roman" w:cs="Times New Roman"/>
                      <w:color w:val="000000"/>
                      <w:sz w:val="20"/>
                      <w:szCs w:val="20"/>
                      <w:lang w:eastAsia="sk-SK"/>
                    </w:rPr>
                    <w:t>Využívanie energie v priem. podnikoch</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E9B5B3C" w14:textId="4C64B49B" w:rsidR="00ED7AE8" w:rsidRPr="00ED7AE8" w:rsidRDefault="00ED7AE8">
                  <w:pPr>
                    <w:spacing w:after="0" w:line="240" w:lineRule="auto"/>
                    <w:jc w:val="right"/>
                    <w:rPr>
                      <w:rFonts w:ascii="Times New Roman" w:eastAsia="Times New Roman" w:hAnsi="Times New Roman" w:cs="Times New Roman"/>
                      <w:color w:val="000000"/>
                      <w:sz w:val="20"/>
                      <w:szCs w:val="20"/>
                      <w:lang w:eastAsia="sk-SK"/>
                    </w:rPr>
                  </w:pPr>
                  <w:r w:rsidRPr="00AF5415">
                    <w:rPr>
                      <w:rFonts w:ascii="Times New Roman" w:hAnsi="Times New Roman" w:cs="Times New Roman"/>
                      <w:color w:val="000000"/>
                      <w:sz w:val="20"/>
                      <w:szCs w:val="20"/>
                    </w:rPr>
                    <w:t>622,12</w:t>
                  </w:r>
                </w:p>
              </w:tc>
            </w:tr>
            <w:tr w:rsidR="00ED7AE8" w:rsidRPr="00370A1A" w14:paraId="3F55B4E1" w14:textId="77777777" w:rsidTr="00AF5415">
              <w:trPr>
                <w:trHeight w:val="232"/>
              </w:trPr>
              <w:tc>
                <w:tcPr>
                  <w:tcW w:w="284" w:type="dxa"/>
                  <w:tcBorders>
                    <w:top w:val="nil"/>
                    <w:left w:val="single" w:sz="4" w:space="0" w:color="auto"/>
                    <w:bottom w:val="single" w:sz="4" w:space="0" w:color="auto"/>
                    <w:right w:val="single" w:sz="4" w:space="0" w:color="auto"/>
                  </w:tcBorders>
                  <w:shd w:val="clear" w:color="000000" w:fill="FFCC00"/>
                  <w:noWrap/>
                  <w:vAlign w:val="center"/>
                  <w:hideMark/>
                </w:tcPr>
                <w:p w14:paraId="5F306C7F" w14:textId="77777777" w:rsidR="00ED7AE8" w:rsidRPr="004E746F" w:rsidRDefault="00ED7AE8">
                  <w:pPr>
                    <w:spacing w:after="0" w:line="240" w:lineRule="auto"/>
                    <w:rPr>
                      <w:rFonts w:ascii="Times New Roman" w:eastAsia="Times New Roman" w:hAnsi="Times New Roman" w:cs="Times New Roman"/>
                      <w:color w:val="000000"/>
                      <w:sz w:val="20"/>
                      <w:szCs w:val="20"/>
                      <w:lang w:eastAsia="sk-SK"/>
                    </w:rPr>
                  </w:pPr>
                  <w:r w:rsidRPr="004E746F">
                    <w:rPr>
                      <w:rFonts w:ascii="Times New Roman" w:eastAsia="Times New Roman" w:hAnsi="Times New Roman" w:cs="Times New Roman"/>
                      <w:color w:val="000000"/>
                      <w:sz w:val="20"/>
                      <w:szCs w:val="20"/>
                      <w:lang w:eastAsia="sk-SK"/>
                    </w:rPr>
                    <w:t> </w:t>
                  </w:r>
                </w:p>
              </w:tc>
              <w:tc>
                <w:tcPr>
                  <w:tcW w:w="3685" w:type="dxa"/>
                  <w:tcBorders>
                    <w:top w:val="nil"/>
                    <w:left w:val="nil"/>
                    <w:bottom w:val="single" w:sz="4" w:space="0" w:color="auto"/>
                    <w:right w:val="single" w:sz="4" w:space="0" w:color="auto"/>
                  </w:tcBorders>
                  <w:shd w:val="clear" w:color="auto" w:fill="auto"/>
                  <w:noWrap/>
                  <w:vAlign w:val="center"/>
                  <w:hideMark/>
                </w:tcPr>
                <w:p w14:paraId="5FBF3786" w14:textId="77777777" w:rsidR="00ED7AE8" w:rsidRPr="00370A1A" w:rsidRDefault="00ED7AE8">
                  <w:pPr>
                    <w:spacing w:after="0" w:line="240" w:lineRule="auto"/>
                    <w:rPr>
                      <w:rFonts w:ascii="Times New Roman" w:eastAsia="Times New Roman" w:hAnsi="Times New Roman" w:cs="Times New Roman"/>
                      <w:color w:val="000000"/>
                      <w:sz w:val="20"/>
                      <w:szCs w:val="20"/>
                      <w:lang w:eastAsia="sk-SK"/>
                    </w:rPr>
                  </w:pPr>
                  <w:r w:rsidRPr="00370A1A">
                    <w:rPr>
                      <w:rFonts w:ascii="Times New Roman" w:eastAsia="Times New Roman" w:hAnsi="Times New Roman" w:cs="Times New Roman"/>
                      <w:color w:val="000000"/>
                      <w:sz w:val="20"/>
                      <w:szCs w:val="20"/>
                      <w:lang w:eastAsia="sk-SK"/>
                    </w:rPr>
                    <w:t>Energetické audity a iné podporné nástroje</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5C20564" w14:textId="151EC2FB" w:rsidR="00ED7AE8" w:rsidRPr="00ED7AE8" w:rsidRDefault="00ED7AE8">
                  <w:pPr>
                    <w:spacing w:after="0" w:line="240" w:lineRule="auto"/>
                    <w:jc w:val="right"/>
                    <w:rPr>
                      <w:rFonts w:ascii="Times New Roman" w:eastAsia="Times New Roman" w:hAnsi="Times New Roman" w:cs="Times New Roman"/>
                      <w:color w:val="000000"/>
                      <w:sz w:val="20"/>
                      <w:szCs w:val="20"/>
                      <w:lang w:eastAsia="sk-SK"/>
                    </w:rPr>
                  </w:pPr>
                  <w:r w:rsidRPr="00AF5415">
                    <w:rPr>
                      <w:rFonts w:ascii="Times New Roman" w:hAnsi="Times New Roman" w:cs="Times New Roman"/>
                      <w:color w:val="000000"/>
                      <w:sz w:val="20"/>
                      <w:szCs w:val="20"/>
                    </w:rPr>
                    <w:t>2 143,06</w:t>
                  </w:r>
                </w:p>
              </w:tc>
            </w:tr>
            <w:tr w:rsidR="00ED7AE8" w:rsidRPr="00370A1A" w14:paraId="0B5E0A55" w14:textId="77777777" w:rsidTr="00AF5415">
              <w:trPr>
                <w:trHeight w:val="244"/>
              </w:trPr>
              <w:tc>
                <w:tcPr>
                  <w:tcW w:w="284" w:type="dxa"/>
                  <w:tcBorders>
                    <w:top w:val="nil"/>
                    <w:left w:val="nil"/>
                    <w:bottom w:val="nil"/>
                    <w:right w:val="nil"/>
                  </w:tcBorders>
                  <w:shd w:val="clear" w:color="auto" w:fill="auto"/>
                  <w:noWrap/>
                  <w:vAlign w:val="center"/>
                  <w:hideMark/>
                </w:tcPr>
                <w:p w14:paraId="5608F6A0" w14:textId="77777777" w:rsidR="00ED7AE8" w:rsidRPr="004E746F" w:rsidRDefault="00ED7AE8" w:rsidP="00AF5415">
                  <w:pPr>
                    <w:spacing w:after="0" w:line="240" w:lineRule="auto"/>
                    <w:rPr>
                      <w:rFonts w:ascii="Times New Roman" w:eastAsia="Times New Roman" w:hAnsi="Times New Roman" w:cs="Times New Roman"/>
                      <w:color w:val="000000"/>
                      <w:sz w:val="20"/>
                      <w:szCs w:val="20"/>
                      <w:lang w:eastAsia="sk-SK"/>
                    </w:rPr>
                  </w:pP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0EA3EA1" w14:textId="77777777" w:rsidR="00ED7AE8" w:rsidRPr="00370A1A" w:rsidRDefault="00ED7AE8">
                  <w:pPr>
                    <w:spacing w:after="0" w:line="240" w:lineRule="auto"/>
                    <w:rPr>
                      <w:rFonts w:ascii="Times New Roman" w:eastAsia="Times New Roman" w:hAnsi="Times New Roman" w:cs="Times New Roman"/>
                      <w:b/>
                      <w:color w:val="000000"/>
                      <w:sz w:val="20"/>
                      <w:szCs w:val="20"/>
                      <w:lang w:eastAsia="sk-SK"/>
                    </w:rPr>
                  </w:pPr>
                  <w:r w:rsidRPr="00370A1A">
                    <w:rPr>
                      <w:rFonts w:ascii="Times New Roman" w:eastAsia="Times New Roman" w:hAnsi="Times New Roman" w:cs="Times New Roman"/>
                      <w:b/>
                      <w:color w:val="000000"/>
                      <w:sz w:val="20"/>
                      <w:szCs w:val="20"/>
                      <w:lang w:eastAsia="sk-SK"/>
                    </w:rPr>
                    <w:t>Spolu:</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5716C8C" w14:textId="4D06140A" w:rsidR="00ED7AE8" w:rsidRPr="00ED7AE8" w:rsidRDefault="00ED7AE8">
                  <w:pPr>
                    <w:spacing w:after="0" w:line="240" w:lineRule="auto"/>
                    <w:jc w:val="right"/>
                    <w:rPr>
                      <w:rFonts w:ascii="Times New Roman" w:eastAsia="Times New Roman" w:hAnsi="Times New Roman" w:cs="Times New Roman"/>
                      <w:b/>
                      <w:color w:val="000000"/>
                      <w:sz w:val="20"/>
                      <w:szCs w:val="20"/>
                      <w:lang w:eastAsia="sk-SK"/>
                    </w:rPr>
                  </w:pPr>
                  <w:r w:rsidRPr="00AF5415">
                    <w:rPr>
                      <w:rFonts w:ascii="Times New Roman" w:hAnsi="Times New Roman" w:cs="Times New Roman"/>
                      <w:b/>
                      <w:bCs/>
                      <w:color w:val="000000"/>
                      <w:sz w:val="20"/>
                      <w:szCs w:val="20"/>
                    </w:rPr>
                    <w:t>2 772,04</w:t>
                  </w:r>
                </w:p>
              </w:tc>
            </w:tr>
          </w:tbl>
          <w:p w14:paraId="14A0EE43" w14:textId="77777777" w:rsidR="00FE5933" w:rsidRPr="009F2998" w:rsidRDefault="00FE5933" w:rsidP="00FE5933">
            <w:pPr>
              <w:jc w:val="both"/>
              <w:rPr>
                <w:rFonts w:ascii="Times New Roman" w:hAnsi="Times New Roman" w:cs="Times New Roman"/>
              </w:rPr>
            </w:pPr>
          </w:p>
        </w:tc>
      </w:tr>
    </w:tbl>
    <w:p w14:paraId="13AE5263" w14:textId="44918BFE" w:rsidR="00FE5933" w:rsidRPr="009F2998" w:rsidRDefault="00FE5933" w:rsidP="00FE5933">
      <w:pPr>
        <w:jc w:val="both"/>
        <w:rPr>
          <w:rFonts w:ascii="Times New Roman" w:hAnsi="Times New Roman" w:cs="Times New Roman"/>
        </w:rPr>
      </w:pPr>
    </w:p>
    <w:p w14:paraId="31529B40" w14:textId="6B28E406" w:rsidR="000A4E10" w:rsidRPr="000745A8" w:rsidRDefault="00375311" w:rsidP="00CD05EA">
      <w:pPr>
        <w:jc w:val="both"/>
        <w:rPr>
          <w:rFonts w:ascii="Times New Roman" w:hAnsi="Times New Roman" w:cs="Times New Roman"/>
          <w:sz w:val="24"/>
          <w:szCs w:val="24"/>
        </w:rPr>
      </w:pPr>
      <w:r w:rsidRPr="000745A8">
        <w:rPr>
          <w:rFonts w:ascii="Times New Roman" w:hAnsi="Times New Roman" w:cs="Times New Roman"/>
          <w:sz w:val="24"/>
          <w:szCs w:val="24"/>
        </w:rPr>
        <w:lastRenderedPageBreak/>
        <w:t xml:space="preserve">Podpora inovácií a technologických transferov v priemyselných podnikoch bola v rokoch 2014-2015 zabezpečená najmä prostredníctvom OP KaHR opatrením </w:t>
      </w:r>
      <w:r w:rsidR="00591854" w:rsidRPr="000745A8">
        <w:rPr>
          <w:rFonts w:ascii="Times New Roman" w:hAnsi="Times New Roman" w:cs="Times New Roman"/>
          <w:sz w:val="24"/>
          <w:szCs w:val="24"/>
        </w:rPr>
        <w:t xml:space="preserve">„Inovácie a technologické transfery“ a to najmä v malých a stredných podnikoch, kde </w:t>
      </w:r>
      <w:r w:rsidR="006636BE" w:rsidRPr="000745A8">
        <w:rPr>
          <w:rFonts w:ascii="Times New Roman" w:hAnsi="Times New Roman" w:cs="Times New Roman"/>
          <w:sz w:val="24"/>
          <w:szCs w:val="24"/>
        </w:rPr>
        <w:t xml:space="preserve">sa </w:t>
      </w:r>
      <w:r w:rsidR="00591854" w:rsidRPr="000745A8">
        <w:rPr>
          <w:rFonts w:ascii="Times New Roman" w:hAnsi="Times New Roman" w:cs="Times New Roman"/>
          <w:sz w:val="24"/>
          <w:szCs w:val="24"/>
        </w:rPr>
        <w:t>zmen</w:t>
      </w:r>
      <w:r w:rsidR="006636BE" w:rsidRPr="000745A8">
        <w:rPr>
          <w:rFonts w:ascii="Times New Roman" w:hAnsi="Times New Roman" w:cs="Times New Roman"/>
          <w:sz w:val="24"/>
          <w:szCs w:val="24"/>
        </w:rPr>
        <w:t xml:space="preserve">ou </w:t>
      </w:r>
      <w:r w:rsidR="00591854" w:rsidRPr="000745A8">
        <w:rPr>
          <w:rFonts w:ascii="Times New Roman" w:hAnsi="Times New Roman" w:cs="Times New Roman"/>
          <w:sz w:val="24"/>
          <w:szCs w:val="24"/>
        </w:rPr>
        <w:t xml:space="preserve">výrobných alebo technologických procesov </w:t>
      </w:r>
      <w:r w:rsidR="006636BE" w:rsidRPr="000745A8">
        <w:rPr>
          <w:rFonts w:ascii="Times New Roman" w:hAnsi="Times New Roman" w:cs="Times New Roman"/>
          <w:sz w:val="24"/>
          <w:szCs w:val="24"/>
        </w:rPr>
        <w:t xml:space="preserve">znížila energetická náročnosť výroby. </w:t>
      </w:r>
      <w:r w:rsidR="000A4E10" w:rsidRPr="000745A8">
        <w:rPr>
          <w:rFonts w:ascii="Times New Roman" w:hAnsi="Times New Roman" w:cs="Times New Roman"/>
          <w:sz w:val="24"/>
          <w:szCs w:val="24"/>
        </w:rPr>
        <w:t>K plneniu cieľa úspor energie v priemysle prispeli aj projekty realizované v rámci Operačného programu Bratislavský kraj.</w:t>
      </w:r>
    </w:p>
    <w:p w14:paraId="4970553B" w14:textId="5DA85F4F" w:rsidR="00591854" w:rsidRPr="000745A8" w:rsidRDefault="00591854" w:rsidP="00CD05EA">
      <w:pPr>
        <w:jc w:val="both"/>
        <w:rPr>
          <w:rFonts w:ascii="Times New Roman" w:hAnsi="Times New Roman" w:cs="Times New Roman"/>
          <w:sz w:val="24"/>
          <w:szCs w:val="24"/>
        </w:rPr>
      </w:pPr>
      <w:r w:rsidRPr="000745A8">
        <w:rPr>
          <w:rFonts w:ascii="Times New Roman" w:hAnsi="Times New Roman" w:cs="Times New Roman"/>
          <w:sz w:val="24"/>
          <w:szCs w:val="24"/>
        </w:rPr>
        <w:t xml:space="preserve">Úspory energie podporou inovácií a technologických transferov prostredníctvom operačného programu Výskum a inovácie (ďalej </w:t>
      </w:r>
      <w:r w:rsidR="00CA49D6">
        <w:rPr>
          <w:rFonts w:ascii="Times New Roman" w:hAnsi="Times New Roman" w:cs="Times New Roman"/>
          <w:sz w:val="24"/>
          <w:szCs w:val="24"/>
        </w:rPr>
        <w:t>len</w:t>
      </w:r>
      <w:r w:rsidR="00CA49D6" w:rsidRPr="000745A8">
        <w:rPr>
          <w:rFonts w:ascii="Times New Roman" w:hAnsi="Times New Roman" w:cs="Times New Roman"/>
          <w:sz w:val="24"/>
          <w:szCs w:val="24"/>
        </w:rPr>
        <w:t xml:space="preserve"> </w:t>
      </w:r>
      <w:r w:rsidRPr="000745A8">
        <w:rPr>
          <w:rFonts w:ascii="Times New Roman" w:hAnsi="Times New Roman" w:cs="Times New Roman"/>
          <w:sz w:val="24"/>
          <w:szCs w:val="24"/>
        </w:rPr>
        <w:t xml:space="preserve">„OP VaI“) je z dôvodu náročných procesov implementácie Európskych </w:t>
      </w:r>
      <w:r w:rsidR="00BE3E43" w:rsidRPr="000745A8">
        <w:rPr>
          <w:rFonts w:ascii="Times New Roman" w:hAnsi="Times New Roman" w:cs="Times New Roman"/>
          <w:sz w:val="24"/>
          <w:szCs w:val="24"/>
        </w:rPr>
        <w:t xml:space="preserve">štrukturálnych a </w:t>
      </w:r>
      <w:r w:rsidRPr="000745A8">
        <w:rPr>
          <w:rFonts w:ascii="Times New Roman" w:hAnsi="Times New Roman" w:cs="Times New Roman"/>
          <w:sz w:val="24"/>
          <w:szCs w:val="24"/>
        </w:rPr>
        <w:t xml:space="preserve">investičných fondov </w:t>
      </w:r>
      <w:r w:rsidR="00EA16E4" w:rsidRPr="000745A8">
        <w:rPr>
          <w:rFonts w:ascii="Times New Roman" w:hAnsi="Times New Roman" w:cs="Times New Roman"/>
          <w:sz w:val="24"/>
          <w:szCs w:val="24"/>
        </w:rPr>
        <w:t xml:space="preserve">(ďalej aj „EŠIF“) </w:t>
      </w:r>
      <w:r w:rsidRPr="000745A8">
        <w:rPr>
          <w:rFonts w:ascii="Times New Roman" w:hAnsi="Times New Roman" w:cs="Times New Roman"/>
          <w:sz w:val="24"/>
          <w:szCs w:val="24"/>
        </w:rPr>
        <w:t xml:space="preserve">možné očakávať až od roku 2017. </w:t>
      </w:r>
    </w:p>
    <w:p w14:paraId="43B02609" w14:textId="511846D2" w:rsidR="00866168" w:rsidRPr="000745A8" w:rsidRDefault="00EE49FB" w:rsidP="00CD05EA">
      <w:pPr>
        <w:jc w:val="both"/>
        <w:rPr>
          <w:rFonts w:ascii="Times New Roman" w:hAnsi="Times New Roman" w:cs="Times New Roman"/>
          <w:sz w:val="24"/>
          <w:szCs w:val="24"/>
        </w:rPr>
      </w:pPr>
      <w:r w:rsidRPr="000745A8">
        <w:rPr>
          <w:rFonts w:ascii="Times New Roman" w:hAnsi="Times New Roman" w:cs="Times New Roman"/>
          <w:sz w:val="24"/>
          <w:szCs w:val="24"/>
        </w:rPr>
        <w:t xml:space="preserve">Podpora efektívneho využívania </w:t>
      </w:r>
      <w:r w:rsidR="00EA16E4" w:rsidRPr="000745A8">
        <w:rPr>
          <w:rFonts w:ascii="Times New Roman" w:hAnsi="Times New Roman" w:cs="Times New Roman"/>
          <w:sz w:val="24"/>
          <w:szCs w:val="24"/>
        </w:rPr>
        <w:t>energie v priemyselných podnikoch bol</w:t>
      </w:r>
      <w:r w:rsidRPr="000745A8">
        <w:rPr>
          <w:rFonts w:ascii="Times New Roman" w:hAnsi="Times New Roman" w:cs="Times New Roman"/>
          <w:sz w:val="24"/>
          <w:szCs w:val="24"/>
        </w:rPr>
        <w:t>a</w:t>
      </w:r>
      <w:r w:rsidR="00EA16E4" w:rsidRPr="000745A8">
        <w:rPr>
          <w:rFonts w:ascii="Times New Roman" w:hAnsi="Times New Roman" w:cs="Times New Roman"/>
          <w:sz w:val="24"/>
          <w:szCs w:val="24"/>
        </w:rPr>
        <w:t xml:space="preserve"> v rokoch 2014-2015 </w:t>
      </w:r>
      <w:r w:rsidR="009E7DCA">
        <w:rPr>
          <w:rFonts w:ascii="Times New Roman" w:hAnsi="Times New Roman" w:cs="Times New Roman"/>
          <w:sz w:val="24"/>
          <w:szCs w:val="24"/>
        </w:rPr>
        <w:t xml:space="preserve">podporená </w:t>
      </w:r>
      <w:r w:rsidR="00EA16E4" w:rsidRPr="000745A8">
        <w:rPr>
          <w:rFonts w:ascii="Times New Roman" w:hAnsi="Times New Roman" w:cs="Times New Roman"/>
          <w:sz w:val="24"/>
          <w:szCs w:val="24"/>
        </w:rPr>
        <w:t xml:space="preserve">najmä z OP KaHR a to opatrením </w:t>
      </w:r>
      <w:r w:rsidR="00866168" w:rsidRPr="000745A8">
        <w:rPr>
          <w:rFonts w:ascii="Times New Roman" w:hAnsi="Times New Roman" w:cs="Times New Roman"/>
          <w:sz w:val="24"/>
          <w:szCs w:val="24"/>
        </w:rPr>
        <w:t>„Zvýšenie energetickej efektívnosti primárnych energetických zdrojov a zvýšenie podielu spotreby OZE na celkovej spotrebe energie“, kde podniky realizovali najmä nasledujúce aktivity:</w:t>
      </w:r>
    </w:p>
    <w:p w14:paraId="0FD63E13" w14:textId="47D25BDA" w:rsidR="00866168" w:rsidRPr="000745A8" w:rsidRDefault="00866168" w:rsidP="007157D7">
      <w:pPr>
        <w:pStyle w:val="Odsekzoznamu"/>
        <w:numPr>
          <w:ilvl w:val="0"/>
          <w:numId w:val="8"/>
        </w:numPr>
        <w:jc w:val="both"/>
        <w:rPr>
          <w:rFonts w:ascii="Times New Roman" w:hAnsi="Times New Roman" w:cs="Times New Roman"/>
          <w:sz w:val="24"/>
          <w:szCs w:val="24"/>
        </w:rPr>
      </w:pPr>
      <w:r w:rsidRPr="000745A8">
        <w:rPr>
          <w:rFonts w:ascii="Times New Roman" w:hAnsi="Times New Roman" w:cs="Times New Roman"/>
          <w:sz w:val="24"/>
          <w:szCs w:val="24"/>
        </w:rPr>
        <w:t>zlepšovanie  tepelnotechnických vlastností výrobných hál, prevádzkových a administratívno-výrobných budov, výmena tepelného zdroja, energetický manažment,</w:t>
      </w:r>
    </w:p>
    <w:p w14:paraId="369D811E" w14:textId="4BD58411" w:rsidR="00866168" w:rsidRPr="0072665B" w:rsidRDefault="00866168" w:rsidP="0072665B">
      <w:pPr>
        <w:pStyle w:val="Odsekzoznamu"/>
        <w:numPr>
          <w:ilvl w:val="0"/>
          <w:numId w:val="8"/>
        </w:numPr>
        <w:jc w:val="both"/>
        <w:rPr>
          <w:rFonts w:ascii="Times New Roman" w:hAnsi="Times New Roman" w:cs="Times New Roman"/>
          <w:sz w:val="24"/>
          <w:szCs w:val="24"/>
        </w:rPr>
      </w:pPr>
      <w:r w:rsidRPr="0072665B">
        <w:rPr>
          <w:rFonts w:ascii="Times New Roman" w:hAnsi="Times New Roman" w:cs="Times New Roman"/>
          <w:sz w:val="24"/>
          <w:szCs w:val="24"/>
        </w:rPr>
        <w:t>rekonštrukcia a modernizácia existujúcich energetických zdrojov na báze fosílnych palív za</w:t>
      </w:r>
      <w:r w:rsidR="0072665B" w:rsidRPr="0072665B">
        <w:rPr>
          <w:rFonts w:ascii="Times New Roman" w:hAnsi="Times New Roman" w:cs="Times New Roman"/>
          <w:sz w:val="24"/>
          <w:szCs w:val="24"/>
        </w:rPr>
        <w:t xml:space="preserve"> </w:t>
      </w:r>
      <w:r w:rsidRPr="0072665B">
        <w:rPr>
          <w:rFonts w:ascii="Times New Roman" w:hAnsi="Times New Roman" w:cs="Times New Roman"/>
          <w:sz w:val="24"/>
          <w:szCs w:val="24"/>
        </w:rPr>
        <w:t>účelom zvýšenia účinnosti zariadení</w:t>
      </w:r>
      <w:r w:rsidR="000A4E10" w:rsidRPr="0072665B">
        <w:rPr>
          <w:rFonts w:ascii="Times New Roman" w:hAnsi="Times New Roman" w:cs="Times New Roman"/>
          <w:sz w:val="24"/>
          <w:szCs w:val="24"/>
        </w:rPr>
        <w:t>,</w:t>
      </w:r>
    </w:p>
    <w:p w14:paraId="390E118C" w14:textId="4AD1B6D3" w:rsidR="00866168" w:rsidRPr="000745A8" w:rsidRDefault="00866168" w:rsidP="007157D7">
      <w:pPr>
        <w:pStyle w:val="Odsekzoznamu"/>
        <w:numPr>
          <w:ilvl w:val="0"/>
          <w:numId w:val="8"/>
        </w:numPr>
        <w:jc w:val="both"/>
        <w:rPr>
          <w:rFonts w:ascii="Times New Roman" w:hAnsi="Times New Roman" w:cs="Times New Roman"/>
          <w:sz w:val="24"/>
          <w:szCs w:val="24"/>
        </w:rPr>
      </w:pPr>
      <w:r w:rsidRPr="000745A8">
        <w:rPr>
          <w:rFonts w:ascii="Times New Roman" w:hAnsi="Times New Roman" w:cs="Times New Roman"/>
          <w:sz w:val="24"/>
          <w:szCs w:val="24"/>
        </w:rPr>
        <w:t>vysokoúčinná kombinovaná výroba elektriny a tepla v podnikoch,</w:t>
      </w:r>
    </w:p>
    <w:p w14:paraId="541B53DF" w14:textId="5DA24875" w:rsidR="00866168" w:rsidRPr="000745A8" w:rsidRDefault="00866168" w:rsidP="007157D7">
      <w:pPr>
        <w:pStyle w:val="Odsekzoznamu"/>
        <w:numPr>
          <w:ilvl w:val="0"/>
          <w:numId w:val="8"/>
        </w:numPr>
        <w:jc w:val="both"/>
        <w:rPr>
          <w:rFonts w:ascii="Times New Roman" w:hAnsi="Times New Roman" w:cs="Times New Roman"/>
          <w:sz w:val="24"/>
          <w:szCs w:val="24"/>
        </w:rPr>
      </w:pPr>
      <w:r w:rsidRPr="000745A8">
        <w:rPr>
          <w:rFonts w:ascii="Times New Roman" w:hAnsi="Times New Roman" w:cs="Times New Roman"/>
          <w:sz w:val="24"/>
          <w:szCs w:val="24"/>
        </w:rPr>
        <w:t>rekonštrukcia existujúcich tepelných zariadení na rozvod tepla (napr. zlepšenie izolácie potrubných rozvodov, zavádzanie systémov na sledovanie úniku tepla, rekonštrukcia odovzdávacích staníc tepla a iné) v podnikoch.</w:t>
      </w:r>
    </w:p>
    <w:p w14:paraId="3ADCB931" w14:textId="69ABF734" w:rsidR="00C41EA4" w:rsidRPr="000745A8" w:rsidRDefault="006636BE" w:rsidP="00C41EA4">
      <w:pPr>
        <w:jc w:val="both"/>
        <w:rPr>
          <w:rFonts w:ascii="Times New Roman" w:hAnsi="Times New Roman" w:cs="Times New Roman"/>
          <w:sz w:val="24"/>
          <w:szCs w:val="24"/>
        </w:rPr>
      </w:pPr>
      <w:r w:rsidRPr="000E01BC">
        <w:rPr>
          <w:rFonts w:ascii="Times New Roman" w:hAnsi="Times New Roman" w:cs="Times New Roman"/>
          <w:sz w:val="24"/>
          <w:szCs w:val="24"/>
        </w:rPr>
        <w:t xml:space="preserve">Podobné aktivity boli v rokoch 2014-2015 realizované z programu </w:t>
      </w:r>
      <w:r w:rsidR="00375311" w:rsidRPr="000E01BC">
        <w:rPr>
          <w:rFonts w:ascii="Times New Roman" w:hAnsi="Times New Roman" w:cs="Times New Roman"/>
          <w:sz w:val="24"/>
          <w:szCs w:val="24"/>
        </w:rPr>
        <w:t>Slovseff II.</w:t>
      </w:r>
      <w:r w:rsidRPr="000E01BC">
        <w:rPr>
          <w:rFonts w:ascii="Times New Roman" w:hAnsi="Times New Roman" w:cs="Times New Roman"/>
          <w:sz w:val="24"/>
          <w:szCs w:val="24"/>
        </w:rPr>
        <w:t xml:space="preserve"> Úverový program, na ktorý poskytuje finančné prostriedky Európska banka pre obnovu a rozvoj prostredníctvom komerčných bánk </w:t>
      </w:r>
      <w:r w:rsidR="008C0C59" w:rsidRPr="000E01BC">
        <w:rPr>
          <w:rFonts w:ascii="Times New Roman" w:hAnsi="Times New Roman" w:cs="Times New Roman"/>
          <w:sz w:val="24"/>
          <w:szCs w:val="24"/>
        </w:rPr>
        <w:t xml:space="preserve"> na Slovensku podporený bonusom vo forme nenávratného finančného príspevku z </w:t>
      </w:r>
      <w:r w:rsidR="008C0C59" w:rsidRPr="000578FE">
        <w:rPr>
          <w:rFonts w:ascii="Times New Roman" w:hAnsi="Times New Roman" w:cs="Times New Roman"/>
          <w:bCs/>
          <w:sz w:val="24"/>
          <w:szCs w:val="24"/>
        </w:rPr>
        <w:t xml:space="preserve">Medzinárodného fondu na podporu odstavenia elektrárne </w:t>
      </w:r>
      <w:r w:rsidR="002C4F05" w:rsidRPr="000578FE">
        <w:rPr>
          <w:rFonts w:ascii="Times New Roman" w:hAnsi="Times New Roman" w:cs="Times New Roman"/>
          <w:bCs/>
          <w:sz w:val="24"/>
          <w:szCs w:val="24"/>
        </w:rPr>
        <w:t xml:space="preserve">Jaslovské Bohunice </w:t>
      </w:r>
      <w:r w:rsidR="008C0C59" w:rsidRPr="000578FE">
        <w:rPr>
          <w:rFonts w:ascii="Times New Roman" w:hAnsi="Times New Roman" w:cs="Times New Roman"/>
          <w:bCs/>
          <w:sz w:val="24"/>
          <w:szCs w:val="24"/>
        </w:rPr>
        <w:t xml:space="preserve">(ďalej aj „BIDSF“) pokračuje treťou etapou a to programom Slovseff III., v ktorom je bonus poskytovaný </w:t>
      </w:r>
      <w:r w:rsidR="00C41EA4" w:rsidRPr="000E01BC">
        <w:rPr>
          <w:rFonts w:ascii="Times New Roman" w:hAnsi="Times New Roman" w:cs="Times New Roman"/>
          <w:sz w:val="24"/>
          <w:szCs w:val="24"/>
        </w:rPr>
        <w:t>v rámci Zelenej investičnej schémy financovanej z výnosov z emisných povoleniek skleníkových plynov</w:t>
      </w:r>
      <w:r w:rsidR="00C41EA4" w:rsidRPr="000745A8">
        <w:rPr>
          <w:rFonts w:ascii="Times New Roman" w:hAnsi="Times New Roman" w:cs="Times New Roman"/>
          <w:sz w:val="24"/>
          <w:szCs w:val="24"/>
        </w:rPr>
        <w:t xml:space="preserve">. </w:t>
      </w:r>
    </w:p>
    <w:p w14:paraId="08BBB872" w14:textId="77777777" w:rsidR="00227988" w:rsidRPr="000745A8" w:rsidRDefault="00227988" w:rsidP="00227988">
      <w:pPr>
        <w:jc w:val="both"/>
        <w:rPr>
          <w:rFonts w:ascii="Times New Roman" w:hAnsi="Times New Roman" w:cs="Times New Roman"/>
          <w:sz w:val="24"/>
          <w:szCs w:val="24"/>
        </w:rPr>
      </w:pPr>
      <w:r w:rsidRPr="000745A8">
        <w:rPr>
          <w:rFonts w:ascii="Times New Roman" w:hAnsi="Times New Roman" w:cs="Times New Roman"/>
          <w:sz w:val="24"/>
          <w:szCs w:val="24"/>
        </w:rPr>
        <w:t>S účinnosťou od 1. januára 2009 zaviedla SR povinné energetické audity pre priemyselné a poľnohospodárske podniky,</w:t>
      </w:r>
      <w:r w:rsidRPr="000578FE">
        <w:rPr>
          <w:sz w:val="24"/>
          <w:szCs w:val="24"/>
          <w:vertAlign w:val="superscript"/>
        </w:rPr>
        <w:footnoteReference w:id="17"/>
      </w:r>
      <w:r w:rsidRPr="000745A8">
        <w:rPr>
          <w:rFonts w:ascii="Times New Roman" w:hAnsi="Times New Roman" w:cs="Times New Roman"/>
          <w:sz w:val="24"/>
          <w:szCs w:val="24"/>
        </w:rPr>
        <w:t xml:space="preserve"> a to podľa množstva spotrebovanej energie s termínom ukončenia v decembri 2011 pre podniky s celkovou ročnou spotrebou do 20 000 MWh a v decembri 2013 pre podniky s celkovou ročnou spotrebou viac ako 20 000 MWh. Na základe výstupov z energetických auditov</w:t>
      </w:r>
      <w:r w:rsidRPr="000578FE">
        <w:rPr>
          <w:sz w:val="24"/>
          <w:szCs w:val="24"/>
          <w:vertAlign w:val="superscript"/>
        </w:rPr>
        <w:footnoteReference w:id="18"/>
      </w:r>
      <w:r w:rsidRPr="000745A8">
        <w:rPr>
          <w:rFonts w:ascii="Times New Roman" w:hAnsi="Times New Roman" w:cs="Times New Roman"/>
          <w:sz w:val="24"/>
          <w:szCs w:val="24"/>
        </w:rPr>
        <w:t xml:space="preserve"> realizovali mnohé podniky z vlastných prostriedkov najmä organizačné a nízkonákladové opatrenia. Informácie o realizovaných opatreniach jednotlivé podniky spravidla neposkytujú. Informácie o využití potenciálu úspor energie identifikovaných v energetických auditoch budú k dispozícii v štvorročných intervaloch pri opakovaných energetických auditoch pre veľké podniky</w:t>
      </w:r>
      <w:r w:rsidRPr="000578FE">
        <w:rPr>
          <w:sz w:val="24"/>
          <w:szCs w:val="24"/>
          <w:vertAlign w:val="superscript"/>
        </w:rPr>
        <w:footnoteReference w:id="19"/>
      </w:r>
      <w:r w:rsidRPr="000745A8">
        <w:rPr>
          <w:rFonts w:ascii="Times New Roman" w:hAnsi="Times New Roman" w:cs="Times New Roman"/>
          <w:sz w:val="24"/>
          <w:szCs w:val="24"/>
        </w:rPr>
        <w:t xml:space="preserve"> alebo na základe dobrovoľného poskytnutia informácií od podnikov, ktoré tieto opatrenia realizovali.</w:t>
      </w:r>
    </w:p>
    <w:p w14:paraId="4CAAB809" w14:textId="5C1BB837" w:rsidR="00D20B44" w:rsidRPr="000745A8" w:rsidRDefault="00D20B44" w:rsidP="00D20B44">
      <w:pPr>
        <w:jc w:val="both"/>
        <w:rPr>
          <w:rFonts w:ascii="Times New Roman" w:hAnsi="Times New Roman" w:cs="Times New Roman"/>
          <w:sz w:val="24"/>
          <w:szCs w:val="24"/>
        </w:rPr>
      </w:pPr>
      <w:r w:rsidRPr="000745A8">
        <w:rPr>
          <w:rFonts w:ascii="Times New Roman" w:hAnsi="Times New Roman" w:cs="Times New Roman"/>
          <w:sz w:val="24"/>
          <w:szCs w:val="24"/>
        </w:rPr>
        <w:lastRenderedPageBreak/>
        <w:t>Podrobné vyhodnotenie opatrení energetickej efektívnosti v sektore priemys</w:t>
      </w:r>
      <w:r w:rsidR="00200F3D" w:rsidRPr="000745A8">
        <w:rPr>
          <w:rFonts w:ascii="Times New Roman" w:hAnsi="Times New Roman" w:cs="Times New Roman"/>
          <w:sz w:val="24"/>
          <w:szCs w:val="24"/>
        </w:rPr>
        <w:t>e</w:t>
      </w:r>
      <w:r w:rsidRPr="000745A8">
        <w:rPr>
          <w:rFonts w:ascii="Times New Roman" w:hAnsi="Times New Roman" w:cs="Times New Roman"/>
          <w:sz w:val="24"/>
          <w:szCs w:val="24"/>
        </w:rPr>
        <w:t>l je uvedené v prílohe č. 1 tab. P2-1. Významné podporné opatrenia, ktoré prispievajú k plneniu cieľov opatrení energetickej efektívnosti v sektore priemys</w:t>
      </w:r>
      <w:r w:rsidR="00200F3D" w:rsidRPr="000745A8">
        <w:rPr>
          <w:rFonts w:ascii="Times New Roman" w:hAnsi="Times New Roman" w:cs="Times New Roman"/>
          <w:sz w:val="24"/>
          <w:szCs w:val="24"/>
        </w:rPr>
        <w:t>e</w:t>
      </w:r>
      <w:r w:rsidRPr="000745A8">
        <w:rPr>
          <w:rFonts w:ascii="Times New Roman" w:hAnsi="Times New Roman" w:cs="Times New Roman"/>
          <w:sz w:val="24"/>
          <w:szCs w:val="24"/>
        </w:rPr>
        <w:t xml:space="preserve">l sa individuálne nevyhodnocujú z dôvodu zamedzenia dvojitému započítavaniu úspor energie. Prehľad podporných opatrení je uvedený v prílohe č. 1 tab. P2-2. </w:t>
      </w:r>
    </w:p>
    <w:p w14:paraId="0FC0B245" w14:textId="77777777" w:rsidR="002D541C" w:rsidRPr="009F2998" w:rsidRDefault="002D541C" w:rsidP="002D541C">
      <w:pPr>
        <w:rPr>
          <w:rFonts w:ascii="Times New Roman" w:hAnsi="Times New Roman" w:cs="Times New Roman"/>
        </w:rPr>
      </w:pPr>
    </w:p>
    <w:p w14:paraId="6E83CB51" w14:textId="77777777" w:rsidR="001D5205" w:rsidRPr="000578FE" w:rsidRDefault="001D5205" w:rsidP="00AF5415">
      <w:pPr>
        <w:pStyle w:val="Nadpis3"/>
        <w:keepNext w:val="0"/>
        <w:keepLines w:val="0"/>
        <w:numPr>
          <w:ilvl w:val="2"/>
          <w:numId w:val="32"/>
        </w:numPr>
        <w:ind w:left="1276" w:hanging="567"/>
        <w:rPr>
          <w:rFonts w:ascii="Times New Roman" w:hAnsi="Times New Roman" w:cs="Times New Roman"/>
          <w:color w:val="auto"/>
        </w:rPr>
      </w:pPr>
      <w:bookmarkStart w:id="47" w:name="_Toc477345349"/>
      <w:r w:rsidRPr="000578FE">
        <w:rPr>
          <w:rFonts w:ascii="Times New Roman" w:hAnsi="Times New Roman" w:cs="Times New Roman"/>
          <w:color w:val="auto"/>
        </w:rPr>
        <w:t>Opatrenia energetickej efektívnosti vo verejnom sektore</w:t>
      </w:r>
      <w:bookmarkEnd w:id="47"/>
      <w:r w:rsidRPr="000578FE">
        <w:rPr>
          <w:rFonts w:ascii="Times New Roman" w:hAnsi="Times New Roman" w:cs="Times New Roman"/>
          <w:color w:val="auto"/>
        </w:rPr>
        <w:t xml:space="preserve"> </w:t>
      </w:r>
    </w:p>
    <w:p w14:paraId="5575346D" w14:textId="77777777" w:rsidR="00B64D7F" w:rsidRPr="009F2998" w:rsidRDefault="00B64D7F" w:rsidP="000E2AED">
      <w:pPr>
        <w:rPr>
          <w:rFonts w:ascii="Times New Roman" w:hAnsi="Times New Roman" w:cs="Times New Roman"/>
        </w:rPr>
      </w:pPr>
    </w:p>
    <w:p w14:paraId="3AB4A9BA" w14:textId="5BEAC3F5" w:rsidR="00B64D7F" w:rsidRPr="000745A8" w:rsidRDefault="00B64D7F" w:rsidP="00B64D7F">
      <w:pPr>
        <w:jc w:val="both"/>
        <w:rPr>
          <w:rFonts w:ascii="Times New Roman" w:hAnsi="Times New Roman" w:cs="Times New Roman"/>
          <w:sz w:val="24"/>
          <w:szCs w:val="24"/>
        </w:rPr>
      </w:pPr>
      <w:r w:rsidRPr="000745A8">
        <w:rPr>
          <w:rFonts w:ascii="Times New Roman" w:hAnsi="Times New Roman" w:cs="Times New Roman"/>
          <w:sz w:val="24"/>
          <w:szCs w:val="24"/>
        </w:rPr>
        <w:t xml:space="preserve">Opatrenia energetickej efektívnosti vo verejnom </w:t>
      </w:r>
      <w:r w:rsidR="00E77F75" w:rsidRPr="000745A8">
        <w:rPr>
          <w:rFonts w:ascii="Times New Roman" w:hAnsi="Times New Roman" w:cs="Times New Roman"/>
          <w:sz w:val="24"/>
          <w:szCs w:val="24"/>
        </w:rPr>
        <w:t xml:space="preserve">sú </w:t>
      </w:r>
      <w:r w:rsidRPr="000745A8">
        <w:rPr>
          <w:rFonts w:ascii="Times New Roman" w:hAnsi="Times New Roman" w:cs="Times New Roman"/>
          <w:sz w:val="24"/>
          <w:szCs w:val="24"/>
        </w:rPr>
        <w:t>zamerané najmä na:</w:t>
      </w:r>
    </w:p>
    <w:p w14:paraId="5BE85A75" w14:textId="6C1AA4AB" w:rsidR="007916D4" w:rsidRPr="000745A8" w:rsidRDefault="00B64D7F" w:rsidP="008F19ED">
      <w:pPr>
        <w:pStyle w:val="Odsekzoznamu"/>
        <w:numPr>
          <w:ilvl w:val="0"/>
          <w:numId w:val="6"/>
        </w:numPr>
        <w:jc w:val="both"/>
        <w:rPr>
          <w:rFonts w:ascii="Times New Roman" w:hAnsi="Times New Roman" w:cs="Times New Roman"/>
          <w:sz w:val="24"/>
          <w:szCs w:val="24"/>
        </w:rPr>
      </w:pPr>
      <w:r w:rsidRPr="000745A8">
        <w:rPr>
          <w:rFonts w:ascii="Times New Roman" w:hAnsi="Times New Roman" w:cs="Times New Roman"/>
          <w:sz w:val="24"/>
          <w:szCs w:val="24"/>
        </w:rPr>
        <w:t xml:space="preserve">zlepšovanie tepelnotechnických vlastností </w:t>
      </w:r>
      <w:r w:rsidR="007916D4" w:rsidRPr="000745A8">
        <w:rPr>
          <w:rFonts w:ascii="Times New Roman" w:hAnsi="Times New Roman" w:cs="Times New Roman"/>
          <w:sz w:val="24"/>
          <w:szCs w:val="24"/>
        </w:rPr>
        <w:t>verejných budov zo štrukturálnych fondov EÚ 2007-2013</w:t>
      </w:r>
      <w:r w:rsidR="000B15D7" w:rsidRPr="000745A8">
        <w:rPr>
          <w:rFonts w:ascii="Times New Roman" w:hAnsi="Times New Roman" w:cs="Times New Roman"/>
          <w:sz w:val="24"/>
          <w:szCs w:val="24"/>
        </w:rPr>
        <w:t>, 2014 - 2020</w:t>
      </w:r>
      <w:r w:rsidR="007916D4" w:rsidRPr="000745A8">
        <w:rPr>
          <w:rFonts w:ascii="Times New Roman" w:hAnsi="Times New Roman" w:cs="Times New Roman"/>
          <w:sz w:val="24"/>
          <w:szCs w:val="24"/>
        </w:rPr>
        <w:t>,</w:t>
      </w:r>
    </w:p>
    <w:p w14:paraId="0ACD2274" w14:textId="16C440AC" w:rsidR="00D555FE" w:rsidRPr="000745A8" w:rsidRDefault="007916D4" w:rsidP="008F19ED">
      <w:pPr>
        <w:pStyle w:val="Odsekzoznamu"/>
        <w:numPr>
          <w:ilvl w:val="0"/>
          <w:numId w:val="6"/>
        </w:numPr>
        <w:jc w:val="both"/>
        <w:rPr>
          <w:rFonts w:ascii="Times New Roman" w:hAnsi="Times New Roman" w:cs="Times New Roman"/>
          <w:sz w:val="24"/>
          <w:szCs w:val="24"/>
        </w:rPr>
      </w:pPr>
      <w:r w:rsidRPr="000745A8">
        <w:rPr>
          <w:rFonts w:ascii="Times New Roman" w:hAnsi="Times New Roman" w:cs="Times New Roman"/>
          <w:sz w:val="24"/>
          <w:szCs w:val="24"/>
        </w:rPr>
        <w:t>zlepšovanie tepelnotechnických vlastností verejných budov z vlastných rozpočtových zdrojov,</w:t>
      </w:r>
    </w:p>
    <w:p w14:paraId="0CD30DF8" w14:textId="01F1B4CB" w:rsidR="007916D4" w:rsidRPr="004E746F" w:rsidRDefault="007916D4" w:rsidP="004E746F">
      <w:pPr>
        <w:pStyle w:val="Odsekzoznamu"/>
        <w:numPr>
          <w:ilvl w:val="0"/>
          <w:numId w:val="6"/>
        </w:numPr>
        <w:jc w:val="both"/>
        <w:rPr>
          <w:rFonts w:ascii="Times New Roman" w:hAnsi="Times New Roman" w:cs="Times New Roman"/>
          <w:sz w:val="24"/>
          <w:szCs w:val="24"/>
        </w:rPr>
      </w:pPr>
      <w:r w:rsidRPr="004E746F">
        <w:rPr>
          <w:rFonts w:ascii="Times New Roman" w:hAnsi="Times New Roman" w:cs="Times New Roman"/>
          <w:sz w:val="24"/>
          <w:szCs w:val="24"/>
        </w:rPr>
        <w:t>zlepšovanie tepelnotechnických vlastností verejných budov z národných a medzinárodných programov a fondov,</w:t>
      </w:r>
      <w:r w:rsidR="005E4412" w:rsidRPr="004E746F">
        <w:rPr>
          <w:rFonts w:ascii="Times New Roman" w:hAnsi="Times New Roman" w:cs="Times New Roman"/>
          <w:sz w:val="24"/>
          <w:szCs w:val="24"/>
        </w:rPr>
        <w:t xml:space="preserve"> </w:t>
      </w:r>
    </w:p>
    <w:p w14:paraId="4A627135" w14:textId="000080EC" w:rsidR="00C61956" w:rsidRPr="000745A8" w:rsidRDefault="00C61956" w:rsidP="00C61956">
      <w:pPr>
        <w:pStyle w:val="Odsekzoznamu"/>
        <w:numPr>
          <w:ilvl w:val="0"/>
          <w:numId w:val="6"/>
        </w:numPr>
        <w:jc w:val="both"/>
        <w:rPr>
          <w:rFonts w:ascii="Times New Roman" w:hAnsi="Times New Roman" w:cs="Times New Roman"/>
          <w:sz w:val="24"/>
          <w:szCs w:val="24"/>
        </w:rPr>
      </w:pPr>
      <w:r w:rsidRPr="000745A8">
        <w:rPr>
          <w:rFonts w:ascii="Times New Roman" w:hAnsi="Times New Roman" w:cs="Times New Roman"/>
          <w:sz w:val="24"/>
          <w:szCs w:val="24"/>
        </w:rPr>
        <w:t xml:space="preserve">modernizáciu verejného osvetlenia, </w:t>
      </w:r>
    </w:p>
    <w:p w14:paraId="458C5243" w14:textId="7F3A9506" w:rsidR="00253CC3" w:rsidRPr="000745A8" w:rsidRDefault="00B64D7F" w:rsidP="008F19ED">
      <w:pPr>
        <w:pStyle w:val="Odsekzoznamu"/>
        <w:numPr>
          <w:ilvl w:val="0"/>
          <w:numId w:val="6"/>
        </w:numPr>
        <w:jc w:val="both"/>
        <w:rPr>
          <w:rFonts w:ascii="Times New Roman" w:hAnsi="Times New Roman" w:cs="Times New Roman"/>
          <w:sz w:val="24"/>
          <w:szCs w:val="24"/>
        </w:rPr>
      </w:pPr>
      <w:r w:rsidRPr="000745A8">
        <w:rPr>
          <w:rFonts w:ascii="Times New Roman" w:hAnsi="Times New Roman" w:cs="Times New Roman"/>
          <w:sz w:val="24"/>
          <w:szCs w:val="24"/>
        </w:rPr>
        <w:t xml:space="preserve">opatrenia na úsporu energie na technických zariadeniach budov </w:t>
      </w:r>
      <w:r w:rsidR="00253CC3" w:rsidRPr="000745A8">
        <w:rPr>
          <w:rFonts w:ascii="Times New Roman" w:hAnsi="Times New Roman" w:cs="Times New Roman"/>
          <w:sz w:val="24"/>
          <w:szCs w:val="24"/>
        </w:rPr>
        <w:t xml:space="preserve">prostredníctvom energetických služieb, </w:t>
      </w:r>
    </w:p>
    <w:p w14:paraId="69725FA9" w14:textId="7CE6BCC0" w:rsidR="00B64D7F" w:rsidRPr="000745A8" w:rsidRDefault="00253CC3" w:rsidP="008F19ED">
      <w:pPr>
        <w:pStyle w:val="Odsekzoznamu"/>
        <w:numPr>
          <w:ilvl w:val="0"/>
          <w:numId w:val="6"/>
        </w:numPr>
        <w:jc w:val="both"/>
        <w:rPr>
          <w:rFonts w:ascii="Times New Roman" w:hAnsi="Times New Roman" w:cs="Times New Roman"/>
          <w:sz w:val="24"/>
          <w:szCs w:val="24"/>
        </w:rPr>
      </w:pPr>
      <w:r w:rsidRPr="000745A8">
        <w:rPr>
          <w:rFonts w:ascii="Times New Roman" w:hAnsi="Times New Roman" w:cs="Times New Roman"/>
          <w:sz w:val="24"/>
          <w:szCs w:val="24"/>
        </w:rPr>
        <w:t xml:space="preserve">opatrenia na úsporu energie </w:t>
      </w:r>
      <w:r w:rsidR="00B64D7F" w:rsidRPr="000745A8">
        <w:rPr>
          <w:rFonts w:ascii="Times New Roman" w:hAnsi="Times New Roman" w:cs="Times New Roman"/>
          <w:sz w:val="24"/>
          <w:szCs w:val="24"/>
        </w:rPr>
        <w:t>realizované na základe aplikácie koncepčných a strategických materiálov</w:t>
      </w:r>
      <w:r w:rsidRPr="000745A8">
        <w:rPr>
          <w:rFonts w:ascii="Times New Roman" w:hAnsi="Times New Roman" w:cs="Times New Roman"/>
          <w:sz w:val="24"/>
          <w:szCs w:val="24"/>
        </w:rPr>
        <w:t xml:space="preserve"> a </w:t>
      </w:r>
      <w:r w:rsidR="00B64D7F" w:rsidRPr="000745A8">
        <w:rPr>
          <w:rFonts w:ascii="Times New Roman" w:hAnsi="Times New Roman" w:cs="Times New Roman"/>
          <w:sz w:val="24"/>
          <w:szCs w:val="24"/>
        </w:rPr>
        <w:t>legislatívnych povinností.</w:t>
      </w:r>
    </w:p>
    <w:p w14:paraId="719356D3" w14:textId="77777777" w:rsidR="00C15827" w:rsidRDefault="00C15827" w:rsidP="00FE5933">
      <w:pPr>
        <w:jc w:val="both"/>
        <w:rPr>
          <w:rFonts w:ascii="Times New Roman" w:hAnsi="Times New Roman" w:cs="Times New Roman"/>
        </w:rPr>
      </w:pPr>
    </w:p>
    <w:p w14:paraId="31BF1FB1" w14:textId="11E048D3" w:rsidR="00FE5933" w:rsidRPr="009F2998" w:rsidRDefault="00375411" w:rsidP="000578FE">
      <w:pPr>
        <w:keepNext/>
        <w:jc w:val="both"/>
        <w:rPr>
          <w:rFonts w:ascii="Times New Roman" w:hAnsi="Times New Roman" w:cs="Times New Roman"/>
        </w:rPr>
      </w:pPr>
      <w:r w:rsidRPr="000578FE">
        <w:rPr>
          <w:rFonts w:ascii="Times New Roman" w:hAnsi="Times New Roman" w:cs="Times New Roman"/>
          <w:sz w:val="24"/>
          <w:szCs w:val="24"/>
        </w:rPr>
        <w:t xml:space="preserve">Graf č. </w:t>
      </w:r>
      <w:r w:rsidR="00AE42A2">
        <w:rPr>
          <w:rFonts w:ascii="Times New Roman" w:hAnsi="Times New Roman" w:cs="Times New Roman"/>
          <w:sz w:val="24"/>
          <w:szCs w:val="24"/>
        </w:rPr>
        <w:t>9</w:t>
      </w:r>
      <w:r w:rsidRPr="000578FE">
        <w:rPr>
          <w:rFonts w:ascii="Times New Roman" w:hAnsi="Times New Roman" w:cs="Times New Roman"/>
          <w:sz w:val="24"/>
          <w:szCs w:val="24"/>
        </w:rPr>
        <w:t>: Zníženie konečnej energetickej spotreby  vo verejnom sektore - podiel skupín opatrení na plnení cieľa v rokoch 2014-2016</w:t>
      </w:r>
    </w:p>
    <w:tbl>
      <w:tblPr>
        <w:tblStyle w:val="Mriekatabuky"/>
        <w:tblW w:w="0" w:type="auto"/>
        <w:tblInd w:w="-5" w:type="dxa"/>
        <w:tblLook w:val="04A0" w:firstRow="1" w:lastRow="0" w:firstColumn="1" w:lastColumn="0" w:noHBand="0" w:noVBand="1"/>
      </w:tblPr>
      <w:tblGrid>
        <w:gridCol w:w="4318"/>
        <w:gridCol w:w="4759"/>
      </w:tblGrid>
      <w:tr w:rsidR="00FE5933" w:rsidRPr="009F2998" w14:paraId="4F1B434B" w14:textId="77777777" w:rsidTr="000578FE">
        <w:trPr>
          <w:trHeight w:val="4048"/>
        </w:trPr>
        <w:tc>
          <w:tcPr>
            <w:tcW w:w="4318" w:type="dxa"/>
            <w:tcBorders>
              <w:top w:val="nil"/>
              <w:left w:val="nil"/>
              <w:bottom w:val="nil"/>
              <w:right w:val="nil"/>
            </w:tcBorders>
          </w:tcPr>
          <w:p w14:paraId="39492275" w14:textId="51180872" w:rsidR="00FE5933" w:rsidRPr="009F2998" w:rsidRDefault="00C34FEF" w:rsidP="00FE5933">
            <w:pPr>
              <w:jc w:val="both"/>
              <w:rPr>
                <w:rFonts w:ascii="Times New Roman" w:hAnsi="Times New Roman" w:cs="Times New Roman"/>
              </w:rPr>
            </w:pPr>
            <w:r w:rsidRPr="009F2998">
              <w:rPr>
                <w:rFonts w:ascii="Times New Roman" w:hAnsi="Times New Roman" w:cs="Times New Roman"/>
                <w:noProof/>
                <w:lang w:eastAsia="sk-SK"/>
              </w:rPr>
              <w:drawing>
                <wp:inline distT="0" distB="0" distL="0" distR="0" wp14:anchorId="2208D036" wp14:editId="242ECA11">
                  <wp:extent cx="2428875" cy="2343150"/>
                  <wp:effectExtent l="0" t="0" r="0"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759" w:type="dxa"/>
            <w:tcBorders>
              <w:top w:val="nil"/>
              <w:left w:val="nil"/>
              <w:bottom w:val="nil"/>
              <w:right w:val="nil"/>
            </w:tcBorders>
          </w:tcPr>
          <w:tbl>
            <w:tblPr>
              <w:tblpPr w:leftFromText="141" w:rightFromText="141" w:vertAnchor="text" w:horzAnchor="margin" w:tblpY="527"/>
              <w:tblOverlap w:val="never"/>
              <w:tblW w:w="4503" w:type="dxa"/>
              <w:tblCellMar>
                <w:left w:w="70" w:type="dxa"/>
                <w:right w:w="70" w:type="dxa"/>
              </w:tblCellMar>
              <w:tblLook w:val="04A0" w:firstRow="1" w:lastRow="0" w:firstColumn="1" w:lastColumn="0" w:noHBand="0" w:noVBand="1"/>
            </w:tblPr>
            <w:tblGrid>
              <w:gridCol w:w="257"/>
              <w:gridCol w:w="3486"/>
              <w:gridCol w:w="760"/>
            </w:tblGrid>
            <w:tr w:rsidR="00C34FEF" w:rsidRPr="009F2998" w14:paraId="5936E718" w14:textId="77777777" w:rsidTr="00C34FEF">
              <w:trPr>
                <w:trHeight w:val="419"/>
              </w:trPr>
              <w:tc>
                <w:tcPr>
                  <w:tcW w:w="2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75536" w14:textId="77777777" w:rsidR="00C34FEF" w:rsidRPr="009F2998" w:rsidRDefault="00C34FEF" w:rsidP="00C34FEF">
                  <w:pPr>
                    <w:spacing w:after="0" w:line="240" w:lineRule="auto"/>
                    <w:rPr>
                      <w:rFonts w:ascii="Times New Roman" w:eastAsia="Times New Roman" w:hAnsi="Times New Roman" w:cs="Times New Roman"/>
                      <w:lang w:eastAsia="sk-SK"/>
                    </w:rPr>
                  </w:pPr>
                </w:p>
              </w:tc>
              <w:tc>
                <w:tcPr>
                  <w:tcW w:w="3486" w:type="dxa"/>
                  <w:tcBorders>
                    <w:top w:val="single" w:sz="4" w:space="0" w:color="auto"/>
                    <w:left w:val="nil"/>
                    <w:bottom w:val="single" w:sz="4" w:space="0" w:color="auto"/>
                    <w:right w:val="single" w:sz="4" w:space="0" w:color="auto"/>
                  </w:tcBorders>
                  <w:shd w:val="clear" w:color="auto" w:fill="auto"/>
                  <w:noWrap/>
                  <w:vAlign w:val="bottom"/>
                </w:tcPr>
                <w:p w14:paraId="662CCEC8" w14:textId="77777777" w:rsidR="00C34FEF" w:rsidRPr="009F2998" w:rsidRDefault="00C34FEF" w:rsidP="00C34FEF">
                  <w:pPr>
                    <w:spacing w:after="0" w:line="240" w:lineRule="auto"/>
                    <w:rPr>
                      <w:rFonts w:ascii="Times New Roman" w:eastAsia="Times New Roman" w:hAnsi="Times New Roman" w:cs="Times New Roman"/>
                      <w:color w:val="000000"/>
                      <w:sz w:val="20"/>
                      <w:szCs w:val="20"/>
                      <w:lang w:eastAsia="sk-SK"/>
                    </w:rPr>
                  </w:pPr>
                  <w:r w:rsidRPr="009F2998">
                    <w:rPr>
                      <w:rFonts w:ascii="Times New Roman" w:eastAsia="Times New Roman" w:hAnsi="Times New Roman" w:cs="Times New Roman"/>
                      <w:color w:val="000000"/>
                      <w:sz w:val="20"/>
                      <w:szCs w:val="20"/>
                      <w:lang w:eastAsia="sk-SK"/>
                    </w:rPr>
                    <w:t xml:space="preserve">Spôsob financovania: </w:t>
                  </w: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6005CA83" w14:textId="77777777" w:rsidR="00C34FEF" w:rsidRPr="009F2998" w:rsidRDefault="00C34FEF" w:rsidP="00C34FEF">
                  <w:pPr>
                    <w:spacing w:after="0" w:line="240" w:lineRule="auto"/>
                    <w:jc w:val="center"/>
                    <w:rPr>
                      <w:rFonts w:ascii="Times New Roman" w:eastAsia="Times New Roman" w:hAnsi="Times New Roman" w:cs="Times New Roman"/>
                      <w:color w:val="000000"/>
                      <w:sz w:val="20"/>
                      <w:szCs w:val="20"/>
                      <w:lang w:eastAsia="sk-SK"/>
                    </w:rPr>
                  </w:pPr>
                  <w:r w:rsidRPr="009F2998">
                    <w:rPr>
                      <w:rFonts w:ascii="Times New Roman" w:eastAsia="Times New Roman" w:hAnsi="Times New Roman" w:cs="Times New Roman"/>
                      <w:color w:val="000000"/>
                      <w:sz w:val="20"/>
                      <w:szCs w:val="20"/>
                      <w:lang w:eastAsia="sk-SK"/>
                    </w:rPr>
                    <w:t>Úspora [TJ]</w:t>
                  </w:r>
                </w:p>
              </w:tc>
            </w:tr>
            <w:tr w:rsidR="00C34FEF" w:rsidRPr="009F2998" w14:paraId="1502DE1B" w14:textId="77777777" w:rsidTr="00C34FEF">
              <w:trPr>
                <w:trHeight w:val="483"/>
              </w:trPr>
              <w:tc>
                <w:tcPr>
                  <w:tcW w:w="257" w:type="dxa"/>
                  <w:tcBorders>
                    <w:top w:val="single" w:sz="4" w:space="0" w:color="auto"/>
                    <w:left w:val="single" w:sz="4" w:space="0" w:color="auto"/>
                    <w:bottom w:val="single" w:sz="4" w:space="0" w:color="auto"/>
                    <w:right w:val="single" w:sz="4" w:space="0" w:color="auto"/>
                  </w:tcBorders>
                  <w:shd w:val="clear" w:color="000000" w:fill="FF7857"/>
                  <w:noWrap/>
                  <w:vAlign w:val="bottom"/>
                  <w:hideMark/>
                </w:tcPr>
                <w:p w14:paraId="2A4C65F4" w14:textId="77777777" w:rsidR="00C34FEF" w:rsidRPr="009F2998" w:rsidRDefault="00C34FEF" w:rsidP="00C34FEF">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3486" w:type="dxa"/>
                  <w:tcBorders>
                    <w:top w:val="single" w:sz="4" w:space="0" w:color="auto"/>
                    <w:left w:val="nil"/>
                    <w:bottom w:val="single" w:sz="4" w:space="0" w:color="auto"/>
                    <w:right w:val="single" w:sz="4" w:space="0" w:color="auto"/>
                  </w:tcBorders>
                  <w:shd w:val="clear" w:color="auto" w:fill="auto"/>
                  <w:noWrap/>
                  <w:vAlign w:val="bottom"/>
                  <w:hideMark/>
                </w:tcPr>
                <w:p w14:paraId="4FEFFA23" w14:textId="77777777" w:rsidR="00C34FEF" w:rsidRPr="009F2998" w:rsidRDefault="00C34FEF" w:rsidP="00C34FEF">
                  <w:pPr>
                    <w:spacing w:after="0" w:line="240" w:lineRule="auto"/>
                    <w:rPr>
                      <w:rFonts w:ascii="Times New Roman" w:eastAsia="Times New Roman" w:hAnsi="Times New Roman" w:cs="Times New Roman"/>
                      <w:color w:val="000000"/>
                      <w:sz w:val="20"/>
                      <w:szCs w:val="20"/>
                      <w:lang w:eastAsia="sk-SK"/>
                    </w:rPr>
                  </w:pPr>
                  <w:r w:rsidRPr="009F2998">
                    <w:rPr>
                      <w:rFonts w:ascii="Times New Roman" w:eastAsia="Times New Roman" w:hAnsi="Times New Roman" w:cs="Times New Roman"/>
                      <w:color w:val="000000"/>
                      <w:sz w:val="20"/>
                      <w:szCs w:val="20"/>
                      <w:lang w:eastAsia="sk-SK"/>
                    </w:rPr>
                    <w:t>Budovy ŠF EU 2007-2013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BE8E8" w14:textId="77777777" w:rsidR="00C34FEF" w:rsidRPr="009F2998" w:rsidRDefault="00C34FEF" w:rsidP="00C34FEF">
                  <w:pPr>
                    <w:spacing w:after="0" w:line="240" w:lineRule="auto"/>
                    <w:jc w:val="right"/>
                    <w:rPr>
                      <w:rFonts w:ascii="Times New Roman" w:eastAsia="Times New Roman" w:hAnsi="Times New Roman" w:cs="Times New Roman"/>
                      <w:color w:val="000000"/>
                      <w:sz w:val="20"/>
                      <w:szCs w:val="20"/>
                      <w:lang w:eastAsia="sk-SK"/>
                    </w:rPr>
                  </w:pPr>
                  <w:r w:rsidRPr="009F2998">
                    <w:rPr>
                      <w:rFonts w:ascii="Times New Roman" w:hAnsi="Times New Roman" w:cs="Times New Roman"/>
                      <w:color w:val="000000"/>
                      <w:sz w:val="20"/>
                      <w:szCs w:val="20"/>
                    </w:rPr>
                    <w:t>172,63</w:t>
                  </w:r>
                </w:p>
              </w:tc>
            </w:tr>
            <w:tr w:rsidR="00C34FEF" w:rsidRPr="009F2998" w14:paraId="686EA286" w14:textId="77777777" w:rsidTr="00C34FEF">
              <w:trPr>
                <w:trHeight w:val="419"/>
              </w:trPr>
              <w:tc>
                <w:tcPr>
                  <w:tcW w:w="257" w:type="dxa"/>
                  <w:tcBorders>
                    <w:top w:val="nil"/>
                    <w:left w:val="single" w:sz="4" w:space="0" w:color="auto"/>
                    <w:bottom w:val="single" w:sz="4" w:space="0" w:color="auto"/>
                    <w:right w:val="single" w:sz="4" w:space="0" w:color="auto"/>
                  </w:tcBorders>
                  <w:shd w:val="clear" w:color="000000" w:fill="FF9933"/>
                  <w:noWrap/>
                  <w:vAlign w:val="bottom"/>
                  <w:hideMark/>
                </w:tcPr>
                <w:p w14:paraId="2A0F72C6" w14:textId="77777777" w:rsidR="00C34FEF" w:rsidRPr="009F2998" w:rsidRDefault="00C34FEF" w:rsidP="00C34FEF">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3486" w:type="dxa"/>
                  <w:tcBorders>
                    <w:top w:val="nil"/>
                    <w:left w:val="nil"/>
                    <w:bottom w:val="single" w:sz="4" w:space="0" w:color="auto"/>
                    <w:right w:val="single" w:sz="4" w:space="0" w:color="auto"/>
                  </w:tcBorders>
                  <w:shd w:val="clear" w:color="auto" w:fill="auto"/>
                  <w:noWrap/>
                  <w:vAlign w:val="bottom"/>
                  <w:hideMark/>
                </w:tcPr>
                <w:p w14:paraId="2DB2DBEA" w14:textId="77777777" w:rsidR="00C34FEF" w:rsidRPr="009F2998" w:rsidRDefault="00C34FEF" w:rsidP="00C34FEF">
                  <w:pPr>
                    <w:spacing w:after="0" w:line="240" w:lineRule="auto"/>
                    <w:rPr>
                      <w:rFonts w:ascii="Times New Roman" w:eastAsia="Times New Roman" w:hAnsi="Times New Roman" w:cs="Times New Roman"/>
                      <w:color w:val="000000"/>
                      <w:sz w:val="20"/>
                      <w:szCs w:val="20"/>
                      <w:lang w:eastAsia="sk-SK"/>
                    </w:rPr>
                  </w:pPr>
                  <w:r w:rsidRPr="009F2998">
                    <w:rPr>
                      <w:rFonts w:ascii="Times New Roman" w:eastAsia="Times New Roman" w:hAnsi="Times New Roman" w:cs="Times New Roman"/>
                      <w:color w:val="000000"/>
                      <w:sz w:val="20"/>
                      <w:szCs w:val="20"/>
                      <w:lang w:eastAsia="sk-SK"/>
                    </w:rPr>
                    <w:t>Budovy vlastné rozpočtové zdroje</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1AB6C83" w14:textId="700562DD" w:rsidR="00C34FEF" w:rsidRPr="009F2998" w:rsidRDefault="00C34FEF" w:rsidP="00C34FEF">
                  <w:pPr>
                    <w:spacing w:after="0" w:line="240" w:lineRule="auto"/>
                    <w:jc w:val="right"/>
                    <w:rPr>
                      <w:rFonts w:ascii="Times New Roman" w:eastAsia="Times New Roman" w:hAnsi="Times New Roman" w:cs="Times New Roman"/>
                      <w:color w:val="000000"/>
                      <w:sz w:val="20"/>
                      <w:szCs w:val="20"/>
                      <w:lang w:eastAsia="sk-SK"/>
                    </w:rPr>
                  </w:pPr>
                  <w:r w:rsidRPr="009F2998">
                    <w:rPr>
                      <w:rFonts w:ascii="Times New Roman" w:hAnsi="Times New Roman" w:cs="Times New Roman"/>
                      <w:color w:val="000000"/>
                      <w:sz w:val="20"/>
                      <w:szCs w:val="20"/>
                    </w:rPr>
                    <w:t>67,</w:t>
                  </w:r>
                  <w:r w:rsidR="00D6734F">
                    <w:rPr>
                      <w:rFonts w:ascii="Times New Roman" w:hAnsi="Times New Roman" w:cs="Times New Roman"/>
                      <w:color w:val="000000"/>
                      <w:sz w:val="20"/>
                      <w:szCs w:val="20"/>
                    </w:rPr>
                    <w:t>6</w:t>
                  </w:r>
                  <w:r w:rsidRPr="009F2998">
                    <w:rPr>
                      <w:rFonts w:ascii="Times New Roman" w:hAnsi="Times New Roman" w:cs="Times New Roman"/>
                      <w:color w:val="000000"/>
                      <w:sz w:val="20"/>
                      <w:szCs w:val="20"/>
                    </w:rPr>
                    <w:t>7</w:t>
                  </w:r>
                </w:p>
              </w:tc>
            </w:tr>
            <w:tr w:rsidR="00C34FEF" w:rsidRPr="009F2998" w14:paraId="2A00594C" w14:textId="77777777" w:rsidTr="00C34FEF">
              <w:trPr>
                <w:trHeight w:val="232"/>
              </w:trPr>
              <w:tc>
                <w:tcPr>
                  <w:tcW w:w="257" w:type="dxa"/>
                  <w:tcBorders>
                    <w:top w:val="nil"/>
                    <w:left w:val="single" w:sz="4" w:space="0" w:color="auto"/>
                    <w:bottom w:val="single" w:sz="4" w:space="0" w:color="auto"/>
                    <w:right w:val="single" w:sz="4" w:space="0" w:color="auto"/>
                  </w:tcBorders>
                  <w:shd w:val="clear" w:color="000000" w:fill="FFCC00"/>
                  <w:noWrap/>
                  <w:vAlign w:val="bottom"/>
                  <w:hideMark/>
                </w:tcPr>
                <w:p w14:paraId="775DCCB6" w14:textId="77777777" w:rsidR="00C34FEF" w:rsidRPr="009F2998" w:rsidRDefault="00C34FEF" w:rsidP="00C34FEF">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3486" w:type="dxa"/>
                  <w:tcBorders>
                    <w:top w:val="nil"/>
                    <w:left w:val="nil"/>
                    <w:bottom w:val="single" w:sz="4" w:space="0" w:color="auto"/>
                    <w:right w:val="single" w:sz="4" w:space="0" w:color="auto"/>
                  </w:tcBorders>
                  <w:shd w:val="clear" w:color="auto" w:fill="auto"/>
                  <w:noWrap/>
                  <w:vAlign w:val="bottom"/>
                  <w:hideMark/>
                </w:tcPr>
                <w:p w14:paraId="648360BE" w14:textId="77777777" w:rsidR="00C34FEF" w:rsidRPr="009F2998" w:rsidRDefault="00C34FEF" w:rsidP="00C34FEF">
                  <w:pPr>
                    <w:spacing w:after="0" w:line="240" w:lineRule="auto"/>
                    <w:rPr>
                      <w:rFonts w:ascii="Times New Roman" w:eastAsia="Times New Roman" w:hAnsi="Times New Roman" w:cs="Times New Roman"/>
                      <w:color w:val="000000"/>
                      <w:sz w:val="20"/>
                      <w:szCs w:val="20"/>
                      <w:lang w:eastAsia="sk-SK"/>
                    </w:rPr>
                  </w:pPr>
                  <w:r w:rsidRPr="009F2998">
                    <w:rPr>
                      <w:rFonts w:ascii="Times New Roman" w:eastAsia="Times New Roman" w:hAnsi="Times New Roman" w:cs="Times New Roman"/>
                      <w:color w:val="000000"/>
                      <w:sz w:val="20"/>
                      <w:szCs w:val="20"/>
                      <w:lang w:eastAsia="sk-SK"/>
                    </w:rPr>
                    <w:t>Budovy národné a medzinárodné programy/fondy</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F235854" w14:textId="77777777" w:rsidR="00C34FEF" w:rsidRPr="009F2998" w:rsidRDefault="00C34FEF" w:rsidP="00C34FEF">
                  <w:pPr>
                    <w:spacing w:after="0" w:line="240" w:lineRule="auto"/>
                    <w:jc w:val="right"/>
                    <w:rPr>
                      <w:rFonts w:ascii="Times New Roman" w:eastAsia="Times New Roman" w:hAnsi="Times New Roman" w:cs="Times New Roman"/>
                      <w:color w:val="000000"/>
                      <w:sz w:val="20"/>
                      <w:szCs w:val="20"/>
                      <w:lang w:eastAsia="sk-SK"/>
                    </w:rPr>
                  </w:pPr>
                  <w:r w:rsidRPr="009F2998">
                    <w:rPr>
                      <w:rFonts w:ascii="Times New Roman" w:hAnsi="Times New Roman" w:cs="Times New Roman"/>
                      <w:color w:val="000000"/>
                      <w:sz w:val="20"/>
                      <w:szCs w:val="20"/>
                    </w:rPr>
                    <w:t>188,14</w:t>
                  </w:r>
                </w:p>
              </w:tc>
            </w:tr>
            <w:tr w:rsidR="00C34FEF" w:rsidRPr="009F2998" w14:paraId="213D04D3" w14:textId="77777777" w:rsidTr="00C34FEF">
              <w:trPr>
                <w:trHeight w:val="475"/>
              </w:trPr>
              <w:tc>
                <w:tcPr>
                  <w:tcW w:w="257" w:type="dxa"/>
                  <w:tcBorders>
                    <w:top w:val="nil"/>
                    <w:left w:val="single" w:sz="4" w:space="0" w:color="auto"/>
                    <w:bottom w:val="single" w:sz="4" w:space="0" w:color="auto"/>
                    <w:right w:val="single" w:sz="4" w:space="0" w:color="auto"/>
                  </w:tcBorders>
                  <w:shd w:val="clear" w:color="000000" w:fill="92D050"/>
                  <w:noWrap/>
                  <w:vAlign w:val="bottom"/>
                  <w:hideMark/>
                </w:tcPr>
                <w:p w14:paraId="6A6E76B9" w14:textId="77777777" w:rsidR="00C34FEF" w:rsidRPr="009F2998" w:rsidRDefault="00C34FEF" w:rsidP="00C34FEF">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3486" w:type="dxa"/>
                  <w:tcBorders>
                    <w:top w:val="nil"/>
                    <w:left w:val="nil"/>
                    <w:bottom w:val="single" w:sz="4" w:space="0" w:color="auto"/>
                    <w:right w:val="single" w:sz="4" w:space="0" w:color="auto"/>
                  </w:tcBorders>
                  <w:shd w:val="clear" w:color="auto" w:fill="auto"/>
                  <w:noWrap/>
                  <w:vAlign w:val="bottom"/>
                  <w:hideMark/>
                </w:tcPr>
                <w:p w14:paraId="2ACD874D" w14:textId="77777777" w:rsidR="00C34FEF" w:rsidRPr="009F2998" w:rsidRDefault="00C34FEF" w:rsidP="00C34FEF">
                  <w:pPr>
                    <w:spacing w:after="0" w:line="240" w:lineRule="auto"/>
                    <w:rPr>
                      <w:rFonts w:ascii="Times New Roman" w:eastAsia="Times New Roman" w:hAnsi="Times New Roman" w:cs="Times New Roman"/>
                      <w:color w:val="000000"/>
                      <w:sz w:val="20"/>
                      <w:szCs w:val="20"/>
                      <w:lang w:eastAsia="sk-SK"/>
                    </w:rPr>
                  </w:pPr>
                  <w:r w:rsidRPr="009F2998">
                    <w:rPr>
                      <w:rFonts w:ascii="Times New Roman" w:eastAsia="Times New Roman" w:hAnsi="Times New Roman" w:cs="Times New Roman"/>
                      <w:color w:val="000000"/>
                      <w:sz w:val="20"/>
                      <w:szCs w:val="20"/>
                      <w:lang w:eastAsia="sk-SK"/>
                    </w:rPr>
                    <w:t>Modernizácia verejného osvetlenia</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9CC64A0" w14:textId="77777777" w:rsidR="00C34FEF" w:rsidRPr="009F2998" w:rsidRDefault="00C34FEF" w:rsidP="00C34FEF">
                  <w:pPr>
                    <w:spacing w:after="0" w:line="240" w:lineRule="auto"/>
                    <w:jc w:val="right"/>
                    <w:rPr>
                      <w:rFonts w:ascii="Times New Roman" w:eastAsia="Times New Roman" w:hAnsi="Times New Roman" w:cs="Times New Roman"/>
                      <w:color w:val="000000"/>
                      <w:sz w:val="20"/>
                      <w:szCs w:val="20"/>
                      <w:lang w:eastAsia="sk-SK"/>
                    </w:rPr>
                  </w:pPr>
                  <w:r w:rsidRPr="009F2998">
                    <w:rPr>
                      <w:rFonts w:ascii="Times New Roman" w:hAnsi="Times New Roman" w:cs="Times New Roman"/>
                      <w:color w:val="000000"/>
                      <w:sz w:val="20"/>
                      <w:szCs w:val="20"/>
                    </w:rPr>
                    <w:t>255,46</w:t>
                  </w:r>
                </w:p>
              </w:tc>
            </w:tr>
            <w:tr w:rsidR="00C34FEF" w:rsidRPr="009F2998" w14:paraId="5C0BC04A" w14:textId="77777777" w:rsidTr="00C34FEF">
              <w:trPr>
                <w:trHeight w:val="240"/>
              </w:trPr>
              <w:tc>
                <w:tcPr>
                  <w:tcW w:w="257" w:type="dxa"/>
                  <w:tcBorders>
                    <w:top w:val="nil"/>
                    <w:left w:val="single" w:sz="4" w:space="0" w:color="auto"/>
                    <w:bottom w:val="single" w:sz="4" w:space="0" w:color="auto"/>
                    <w:right w:val="single" w:sz="4" w:space="0" w:color="auto"/>
                  </w:tcBorders>
                  <w:shd w:val="clear" w:color="000000" w:fill="9BE5FF"/>
                  <w:noWrap/>
                  <w:vAlign w:val="bottom"/>
                  <w:hideMark/>
                </w:tcPr>
                <w:p w14:paraId="3CEEDD0F" w14:textId="77777777" w:rsidR="00C34FEF" w:rsidRPr="009F2998" w:rsidRDefault="00C34FEF" w:rsidP="00C34FEF">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3486" w:type="dxa"/>
                  <w:tcBorders>
                    <w:top w:val="nil"/>
                    <w:left w:val="nil"/>
                    <w:bottom w:val="single" w:sz="4" w:space="0" w:color="auto"/>
                    <w:right w:val="single" w:sz="4" w:space="0" w:color="auto"/>
                  </w:tcBorders>
                  <w:shd w:val="clear" w:color="auto" w:fill="auto"/>
                  <w:noWrap/>
                  <w:vAlign w:val="bottom"/>
                  <w:hideMark/>
                </w:tcPr>
                <w:p w14:paraId="32A34A16" w14:textId="77777777" w:rsidR="00C34FEF" w:rsidRPr="009F2998" w:rsidRDefault="00C34FEF" w:rsidP="00C34FEF">
                  <w:pPr>
                    <w:spacing w:after="0" w:line="240" w:lineRule="auto"/>
                    <w:rPr>
                      <w:rFonts w:ascii="Times New Roman" w:eastAsia="Times New Roman" w:hAnsi="Times New Roman" w:cs="Times New Roman"/>
                      <w:color w:val="000000"/>
                      <w:sz w:val="20"/>
                      <w:szCs w:val="20"/>
                      <w:lang w:eastAsia="sk-SK"/>
                    </w:rPr>
                  </w:pPr>
                  <w:r w:rsidRPr="009F2998">
                    <w:rPr>
                      <w:rFonts w:ascii="Times New Roman" w:eastAsia="Times New Roman" w:hAnsi="Times New Roman" w:cs="Times New Roman"/>
                      <w:color w:val="000000"/>
                      <w:sz w:val="20"/>
                      <w:szCs w:val="20"/>
                      <w:lang w:eastAsia="sk-SK"/>
                    </w:rPr>
                    <w:t>Technické zariadenia budov - Energetické služby</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D5E0C54" w14:textId="77777777" w:rsidR="00C34FEF" w:rsidRPr="009F2998" w:rsidRDefault="00C34FEF" w:rsidP="00C34FEF">
                  <w:pPr>
                    <w:spacing w:after="0" w:line="240" w:lineRule="auto"/>
                    <w:jc w:val="right"/>
                    <w:rPr>
                      <w:rFonts w:ascii="Times New Roman" w:eastAsia="Times New Roman" w:hAnsi="Times New Roman" w:cs="Times New Roman"/>
                      <w:color w:val="000000"/>
                      <w:sz w:val="20"/>
                      <w:szCs w:val="20"/>
                      <w:lang w:eastAsia="sk-SK"/>
                    </w:rPr>
                  </w:pPr>
                  <w:r w:rsidRPr="009F2998">
                    <w:rPr>
                      <w:rFonts w:ascii="Times New Roman" w:hAnsi="Times New Roman" w:cs="Times New Roman"/>
                      <w:color w:val="000000"/>
                      <w:sz w:val="20"/>
                      <w:szCs w:val="20"/>
                    </w:rPr>
                    <w:t>92,41</w:t>
                  </w:r>
                </w:p>
              </w:tc>
            </w:tr>
            <w:tr w:rsidR="00C34FEF" w:rsidRPr="009F2998" w14:paraId="1AE74F96" w14:textId="77777777" w:rsidTr="00C34FEF">
              <w:trPr>
                <w:trHeight w:val="244"/>
              </w:trPr>
              <w:tc>
                <w:tcPr>
                  <w:tcW w:w="257" w:type="dxa"/>
                  <w:tcBorders>
                    <w:top w:val="nil"/>
                    <w:left w:val="nil"/>
                    <w:bottom w:val="nil"/>
                    <w:right w:val="nil"/>
                  </w:tcBorders>
                  <w:shd w:val="clear" w:color="auto" w:fill="auto"/>
                  <w:noWrap/>
                  <w:vAlign w:val="bottom"/>
                  <w:hideMark/>
                </w:tcPr>
                <w:p w14:paraId="49DCC58D" w14:textId="77777777" w:rsidR="00C34FEF" w:rsidRPr="009F2998" w:rsidRDefault="00C34FEF" w:rsidP="00C34FEF">
                  <w:pPr>
                    <w:spacing w:after="0" w:line="240" w:lineRule="auto"/>
                    <w:jc w:val="right"/>
                    <w:rPr>
                      <w:rFonts w:ascii="Times New Roman" w:eastAsia="Times New Roman" w:hAnsi="Times New Roman" w:cs="Times New Roman"/>
                      <w:color w:val="000000"/>
                      <w:sz w:val="18"/>
                      <w:szCs w:val="18"/>
                      <w:lang w:eastAsia="sk-SK"/>
                    </w:rPr>
                  </w:pPr>
                </w:p>
              </w:tc>
              <w:tc>
                <w:tcPr>
                  <w:tcW w:w="3486" w:type="dxa"/>
                  <w:tcBorders>
                    <w:top w:val="nil"/>
                    <w:left w:val="single" w:sz="4" w:space="0" w:color="auto"/>
                    <w:bottom w:val="single" w:sz="4" w:space="0" w:color="auto"/>
                    <w:right w:val="single" w:sz="4" w:space="0" w:color="auto"/>
                  </w:tcBorders>
                  <w:shd w:val="clear" w:color="auto" w:fill="auto"/>
                  <w:noWrap/>
                  <w:vAlign w:val="bottom"/>
                  <w:hideMark/>
                </w:tcPr>
                <w:p w14:paraId="359396ED" w14:textId="77777777" w:rsidR="00C34FEF" w:rsidRPr="009F2998" w:rsidRDefault="00C34FEF" w:rsidP="00C34FEF">
                  <w:pPr>
                    <w:spacing w:after="0" w:line="240" w:lineRule="auto"/>
                    <w:rPr>
                      <w:rFonts w:ascii="Times New Roman" w:eastAsia="Times New Roman" w:hAnsi="Times New Roman" w:cs="Times New Roman"/>
                      <w:b/>
                      <w:color w:val="000000"/>
                      <w:sz w:val="20"/>
                      <w:szCs w:val="20"/>
                      <w:lang w:eastAsia="sk-SK"/>
                    </w:rPr>
                  </w:pPr>
                  <w:r w:rsidRPr="009F2998">
                    <w:rPr>
                      <w:rFonts w:ascii="Times New Roman" w:eastAsia="Times New Roman" w:hAnsi="Times New Roman" w:cs="Times New Roman"/>
                      <w:b/>
                      <w:color w:val="000000"/>
                      <w:sz w:val="20"/>
                      <w:szCs w:val="20"/>
                      <w:lang w:eastAsia="sk-SK"/>
                    </w:rPr>
                    <w:t>Spolu:</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A11E0BB" w14:textId="306443EC" w:rsidR="00C34FEF" w:rsidRPr="009F2998" w:rsidRDefault="00C34FEF" w:rsidP="00C34FEF">
                  <w:pPr>
                    <w:spacing w:after="0" w:line="240" w:lineRule="auto"/>
                    <w:jc w:val="right"/>
                    <w:rPr>
                      <w:rFonts w:ascii="Times New Roman" w:eastAsia="Times New Roman" w:hAnsi="Times New Roman" w:cs="Times New Roman"/>
                      <w:b/>
                      <w:color w:val="000000"/>
                      <w:sz w:val="20"/>
                      <w:szCs w:val="20"/>
                      <w:lang w:eastAsia="sk-SK"/>
                    </w:rPr>
                  </w:pPr>
                  <w:r w:rsidRPr="009F2998">
                    <w:rPr>
                      <w:rFonts w:ascii="Times New Roman" w:hAnsi="Times New Roman" w:cs="Times New Roman"/>
                      <w:b/>
                      <w:bCs/>
                      <w:color w:val="000000"/>
                      <w:sz w:val="20"/>
                      <w:szCs w:val="20"/>
                    </w:rPr>
                    <w:t>776,</w:t>
                  </w:r>
                  <w:r w:rsidR="00D6734F">
                    <w:rPr>
                      <w:rFonts w:ascii="Times New Roman" w:hAnsi="Times New Roman" w:cs="Times New Roman"/>
                      <w:b/>
                      <w:bCs/>
                      <w:color w:val="000000"/>
                      <w:sz w:val="20"/>
                      <w:szCs w:val="20"/>
                    </w:rPr>
                    <w:t>3</w:t>
                  </w:r>
                  <w:r w:rsidRPr="009F2998">
                    <w:rPr>
                      <w:rFonts w:ascii="Times New Roman" w:hAnsi="Times New Roman" w:cs="Times New Roman"/>
                      <w:b/>
                      <w:bCs/>
                      <w:color w:val="000000"/>
                      <w:sz w:val="20"/>
                      <w:szCs w:val="20"/>
                    </w:rPr>
                    <w:t>1</w:t>
                  </w:r>
                </w:p>
              </w:tc>
            </w:tr>
          </w:tbl>
          <w:p w14:paraId="45BBC256" w14:textId="77777777" w:rsidR="00FE5933" w:rsidRPr="009F2998" w:rsidRDefault="00FE5933" w:rsidP="002F3068">
            <w:pPr>
              <w:jc w:val="center"/>
              <w:rPr>
                <w:rFonts w:ascii="Times New Roman" w:hAnsi="Times New Roman" w:cs="Times New Roman"/>
              </w:rPr>
            </w:pPr>
          </w:p>
        </w:tc>
      </w:tr>
    </w:tbl>
    <w:p w14:paraId="106996B8" w14:textId="77777777" w:rsidR="00B64D7F" w:rsidRPr="009F2998" w:rsidRDefault="00B64D7F" w:rsidP="00B64D7F">
      <w:pPr>
        <w:jc w:val="both"/>
        <w:rPr>
          <w:rFonts w:ascii="Times New Roman" w:hAnsi="Times New Roman" w:cs="Times New Roman"/>
        </w:rPr>
      </w:pPr>
    </w:p>
    <w:p w14:paraId="6B7BCF96" w14:textId="30B18CF7" w:rsidR="006E2BE9" w:rsidRPr="000745A8" w:rsidRDefault="000B15D7" w:rsidP="000E2AED">
      <w:pPr>
        <w:jc w:val="both"/>
        <w:rPr>
          <w:rFonts w:ascii="Times New Roman" w:hAnsi="Times New Roman" w:cs="Times New Roman"/>
          <w:sz w:val="24"/>
          <w:szCs w:val="24"/>
        </w:rPr>
      </w:pPr>
      <w:r w:rsidRPr="000745A8">
        <w:rPr>
          <w:rFonts w:ascii="Times New Roman" w:hAnsi="Times New Roman" w:cs="Times New Roman"/>
          <w:sz w:val="24"/>
          <w:szCs w:val="24"/>
        </w:rPr>
        <w:t xml:space="preserve">Väčšina projektov na zlepšovanie tepelnotechnických vlastností verejných budov, financovaných zo </w:t>
      </w:r>
      <w:r w:rsidR="00E77F75" w:rsidRPr="000745A8">
        <w:rPr>
          <w:rFonts w:ascii="Times New Roman" w:hAnsi="Times New Roman" w:cs="Times New Roman"/>
          <w:sz w:val="24"/>
          <w:szCs w:val="24"/>
        </w:rPr>
        <w:t xml:space="preserve">štrukturálnych fondov EÚ </w:t>
      </w:r>
      <w:r w:rsidRPr="000745A8">
        <w:rPr>
          <w:rFonts w:ascii="Times New Roman" w:hAnsi="Times New Roman" w:cs="Times New Roman"/>
          <w:sz w:val="24"/>
          <w:szCs w:val="24"/>
        </w:rPr>
        <w:t xml:space="preserve">programového obdobia 2007 – 2013 bola realizovaná do konca roku 2013. V rokoch 2014 – 2015 pokračovalo dočerpanie týchto </w:t>
      </w:r>
      <w:r w:rsidR="00EE49FB" w:rsidRPr="000745A8">
        <w:rPr>
          <w:rFonts w:ascii="Times New Roman" w:hAnsi="Times New Roman" w:cs="Times New Roman"/>
          <w:sz w:val="24"/>
          <w:szCs w:val="24"/>
        </w:rPr>
        <w:t xml:space="preserve">finančných </w:t>
      </w:r>
      <w:r w:rsidRPr="000745A8">
        <w:rPr>
          <w:rFonts w:ascii="Times New Roman" w:hAnsi="Times New Roman" w:cs="Times New Roman"/>
          <w:sz w:val="24"/>
          <w:szCs w:val="24"/>
        </w:rPr>
        <w:t>prostriedkov</w:t>
      </w:r>
      <w:r w:rsidR="00C95F16" w:rsidRPr="000745A8">
        <w:rPr>
          <w:rFonts w:ascii="Times New Roman" w:hAnsi="Times New Roman" w:cs="Times New Roman"/>
          <w:sz w:val="24"/>
          <w:szCs w:val="24"/>
        </w:rPr>
        <w:t xml:space="preserve">, čím sa dosiahla úspora energie vo výške asi 180 TJ, z toho zhruba 75% až v roku 2015. </w:t>
      </w:r>
    </w:p>
    <w:p w14:paraId="350D4D84" w14:textId="2679A292" w:rsidR="00B64D7F" w:rsidRPr="000745A8" w:rsidRDefault="000B15D7" w:rsidP="000E2AED">
      <w:pPr>
        <w:jc w:val="both"/>
        <w:rPr>
          <w:rFonts w:ascii="Times New Roman" w:hAnsi="Times New Roman" w:cs="Times New Roman"/>
          <w:sz w:val="24"/>
          <w:szCs w:val="24"/>
        </w:rPr>
      </w:pPr>
      <w:r w:rsidRPr="000745A8">
        <w:rPr>
          <w:rFonts w:ascii="Times New Roman" w:hAnsi="Times New Roman" w:cs="Times New Roman"/>
          <w:sz w:val="24"/>
          <w:szCs w:val="24"/>
        </w:rPr>
        <w:lastRenderedPageBreak/>
        <w:t xml:space="preserve">Nové programové obdobie využívania </w:t>
      </w:r>
      <w:r w:rsidR="004A579A" w:rsidRPr="000745A8">
        <w:rPr>
          <w:rFonts w:ascii="Times New Roman" w:hAnsi="Times New Roman" w:cs="Times New Roman"/>
          <w:sz w:val="24"/>
          <w:szCs w:val="24"/>
        </w:rPr>
        <w:t xml:space="preserve">EŠIF </w:t>
      </w:r>
      <w:r w:rsidRPr="000745A8">
        <w:rPr>
          <w:rFonts w:ascii="Times New Roman" w:hAnsi="Times New Roman" w:cs="Times New Roman"/>
          <w:sz w:val="24"/>
          <w:szCs w:val="24"/>
        </w:rPr>
        <w:t>na základe Partnerskej dohody</w:t>
      </w:r>
      <w:r w:rsidRPr="000745A8">
        <w:rPr>
          <w:rStyle w:val="Odkaznapoznmkupodiarou"/>
          <w:rFonts w:ascii="Times New Roman" w:hAnsi="Times New Roman" w:cs="Times New Roman"/>
          <w:sz w:val="24"/>
          <w:szCs w:val="24"/>
        </w:rPr>
        <w:footnoteReference w:id="20"/>
      </w:r>
      <w:r w:rsidRPr="000745A8">
        <w:rPr>
          <w:rFonts w:ascii="Times New Roman" w:hAnsi="Times New Roman" w:cs="Times New Roman"/>
          <w:sz w:val="24"/>
          <w:szCs w:val="24"/>
        </w:rPr>
        <w:t xml:space="preserve">  </w:t>
      </w:r>
      <w:r w:rsidR="00D56045" w:rsidRPr="000745A8">
        <w:rPr>
          <w:rFonts w:ascii="Times New Roman" w:hAnsi="Times New Roman" w:cs="Times New Roman"/>
          <w:sz w:val="24"/>
          <w:szCs w:val="24"/>
        </w:rPr>
        <w:t xml:space="preserve">v roku 2014 neprispelo k financovaniu projektov energetickej efektívnosti a to z dôvodu, že jednotlivé operačné programy boli postupne schvaľované až v poslednom štvrťroku 2014.  </w:t>
      </w:r>
      <w:r w:rsidR="00EE49FB" w:rsidRPr="000745A8">
        <w:rPr>
          <w:rFonts w:ascii="Times New Roman" w:hAnsi="Times New Roman" w:cs="Times New Roman"/>
          <w:sz w:val="24"/>
          <w:szCs w:val="24"/>
        </w:rPr>
        <w:t>V roku 2015 boli pripravované a schvaľované postupy využívania EŠIF a až koncom roku 2015</w:t>
      </w:r>
      <w:r w:rsidR="00B117FC" w:rsidRPr="000745A8">
        <w:rPr>
          <w:rStyle w:val="Odkaznapoznmkupodiarou"/>
          <w:rFonts w:ascii="Times New Roman" w:hAnsi="Times New Roman" w:cs="Times New Roman"/>
          <w:sz w:val="24"/>
          <w:szCs w:val="24"/>
        </w:rPr>
        <w:footnoteReference w:id="21"/>
      </w:r>
      <w:r w:rsidR="00EE49FB" w:rsidRPr="000745A8">
        <w:rPr>
          <w:rFonts w:ascii="Times New Roman" w:hAnsi="Times New Roman" w:cs="Times New Roman"/>
          <w:sz w:val="24"/>
          <w:szCs w:val="24"/>
        </w:rPr>
        <w:t xml:space="preserve"> boli vyhlásené prvé výzvy na podávanie projektov</w:t>
      </w:r>
      <w:r w:rsidR="00B117FC" w:rsidRPr="000745A8">
        <w:rPr>
          <w:rFonts w:ascii="Times New Roman" w:hAnsi="Times New Roman" w:cs="Times New Roman"/>
          <w:sz w:val="24"/>
          <w:szCs w:val="24"/>
        </w:rPr>
        <w:t xml:space="preserve"> s možnosťou zlepšovania tepelnotechnických vlastností verejných budov, ale vzhľadom na proces hodnotenia a dĺžku realizácie projektov je možné očakávať </w:t>
      </w:r>
      <w:r w:rsidR="00C95F16" w:rsidRPr="000745A8">
        <w:rPr>
          <w:rFonts w:ascii="Times New Roman" w:hAnsi="Times New Roman" w:cs="Times New Roman"/>
          <w:sz w:val="24"/>
          <w:szCs w:val="24"/>
        </w:rPr>
        <w:t xml:space="preserve">významnú </w:t>
      </w:r>
      <w:r w:rsidR="00B117FC" w:rsidRPr="000745A8">
        <w:rPr>
          <w:rFonts w:ascii="Times New Roman" w:hAnsi="Times New Roman" w:cs="Times New Roman"/>
          <w:sz w:val="24"/>
          <w:szCs w:val="24"/>
        </w:rPr>
        <w:t>úsporu energie najskôr v roku 2017.</w:t>
      </w:r>
    </w:p>
    <w:p w14:paraId="19C6EF2B" w14:textId="235E866B" w:rsidR="006E2BE9" w:rsidRPr="000745A8" w:rsidRDefault="00F5709B" w:rsidP="000E2AED">
      <w:pPr>
        <w:rPr>
          <w:rFonts w:ascii="Times New Roman" w:hAnsi="Times New Roman" w:cs="Times New Roman"/>
          <w:sz w:val="24"/>
          <w:szCs w:val="24"/>
        </w:rPr>
      </w:pPr>
      <w:r w:rsidRPr="000745A8">
        <w:rPr>
          <w:rFonts w:ascii="Times New Roman" w:hAnsi="Times New Roman" w:cs="Times New Roman"/>
          <w:sz w:val="24"/>
          <w:szCs w:val="24"/>
        </w:rPr>
        <w:t xml:space="preserve">Využitím vlastných </w:t>
      </w:r>
      <w:r w:rsidR="00C95F16" w:rsidRPr="000745A8">
        <w:rPr>
          <w:rFonts w:ascii="Times New Roman" w:hAnsi="Times New Roman" w:cs="Times New Roman"/>
          <w:sz w:val="24"/>
          <w:szCs w:val="24"/>
        </w:rPr>
        <w:t>rozpočtov</w:t>
      </w:r>
      <w:r w:rsidRPr="000745A8">
        <w:rPr>
          <w:rFonts w:ascii="Times New Roman" w:hAnsi="Times New Roman" w:cs="Times New Roman"/>
          <w:sz w:val="24"/>
          <w:szCs w:val="24"/>
        </w:rPr>
        <w:t xml:space="preserve">ých </w:t>
      </w:r>
      <w:r w:rsidR="00C95F16" w:rsidRPr="000745A8">
        <w:rPr>
          <w:rFonts w:ascii="Times New Roman" w:hAnsi="Times New Roman" w:cs="Times New Roman"/>
          <w:sz w:val="24"/>
          <w:szCs w:val="24"/>
        </w:rPr>
        <w:t>zdroj</w:t>
      </w:r>
      <w:r w:rsidRPr="000745A8">
        <w:rPr>
          <w:rFonts w:ascii="Times New Roman" w:hAnsi="Times New Roman" w:cs="Times New Roman"/>
          <w:sz w:val="24"/>
          <w:szCs w:val="24"/>
        </w:rPr>
        <w:t>ov</w:t>
      </w:r>
      <w:r w:rsidR="00C95F16" w:rsidRPr="000745A8">
        <w:rPr>
          <w:rFonts w:ascii="Times New Roman" w:hAnsi="Times New Roman" w:cs="Times New Roman"/>
          <w:sz w:val="24"/>
          <w:szCs w:val="24"/>
        </w:rPr>
        <w:t xml:space="preserve"> orgánov štátnej správy a miestnej samosprávy sa </w:t>
      </w:r>
      <w:r w:rsidRPr="000745A8">
        <w:rPr>
          <w:rFonts w:ascii="Times New Roman" w:hAnsi="Times New Roman" w:cs="Times New Roman"/>
          <w:sz w:val="24"/>
          <w:szCs w:val="24"/>
        </w:rPr>
        <w:t xml:space="preserve"> vykonali opatrenia na zlepšenie tepelnotechnických vlastností verejných budov v rozsahu menšom ako 10% celkovej dosiahnutej úspory energie. </w:t>
      </w:r>
    </w:p>
    <w:p w14:paraId="6FC81377" w14:textId="63752B90" w:rsidR="00866F5F" w:rsidRPr="000745A8" w:rsidRDefault="00866F5F" w:rsidP="000E2AED">
      <w:pPr>
        <w:jc w:val="both"/>
        <w:rPr>
          <w:rFonts w:ascii="Times New Roman" w:hAnsi="Times New Roman" w:cs="Times New Roman"/>
          <w:sz w:val="24"/>
          <w:szCs w:val="24"/>
        </w:rPr>
      </w:pPr>
      <w:r w:rsidRPr="000745A8">
        <w:rPr>
          <w:rFonts w:ascii="Times New Roman" w:hAnsi="Times New Roman" w:cs="Times New Roman"/>
          <w:sz w:val="24"/>
          <w:szCs w:val="24"/>
        </w:rPr>
        <w:t>Na dosahovaných úsporách energie sa významne podieľali (okolo 20%) projekty podporené  z národných a medzinárodných programov a fondov ako napr. E</w:t>
      </w:r>
      <w:r w:rsidR="00CA49D6">
        <w:rPr>
          <w:rFonts w:ascii="Times New Roman" w:hAnsi="Times New Roman" w:cs="Times New Roman"/>
          <w:sz w:val="24"/>
          <w:szCs w:val="24"/>
        </w:rPr>
        <w:t>nvironmentálny fond</w:t>
      </w:r>
      <w:r w:rsidRPr="000745A8">
        <w:rPr>
          <w:rFonts w:ascii="Times New Roman" w:hAnsi="Times New Roman" w:cs="Times New Roman"/>
          <w:sz w:val="24"/>
          <w:szCs w:val="24"/>
        </w:rPr>
        <w:t>, E</w:t>
      </w:r>
      <w:r w:rsidR="00CA49D6">
        <w:rPr>
          <w:rFonts w:ascii="Times New Roman" w:hAnsi="Times New Roman" w:cs="Times New Roman"/>
          <w:sz w:val="24"/>
          <w:szCs w:val="24"/>
        </w:rPr>
        <w:t>kofond</w:t>
      </w:r>
      <w:r w:rsidRPr="000745A8">
        <w:rPr>
          <w:rFonts w:ascii="Times New Roman" w:hAnsi="Times New Roman" w:cs="Times New Roman"/>
          <w:sz w:val="24"/>
          <w:szCs w:val="24"/>
        </w:rPr>
        <w:t xml:space="preserve"> a M</w:t>
      </w:r>
      <w:r w:rsidR="00CA49D6">
        <w:rPr>
          <w:rFonts w:ascii="Times New Roman" w:hAnsi="Times New Roman" w:cs="Times New Roman"/>
          <w:sz w:val="24"/>
          <w:szCs w:val="24"/>
        </w:rPr>
        <w:t>unseff</w:t>
      </w:r>
      <w:r w:rsidRPr="000745A8">
        <w:rPr>
          <w:rFonts w:ascii="Times New Roman" w:hAnsi="Times New Roman" w:cs="Times New Roman"/>
          <w:sz w:val="24"/>
          <w:szCs w:val="24"/>
        </w:rPr>
        <w:t>.</w:t>
      </w:r>
    </w:p>
    <w:p w14:paraId="2099C53E" w14:textId="7E4E60C0" w:rsidR="00866F5F" w:rsidRPr="000745A8" w:rsidRDefault="00866F5F" w:rsidP="000E2AED">
      <w:pPr>
        <w:jc w:val="both"/>
        <w:rPr>
          <w:rFonts w:ascii="Times New Roman" w:hAnsi="Times New Roman" w:cs="Times New Roman"/>
          <w:sz w:val="24"/>
          <w:szCs w:val="24"/>
        </w:rPr>
      </w:pPr>
      <w:r w:rsidRPr="000745A8">
        <w:rPr>
          <w:rFonts w:ascii="Times New Roman" w:hAnsi="Times New Roman" w:cs="Times New Roman"/>
          <w:sz w:val="24"/>
          <w:szCs w:val="24"/>
        </w:rPr>
        <w:t xml:space="preserve">Prerozdelením finančných prostriedkov v OP KaHR bolo dodatočne poskytnutých </w:t>
      </w:r>
      <w:r w:rsidR="00EC2CAA" w:rsidRPr="000745A8">
        <w:rPr>
          <w:rFonts w:ascii="Times New Roman" w:hAnsi="Times New Roman" w:cs="Times New Roman"/>
          <w:sz w:val="24"/>
          <w:szCs w:val="24"/>
        </w:rPr>
        <w:t xml:space="preserve">viac ako </w:t>
      </w:r>
      <w:r w:rsidR="00EC2CAA" w:rsidRPr="007577DE">
        <w:rPr>
          <w:rFonts w:ascii="Times New Roman" w:hAnsi="Times New Roman" w:cs="Times New Roman"/>
          <w:sz w:val="24"/>
          <w:szCs w:val="24"/>
        </w:rPr>
        <w:t>57</w:t>
      </w:r>
      <w:r w:rsidRPr="007577DE">
        <w:rPr>
          <w:rFonts w:ascii="Times New Roman" w:hAnsi="Times New Roman" w:cs="Times New Roman"/>
          <w:sz w:val="24"/>
          <w:szCs w:val="24"/>
        </w:rPr>
        <w:t xml:space="preserve"> mil. </w:t>
      </w:r>
      <w:r w:rsidR="000C2919">
        <w:rPr>
          <w:rFonts w:ascii="Times New Roman" w:hAnsi="Times New Roman" w:cs="Times New Roman"/>
          <w:sz w:val="24"/>
          <w:szCs w:val="24"/>
        </w:rPr>
        <w:t>Eur</w:t>
      </w:r>
      <w:r w:rsidRPr="000745A8">
        <w:rPr>
          <w:rFonts w:ascii="Times New Roman" w:hAnsi="Times New Roman" w:cs="Times New Roman"/>
          <w:sz w:val="24"/>
          <w:szCs w:val="24"/>
        </w:rPr>
        <w:t xml:space="preserve"> </w:t>
      </w:r>
      <w:r w:rsidR="00EA574B" w:rsidRPr="000745A8">
        <w:rPr>
          <w:rFonts w:ascii="Times New Roman" w:hAnsi="Times New Roman" w:cs="Times New Roman"/>
          <w:sz w:val="24"/>
          <w:szCs w:val="24"/>
        </w:rPr>
        <w:t xml:space="preserve">na </w:t>
      </w:r>
      <w:r w:rsidRPr="000745A8">
        <w:rPr>
          <w:rFonts w:ascii="Times New Roman" w:hAnsi="Times New Roman" w:cs="Times New Roman"/>
          <w:sz w:val="24"/>
          <w:szCs w:val="24"/>
        </w:rPr>
        <w:t>modern</w:t>
      </w:r>
      <w:r w:rsidR="00EA574B" w:rsidRPr="000745A8">
        <w:rPr>
          <w:rFonts w:ascii="Times New Roman" w:hAnsi="Times New Roman" w:cs="Times New Roman"/>
          <w:sz w:val="24"/>
          <w:szCs w:val="24"/>
        </w:rPr>
        <w:t>izáciu</w:t>
      </w:r>
      <w:r w:rsidRPr="000745A8">
        <w:rPr>
          <w:rFonts w:ascii="Times New Roman" w:hAnsi="Times New Roman" w:cs="Times New Roman"/>
          <w:sz w:val="24"/>
          <w:szCs w:val="24"/>
        </w:rPr>
        <w:t xml:space="preserve"> verejného osvetlenia</w:t>
      </w:r>
      <w:r w:rsidR="00EA574B" w:rsidRPr="000745A8">
        <w:rPr>
          <w:rFonts w:ascii="Times New Roman" w:hAnsi="Times New Roman" w:cs="Times New Roman"/>
          <w:sz w:val="24"/>
          <w:szCs w:val="24"/>
        </w:rPr>
        <w:t xml:space="preserve">. </w:t>
      </w:r>
      <w:r w:rsidR="00EA574B" w:rsidRPr="007577DE">
        <w:rPr>
          <w:rFonts w:ascii="Times New Roman" w:hAnsi="Times New Roman" w:cs="Times New Roman"/>
          <w:sz w:val="24"/>
          <w:szCs w:val="24"/>
        </w:rPr>
        <w:t>Modernizáciou verejného osvetlenia</w:t>
      </w:r>
      <w:r w:rsidR="00EA574B" w:rsidRPr="000745A8">
        <w:rPr>
          <w:rFonts w:ascii="Times New Roman" w:hAnsi="Times New Roman" w:cs="Times New Roman"/>
          <w:sz w:val="24"/>
          <w:szCs w:val="24"/>
        </w:rPr>
        <w:t xml:space="preserve"> sa v rokoch 2014 -  2016 dosiahli úspory vo výške zhruba </w:t>
      </w:r>
      <w:r w:rsidR="006D50E3" w:rsidRPr="007577DE">
        <w:rPr>
          <w:rFonts w:ascii="Times New Roman" w:hAnsi="Times New Roman" w:cs="Times New Roman"/>
          <w:sz w:val="24"/>
          <w:szCs w:val="24"/>
        </w:rPr>
        <w:t>255</w:t>
      </w:r>
      <w:r w:rsidR="00EA574B" w:rsidRPr="007577DE">
        <w:rPr>
          <w:rFonts w:ascii="Times New Roman" w:hAnsi="Times New Roman" w:cs="Times New Roman"/>
          <w:sz w:val="24"/>
          <w:szCs w:val="24"/>
        </w:rPr>
        <w:t xml:space="preserve"> TJ</w:t>
      </w:r>
      <w:r w:rsidR="00EA574B" w:rsidRPr="000745A8">
        <w:rPr>
          <w:rFonts w:ascii="Times New Roman" w:hAnsi="Times New Roman" w:cs="Times New Roman"/>
          <w:sz w:val="24"/>
          <w:szCs w:val="24"/>
        </w:rPr>
        <w:t xml:space="preserve">, čo predstavuje jeden z najvýznamnejších príspevkov </w:t>
      </w:r>
      <w:r w:rsidR="00CD7212" w:rsidRPr="000745A8">
        <w:rPr>
          <w:rFonts w:ascii="Times New Roman" w:hAnsi="Times New Roman" w:cs="Times New Roman"/>
          <w:sz w:val="24"/>
          <w:szCs w:val="24"/>
        </w:rPr>
        <w:t>k dosiahnutým úsporám energie vo verejnom sektore.</w:t>
      </w:r>
    </w:p>
    <w:p w14:paraId="3A8F543B" w14:textId="1E46675B" w:rsidR="00183883" w:rsidRPr="000745A8" w:rsidRDefault="00183883" w:rsidP="000E2AED">
      <w:pPr>
        <w:jc w:val="both"/>
        <w:rPr>
          <w:rFonts w:ascii="Times New Roman" w:hAnsi="Times New Roman" w:cs="Times New Roman"/>
          <w:sz w:val="24"/>
          <w:szCs w:val="24"/>
        </w:rPr>
      </w:pPr>
      <w:r w:rsidRPr="000745A8">
        <w:rPr>
          <w:rFonts w:ascii="Times New Roman" w:hAnsi="Times New Roman" w:cs="Times New Roman"/>
          <w:sz w:val="24"/>
          <w:szCs w:val="24"/>
        </w:rPr>
        <w:t>Nadobudnutím účinnosti zákona č. 321/2014 Z. z. o energetickej efektívnosti sa vytvorili predpoklady pre aplikáciu energetických služieb aj vo verejnom sektore. Energetické služby boli využívané najmä na úspory energie na technických zariadeniach budov</w:t>
      </w:r>
      <w:r w:rsidR="004A579A" w:rsidRPr="000745A8">
        <w:rPr>
          <w:rFonts w:ascii="Times New Roman" w:hAnsi="Times New Roman" w:cs="Times New Roman"/>
          <w:sz w:val="24"/>
          <w:szCs w:val="24"/>
        </w:rPr>
        <w:t>.</w:t>
      </w:r>
      <w:r w:rsidRPr="000745A8">
        <w:rPr>
          <w:rFonts w:ascii="Times New Roman" w:hAnsi="Times New Roman" w:cs="Times New Roman"/>
          <w:sz w:val="24"/>
          <w:szCs w:val="24"/>
        </w:rPr>
        <w:t xml:space="preserve"> </w:t>
      </w:r>
      <w:r w:rsidR="004A579A" w:rsidRPr="000745A8">
        <w:rPr>
          <w:rFonts w:ascii="Times New Roman" w:hAnsi="Times New Roman" w:cs="Times New Roman"/>
          <w:sz w:val="24"/>
          <w:szCs w:val="24"/>
        </w:rPr>
        <w:t>Ú</w:t>
      </w:r>
      <w:r w:rsidRPr="000745A8">
        <w:rPr>
          <w:rFonts w:ascii="Times New Roman" w:hAnsi="Times New Roman" w:cs="Times New Roman"/>
          <w:sz w:val="24"/>
          <w:szCs w:val="24"/>
        </w:rPr>
        <w:t xml:space="preserve">spory dosiahnuté takýmto spôsobom predstavujú viac ako 10% úspor energie vo verejnom sektore. </w:t>
      </w:r>
    </w:p>
    <w:p w14:paraId="5CEE7AD7" w14:textId="22DA28DC" w:rsidR="00183883" w:rsidRPr="000745A8" w:rsidRDefault="00183883" w:rsidP="000E2AED">
      <w:pPr>
        <w:jc w:val="both"/>
        <w:rPr>
          <w:rFonts w:ascii="Times New Roman" w:hAnsi="Times New Roman" w:cs="Times New Roman"/>
          <w:sz w:val="24"/>
          <w:szCs w:val="24"/>
        </w:rPr>
      </w:pPr>
      <w:r w:rsidRPr="000745A8">
        <w:rPr>
          <w:rFonts w:ascii="Times New Roman" w:hAnsi="Times New Roman" w:cs="Times New Roman"/>
          <w:sz w:val="24"/>
          <w:szCs w:val="24"/>
        </w:rPr>
        <w:t xml:space="preserve">Aplikácia legislatívnych opatrení </w:t>
      </w:r>
      <w:r w:rsidR="00BF12F6" w:rsidRPr="00BF12F6">
        <w:rPr>
          <w:rFonts w:ascii="Times New Roman" w:hAnsi="Times New Roman" w:cs="Times New Roman"/>
          <w:sz w:val="24"/>
          <w:szCs w:val="24"/>
        </w:rPr>
        <w:t xml:space="preserve">vyplývajúcich </w:t>
      </w:r>
      <w:r w:rsidRPr="000745A8">
        <w:rPr>
          <w:rFonts w:ascii="Times New Roman" w:hAnsi="Times New Roman" w:cs="Times New Roman"/>
          <w:sz w:val="24"/>
          <w:szCs w:val="24"/>
        </w:rPr>
        <w:t xml:space="preserve">zo zákona č. 321/2014 Z. z. </w:t>
      </w:r>
      <w:r w:rsidR="00BF12F6" w:rsidRPr="00BF12F6">
        <w:rPr>
          <w:rFonts w:ascii="Times New Roman" w:hAnsi="Times New Roman" w:cs="Times New Roman"/>
          <w:sz w:val="24"/>
          <w:szCs w:val="24"/>
        </w:rPr>
        <w:t xml:space="preserve">o energetickej efektívnosti </w:t>
      </w:r>
      <w:r w:rsidRPr="000745A8">
        <w:rPr>
          <w:rFonts w:ascii="Times New Roman" w:hAnsi="Times New Roman" w:cs="Times New Roman"/>
          <w:sz w:val="24"/>
          <w:szCs w:val="24"/>
        </w:rPr>
        <w:t>k termínu 31.</w:t>
      </w:r>
      <w:r w:rsidR="00176FFE" w:rsidRPr="000745A8">
        <w:rPr>
          <w:rFonts w:ascii="Times New Roman" w:hAnsi="Times New Roman" w:cs="Times New Roman"/>
          <w:sz w:val="24"/>
          <w:szCs w:val="24"/>
        </w:rPr>
        <w:t xml:space="preserve"> </w:t>
      </w:r>
      <w:r w:rsidR="00945A4B" w:rsidRPr="000745A8">
        <w:rPr>
          <w:rFonts w:ascii="Times New Roman" w:hAnsi="Times New Roman" w:cs="Times New Roman"/>
          <w:sz w:val="24"/>
          <w:szCs w:val="24"/>
        </w:rPr>
        <w:t xml:space="preserve">decembra </w:t>
      </w:r>
      <w:r w:rsidRPr="000745A8">
        <w:rPr>
          <w:rFonts w:ascii="Times New Roman" w:hAnsi="Times New Roman" w:cs="Times New Roman"/>
          <w:sz w:val="24"/>
          <w:szCs w:val="24"/>
        </w:rPr>
        <w:t xml:space="preserve">2015 povinným </w:t>
      </w:r>
      <w:r w:rsidR="00227988" w:rsidRPr="000745A8">
        <w:rPr>
          <w:rFonts w:ascii="Times New Roman" w:hAnsi="Times New Roman" w:cs="Times New Roman"/>
          <w:sz w:val="24"/>
          <w:szCs w:val="24"/>
        </w:rPr>
        <w:t xml:space="preserve"> </w:t>
      </w:r>
      <w:r w:rsidRPr="000745A8">
        <w:rPr>
          <w:rFonts w:ascii="Times New Roman" w:hAnsi="Times New Roman" w:cs="Times New Roman"/>
          <w:sz w:val="24"/>
          <w:szCs w:val="24"/>
        </w:rPr>
        <w:t>opatrením rozvodov teplej vody vhodnou izoláciou nemá v prípade verejných budov zatiaľ významný vplyv na úspory energie, keďže uvedené opatrenia je možné posunúť o dva roky v prípade, ak povinný subjekt plánuje realizovať opatrenia na úsporu energie v rozsahu väčšom, ako ustanovuje zákon.</w:t>
      </w:r>
      <w:r w:rsidR="00945A4B" w:rsidRPr="000745A8">
        <w:rPr>
          <w:rFonts w:ascii="Times New Roman" w:hAnsi="Times New Roman" w:cs="Times New Roman"/>
          <w:sz w:val="24"/>
          <w:szCs w:val="24"/>
        </w:rPr>
        <w:t xml:space="preserve"> Zvýšenie požiadaviek na energetickú hospodárnosť budov od 1. januára 2016 sa </w:t>
      </w:r>
      <w:r w:rsidR="00F81A11" w:rsidRPr="000745A8">
        <w:rPr>
          <w:rFonts w:ascii="Times New Roman" w:hAnsi="Times New Roman" w:cs="Times New Roman"/>
          <w:sz w:val="24"/>
          <w:szCs w:val="24"/>
        </w:rPr>
        <w:t>vo verejnom sektore tiež významne neprejavilo</w:t>
      </w:r>
      <w:r w:rsidR="00227988" w:rsidRPr="000745A8">
        <w:rPr>
          <w:rFonts w:ascii="Times New Roman" w:hAnsi="Times New Roman" w:cs="Times New Roman"/>
          <w:sz w:val="24"/>
          <w:szCs w:val="24"/>
        </w:rPr>
        <w:t>,</w:t>
      </w:r>
      <w:r w:rsidR="00F81A11" w:rsidRPr="000745A8">
        <w:rPr>
          <w:rFonts w:ascii="Times New Roman" w:hAnsi="Times New Roman" w:cs="Times New Roman"/>
          <w:sz w:val="24"/>
          <w:szCs w:val="24"/>
        </w:rPr>
        <w:t xml:space="preserve"> a to </w:t>
      </w:r>
      <w:r w:rsidR="00227988" w:rsidRPr="000745A8">
        <w:rPr>
          <w:rFonts w:ascii="Times New Roman" w:hAnsi="Times New Roman" w:cs="Times New Roman"/>
          <w:sz w:val="24"/>
          <w:szCs w:val="24"/>
        </w:rPr>
        <w:t xml:space="preserve">najmä </w:t>
      </w:r>
      <w:r w:rsidR="00F81A11" w:rsidRPr="000745A8">
        <w:rPr>
          <w:rFonts w:ascii="Times New Roman" w:hAnsi="Times New Roman" w:cs="Times New Roman"/>
          <w:sz w:val="24"/>
          <w:szCs w:val="24"/>
        </w:rPr>
        <w:t>z dôvodu, že počet nových verejných budov je takmer zanedbateľný.</w:t>
      </w:r>
    </w:p>
    <w:p w14:paraId="4B5EC03E" w14:textId="6CB9B196" w:rsidR="007329CB" w:rsidRPr="000745A8" w:rsidRDefault="007329CB" w:rsidP="00176FFE">
      <w:pPr>
        <w:jc w:val="both"/>
        <w:rPr>
          <w:rFonts w:ascii="Times New Roman" w:hAnsi="Times New Roman" w:cs="Times New Roman"/>
          <w:sz w:val="24"/>
          <w:szCs w:val="24"/>
        </w:rPr>
      </w:pPr>
      <w:r w:rsidRPr="000745A8">
        <w:rPr>
          <w:rFonts w:ascii="Times New Roman" w:hAnsi="Times New Roman" w:cs="Times New Roman"/>
          <w:sz w:val="24"/>
          <w:szCs w:val="24"/>
        </w:rPr>
        <w:t xml:space="preserve">Uplatňovanie princípu energetickej efektívnosti do verejného obstarávania má </w:t>
      </w:r>
      <w:r w:rsidR="00176FFE" w:rsidRPr="000745A8">
        <w:rPr>
          <w:rFonts w:ascii="Times New Roman" w:hAnsi="Times New Roman" w:cs="Times New Roman"/>
          <w:sz w:val="24"/>
          <w:szCs w:val="24"/>
        </w:rPr>
        <w:t xml:space="preserve">síce </w:t>
      </w:r>
      <w:r w:rsidRPr="000745A8">
        <w:rPr>
          <w:rFonts w:ascii="Times New Roman" w:hAnsi="Times New Roman" w:cs="Times New Roman"/>
          <w:sz w:val="24"/>
          <w:szCs w:val="24"/>
        </w:rPr>
        <w:t>predpoklad, aby sa stalo jedným z dôležitých nástrojov dosahovania úspor energie vo verejnom sektore</w:t>
      </w:r>
      <w:r w:rsidR="00176FFE" w:rsidRPr="000745A8">
        <w:rPr>
          <w:rFonts w:ascii="Times New Roman" w:hAnsi="Times New Roman" w:cs="Times New Roman"/>
          <w:sz w:val="24"/>
          <w:szCs w:val="24"/>
        </w:rPr>
        <w:t xml:space="preserve">, ale </w:t>
      </w:r>
      <w:r w:rsidR="00227988" w:rsidRPr="000745A8">
        <w:rPr>
          <w:rFonts w:ascii="Times New Roman" w:hAnsi="Times New Roman" w:cs="Times New Roman"/>
          <w:sz w:val="24"/>
          <w:szCs w:val="24"/>
        </w:rPr>
        <w:t xml:space="preserve">vyhodnocovanie tohto opatrenia je administratívne náročné a jednotlivé rezorty nemajú na to dostatočné kapacity. </w:t>
      </w:r>
    </w:p>
    <w:p w14:paraId="5C6693E6" w14:textId="77777777" w:rsidR="00E8211C" w:rsidRPr="009F2998" w:rsidRDefault="00E8211C" w:rsidP="00176FFE">
      <w:pPr>
        <w:jc w:val="both"/>
        <w:rPr>
          <w:rFonts w:ascii="Times New Roman" w:hAnsi="Times New Roman" w:cs="Times New Roman"/>
          <w:szCs w:val="18"/>
        </w:rPr>
      </w:pPr>
    </w:p>
    <w:p w14:paraId="68CB8711" w14:textId="77777777" w:rsidR="00E8211C" w:rsidRPr="000578FE" w:rsidRDefault="00E8211C" w:rsidP="00AF5415">
      <w:pPr>
        <w:pStyle w:val="Nadpis3"/>
        <w:keepNext w:val="0"/>
        <w:keepLines w:val="0"/>
        <w:numPr>
          <w:ilvl w:val="2"/>
          <w:numId w:val="32"/>
        </w:numPr>
        <w:ind w:left="1276" w:hanging="567"/>
        <w:rPr>
          <w:rFonts w:ascii="Times New Roman" w:hAnsi="Times New Roman" w:cs="Times New Roman"/>
          <w:color w:val="auto"/>
        </w:rPr>
      </w:pPr>
      <w:bookmarkStart w:id="48" w:name="_Toc477345350"/>
      <w:r w:rsidRPr="000578FE">
        <w:rPr>
          <w:rFonts w:ascii="Times New Roman" w:hAnsi="Times New Roman" w:cs="Times New Roman"/>
          <w:color w:val="auto"/>
        </w:rPr>
        <w:t>Opatrenia energetickej efektívnosti v sektore doprava</w:t>
      </w:r>
      <w:bookmarkEnd w:id="48"/>
    </w:p>
    <w:p w14:paraId="63098EFC" w14:textId="77777777" w:rsidR="00E8211C" w:rsidRPr="000745A8" w:rsidRDefault="00E8211C" w:rsidP="00E8211C">
      <w:pPr>
        <w:jc w:val="both"/>
        <w:rPr>
          <w:rFonts w:ascii="Times New Roman" w:hAnsi="Times New Roman" w:cs="Times New Roman"/>
          <w:sz w:val="24"/>
          <w:szCs w:val="24"/>
        </w:rPr>
      </w:pPr>
    </w:p>
    <w:p w14:paraId="00BF4466" w14:textId="77777777" w:rsidR="00E8211C" w:rsidRPr="000745A8" w:rsidRDefault="00E8211C" w:rsidP="00E8211C">
      <w:pPr>
        <w:jc w:val="both"/>
        <w:rPr>
          <w:rFonts w:ascii="Times New Roman" w:hAnsi="Times New Roman" w:cs="Times New Roman"/>
          <w:sz w:val="24"/>
          <w:szCs w:val="24"/>
        </w:rPr>
      </w:pPr>
      <w:r w:rsidRPr="000745A8">
        <w:rPr>
          <w:rFonts w:ascii="Times New Roman" w:hAnsi="Times New Roman" w:cs="Times New Roman"/>
          <w:sz w:val="24"/>
          <w:szCs w:val="24"/>
        </w:rPr>
        <w:t>Opatrenia energetickej efektívnosti v sektore doprava sú zamerané najmä na:</w:t>
      </w:r>
    </w:p>
    <w:p w14:paraId="44AFB148" w14:textId="77777777" w:rsidR="00E8211C" w:rsidRPr="000745A8" w:rsidRDefault="00E8211C" w:rsidP="008F19ED">
      <w:pPr>
        <w:pStyle w:val="Odsekzoznamu"/>
        <w:numPr>
          <w:ilvl w:val="0"/>
          <w:numId w:val="6"/>
        </w:numPr>
        <w:jc w:val="both"/>
        <w:rPr>
          <w:rFonts w:ascii="Times New Roman" w:hAnsi="Times New Roman" w:cs="Times New Roman"/>
          <w:sz w:val="24"/>
          <w:szCs w:val="24"/>
        </w:rPr>
      </w:pPr>
      <w:r w:rsidRPr="000745A8">
        <w:rPr>
          <w:rFonts w:ascii="Times New Roman" w:hAnsi="Times New Roman" w:cs="Times New Roman"/>
          <w:sz w:val="24"/>
          <w:szCs w:val="24"/>
        </w:rPr>
        <w:t>obnova a modernizácia vozidlového parku hromadnej dráhovej dopravy,</w:t>
      </w:r>
    </w:p>
    <w:p w14:paraId="2330E1CA" w14:textId="77777777" w:rsidR="00E8211C" w:rsidRPr="000745A8" w:rsidRDefault="00E8211C" w:rsidP="008F19ED">
      <w:pPr>
        <w:pStyle w:val="Odsekzoznamu"/>
        <w:numPr>
          <w:ilvl w:val="0"/>
          <w:numId w:val="6"/>
        </w:numPr>
        <w:jc w:val="both"/>
        <w:rPr>
          <w:rFonts w:ascii="Times New Roman" w:hAnsi="Times New Roman" w:cs="Times New Roman"/>
          <w:sz w:val="24"/>
          <w:szCs w:val="24"/>
        </w:rPr>
      </w:pPr>
      <w:r w:rsidRPr="000745A8">
        <w:rPr>
          <w:rFonts w:ascii="Times New Roman" w:hAnsi="Times New Roman" w:cs="Times New Roman"/>
          <w:sz w:val="24"/>
          <w:szCs w:val="24"/>
        </w:rPr>
        <w:lastRenderedPageBreak/>
        <w:t>obnova a modernizácia vozidlového parku hromadnej cestnej dopravy,</w:t>
      </w:r>
    </w:p>
    <w:p w14:paraId="0E089B5A" w14:textId="402DA39E" w:rsidR="007D403A" w:rsidRDefault="00E8211C" w:rsidP="007D403A">
      <w:pPr>
        <w:pStyle w:val="Odsekzoznamu"/>
        <w:numPr>
          <w:ilvl w:val="0"/>
          <w:numId w:val="6"/>
        </w:numPr>
        <w:jc w:val="both"/>
        <w:rPr>
          <w:rFonts w:ascii="Times New Roman" w:hAnsi="Times New Roman" w:cs="Times New Roman"/>
          <w:sz w:val="24"/>
          <w:szCs w:val="24"/>
        </w:rPr>
      </w:pPr>
      <w:r w:rsidRPr="000745A8">
        <w:rPr>
          <w:rFonts w:ascii="Times New Roman" w:hAnsi="Times New Roman" w:cs="Times New Roman"/>
          <w:sz w:val="24"/>
          <w:szCs w:val="24"/>
        </w:rPr>
        <w:t>budovanie a modernizácia dopravnej infraštruktúry.</w:t>
      </w:r>
    </w:p>
    <w:p w14:paraId="014EDFA5" w14:textId="77777777" w:rsidR="00375411" w:rsidRDefault="00375411" w:rsidP="000578FE">
      <w:pPr>
        <w:jc w:val="both"/>
        <w:rPr>
          <w:rFonts w:ascii="Times New Roman" w:hAnsi="Times New Roman" w:cs="Times New Roman"/>
          <w:sz w:val="24"/>
          <w:szCs w:val="24"/>
        </w:rPr>
      </w:pPr>
    </w:p>
    <w:p w14:paraId="20CC3697" w14:textId="274AFB14" w:rsidR="00375411" w:rsidRPr="000745A8" w:rsidRDefault="00375411" w:rsidP="000578FE">
      <w:pPr>
        <w:jc w:val="both"/>
        <w:rPr>
          <w:rFonts w:ascii="Times New Roman" w:hAnsi="Times New Roman" w:cs="Times New Roman"/>
          <w:sz w:val="24"/>
          <w:szCs w:val="24"/>
        </w:rPr>
      </w:pPr>
      <w:r w:rsidRPr="000745A8">
        <w:rPr>
          <w:rFonts w:ascii="Times New Roman" w:hAnsi="Times New Roman" w:cs="Times New Roman"/>
          <w:sz w:val="24"/>
          <w:szCs w:val="24"/>
        </w:rPr>
        <w:t>Najväčší podiel na úsporách v doprave má budovanie novej dopravnej infraštruktúry</w:t>
      </w:r>
      <w:r>
        <w:rPr>
          <w:rFonts w:ascii="Times New Roman" w:hAnsi="Times New Roman" w:cs="Times New Roman"/>
          <w:sz w:val="24"/>
          <w:szCs w:val="24"/>
        </w:rPr>
        <w:t xml:space="preserve"> (pozri graf č. </w:t>
      </w:r>
      <w:r w:rsidR="00AE42A2">
        <w:rPr>
          <w:rFonts w:ascii="Times New Roman" w:hAnsi="Times New Roman" w:cs="Times New Roman"/>
          <w:sz w:val="24"/>
          <w:szCs w:val="24"/>
        </w:rPr>
        <w:t>10</w:t>
      </w:r>
      <w:r>
        <w:rPr>
          <w:rFonts w:ascii="Times New Roman" w:hAnsi="Times New Roman" w:cs="Times New Roman"/>
          <w:sz w:val="24"/>
          <w:szCs w:val="24"/>
        </w:rPr>
        <w:t>)</w:t>
      </w:r>
      <w:r w:rsidRPr="000745A8">
        <w:rPr>
          <w:rFonts w:ascii="Times New Roman" w:hAnsi="Times New Roman" w:cs="Times New Roman"/>
          <w:sz w:val="24"/>
          <w:szCs w:val="24"/>
        </w:rPr>
        <w:t>. Výmeny vozového parku v dráhovej (vlaky a električky) a autobusovej (autobusy a trolejbusy) doprave  tvoria menej ako štvrtinu celkových úspor v doprave.</w:t>
      </w:r>
    </w:p>
    <w:p w14:paraId="253558A2" w14:textId="77777777" w:rsidR="00375411" w:rsidRDefault="00375411" w:rsidP="000578FE">
      <w:pPr>
        <w:jc w:val="both"/>
        <w:rPr>
          <w:rFonts w:ascii="Times New Roman" w:hAnsi="Times New Roman" w:cs="Times New Roman"/>
          <w:sz w:val="24"/>
          <w:szCs w:val="24"/>
        </w:rPr>
      </w:pPr>
    </w:p>
    <w:p w14:paraId="0A96128D" w14:textId="66BCC0E8" w:rsidR="00375411" w:rsidRPr="000578FE" w:rsidRDefault="00375411" w:rsidP="000578FE">
      <w:pPr>
        <w:keepNext/>
        <w:jc w:val="both"/>
        <w:rPr>
          <w:rFonts w:ascii="Times New Roman" w:hAnsi="Times New Roman" w:cs="Times New Roman"/>
          <w:sz w:val="24"/>
          <w:szCs w:val="24"/>
        </w:rPr>
      </w:pPr>
      <w:r w:rsidRPr="00375411">
        <w:rPr>
          <w:rFonts w:ascii="Times New Roman" w:hAnsi="Times New Roman" w:cs="Times New Roman"/>
          <w:sz w:val="24"/>
          <w:szCs w:val="24"/>
        </w:rPr>
        <w:t xml:space="preserve">Graf č. </w:t>
      </w:r>
      <w:r w:rsidR="00AE42A2">
        <w:rPr>
          <w:rFonts w:ascii="Times New Roman" w:hAnsi="Times New Roman" w:cs="Times New Roman"/>
          <w:sz w:val="24"/>
          <w:szCs w:val="24"/>
        </w:rPr>
        <w:t>10</w:t>
      </w:r>
      <w:r w:rsidRPr="00375411">
        <w:rPr>
          <w:rFonts w:ascii="Times New Roman" w:hAnsi="Times New Roman" w:cs="Times New Roman"/>
          <w:sz w:val="24"/>
          <w:szCs w:val="24"/>
        </w:rPr>
        <w:t xml:space="preserve">: </w:t>
      </w:r>
      <w:r w:rsidRPr="000578FE">
        <w:rPr>
          <w:rFonts w:ascii="Times New Roman" w:hAnsi="Times New Roman" w:cs="Times New Roman"/>
          <w:sz w:val="24"/>
          <w:szCs w:val="24"/>
        </w:rPr>
        <w:t>Zníženie konečnej energetickej spotreby  v sektore doprava - podiel skupín opatrení na plnení cieľa v rokoch 2014-2016</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D403A" w:rsidRPr="009F2998" w14:paraId="1574846F" w14:textId="77777777" w:rsidTr="00C705E7">
        <w:trPr>
          <w:trHeight w:val="3295"/>
        </w:trPr>
        <w:tc>
          <w:tcPr>
            <w:tcW w:w="4531" w:type="dxa"/>
          </w:tcPr>
          <w:p w14:paraId="3CA23325" w14:textId="727CB415" w:rsidR="007D403A" w:rsidRPr="009F2998" w:rsidRDefault="007D403A" w:rsidP="00316131">
            <w:pPr>
              <w:ind w:left="-108"/>
              <w:jc w:val="both"/>
              <w:rPr>
                <w:rFonts w:ascii="Times New Roman" w:hAnsi="Times New Roman" w:cs="Times New Roman"/>
              </w:rPr>
            </w:pPr>
            <w:r w:rsidRPr="009F2998">
              <w:rPr>
                <w:rFonts w:ascii="Times New Roman" w:hAnsi="Times New Roman" w:cs="Times New Roman"/>
                <w:noProof/>
                <w:lang w:eastAsia="sk-SK"/>
              </w:rPr>
              <w:drawing>
                <wp:inline distT="0" distB="0" distL="0" distR="0" wp14:anchorId="35156E2F" wp14:editId="320AB6A2">
                  <wp:extent cx="2409825" cy="2152650"/>
                  <wp:effectExtent l="0" t="0" r="0"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531" w:type="dxa"/>
          </w:tcPr>
          <w:tbl>
            <w:tblPr>
              <w:tblpPr w:leftFromText="141" w:rightFromText="141" w:vertAnchor="text" w:horzAnchor="margin" w:tblpY="978"/>
              <w:tblOverlap w:val="never"/>
              <w:tblW w:w="4058" w:type="dxa"/>
              <w:tblCellMar>
                <w:left w:w="70" w:type="dxa"/>
                <w:right w:w="70" w:type="dxa"/>
              </w:tblCellMar>
              <w:tblLook w:val="04A0" w:firstRow="1" w:lastRow="0" w:firstColumn="1" w:lastColumn="0" w:noHBand="0" w:noVBand="1"/>
            </w:tblPr>
            <w:tblGrid>
              <w:gridCol w:w="358"/>
              <w:gridCol w:w="2520"/>
              <w:gridCol w:w="1180"/>
            </w:tblGrid>
            <w:tr w:rsidR="00603A56" w:rsidRPr="009F2998" w14:paraId="08479C27" w14:textId="77777777" w:rsidTr="00FC5292">
              <w:trPr>
                <w:trHeight w:val="300"/>
              </w:trPr>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48F73" w14:textId="77777777" w:rsidR="00603A56" w:rsidRPr="009F2998" w:rsidRDefault="00603A56" w:rsidP="00603A56">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6A200D42" w14:textId="77777777" w:rsidR="00603A56" w:rsidRPr="009F2998" w:rsidRDefault="00603A56" w:rsidP="00603A56">
                  <w:pPr>
                    <w:spacing w:after="0" w:line="240" w:lineRule="auto"/>
                    <w:rPr>
                      <w:rFonts w:ascii="Times New Roman" w:eastAsia="Times New Roman" w:hAnsi="Times New Roman" w:cs="Times New Roman"/>
                      <w:color w:val="000000"/>
                      <w:sz w:val="20"/>
                      <w:szCs w:val="20"/>
                      <w:lang w:eastAsia="sk-SK"/>
                    </w:rPr>
                  </w:pPr>
                  <w:r w:rsidRPr="009F2998">
                    <w:rPr>
                      <w:rFonts w:ascii="Times New Roman" w:eastAsia="Times New Roman" w:hAnsi="Times New Roman" w:cs="Times New Roman"/>
                      <w:color w:val="000000"/>
                      <w:sz w:val="20"/>
                      <w:szCs w:val="20"/>
                      <w:lang w:eastAsia="sk-SK"/>
                    </w:rPr>
                    <w:t>Skupiny opatrení v doprave: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AA99F0D" w14:textId="77777777" w:rsidR="00603A56" w:rsidRPr="009F2998" w:rsidRDefault="00603A56" w:rsidP="00603A56">
                  <w:pPr>
                    <w:spacing w:after="0" w:line="240" w:lineRule="auto"/>
                    <w:jc w:val="center"/>
                    <w:rPr>
                      <w:rFonts w:ascii="Times New Roman" w:eastAsia="Times New Roman" w:hAnsi="Times New Roman" w:cs="Times New Roman"/>
                      <w:color w:val="000000"/>
                      <w:sz w:val="20"/>
                      <w:szCs w:val="20"/>
                      <w:lang w:eastAsia="sk-SK"/>
                    </w:rPr>
                  </w:pPr>
                  <w:r w:rsidRPr="009F2998">
                    <w:rPr>
                      <w:rFonts w:ascii="Times New Roman" w:eastAsia="Times New Roman" w:hAnsi="Times New Roman" w:cs="Times New Roman"/>
                      <w:color w:val="000000"/>
                      <w:sz w:val="20"/>
                      <w:szCs w:val="20"/>
                      <w:lang w:eastAsia="sk-SK"/>
                    </w:rPr>
                    <w:t>Úspora [TJ]</w:t>
                  </w:r>
                </w:p>
              </w:tc>
            </w:tr>
            <w:tr w:rsidR="00C45CB7" w:rsidRPr="009F2998" w14:paraId="4110C940" w14:textId="77777777" w:rsidTr="00AF5415">
              <w:trPr>
                <w:trHeight w:val="246"/>
              </w:trPr>
              <w:tc>
                <w:tcPr>
                  <w:tcW w:w="358" w:type="dxa"/>
                  <w:tcBorders>
                    <w:top w:val="nil"/>
                    <w:left w:val="single" w:sz="4" w:space="0" w:color="auto"/>
                    <w:bottom w:val="single" w:sz="4" w:space="0" w:color="auto"/>
                    <w:right w:val="single" w:sz="4" w:space="0" w:color="auto"/>
                  </w:tcBorders>
                  <w:shd w:val="clear" w:color="000000" w:fill="FF7857"/>
                  <w:noWrap/>
                  <w:vAlign w:val="bottom"/>
                  <w:hideMark/>
                </w:tcPr>
                <w:p w14:paraId="3E3E4342" w14:textId="77777777" w:rsidR="00C45CB7" w:rsidRPr="009F2998" w:rsidRDefault="00C45CB7" w:rsidP="00C45CB7">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2520" w:type="dxa"/>
                  <w:tcBorders>
                    <w:top w:val="nil"/>
                    <w:left w:val="nil"/>
                    <w:bottom w:val="single" w:sz="4" w:space="0" w:color="auto"/>
                    <w:right w:val="single" w:sz="4" w:space="0" w:color="auto"/>
                  </w:tcBorders>
                  <w:shd w:val="clear" w:color="auto" w:fill="auto"/>
                  <w:noWrap/>
                  <w:vAlign w:val="center"/>
                  <w:hideMark/>
                </w:tcPr>
                <w:p w14:paraId="75A71291" w14:textId="77777777" w:rsidR="00C45CB7" w:rsidRPr="009F2998" w:rsidRDefault="00C45CB7">
                  <w:pPr>
                    <w:spacing w:after="0" w:line="240" w:lineRule="auto"/>
                    <w:rPr>
                      <w:rFonts w:ascii="Times New Roman" w:eastAsia="Times New Roman" w:hAnsi="Times New Roman" w:cs="Times New Roman"/>
                      <w:color w:val="000000"/>
                      <w:sz w:val="20"/>
                      <w:szCs w:val="20"/>
                      <w:lang w:eastAsia="sk-SK"/>
                    </w:rPr>
                  </w:pPr>
                  <w:r w:rsidRPr="009F2998">
                    <w:rPr>
                      <w:rFonts w:ascii="Times New Roman" w:eastAsia="Times New Roman" w:hAnsi="Times New Roman" w:cs="Times New Roman"/>
                      <w:color w:val="000000"/>
                      <w:sz w:val="20"/>
                      <w:szCs w:val="20"/>
                      <w:lang w:eastAsia="sk-SK"/>
                    </w:rPr>
                    <w:t>Dráhová doprava</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02B7B" w14:textId="615DE846" w:rsidR="00C45CB7" w:rsidRPr="00C45CB7" w:rsidRDefault="00C45CB7">
                  <w:pPr>
                    <w:spacing w:after="0" w:line="240" w:lineRule="auto"/>
                    <w:jc w:val="right"/>
                    <w:rPr>
                      <w:rFonts w:ascii="Times New Roman" w:eastAsia="Times New Roman" w:hAnsi="Times New Roman" w:cs="Times New Roman"/>
                      <w:color w:val="000000"/>
                      <w:sz w:val="20"/>
                      <w:szCs w:val="20"/>
                      <w:lang w:eastAsia="sk-SK"/>
                    </w:rPr>
                  </w:pPr>
                  <w:r w:rsidRPr="00AF5415">
                    <w:rPr>
                      <w:rFonts w:ascii="Times New Roman" w:hAnsi="Times New Roman" w:cs="Times New Roman"/>
                      <w:color w:val="000000"/>
                      <w:sz w:val="20"/>
                      <w:szCs w:val="20"/>
                    </w:rPr>
                    <w:t>404,59</w:t>
                  </w:r>
                </w:p>
              </w:tc>
            </w:tr>
            <w:tr w:rsidR="00C45CB7" w:rsidRPr="009F2998" w14:paraId="5A345C05" w14:textId="77777777" w:rsidTr="00AF5415">
              <w:trPr>
                <w:trHeight w:val="250"/>
              </w:trPr>
              <w:tc>
                <w:tcPr>
                  <w:tcW w:w="358" w:type="dxa"/>
                  <w:tcBorders>
                    <w:top w:val="nil"/>
                    <w:left w:val="single" w:sz="4" w:space="0" w:color="auto"/>
                    <w:bottom w:val="single" w:sz="4" w:space="0" w:color="auto"/>
                    <w:right w:val="single" w:sz="4" w:space="0" w:color="auto"/>
                  </w:tcBorders>
                  <w:shd w:val="clear" w:color="000000" w:fill="FF9933"/>
                  <w:noWrap/>
                  <w:vAlign w:val="bottom"/>
                  <w:hideMark/>
                </w:tcPr>
                <w:p w14:paraId="3C05859A" w14:textId="77777777" w:rsidR="00C45CB7" w:rsidRPr="009F2998" w:rsidRDefault="00C45CB7" w:rsidP="00C45CB7">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2520" w:type="dxa"/>
                  <w:tcBorders>
                    <w:top w:val="nil"/>
                    <w:left w:val="nil"/>
                    <w:bottom w:val="single" w:sz="4" w:space="0" w:color="auto"/>
                    <w:right w:val="single" w:sz="4" w:space="0" w:color="auto"/>
                  </w:tcBorders>
                  <w:shd w:val="clear" w:color="auto" w:fill="auto"/>
                  <w:noWrap/>
                  <w:vAlign w:val="center"/>
                  <w:hideMark/>
                </w:tcPr>
                <w:p w14:paraId="3AE32742" w14:textId="77777777" w:rsidR="00C45CB7" w:rsidRPr="009F2998" w:rsidRDefault="00C45CB7">
                  <w:pPr>
                    <w:spacing w:after="0" w:line="240" w:lineRule="auto"/>
                    <w:rPr>
                      <w:rFonts w:ascii="Times New Roman" w:eastAsia="Times New Roman" w:hAnsi="Times New Roman" w:cs="Times New Roman"/>
                      <w:color w:val="000000"/>
                      <w:sz w:val="20"/>
                      <w:szCs w:val="20"/>
                      <w:lang w:eastAsia="sk-SK"/>
                    </w:rPr>
                  </w:pPr>
                  <w:r w:rsidRPr="009F2998">
                    <w:rPr>
                      <w:rFonts w:ascii="Times New Roman" w:eastAsia="Times New Roman" w:hAnsi="Times New Roman" w:cs="Times New Roman"/>
                      <w:color w:val="000000"/>
                      <w:sz w:val="20"/>
                      <w:szCs w:val="20"/>
                      <w:lang w:eastAsia="sk-SK"/>
                    </w:rPr>
                    <w:t>Autobus/Trolejbus</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765DF4D" w14:textId="39D92379" w:rsidR="00C45CB7" w:rsidRPr="00C45CB7" w:rsidRDefault="00C45CB7">
                  <w:pPr>
                    <w:spacing w:after="0" w:line="240" w:lineRule="auto"/>
                    <w:jc w:val="right"/>
                    <w:rPr>
                      <w:rFonts w:ascii="Times New Roman" w:eastAsia="Times New Roman" w:hAnsi="Times New Roman" w:cs="Times New Roman"/>
                      <w:color w:val="000000"/>
                      <w:sz w:val="20"/>
                      <w:szCs w:val="20"/>
                      <w:lang w:eastAsia="sk-SK"/>
                    </w:rPr>
                  </w:pPr>
                  <w:r w:rsidRPr="00AF5415">
                    <w:rPr>
                      <w:rFonts w:ascii="Times New Roman" w:hAnsi="Times New Roman" w:cs="Times New Roman"/>
                      <w:color w:val="000000"/>
                      <w:sz w:val="20"/>
                      <w:szCs w:val="20"/>
                    </w:rPr>
                    <w:t>59,63</w:t>
                  </w:r>
                </w:p>
              </w:tc>
            </w:tr>
            <w:tr w:rsidR="00C45CB7" w:rsidRPr="009F2998" w14:paraId="6200C960" w14:textId="77777777" w:rsidTr="00AF5415">
              <w:trPr>
                <w:trHeight w:val="254"/>
              </w:trPr>
              <w:tc>
                <w:tcPr>
                  <w:tcW w:w="358" w:type="dxa"/>
                  <w:tcBorders>
                    <w:top w:val="nil"/>
                    <w:left w:val="single" w:sz="4" w:space="0" w:color="auto"/>
                    <w:bottom w:val="single" w:sz="4" w:space="0" w:color="auto"/>
                    <w:right w:val="single" w:sz="4" w:space="0" w:color="auto"/>
                  </w:tcBorders>
                  <w:shd w:val="clear" w:color="000000" w:fill="FFCC00"/>
                  <w:noWrap/>
                  <w:vAlign w:val="bottom"/>
                  <w:hideMark/>
                </w:tcPr>
                <w:p w14:paraId="25BB1DDC" w14:textId="77777777" w:rsidR="00C45CB7" w:rsidRPr="009F2998" w:rsidRDefault="00C45CB7" w:rsidP="00C45CB7">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2520" w:type="dxa"/>
                  <w:tcBorders>
                    <w:top w:val="nil"/>
                    <w:left w:val="nil"/>
                    <w:bottom w:val="single" w:sz="4" w:space="0" w:color="auto"/>
                    <w:right w:val="single" w:sz="4" w:space="0" w:color="auto"/>
                  </w:tcBorders>
                  <w:shd w:val="clear" w:color="auto" w:fill="auto"/>
                  <w:noWrap/>
                  <w:vAlign w:val="center"/>
                  <w:hideMark/>
                </w:tcPr>
                <w:p w14:paraId="167545EF" w14:textId="77777777" w:rsidR="00C45CB7" w:rsidRPr="009F2998" w:rsidRDefault="00C45CB7">
                  <w:pPr>
                    <w:spacing w:after="0" w:line="240" w:lineRule="auto"/>
                    <w:rPr>
                      <w:rFonts w:ascii="Times New Roman" w:eastAsia="Times New Roman" w:hAnsi="Times New Roman" w:cs="Times New Roman"/>
                      <w:color w:val="000000"/>
                      <w:sz w:val="20"/>
                      <w:szCs w:val="20"/>
                      <w:lang w:eastAsia="sk-SK"/>
                    </w:rPr>
                  </w:pPr>
                  <w:r w:rsidRPr="009F2998">
                    <w:rPr>
                      <w:rFonts w:ascii="Times New Roman" w:eastAsia="Times New Roman" w:hAnsi="Times New Roman" w:cs="Times New Roman"/>
                      <w:color w:val="000000"/>
                      <w:sz w:val="20"/>
                      <w:szCs w:val="20"/>
                      <w:lang w:eastAsia="sk-SK"/>
                    </w:rPr>
                    <w:t>Dopravná infraštruktúra</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C08A077" w14:textId="18B87C04" w:rsidR="00C45CB7" w:rsidRPr="00C45CB7" w:rsidRDefault="00C45CB7">
                  <w:pPr>
                    <w:spacing w:after="0" w:line="240" w:lineRule="auto"/>
                    <w:jc w:val="right"/>
                    <w:rPr>
                      <w:rFonts w:ascii="Times New Roman" w:eastAsia="Times New Roman" w:hAnsi="Times New Roman" w:cs="Times New Roman"/>
                      <w:color w:val="000000"/>
                      <w:sz w:val="20"/>
                      <w:szCs w:val="20"/>
                      <w:lang w:eastAsia="sk-SK"/>
                    </w:rPr>
                  </w:pPr>
                  <w:r w:rsidRPr="00AF5415">
                    <w:rPr>
                      <w:rFonts w:ascii="Times New Roman" w:hAnsi="Times New Roman" w:cs="Times New Roman"/>
                      <w:color w:val="000000"/>
                      <w:sz w:val="20"/>
                      <w:szCs w:val="20"/>
                    </w:rPr>
                    <w:t>432,29</w:t>
                  </w:r>
                </w:p>
              </w:tc>
            </w:tr>
            <w:tr w:rsidR="00C45CB7" w:rsidRPr="009F2998" w14:paraId="19CDAA5A" w14:textId="77777777" w:rsidTr="00AF5415">
              <w:trPr>
                <w:trHeight w:val="272"/>
              </w:trPr>
              <w:tc>
                <w:tcPr>
                  <w:tcW w:w="358" w:type="dxa"/>
                  <w:tcBorders>
                    <w:top w:val="nil"/>
                    <w:left w:val="nil"/>
                    <w:bottom w:val="nil"/>
                    <w:right w:val="nil"/>
                  </w:tcBorders>
                  <w:shd w:val="clear" w:color="auto" w:fill="auto"/>
                  <w:noWrap/>
                  <w:vAlign w:val="bottom"/>
                  <w:hideMark/>
                </w:tcPr>
                <w:p w14:paraId="533A410A" w14:textId="77777777" w:rsidR="00C45CB7" w:rsidRPr="009F2998" w:rsidRDefault="00C45CB7" w:rsidP="00C45CB7">
                  <w:pPr>
                    <w:spacing w:after="0" w:line="240" w:lineRule="auto"/>
                    <w:jc w:val="right"/>
                    <w:rPr>
                      <w:rFonts w:ascii="Times New Roman" w:eastAsia="Times New Roman" w:hAnsi="Times New Roman" w:cs="Times New Roman"/>
                      <w:color w:val="000000"/>
                      <w:sz w:val="20"/>
                      <w:szCs w:val="20"/>
                      <w:lang w:eastAsia="sk-SK"/>
                    </w:rPr>
                  </w:pP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CDDFC50" w14:textId="77777777" w:rsidR="00C45CB7" w:rsidRPr="009F2998" w:rsidRDefault="00C45CB7">
                  <w:pPr>
                    <w:spacing w:after="0" w:line="240" w:lineRule="auto"/>
                    <w:rPr>
                      <w:rFonts w:ascii="Times New Roman" w:eastAsia="Times New Roman" w:hAnsi="Times New Roman" w:cs="Times New Roman"/>
                      <w:b/>
                      <w:color w:val="000000"/>
                      <w:sz w:val="20"/>
                      <w:szCs w:val="20"/>
                      <w:lang w:eastAsia="sk-SK"/>
                    </w:rPr>
                  </w:pPr>
                  <w:r w:rsidRPr="009F2998">
                    <w:rPr>
                      <w:rFonts w:ascii="Times New Roman" w:eastAsia="Times New Roman" w:hAnsi="Times New Roman" w:cs="Times New Roman"/>
                      <w:b/>
                      <w:color w:val="000000"/>
                      <w:sz w:val="20"/>
                      <w:szCs w:val="20"/>
                      <w:lang w:eastAsia="sk-SK"/>
                    </w:rPr>
                    <w:t>Spolu:</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B25878A" w14:textId="4BAE1B36" w:rsidR="00C45CB7" w:rsidRPr="00C45CB7" w:rsidRDefault="00C45CB7">
                  <w:pPr>
                    <w:spacing w:after="0" w:line="240" w:lineRule="auto"/>
                    <w:jc w:val="right"/>
                    <w:rPr>
                      <w:rFonts w:ascii="Times New Roman" w:eastAsia="Times New Roman" w:hAnsi="Times New Roman" w:cs="Times New Roman"/>
                      <w:b/>
                      <w:bCs/>
                      <w:color w:val="000000"/>
                      <w:sz w:val="20"/>
                      <w:szCs w:val="20"/>
                      <w:lang w:eastAsia="sk-SK"/>
                    </w:rPr>
                  </w:pPr>
                  <w:r w:rsidRPr="00AF5415">
                    <w:rPr>
                      <w:rFonts w:ascii="Times New Roman" w:hAnsi="Times New Roman" w:cs="Times New Roman"/>
                      <w:b/>
                      <w:bCs/>
                      <w:color w:val="000000"/>
                      <w:sz w:val="20"/>
                      <w:szCs w:val="20"/>
                    </w:rPr>
                    <w:t>896,52</w:t>
                  </w:r>
                </w:p>
              </w:tc>
            </w:tr>
          </w:tbl>
          <w:p w14:paraId="3590F785" w14:textId="77777777" w:rsidR="007D403A" w:rsidRPr="009F2998" w:rsidRDefault="007D403A" w:rsidP="007B3AED">
            <w:pPr>
              <w:jc w:val="both"/>
              <w:rPr>
                <w:rFonts w:ascii="Times New Roman" w:hAnsi="Times New Roman" w:cs="Times New Roman"/>
              </w:rPr>
            </w:pPr>
          </w:p>
        </w:tc>
      </w:tr>
    </w:tbl>
    <w:p w14:paraId="738E5E7A" w14:textId="77777777" w:rsidR="00E8211C" w:rsidRPr="009F2998" w:rsidRDefault="00E8211C" w:rsidP="00E8211C">
      <w:pPr>
        <w:jc w:val="both"/>
        <w:rPr>
          <w:rFonts w:ascii="Times New Roman" w:hAnsi="Times New Roman" w:cs="Times New Roman"/>
        </w:rPr>
      </w:pPr>
    </w:p>
    <w:p w14:paraId="6A435D14" w14:textId="77777777" w:rsidR="00375411" w:rsidRDefault="00375411" w:rsidP="00BF111E">
      <w:pPr>
        <w:jc w:val="both"/>
        <w:rPr>
          <w:rFonts w:ascii="Times New Roman" w:hAnsi="Times New Roman" w:cs="Times New Roman"/>
          <w:sz w:val="24"/>
          <w:szCs w:val="24"/>
        </w:rPr>
      </w:pPr>
    </w:p>
    <w:p w14:paraId="403E4D8C" w14:textId="58428769" w:rsidR="00375411" w:rsidRPr="000745A8" w:rsidRDefault="00375411" w:rsidP="00375411">
      <w:pPr>
        <w:jc w:val="both"/>
        <w:rPr>
          <w:rFonts w:ascii="Times New Roman" w:hAnsi="Times New Roman" w:cs="Times New Roman"/>
          <w:sz w:val="24"/>
          <w:szCs w:val="24"/>
        </w:rPr>
      </w:pPr>
      <w:r w:rsidRPr="000745A8">
        <w:rPr>
          <w:rFonts w:ascii="Times New Roman" w:hAnsi="Times New Roman" w:cs="Times New Roman"/>
          <w:sz w:val="24"/>
          <w:szCs w:val="24"/>
        </w:rPr>
        <w:t xml:space="preserve">Opatrenia v sektore doprava sa realizovali predovšetkým v rokoch 2014-2015, kedy nastali komplexné obmeny vozového parku prostriedkov verejnej dopravy v Bratislave a čiastočne aj v Košiciach. Technicky a environmentálne nevyhovujúce vozidlá (autobusy, trolejbusy a električky) boli nahradené novými, ktoré významne prispeli k skvalitneniu služieb MHD v Bratislave, pričom vyradenie starých prostriedkov slúžiacich sčasti na hrane svojej životnosti prinieslo nemalé úspory energie. </w:t>
      </w:r>
    </w:p>
    <w:p w14:paraId="3131D98A" w14:textId="0762D923" w:rsidR="00375411" w:rsidRPr="000745A8" w:rsidRDefault="00375411" w:rsidP="00375411">
      <w:pPr>
        <w:jc w:val="both"/>
        <w:rPr>
          <w:rFonts w:ascii="Times New Roman" w:hAnsi="Times New Roman" w:cs="Times New Roman"/>
          <w:sz w:val="24"/>
          <w:szCs w:val="24"/>
        </w:rPr>
      </w:pPr>
      <w:r w:rsidRPr="000745A8">
        <w:rPr>
          <w:rFonts w:ascii="Times New Roman" w:hAnsi="Times New Roman" w:cs="Times New Roman"/>
          <w:sz w:val="24"/>
          <w:szCs w:val="24"/>
        </w:rPr>
        <w:t>Ďalším významným krokom je obmena vozidlového parku železničnej osobnej dopravy, kde pribudli nové súpravy a vozne na regionálne trate. Spolu so zvýšením kvality ponúkaných služieb a zavedením integrovaného dopravného systému  v bratislavskom kraji priniesli aj zvýšenie množstva cestujúcich</w:t>
      </w:r>
      <w:r w:rsidR="00BF12F6">
        <w:rPr>
          <w:rFonts w:ascii="Times New Roman" w:hAnsi="Times New Roman" w:cs="Times New Roman"/>
          <w:sz w:val="24"/>
          <w:szCs w:val="24"/>
        </w:rPr>
        <w:t>,</w:t>
      </w:r>
      <w:r w:rsidRPr="000745A8">
        <w:rPr>
          <w:rFonts w:ascii="Times New Roman" w:hAnsi="Times New Roman" w:cs="Times New Roman"/>
          <w:sz w:val="24"/>
          <w:szCs w:val="24"/>
        </w:rPr>
        <w:t xml:space="preserve"> a teda presun časti cestujúcich z  individuálnej automobilovej dopravy (IAD)  autami. K presunu z IAD na prostriedky hromadnej dopravy prispelo aj opatrenie využívania vlakov zadarmo pre určité sociálne skupiny, ktoré bolo spustené v novembri 2014. </w:t>
      </w:r>
    </w:p>
    <w:p w14:paraId="60734944" w14:textId="77777777" w:rsidR="00375411" w:rsidRPr="000745A8" w:rsidRDefault="00375411" w:rsidP="00375411">
      <w:pPr>
        <w:jc w:val="both"/>
        <w:rPr>
          <w:rFonts w:ascii="Times New Roman" w:hAnsi="Times New Roman" w:cs="Times New Roman"/>
          <w:sz w:val="24"/>
          <w:szCs w:val="24"/>
        </w:rPr>
      </w:pPr>
      <w:r w:rsidRPr="000745A8">
        <w:rPr>
          <w:rFonts w:ascii="Times New Roman" w:hAnsi="Times New Roman" w:cs="Times New Roman"/>
          <w:sz w:val="24"/>
          <w:szCs w:val="24"/>
        </w:rPr>
        <w:t xml:space="preserve">Významnou aktivitou bola obnova a výstavba dráhových tratí (predovšetkým rekonštrukcia električkových tratí v Bratislave a Košiciach, výstavba električkovej trate spolu s mostom s vylúčenou premávkou motorových vozidiel v Bratislave a rekonštrukcia železničných tratí a priľahlých objektov). </w:t>
      </w:r>
    </w:p>
    <w:p w14:paraId="3556B42A" w14:textId="199DD363" w:rsidR="00375411" w:rsidRDefault="00375411" w:rsidP="00BF111E">
      <w:pPr>
        <w:jc w:val="both"/>
        <w:rPr>
          <w:rFonts w:ascii="Times New Roman" w:hAnsi="Times New Roman" w:cs="Times New Roman"/>
          <w:sz w:val="24"/>
          <w:szCs w:val="24"/>
        </w:rPr>
      </w:pPr>
      <w:r w:rsidRPr="000745A8">
        <w:rPr>
          <w:rFonts w:ascii="Times New Roman" w:hAnsi="Times New Roman" w:cs="Times New Roman"/>
          <w:sz w:val="24"/>
          <w:szCs w:val="24"/>
        </w:rPr>
        <w:lastRenderedPageBreak/>
        <w:t xml:space="preserve">V októbri 2016 MH SR vyhlásilo podporu rozvoja elektromobility, </w:t>
      </w:r>
      <w:r w:rsidR="00BF12F6" w:rsidRPr="00BF12F6">
        <w:rPr>
          <w:rFonts w:ascii="Times New Roman" w:hAnsi="Times New Roman" w:cs="Times New Roman"/>
          <w:sz w:val="24"/>
          <w:szCs w:val="24"/>
        </w:rPr>
        <w:t xml:space="preserve">v rámci ktorej </w:t>
      </w:r>
      <w:r w:rsidRPr="000745A8">
        <w:rPr>
          <w:rFonts w:ascii="Times New Roman" w:hAnsi="Times New Roman" w:cs="Times New Roman"/>
          <w:sz w:val="24"/>
          <w:szCs w:val="24"/>
        </w:rPr>
        <w:t>poskytuje dotáciu 5 000 </w:t>
      </w:r>
      <w:r w:rsidR="000C2919">
        <w:rPr>
          <w:rFonts w:ascii="Times New Roman" w:hAnsi="Times New Roman" w:cs="Times New Roman"/>
          <w:sz w:val="24"/>
          <w:szCs w:val="24"/>
        </w:rPr>
        <w:t>Eur</w:t>
      </w:r>
      <w:r w:rsidRPr="000745A8">
        <w:rPr>
          <w:rFonts w:ascii="Times New Roman" w:hAnsi="Times New Roman" w:cs="Times New Roman"/>
          <w:sz w:val="24"/>
          <w:szCs w:val="24"/>
        </w:rPr>
        <w:t xml:space="preserve"> pre nové elektrické auto a 3 000 </w:t>
      </w:r>
      <w:r w:rsidR="000C2919">
        <w:rPr>
          <w:rFonts w:ascii="Times New Roman" w:hAnsi="Times New Roman" w:cs="Times New Roman"/>
          <w:sz w:val="24"/>
          <w:szCs w:val="24"/>
        </w:rPr>
        <w:t>Eur</w:t>
      </w:r>
      <w:r w:rsidRPr="000745A8">
        <w:rPr>
          <w:rFonts w:ascii="Times New Roman" w:hAnsi="Times New Roman" w:cs="Times New Roman"/>
          <w:sz w:val="24"/>
          <w:szCs w:val="24"/>
        </w:rPr>
        <w:t xml:space="preserve"> pre hybridné auto s možnosťou nabíjania cez elektrickú zásuvku. </w:t>
      </w:r>
    </w:p>
    <w:p w14:paraId="747F8DB7" w14:textId="2005D0E1" w:rsidR="00E72DF6" w:rsidRPr="000745A8" w:rsidRDefault="00E72DF6" w:rsidP="00BF111E">
      <w:pPr>
        <w:jc w:val="both"/>
        <w:rPr>
          <w:rFonts w:ascii="Times New Roman" w:hAnsi="Times New Roman" w:cs="Times New Roman"/>
          <w:sz w:val="24"/>
          <w:szCs w:val="24"/>
        </w:rPr>
      </w:pPr>
      <w:r w:rsidRPr="000745A8">
        <w:rPr>
          <w:rFonts w:ascii="Times New Roman" w:hAnsi="Times New Roman" w:cs="Times New Roman"/>
          <w:sz w:val="24"/>
          <w:szCs w:val="24"/>
        </w:rPr>
        <w:t>Uznesením vlády č. 13/2017 bol schválený Strategický plán rozvoja dopravy SR do roku 2030, ktorý predložilo Ministerstvo dopravy a výstavby SR</w:t>
      </w:r>
      <w:r w:rsidR="00BF12F6">
        <w:rPr>
          <w:rFonts w:ascii="Times New Roman" w:hAnsi="Times New Roman" w:cs="Times New Roman"/>
          <w:sz w:val="24"/>
          <w:szCs w:val="24"/>
        </w:rPr>
        <w:t xml:space="preserve"> </w:t>
      </w:r>
      <w:r w:rsidR="00BF12F6" w:rsidRPr="00BF12F6">
        <w:rPr>
          <w:rFonts w:ascii="Times New Roman" w:hAnsi="Times New Roman" w:cs="Times New Roman"/>
          <w:sz w:val="24"/>
          <w:szCs w:val="24"/>
        </w:rPr>
        <w:t>(ďalej len „MDV SR“)</w:t>
      </w:r>
      <w:r w:rsidRPr="000745A8">
        <w:rPr>
          <w:rFonts w:ascii="Times New Roman" w:hAnsi="Times New Roman" w:cs="Times New Roman"/>
          <w:sz w:val="24"/>
          <w:szCs w:val="24"/>
        </w:rPr>
        <w:t>. Okrem základného rámca rozvoja dopravnej politiky na Slovensku definuje jednoznačnú potrebu podpory verejnej osobnej dopravy (VOD) a opatrení, ktoré zlepšia atraktivitu udržateľných druhov dopravy, t. j. okrem verejnej osobnej dopravy aj cyklistickej a pešej dopravy. MDV SR je zároveň riadiacim orgánom pre Operačný program Integrovaná infraštruktúra 2014 – 2020 (OPII), v ktorom je prostredníctvom výkonnostných indikátorov deklarovaná podpora VOD a zabezpečenie modal-shiftu. Dopravný segment je zároveň predmetom finančnej podpory aj v rámci Prioritnej osi 1 Integrovaného regionálneho operačného programu 2014 – 2020 (IROP) s názvom Bezpečná a ekologická doprava v regiónoch, ktorého riadiacim orgánom je Ministerstvo pôdohospodárstva a rozvoja vidieka SR (MPRV SR). Hoci kompetenčne je teda riešenie regionálnej dopravy mimo gescie MDV SR, oba rezorty navzájom úzko spolupracujú, rovnako ako s regiónmi a mestami (teda prijímateľmi podpory).</w:t>
      </w:r>
    </w:p>
    <w:p w14:paraId="5C6C94D3" w14:textId="51C14619" w:rsidR="00E72DF6" w:rsidRPr="000745A8" w:rsidRDefault="00E72DF6" w:rsidP="00E72DF6">
      <w:pPr>
        <w:jc w:val="both"/>
        <w:rPr>
          <w:rFonts w:ascii="Times New Roman" w:hAnsi="Times New Roman" w:cs="Times New Roman"/>
          <w:sz w:val="24"/>
          <w:szCs w:val="24"/>
        </w:rPr>
      </w:pPr>
      <w:r w:rsidRPr="000745A8">
        <w:rPr>
          <w:rFonts w:ascii="Times New Roman" w:hAnsi="Times New Roman" w:cs="Times New Roman"/>
          <w:sz w:val="24"/>
          <w:szCs w:val="24"/>
        </w:rPr>
        <w:t>Okrem uvedeného MDV SR spolupracuje s regiónmi aj na príprave a schvaľovaní tzv. Regionálnych integrovaných územných stratégií, ktoré predstavujú vykonávací dokument čerpania NFP z IROP. Po usmernení zo strany MDV SR väčšina regiónov zmenila finančnú alokáciu v prospech projektov podporujúcich VOD a nemotorovú dopravu. MDV SR tiež spolupracuje s regiónmi pri príprave plánov udržateľnej mobility, ktoré sú v súčasnosti v rôznom štádiu rozpracovanosti. Cieľom plánu udržateľnej mobility (</w:t>
      </w:r>
      <w:r w:rsidR="00BF12F6">
        <w:rPr>
          <w:rFonts w:ascii="Times New Roman" w:hAnsi="Times New Roman" w:cs="Times New Roman"/>
          <w:sz w:val="24"/>
          <w:szCs w:val="24"/>
        </w:rPr>
        <w:t>ďalej len „</w:t>
      </w:r>
      <w:r w:rsidRPr="000745A8">
        <w:rPr>
          <w:rFonts w:ascii="Times New Roman" w:hAnsi="Times New Roman" w:cs="Times New Roman"/>
          <w:sz w:val="24"/>
          <w:szCs w:val="24"/>
        </w:rPr>
        <w:t>PUM</w:t>
      </w:r>
      <w:r w:rsidR="00BF12F6">
        <w:rPr>
          <w:rFonts w:ascii="Times New Roman" w:hAnsi="Times New Roman" w:cs="Times New Roman"/>
          <w:sz w:val="24"/>
          <w:szCs w:val="24"/>
        </w:rPr>
        <w:t>“</w:t>
      </w:r>
      <w:r w:rsidRPr="000745A8">
        <w:rPr>
          <w:rFonts w:ascii="Times New Roman" w:hAnsi="Times New Roman" w:cs="Times New Roman"/>
          <w:sz w:val="24"/>
          <w:szCs w:val="24"/>
        </w:rPr>
        <w:t>) je odborné odôvodnenie intervencií do dopravy, pričom každá intervencia má viesť k zvýšenej podpore udržateľných druhov dopravy, a teda priamo k zvyšovaniu úspor energie. S výnimkou Bratislavy, Žiliny a Košíc, ktoré už PUM majú spracovaný, sa finalizácia dokumentov očakáva na prelome rokov 2018/2019.</w:t>
      </w:r>
    </w:p>
    <w:p w14:paraId="4C96397E" w14:textId="0F82622C" w:rsidR="00E72DF6" w:rsidRPr="000745A8" w:rsidRDefault="00E72DF6" w:rsidP="00E72DF6">
      <w:pPr>
        <w:jc w:val="both"/>
        <w:rPr>
          <w:rFonts w:ascii="Times New Roman" w:hAnsi="Times New Roman" w:cs="Times New Roman"/>
          <w:sz w:val="24"/>
          <w:szCs w:val="24"/>
        </w:rPr>
      </w:pPr>
      <w:r w:rsidRPr="000745A8">
        <w:rPr>
          <w:rFonts w:ascii="Times New Roman" w:hAnsi="Times New Roman" w:cs="Times New Roman"/>
          <w:sz w:val="24"/>
          <w:szCs w:val="24"/>
        </w:rPr>
        <w:t>Koncepčne a strategicky sú teda všetky procesy nastavené tak, aby sa zabezpečila dostatočná a celoplošná podpora udržateľných módov dopravy, modal-shift v prospech tejto dopravy, a teda sa zmiernili dopady využívania individuálnej automobilovej dopravy. Ide o zložitú a dlhodobú problematiku, ktorá vyžaduje ako legislatívnu, tak aj inštitucionálnu podporu zo strany všetkých kompetentných orgánov, inštitúcií a organizácií.</w:t>
      </w:r>
    </w:p>
    <w:p w14:paraId="3E2F3A98" w14:textId="77777777" w:rsidR="007329CB" w:rsidRPr="009F2998" w:rsidRDefault="007329CB" w:rsidP="007329CB">
      <w:pPr>
        <w:jc w:val="both"/>
        <w:rPr>
          <w:rFonts w:ascii="Times New Roman" w:hAnsi="Times New Roman" w:cs="Times New Roman"/>
        </w:rPr>
      </w:pPr>
    </w:p>
    <w:p w14:paraId="758E9195" w14:textId="77777777" w:rsidR="001D5205" w:rsidRPr="000578FE" w:rsidRDefault="001D5205" w:rsidP="00AF5415">
      <w:pPr>
        <w:pStyle w:val="Nadpis3"/>
        <w:keepNext w:val="0"/>
        <w:keepLines w:val="0"/>
        <w:numPr>
          <w:ilvl w:val="2"/>
          <w:numId w:val="32"/>
        </w:numPr>
        <w:ind w:left="1276" w:hanging="567"/>
        <w:rPr>
          <w:rFonts w:ascii="Times New Roman" w:hAnsi="Times New Roman" w:cs="Times New Roman"/>
          <w:color w:val="auto"/>
        </w:rPr>
      </w:pPr>
      <w:bookmarkStart w:id="49" w:name="_Toc477345351"/>
      <w:r w:rsidRPr="000578FE">
        <w:rPr>
          <w:rFonts w:ascii="Times New Roman" w:hAnsi="Times New Roman" w:cs="Times New Roman"/>
          <w:color w:val="auto"/>
        </w:rPr>
        <w:t>Opatrenia energetickej efektívnosti v sektore spotrebiče</w:t>
      </w:r>
      <w:bookmarkEnd w:id="49"/>
    </w:p>
    <w:p w14:paraId="79F66F2F" w14:textId="77777777" w:rsidR="009A4A3B" w:rsidRPr="009F2998" w:rsidRDefault="009A4A3B" w:rsidP="009A4A3B">
      <w:pPr>
        <w:jc w:val="both"/>
        <w:rPr>
          <w:rFonts w:ascii="Times New Roman" w:hAnsi="Times New Roman" w:cs="Times New Roman"/>
        </w:rPr>
      </w:pPr>
    </w:p>
    <w:p w14:paraId="74CBB4F7" w14:textId="15850271" w:rsidR="009A4A3B" w:rsidRPr="000578FE" w:rsidRDefault="009A4A3B" w:rsidP="009A4A3B">
      <w:pPr>
        <w:jc w:val="both"/>
        <w:rPr>
          <w:rFonts w:ascii="Times New Roman" w:hAnsi="Times New Roman" w:cs="Times New Roman"/>
          <w:sz w:val="24"/>
          <w:szCs w:val="24"/>
        </w:rPr>
      </w:pPr>
      <w:r w:rsidRPr="000578FE">
        <w:rPr>
          <w:rFonts w:ascii="Times New Roman" w:hAnsi="Times New Roman" w:cs="Times New Roman"/>
          <w:sz w:val="24"/>
          <w:szCs w:val="24"/>
        </w:rPr>
        <w:t>Opatrenia energetickej efektívnosti v sektore spotrebiče sú zamerané najmä na:</w:t>
      </w:r>
    </w:p>
    <w:p w14:paraId="6BC59228" w14:textId="203D3456" w:rsidR="009A4A3B" w:rsidRPr="000578FE" w:rsidRDefault="009A4A3B" w:rsidP="007157D7">
      <w:pPr>
        <w:pStyle w:val="Odsekzoznamu"/>
        <w:numPr>
          <w:ilvl w:val="0"/>
          <w:numId w:val="8"/>
        </w:numPr>
        <w:jc w:val="both"/>
        <w:rPr>
          <w:rFonts w:ascii="Times New Roman" w:hAnsi="Times New Roman" w:cs="Times New Roman"/>
          <w:sz w:val="24"/>
          <w:szCs w:val="24"/>
        </w:rPr>
      </w:pPr>
      <w:r w:rsidRPr="000578FE">
        <w:rPr>
          <w:rFonts w:ascii="Times New Roman" w:hAnsi="Times New Roman" w:cs="Times New Roman"/>
          <w:sz w:val="24"/>
          <w:szCs w:val="24"/>
        </w:rPr>
        <w:t>obmena bielej techniky</w:t>
      </w:r>
    </w:p>
    <w:p w14:paraId="670D8462" w14:textId="6BC71B3C" w:rsidR="009A4A3B" w:rsidRPr="000578FE" w:rsidRDefault="009A4A3B" w:rsidP="007157D7">
      <w:pPr>
        <w:pStyle w:val="Odsekzoznamu"/>
        <w:numPr>
          <w:ilvl w:val="0"/>
          <w:numId w:val="8"/>
        </w:numPr>
        <w:jc w:val="both"/>
        <w:rPr>
          <w:rFonts w:ascii="Times New Roman" w:hAnsi="Times New Roman" w:cs="Times New Roman"/>
          <w:sz w:val="24"/>
          <w:szCs w:val="24"/>
        </w:rPr>
      </w:pPr>
      <w:r w:rsidRPr="000578FE">
        <w:rPr>
          <w:rFonts w:ascii="Times New Roman" w:hAnsi="Times New Roman" w:cs="Times New Roman"/>
          <w:sz w:val="24"/>
          <w:szCs w:val="24"/>
        </w:rPr>
        <w:t>úsporné osvetlenie</w:t>
      </w:r>
    </w:p>
    <w:p w14:paraId="0C9C85D6" w14:textId="56C3480B" w:rsidR="009A4A3B" w:rsidRDefault="009A4A3B" w:rsidP="007157D7">
      <w:pPr>
        <w:pStyle w:val="Odsekzoznamu"/>
        <w:numPr>
          <w:ilvl w:val="0"/>
          <w:numId w:val="8"/>
        </w:numPr>
        <w:jc w:val="both"/>
        <w:rPr>
          <w:rFonts w:ascii="Times New Roman" w:hAnsi="Times New Roman" w:cs="Times New Roman"/>
          <w:sz w:val="24"/>
          <w:szCs w:val="24"/>
        </w:rPr>
      </w:pPr>
      <w:r w:rsidRPr="000578FE">
        <w:rPr>
          <w:rFonts w:ascii="Times New Roman" w:hAnsi="Times New Roman" w:cs="Times New Roman"/>
          <w:sz w:val="24"/>
          <w:szCs w:val="24"/>
        </w:rPr>
        <w:t>obmena zariadení v domácnostiach a</w:t>
      </w:r>
      <w:r w:rsidR="00AC1D7F">
        <w:rPr>
          <w:rFonts w:ascii="Times New Roman" w:hAnsi="Times New Roman" w:cs="Times New Roman"/>
          <w:sz w:val="24"/>
          <w:szCs w:val="24"/>
        </w:rPr>
        <w:t> </w:t>
      </w:r>
      <w:r w:rsidRPr="000578FE">
        <w:rPr>
          <w:rFonts w:ascii="Times New Roman" w:hAnsi="Times New Roman" w:cs="Times New Roman"/>
          <w:sz w:val="24"/>
          <w:szCs w:val="24"/>
        </w:rPr>
        <w:t>kanceláriách</w:t>
      </w:r>
      <w:r w:rsidR="00AC1D7F">
        <w:rPr>
          <w:rFonts w:ascii="Times New Roman" w:hAnsi="Times New Roman" w:cs="Times New Roman"/>
          <w:sz w:val="24"/>
          <w:szCs w:val="24"/>
        </w:rPr>
        <w:t>.</w:t>
      </w:r>
    </w:p>
    <w:p w14:paraId="04CEEEF6" w14:textId="77777777" w:rsidR="00AC1D7F" w:rsidRDefault="00AC1D7F" w:rsidP="000578FE">
      <w:pPr>
        <w:jc w:val="both"/>
        <w:rPr>
          <w:rFonts w:ascii="Times New Roman" w:hAnsi="Times New Roman" w:cs="Times New Roman"/>
          <w:sz w:val="24"/>
          <w:szCs w:val="24"/>
        </w:rPr>
      </w:pPr>
    </w:p>
    <w:p w14:paraId="3227F55F" w14:textId="45B36F5A" w:rsidR="00AC1D7F" w:rsidRPr="000745A8" w:rsidRDefault="00AC1D7F" w:rsidP="00AC1D7F">
      <w:pPr>
        <w:jc w:val="both"/>
        <w:rPr>
          <w:rFonts w:ascii="Times New Roman" w:hAnsi="Times New Roman" w:cs="Times New Roman"/>
          <w:sz w:val="24"/>
          <w:szCs w:val="24"/>
        </w:rPr>
      </w:pPr>
      <w:r w:rsidRPr="000745A8">
        <w:rPr>
          <w:rFonts w:ascii="Times New Roman" w:hAnsi="Times New Roman" w:cs="Times New Roman"/>
          <w:sz w:val="24"/>
          <w:szCs w:val="24"/>
        </w:rPr>
        <w:t xml:space="preserve">V období 2014-2016 pokračovala obmena bielej techniky a sprísňovanie minimálnych technických požiadaviek zo strany EK v rámci stanovenom legislatívou v oblasti ekodizajnu a štítkovania. Realizovali sa aj rôzne informačné kampane pre spotrebiteľov na zatraktívnenie </w:t>
      </w:r>
      <w:r w:rsidRPr="000745A8">
        <w:rPr>
          <w:rFonts w:ascii="Times New Roman" w:hAnsi="Times New Roman" w:cs="Times New Roman"/>
          <w:sz w:val="24"/>
          <w:szCs w:val="24"/>
        </w:rPr>
        <w:lastRenderedPageBreak/>
        <w:t xml:space="preserve">efektívnejších spotrebičov. Pokračovalo monitorovanie úspor bielej techniky pomocou poskytovateľa údajov </w:t>
      </w:r>
      <w:r w:rsidR="00BF12F6" w:rsidRPr="00BF12F6">
        <w:rPr>
          <w:rFonts w:ascii="Times New Roman" w:hAnsi="Times New Roman" w:cs="Times New Roman"/>
          <w:sz w:val="24"/>
          <w:szCs w:val="24"/>
        </w:rPr>
        <w:t xml:space="preserve">Združenia  európskych výrobcov  domácich spotrebičov </w:t>
      </w:r>
      <w:r w:rsidR="00BF12F6">
        <w:rPr>
          <w:rFonts w:ascii="Times New Roman" w:hAnsi="Times New Roman" w:cs="Times New Roman"/>
          <w:sz w:val="24"/>
          <w:szCs w:val="24"/>
        </w:rPr>
        <w:t>(</w:t>
      </w:r>
      <w:r w:rsidRPr="000745A8">
        <w:rPr>
          <w:rFonts w:ascii="Times New Roman" w:hAnsi="Times New Roman" w:cs="Times New Roman"/>
          <w:sz w:val="24"/>
          <w:szCs w:val="24"/>
        </w:rPr>
        <w:t>CECED</w:t>
      </w:r>
      <w:r w:rsidR="00BF12F6">
        <w:rPr>
          <w:rFonts w:ascii="Times New Roman" w:hAnsi="Times New Roman" w:cs="Times New Roman"/>
          <w:sz w:val="24"/>
          <w:szCs w:val="24"/>
        </w:rPr>
        <w:t>)</w:t>
      </w:r>
      <w:r w:rsidRPr="000745A8">
        <w:rPr>
          <w:rFonts w:ascii="Times New Roman" w:hAnsi="Times New Roman" w:cs="Times New Roman"/>
          <w:sz w:val="24"/>
          <w:szCs w:val="24"/>
        </w:rPr>
        <w:t xml:space="preserve">. </w:t>
      </w:r>
    </w:p>
    <w:p w14:paraId="41FD0020" w14:textId="77777777" w:rsidR="00AC1D7F" w:rsidRPr="000745A8" w:rsidRDefault="00AC1D7F" w:rsidP="00AC1D7F">
      <w:pPr>
        <w:jc w:val="both"/>
        <w:rPr>
          <w:rFonts w:ascii="Times New Roman" w:hAnsi="Times New Roman" w:cs="Times New Roman"/>
          <w:sz w:val="24"/>
          <w:szCs w:val="24"/>
        </w:rPr>
      </w:pPr>
      <w:r w:rsidRPr="000745A8">
        <w:rPr>
          <w:rFonts w:ascii="Times New Roman" w:hAnsi="Times New Roman" w:cs="Times New Roman"/>
          <w:sz w:val="24"/>
          <w:szCs w:val="24"/>
        </w:rPr>
        <w:t xml:space="preserve">Najväčšia zmena nastala vo využívaní svietidiel a práve v priebehu týchto troch rokov sa postupne stali štandardom LED svietidlá prakticky pre každú domácnosť.  V rokoch 2010 až 2012 boli LED svietidlá chápané ako „experimentálne“ s neoverenými vlastnosťami ako je spoľahlivosť či životnosť. Po roku 2015 sú vnímané domácnosťami ako trendové riešenie a je plošne aplikovaná výmena halogénových ako aj žiarivkových svietidiel. Žiarivkové svietidlá značne stratili na popularite, nakoľko po krátkej dobe strácali svoju svietivosť.  </w:t>
      </w:r>
    </w:p>
    <w:p w14:paraId="75BD5043" w14:textId="4AD3A50E" w:rsidR="00793FF4" w:rsidRPr="000578FE" w:rsidRDefault="00AC1D7F" w:rsidP="000578FE">
      <w:pPr>
        <w:keepNext/>
        <w:jc w:val="both"/>
        <w:rPr>
          <w:rFonts w:ascii="Times New Roman" w:hAnsi="Times New Roman" w:cs="Times New Roman"/>
          <w:sz w:val="24"/>
          <w:szCs w:val="24"/>
        </w:rPr>
      </w:pPr>
      <w:r w:rsidRPr="000578FE">
        <w:rPr>
          <w:rFonts w:ascii="Times New Roman" w:hAnsi="Times New Roman" w:cs="Times New Roman"/>
          <w:sz w:val="24"/>
          <w:szCs w:val="24"/>
        </w:rPr>
        <w:t>Graf č. 1</w:t>
      </w:r>
      <w:r w:rsidR="00AE42A2">
        <w:rPr>
          <w:rFonts w:ascii="Times New Roman" w:hAnsi="Times New Roman" w:cs="Times New Roman"/>
          <w:sz w:val="24"/>
          <w:szCs w:val="24"/>
        </w:rPr>
        <w:t>1</w:t>
      </w:r>
      <w:r w:rsidRPr="000578FE">
        <w:rPr>
          <w:rFonts w:ascii="Times New Roman" w:hAnsi="Times New Roman" w:cs="Times New Roman"/>
          <w:sz w:val="24"/>
          <w:szCs w:val="24"/>
        </w:rPr>
        <w:t>: Zníženie konečnej energetickej spotreby  v sektore spotrebiče - podiel skupín opatrení na plnení cieľa v rokoch 2014-2016</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4868"/>
      </w:tblGrid>
      <w:tr w:rsidR="00FC5292" w:rsidRPr="009F2998" w14:paraId="3E9DE971" w14:textId="77777777" w:rsidTr="000578FE">
        <w:trPr>
          <w:trHeight w:val="3685"/>
        </w:trPr>
        <w:tc>
          <w:tcPr>
            <w:tcW w:w="2317" w:type="pct"/>
          </w:tcPr>
          <w:p w14:paraId="02F56625" w14:textId="6D3448C3" w:rsidR="00FC5292" w:rsidRPr="009F2998" w:rsidRDefault="0094663B" w:rsidP="00EC1727">
            <w:pPr>
              <w:ind w:hanging="108"/>
              <w:jc w:val="center"/>
              <w:rPr>
                <w:rFonts w:ascii="Times New Roman" w:hAnsi="Times New Roman" w:cs="Times New Roman"/>
              </w:rPr>
            </w:pPr>
            <w:r w:rsidRPr="009F2998">
              <w:rPr>
                <w:rFonts w:ascii="Times New Roman" w:hAnsi="Times New Roman" w:cs="Times New Roman"/>
                <w:noProof/>
                <w:lang w:eastAsia="sk-SK"/>
              </w:rPr>
              <w:drawing>
                <wp:inline distT="0" distB="0" distL="0" distR="0" wp14:anchorId="09D85715" wp14:editId="75229561">
                  <wp:extent cx="2514600" cy="2114550"/>
                  <wp:effectExtent l="0" t="0" r="0" b="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683" w:type="pct"/>
          </w:tcPr>
          <w:tbl>
            <w:tblPr>
              <w:tblpPr w:leftFromText="141" w:rightFromText="141" w:vertAnchor="page" w:horzAnchor="margin" w:tblpY="496"/>
              <w:tblOverlap w:val="never"/>
              <w:tblW w:w="4200" w:type="dxa"/>
              <w:tblCellMar>
                <w:left w:w="70" w:type="dxa"/>
                <w:right w:w="70" w:type="dxa"/>
              </w:tblCellMar>
              <w:tblLook w:val="04A0" w:firstRow="1" w:lastRow="0" w:firstColumn="1" w:lastColumn="0" w:noHBand="0" w:noVBand="1"/>
            </w:tblPr>
            <w:tblGrid>
              <w:gridCol w:w="500"/>
              <w:gridCol w:w="2902"/>
              <w:gridCol w:w="798"/>
            </w:tblGrid>
            <w:tr w:rsidR="00F577A8" w:rsidRPr="003B6B3A" w14:paraId="67E83615" w14:textId="77777777" w:rsidTr="00317D98">
              <w:trPr>
                <w:trHeight w:val="4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5F5B4" w14:textId="77777777" w:rsidR="00F577A8" w:rsidRPr="004E746F" w:rsidRDefault="00F577A8" w:rsidP="00F577A8">
                  <w:pPr>
                    <w:spacing w:after="0" w:line="240" w:lineRule="auto"/>
                    <w:rPr>
                      <w:rFonts w:ascii="Times New Roman" w:eastAsia="Times New Roman" w:hAnsi="Times New Roman" w:cs="Times New Roman"/>
                      <w:color w:val="000000"/>
                      <w:sz w:val="20"/>
                      <w:szCs w:val="20"/>
                      <w:lang w:eastAsia="sk-SK"/>
                    </w:rPr>
                  </w:pPr>
                  <w:r w:rsidRPr="004E746F">
                    <w:rPr>
                      <w:rFonts w:ascii="Times New Roman" w:eastAsia="Times New Roman" w:hAnsi="Times New Roman" w:cs="Times New Roman"/>
                      <w:color w:val="000000"/>
                      <w:sz w:val="20"/>
                      <w:szCs w:val="20"/>
                      <w:lang w:eastAsia="sk-SK"/>
                    </w:rPr>
                    <w:t> </w:t>
                  </w:r>
                </w:p>
              </w:tc>
              <w:tc>
                <w:tcPr>
                  <w:tcW w:w="2902" w:type="dxa"/>
                  <w:tcBorders>
                    <w:top w:val="single" w:sz="4" w:space="0" w:color="auto"/>
                    <w:left w:val="nil"/>
                    <w:bottom w:val="single" w:sz="4" w:space="0" w:color="auto"/>
                    <w:right w:val="single" w:sz="4" w:space="0" w:color="auto"/>
                  </w:tcBorders>
                  <w:shd w:val="clear" w:color="auto" w:fill="auto"/>
                  <w:noWrap/>
                  <w:vAlign w:val="bottom"/>
                  <w:hideMark/>
                </w:tcPr>
                <w:p w14:paraId="1CEFCAB7" w14:textId="77777777" w:rsidR="00F577A8" w:rsidRPr="003B6B3A" w:rsidRDefault="00F577A8" w:rsidP="00F577A8">
                  <w:pPr>
                    <w:spacing w:after="0" w:line="240" w:lineRule="auto"/>
                    <w:rPr>
                      <w:rFonts w:ascii="Times New Roman" w:eastAsia="Times New Roman" w:hAnsi="Times New Roman" w:cs="Times New Roman"/>
                      <w:color w:val="000000"/>
                      <w:sz w:val="20"/>
                      <w:szCs w:val="20"/>
                      <w:lang w:eastAsia="sk-SK"/>
                    </w:rPr>
                  </w:pPr>
                  <w:r w:rsidRPr="003B6B3A">
                    <w:rPr>
                      <w:rFonts w:ascii="Times New Roman" w:eastAsia="Times New Roman" w:hAnsi="Times New Roman" w:cs="Times New Roman"/>
                      <w:color w:val="000000"/>
                      <w:sz w:val="20"/>
                      <w:szCs w:val="20"/>
                      <w:lang w:eastAsia="sk-SK"/>
                    </w:rPr>
                    <w:t xml:space="preserve">Skupiny opatrení v sektore spotrebiče: </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14:paraId="36409D88" w14:textId="77777777" w:rsidR="00F577A8" w:rsidRPr="003B6B3A" w:rsidRDefault="00F577A8" w:rsidP="00F577A8">
                  <w:pPr>
                    <w:spacing w:after="0" w:line="240" w:lineRule="auto"/>
                    <w:jc w:val="center"/>
                    <w:rPr>
                      <w:rFonts w:ascii="Times New Roman" w:eastAsia="Times New Roman" w:hAnsi="Times New Roman" w:cs="Times New Roman"/>
                      <w:color w:val="000000"/>
                      <w:sz w:val="20"/>
                      <w:szCs w:val="20"/>
                      <w:lang w:eastAsia="sk-SK"/>
                    </w:rPr>
                  </w:pPr>
                  <w:r w:rsidRPr="003B6B3A">
                    <w:rPr>
                      <w:rFonts w:ascii="Times New Roman" w:eastAsia="Times New Roman" w:hAnsi="Times New Roman" w:cs="Times New Roman"/>
                      <w:color w:val="000000"/>
                      <w:sz w:val="20"/>
                      <w:szCs w:val="20"/>
                      <w:lang w:eastAsia="sk-SK"/>
                    </w:rPr>
                    <w:t>Úspora [TJ]</w:t>
                  </w:r>
                </w:p>
              </w:tc>
            </w:tr>
            <w:tr w:rsidR="000B38DB" w:rsidRPr="003B6B3A" w14:paraId="130A5E65" w14:textId="77777777" w:rsidTr="00AF5415">
              <w:trPr>
                <w:trHeight w:val="493"/>
              </w:trPr>
              <w:tc>
                <w:tcPr>
                  <w:tcW w:w="500" w:type="dxa"/>
                  <w:tcBorders>
                    <w:top w:val="nil"/>
                    <w:left w:val="single" w:sz="4" w:space="0" w:color="auto"/>
                    <w:bottom w:val="single" w:sz="4" w:space="0" w:color="auto"/>
                    <w:right w:val="single" w:sz="4" w:space="0" w:color="auto"/>
                  </w:tcBorders>
                  <w:shd w:val="clear" w:color="000000" w:fill="FF7857"/>
                  <w:noWrap/>
                  <w:vAlign w:val="bottom"/>
                  <w:hideMark/>
                </w:tcPr>
                <w:p w14:paraId="526FAF00" w14:textId="77777777" w:rsidR="000B38DB" w:rsidRPr="004E746F" w:rsidRDefault="000B38DB" w:rsidP="000B38DB">
                  <w:pPr>
                    <w:spacing w:after="0" w:line="240" w:lineRule="auto"/>
                    <w:rPr>
                      <w:rFonts w:ascii="Times New Roman" w:eastAsia="Times New Roman" w:hAnsi="Times New Roman" w:cs="Times New Roman"/>
                      <w:color w:val="000000"/>
                      <w:sz w:val="20"/>
                      <w:szCs w:val="20"/>
                      <w:lang w:eastAsia="sk-SK"/>
                    </w:rPr>
                  </w:pPr>
                  <w:r w:rsidRPr="004E746F">
                    <w:rPr>
                      <w:rFonts w:ascii="Times New Roman" w:eastAsia="Times New Roman" w:hAnsi="Times New Roman" w:cs="Times New Roman"/>
                      <w:color w:val="000000"/>
                      <w:sz w:val="20"/>
                      <w:szCs w:val="20"/>
                      <w:lang w:eastAsia="sk-SK"/>
                    </w:rPr>
                    <w:t> </w:t>
                  </w:r>
                </w:p>
              </w:tc>
              <w:tc>
                <w:tcPr>
                  <w:tcW w:w="2902" w:type="dxa"/>
                  <w:tcBorders>
                    <w:top w:val="nil"/>
                    <w:left w:val="nil"/>
                    <w:bottom w:val="single" w:sz="4" w:space="0" w:color="auto"/>
                    <w:right w:val="single" w:sz="4" w:space="0" w:color="auto"/>
                  </w:tcBorders>
                  <w:shd w:val="clear" w:color="auto" w:fill="auto"/>
                  <w:vAlign w:val="center"/>
                  <w:hideMark/>
                </w:tcPr>
                <w:p w14:paraId="21997801" w14:textId="77777777" w:rsidR="000B38DB" w:rsidRPr="003B6B3A" w:rsidRDefault="000B38DB">
                  <w:pPr>
                    <w:spacing w:after="0" w:line="240" w:lineRule="auto"/>
                    <w:rPr>
                      <w:rFonts w:ascii="Times New Roman" w:eastAsia="Times New Roman" w:hAnsi="Times New Roman" w:cs="Times New Roman"/>
                      <w:color w:val="000000"/>
                      <w:sz w:val="20"/>
                      <w:szCs w:val="20"/>
                      <w:lang w:eastAsia="sk-SK"/>
                    </w:rPr>
                  </w:pPr>
                  <w:r w:rsidRPr="003B6B3A">
                    <w:rPr>
                      <w:rFonts w:ascii="Times New Roman" w:eastAsia="Times New Roman" w:hAnsi="Times New Roman" w:cs="Times New Roman"/>
                      <w:color w:val="000000"/>
                      <w:sz w:val="20"/>
                      <w:szCs w:val="20"/>
                      <w:lang w:eastAsia="sk-SK"/>
                    </w:rPr>
                    <w:t>Obmena bielej techniky</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D9283" w14:textId="2CA15194" w:rsidR="000B38DB" w:rsidRPr="000B38DB" w:rsidRDefault="000B38DB">
                  <w:pPr>
                    <w:spacing w:after="0" w:line="240" w:lineRule="auto"/>
                    <w:jc w:val="right"/>
                    <w:rPr>
                      <w:rFonts w:ascii="Times New Roman" w:eastAsia="Times New Roman" w:hAnsi="Times New Roman" w:cs="Times New Roman"/>
                      <w:color w:val="000000"/>
                      <w:sz w:val="20"/>
                      <w:szCs w:val="20"/>
                      <w:lang w:eastAsia="sk-SK"/>
                    </w:rPr>
                  </w:pPr>
                  <w:r w:rsidRPr="00AF5415">
                    <w:rPr>
                      <w:rFonts w:ascii="Times New Roman" w:hAnsi="Times New Roman" w:cs="Times New Roman"/>
                      <w:color w:val="000000"/>
                      <w:sz w:val="20"/>
                      <w:szCs w:val="20"/>
                    </w:rPr>
                    <w:t>497,44</w:t>
                  </w:r>
                </w:p>
              </w:tc>
            </w:tr>
            <w:tr w:rsidR="000B38DB" w:rsidRPr="003B6B3A" w14:paraId="1F043042" w14:textId="77777777" w:rsidTr="00AF5415">
              <w:trPr>
                <w:trHeight w:val="484"/>
              </w:trPr>
              <w:tc>
                <w:tcPr>
                  <w:tcW w:w="500" w:type="dxa"/>
                  <w:tcBorders>
                    <w:top w:val="nil"/>
                    <w:left w:val="single" w:sz="4" w:space="0" w:color="auto"/>
                    <w:bottom w:val="single" w:sz="4" w:space="0" w:color="auto"/>
                    <w:right w:val="single" w:sz="4" w:space="0" w:color="auto"/>
                  </w:tcBorders>
                  <w:shd w:val="clear" w:color="000000" w:fill="FF9933"/>
                  <w:noWrap/>
                  <w:vAlign w:val="bottom"/>
                  <w:hideMark/>
                </w:tcPr>
                <w:p w14:paraId="0FD40204" w14:textId="77777777" w:rsidR="000B38DB" w:rsidRPr="004E746F" w:rsidRDefault="000B38DB" w:rsidP="000B38DB">
                  <w:pPr>
                    <w:spacing w:after="0" w:line="240" w:lineRule="auto"/>
                    <w:rPr>
                      <w:rFonts w:ascii="Times New Roman" w:eastAsia="Times New Roman" w:hAnsi="Times New Roman" w:cs="Times New Roman"/>
                      <w:color w:val="000000"/>
                      <w:sz w:val="20"/>
                      <w:szCs w:val="20"/>
                      <w:lang w:eastAsia="sk-SK"/>
                    </w:rPr>
                  </w:pPr>
                  <w:r w:rsidRPr="004E746F">
                    <w:rPr>
                      <w:rFonts w:ascii="Times New Roman" w:eastAsia="Times New Roman" w:hAnsi="Times New Roman" w:cs="Times New Roman"/>
                      <w:color w:val="000000"/>
                      <w:sz w:val="20"/>
                      <w:szCs w:val="20"/>
                      <w:lang w:eastAsia="sk-SK"/>
                    </w:rPr>
                    <w:t> </w:t>
                  </w:r>
                </w:p>
              </w:tc>
              <w:tc>
                <w:tcPr>
                  <w:tcW w:w="2902" w:type="dxa"/>
                  <w:tcBorders>
                    <w:top w:val="nil"/>
                    <w:left w:val="nil"/>
                    <w:bottom w:val="single" w:sz="4" w:space="0" w:color="auto"/>
                    <w:right w:val="single" w:sz="4" w:space="0" w:color="auto"/>
                  </w:tcBorders>
                  <w:shd w:val="clear" w:color="auto" w:fill="auto"/>
                  <w:vAlign w:val="center"/>
                  <w:hideMark/>
                </w:tcPr>
                <w:p w14:paraId="535E0534" w14:textId="77777777" w:rsidR="000B38DB" w:rsidRPr="003B6B3A" w:rsidRDefault="000B38DB">
                  <w:pPr>
                    <w:spacing w:after="0" w:line="240" w:lineRule="auto"/>
                    <w:rPr>
                      <w:rFonts w:ascii="Times New Roman" w:eastAsia="Times New Roman" w:hAnsi="Times New Roman" w:cs="Times New Roman"/>
                      <w:color w:val="000000"/>
                      <w:sz w:val="20"/>
                      <w:szCs w:val="20"/>
                      <w:lang w:eastAsia="sk-SK"/>
                    </w:rPr>
                  </w:pPr>
                  <w:r w:rsidRPr="003B6B3A">
                    <w:rPr>
                      <w:rFonts w:ascii="Times New Roman" w:eastAsia="Times New Roman" w:hAnsi="Times New Roman" w:cs="Times New Roman"/>
                      <w:color w:val="000000"/>
                      <w:sz w:val="20"/>
                      <w:szCs w:val="20"/>
                      <w:lang w:eastAsia="sk-SK"/>
                    </w:rPr>
                    <w:t>Úsporné osvetlenie</w:t>
                  </w:r>
                </w:p>
              </w:tc>
              <w:tc>
                <w:tcPr>
                  <w:tcW w:w="798" w:type="dxa"/>
                  <w:tcBorders>
                    <w:top w:val="nil"/>
                    <w:left w:val="single" w:sz="4" w:space="0" w:color="auto"/>
                    <w:bottom w:val="single" w:sz="4" w:space="0" w:color="auto"/>
                    <w:right w:val="single" w:sz="4" w:space="0" w:color="auto"/>
                  </w:tcBorders>
                  <w:shd w:val="clear" w:color="auto" w:fill="auto"/>
                  <w:noWrap/>
                  <w:vAlign w:val="center"/>
                </w:tcPr>
                <w:p w14:paraId="58FA8D1B" w14:textId="2280B966" w:rsidR="000B38DB" w:rsidRPr="000B38DB" w:rsidRDefault="000B38DB">
                  <w:pPr>
                    <w:spacing w:after="0" w:line="240" w:lineRule="auto"/>
                    <w:jc w:val="right"/>
                    <w:rPr>
                      <w:rFonts w:ascii="Times New Roman" w:eastAsia="Times New Roman" w:hAnsi="Times New Roman" w:cs="Times New Roman"/>
                      <w:color w:val="000000"/>
                      <w:sz w:val="20"/>
                      <w:szCs w:val="20"/>
                      <w:lang w:eastAsia="sk-SK"/>
                    </w:rPr>
                  </w:pPr>
                  <w:r w:rsidRPr="00AF5415">
                    <w:rPr>
                      <w:rFonts w:ascii="Times New Roman" w:hAnsi="Times New Roman" w:cs="Times New Roman"/>
                      <w:color w:val="000000"/>
                      <w:sz w:val="20"/>
                      <w:szCs w:val="20"/>
                    </w:rPr>
                    <w:t>72,33</w:t>
                  </w:r>
                </w:p>
              </w:tc>
            </w:tr>
            <w:tr w:rsidR="000B38DB" w:rsidRPr="003B6B3A" w14:paraId="686BD1EF" w14:textId="77777777" w:rsidTr="00AF5415">
              <w:trPr>
                <w:trHeight w:val="426"/>
              </w:trPr>
              <w:tc>
                <w:tcPr>
                  <w:tcW w:w="500" w:type="dxa"/>
                  <w:tcBorders>
                    <w:top w:val="nil"/>
                    <w:left w:val="single" w:sz="4" w:space="0" w:color="auto"/>
                    <w:bottom w:val="single" w:sz="4" w:space="0" w:color="auto"/>
                    <w:right w:val="single" w:sz="4" w:space="0" w:color="auto"/>
                  </w:tcBorders>
                  <w:shd w:val="clear" w:color="000000" w:fill="FFCC00"/>
                  <w:noWrap/>
                  <w:vAlign w:val="bottom"/>
                  <w:hideMark/>
                </w:tcPr>
                <w:p w14:paraId="7EBC1995" w14:textId="77777777" w:rsidR="000B38DB" w:rsidRPr="004E746F" w:rsidRDefault="000B38DB" w:rsidP="000B38DB">
                  <w:pPr>
                    <w:spacing w:after="0" w:line="240" w:lineRule="auto"/>
                    <w:rPr>
                      <w:rFonts w:ascii="Times New Roman" w:eastAsia="Times New Roman" w:hAnsi="Times New Roman" w:cs="Times New Roman"/>
                      <w:color w:val="000000"/>
                      <w:sz w:val="20"/>
                      <w:szCs w:val="20"/>
                      <w:lang w:eastAsia="sk-SK"/>
                    </w:rPr>
                  </w:pPr>
                  <w:r w:rsidRPr="004E746F">
                    <w:rPr>
                      <w:rFonts w:ascii="Times New Roman" w:eastAsia="Times New Roman" w:hAnsi="Times New Roman" w:cs="Times New Roman"/>
                      <w:color w:val="000000"/>
                      <w:sz w:val="20"/>
                      <w:szCs w:val="20"/>
                      <w:lang w:eastAsia="sk-SK"/>
                    </w:rPr>
                    <w:t> </w:t>
                  </w:r>
                </w:p>
              </w:tc>
              <w:tc>
                <w:tcPr>
                  <w:tcW w:w="2902" w:type="dxa"/>
                  <w:tcBorders>
                    <w:top w:val="nil"/>
                    <w:left w:val="nil"/>
                    <w:bottom w:val="single" w:sz="4" w:space="0" w:color="auto"/>
                    <w:right w:val="single" w:sz="4" w:space="0" w:color="auto"/>
                  </w:tcBorders>
                  <w:shd w:val="clear" w:color="auto" w:fill="auto"/>
                  <w:vAlign w:val="center"/>
                  <w:hideMark/>
                </w:tcPr>
                <w:p w14:paraId="112E5F85" w14:textId="77777777" w:rsidR="000B38DB" w:rsidRPr="003B6B3A" w:rsidRDefault="000B38DB">
                  <w:pPr>
                    <w:spacing w:after="0" w:line="240" w:lineRule="auto"/>
                    <w:rPr>
                      <w:rFonts w:ascii="Times New Roman" w:eastAsia="Times New Roman" w:hAnsi="Times New Roman" w:cs="Times New Roman"/>
                      <w:color w:val="000000"/>
                      <w:sz w:val="20"/>
                      <w:szCs w:val="20"/>
                      <w:lang w:eastAsia="sk-SK"/>
                    </w:rPr>
                  </w:pPr>
                  <w:r w:rsidRPr="003B6B3A">
                    <w:rPr>
                      <w:rFonts w:ascii="Times New Roman" w:eastAsia="Times New Roman" w:hAnsi="Times New Roman" w:cs="Times New Roman"/>
                      <w:color w:val="000000"/>
                      <w:sz w:val="20"/>
                      <w:szCs w:val="20"/>
                      <w:lang w:eastAsia="sk-SK"/>
                    </w:rPr>
                    <w:t>Obmena zariadení v domácnostiach a kanceláriách</w:t>
                  </w:r>
                </w:p>
              </w:tc>
              <w:tc>
                <w:tcPr>
                  <w:tcW w:w="798" w:type="dxa"/>
                  <w:tcBorders>
                    <w:top w:val="nil"/>
                    <w:left w:val="single" w:sz="4" w:space="0" w:color="auto"/>
                    <w:bottom w:val="single" w:sz="4" w:space="0" w:color="auto"/>
                    <w:right w:val="single" w:sz="4" w:space="0" w:color="auto"/>
                  </w:tcBorders>
                  <w:shd w:val="clear" w:color="auto" w:fill="auto"/>
                  <w:noWrap/>
                  <w:vAlign w:val="center"/>
                </w:tcPr>
                <w:p w14:paraId="3B13247E" w14:textId="24076244" w:rsidR="000B38DB" w:rsidRPr="000B38DB" w:rsidRDefault="000B38DB">
                  <w:pPr>
                    <w:spacing w:after="0" w:line="240" w:lineRule="auto"/>
                    <w:jc w:val="right"/>
                    <w:rPr>
                      <w:rFonts w:ascii="Times New Roman" w:eastAsia="Times New Roman" w:hAnsi="Times New Roman" w:cs="Times New Roman"/>
                      <w:color w:val="000000"/>
                      <w:sz w:val="20"/>
                      <w:szCs w:val="20"/>
                      <w:lang w:eastAsia="sk-SK"/>
                    </w:rPr>
                  </w:pPr>
                  <w:r w:rsidRPr="00AF5415">
                    <w:rPr>
                      <w:rFonts w:ascii="Times New Roman" w:hAnsi="Times New Roman" w:cs="Times New Roman"/>
                      <w:color w:val="000000"/>
                      <w:sz w:val="20"/>
                      <w:szCs w:val="20"/>
                    </w:rPr>
                    <w:t>0,00</w:t>
                  </w:r>
                </w:p>
              </w:tc>
            </w:tr>
            <w:tr w:rsidR="000B38DB" w:rsidRPr="003B6B3A" w14:paraId="087B0D51" w14:textId="77777777" w:rsidTr="00AF5415">
              <w:trPr>
                <w:trHeight w:val="357"/>
              </w:trPr>
              <w:tc>
                <w:tcPr>
                  <w:tcW w:w="500" w:type="dxa"/>
                  <w:tcBorders>
                    <w:top w:val="nil"/>
                    <w:left w:val="nil"/>
                    <w:bottom w:val="nil"/>
                    <w:right w:val="nil"/>
                  </w:tcBorders>
                  <w:shd w:val="clear" w:color="auto" w:fill="auto"/>
                  <w:noWrap/>
                  <w:vAlign w:val="bottom"/>
                  <w:hideMark/>
                </w:tcPr>
                <w:p w14:paraId="0B61A7B4" w14:textId="77777777" w:rsidR="000B38DB" w:rsidRPr="003B6B3A" w:rsidRDefault="000B38DB" w:rsidP="000B38DB">
                  <w:pPr>
                    <w:spacing w:after="0" w:line="240" w:lineRule="auto"/>
                    <w:jc w:val="right"/>
                    <w:rPr>
                      <w:rFonts w:ascii="Times New Roman" w:eastAsia="Times New Roman" w:hAnsi="Times New Roman" w:cs="Times New Roman"/>
                      <w:color w:val="000000"/>
                      <w:sz w:val="20"/>
                      <w:szCs w:val="20"/>
                      <w:lang w:eastAsia="sk-SK"/>
                    </w:rPr>
                  </w:pPr>
                </w:p>
              </w:tc>
              <w:tc>
                <w:tcPr>
                  <w:tcW w:w="2902" w:type="dxa"/>
                  <w:tcBorders>
                    <w:top w:val="nil"/>
                    <w:left w:val="single" w:sz="4" w:space="0" w:color="auto"/>
                    <w:bottom w:val="single" w:sz="4" w:space="0" w:color="auto"/>
                    <w:right w:val="single" w:sz="4" w:space="0" w:color="auto"/>
                  </w:tcBorders>
                  <w:shd w:val="clear" w:color="auto" w:fill="auto"/>
                  <w:vAlign w:val="center"/>
                  <w:hideMark/>
                </w:tcPr>
                <w:p w14:paraId="3C6B4AC1" w14:textId="77777777" w:rsidR="000B38DB" w:rsidRPr="003B6B3A" w:rsidRDefault="000B38DB">
                  <w:pPr>
                    <w:spacing w:after="0" w:line="240" w:lineRule="auto"/>
                    <w:rPr>
                      <w:rFonts w:ascii="Times New Roman" w:eastAsia="Times New Roman" w:hAnsi="Times New Roman" w:cs="Times New Roman"/>
                      <w:b/>
                      <w:color w:val="000000"/>
                      <w:sz w:val="20"/>
                      <w:szCs w:val="20"/>
                      <w:lang w:eastAsia="sk-SK"/>
                    </w:rPr>
                  </w:pPr>
                  <w:r w:rsidRPr="003B6B3A">
                    <w:rPr>
                      <w:rFonts w:ascii="Times New Roman" w:eastAsia="Times New Roman" w:hAnsi="Times New Roman" w:cs="Times New Roman"/>
                      <w:b/>
                      <w:color w:val="000000"/>
                      <w:sz w:val="20"/>
                      <w:szCs w:val="20"/>
                      <w:lang w:eastAsia="sk-SK"/>
                    </w:rPr>
                    <w:t>Spolu:</w:t>
                  </w:r>
                </w:p>
              </w:tc>
              <w:tc>
                <w:tcPr>
                  <w:tcW w:w="798" w:type="dxa"/>
                  <w:tcBorders>
                    <w:top w:val="nil"/>
                    <w:left w:val="single" w:sz="4" w:space="0" w:color="auto"/>
                    <w:bottom w:val="single" w:sz="4" w:space="0" w:color="auto"/>
                    <w:right w:val="single" w:sz="4" w:space="0" w:color="auto"/>
                  </w:tcBorders>
                  <w:shd w:val="clear" w:color="auto" w:fill="auto"/>
                  <w:noWrap/>
                  <w:vAlign w:val="center"/>
                </w:tcPr>
                <w:p w14:paraId="7B1FA7F3" w14:textId="42884910" w:rsidR="000B38DB" w:rsidRPr="000B38DB" w:rsidRDefault="000B38DB">
                  <w:pPr>
                    <w:spacing w:after="0" w:line="240" w:lineRule="auto"/>
                    <w:jc w:val="right"/>
                    <w:rPr>
                      <w:rFonts w:ascii="Times New Roman" w:eastAsia="Times New Roman" w:hAnsi="Times New Roman" w:cs="Times New Roman"/>
                      <w:b/>
                      <w:bCs/>
                      <w:color w:val="000000"/>
                      <w:sz w:val="20"/>
                      <w:szCs w:val="20"/>
                      <w:lang w:eastAsia="sk-SK"/>
                    </w:rPr>
                  </w:pPr>
                  <w:r w:rsidRPr="00AF5415">
                    <w:rPr>
                      <w:rFonts w:ascii="Times New Roman" w:hAnsi="Times New Roman" w:cs="Times New Roman"/>
                      <w:b/>
                      <w:bCs/>
                      <w:color w:val="000000"/>
                      <w:sz w:val="20"/>
                      <w:szCs w:val="20"/>
                    </w:rPr>
                    <w:t>569,77</w:t>
                  </w:r>
                </w:p>
              </w:tc>
            </w:tr>
          </w:tbl>
          <w:p w14:paraId="1B5C4A5F" w14:textId="77777777" w:rsidR="00FC5292" w:rsidRPr="009F2998" w:rsidRDefault="00FC5292" w:rsidP="007329CB">
            <w:pPr>
              <w:jc w:val="both"/>
              <w:rPr>
                <w:rFonts w:ascii="Times New Roman" w:hAnsi="Times New Roman" w:cs="Times New Roman"/>
              </w:rPr>
            </w:pPr>
          </w:p>
        </w:tc>
      </w:tr>
    </w:tbl>
    <w:p w14:paraId="37A5CDD4" w14:textId="77777777" w:rsidR="00647C09" w:rsidRPr="009F2998" w:rsidRDefault="00647C09" w:rsidP="00793FF4">
      <w:pPr>
        <w:jc w:val="center"/>
        <w:rPr>
          <w:rFonts w:ascii="Times New Roman" w:hAnsi="Times New Roman" w:cs="Times New Roman"/>
        </w:rPr>
      </w:pPr>
    </w:p>
    <w:p w14:paraId="5DB3EE5E" w14:textId="7C241A58" w:rsidR="005B589E" w:rsidRPr="000745A8" w:rsidRDefault="00647C09" w:rsidP="00647C09">
      <w:pPr>
        <w:jc w:val="both"/>
        <w:rPr>
          <w:rFonts w:ascii="Times New Roman" w:hAnsi="Times New Roman" w:cs="Times New Roman"/>
          <w:sz w:val="24"/>
          <w:szCs w:val="24"/>
        </w:rPr>
      </w:pPr>
      <w:r w:rsidRPr="000745A8">
        <w:rPr>
          <w:rFonts w:ascii="Times New Roman" w:hAnsi="Times New Roman" w:cs="Times New Roman"/>
          <w:sz w:val="24"/>
          <w:szCs w:val="24"/>
        </w:rPr>
        <w:t xml:space="preserve">Obmena elektrických a elektronických zariadení v domácnostiach nezahŕňa úsporné svietidlá ani bielu techniku. V období po roku 2014 sa stalo trendom vymieňať klasické (stacionárne) PC </w:t>
      </w:r>
      <w:r w:rsidR="00087249" w:rsidRPr="000745A8">
        <w:rPr>
          <w:rFonts w:ascii="Times New Roman" w:hAnsi="Times New Roman" w:cs="Times New Roman"/>
          <w:sz w:val="24"/>
          <w:szCs w:val="24"/>
        </w:rPr>
        <w:t>s</w:t>
      </w:r>
      <w:r w:rsidRPr="000745A8">
        <w:rPr>
          <w:rFonts w:ascii="Times New Roman" w:hAnsi="Times New Roman" w:cs="Times New Roman"/>
          <w:sz w:val="24"/>
          <w:szCs w:val="24"/>
        </w:rPr>
        <w:t xml:space="preserve"> výkonmi zdrojov zvyčajne 350-650 Watt za notebooky s výkonmi adaptérov 50-100 Watt. Nastal výrazne vyšší predaj mobilných počítačov (notebooky, ultrabooky, tablety a pod.) ako dovtedy a zároveň nižší predaj klasických PC. Výnimkou zostali iba hráčske PC s vysokými grafickými parametrami. </w:t>
      </w:r>
      <w:r w:rsidR="00FD714A" w:rsidRPr="000745A8">
        <w:rPr>
          <w:rFonts w:ascii="Times New Roman" w:hAnsi="Times New Roman" w:cs="Times New Roman"/>
          <w:sz w:val="24"/>
          <w:szCs w:val="24"/>
        </w:rPr>
        <w:t>V</w:t>
      </w:r>
      <w:r w:rsidRPr="000745A8">
        <w:rPr>
          <w:rFonts w:ascii="Times New Roman" w:hAnsi="Times New Roman" w:cs="Times New Roman"/>
          <w:sz w:val="24"/>
          <w:szCs w:val="24"/>
        </w:rPr>
        <w:t xml:space="preserve"> období od roku 2014 do roku 2016 </w:t>
      </w:r>
      <w:r w:rsidR="00FD714A" w:rsidRPr="000745A8">
        <w:rPr>
          <w:rFonts w:ascii="Times New Roman" w:hAnsi="Times New Roman" w:cs="Times New Roman"/>
          <w:sz w:val="24"/>
          <w:szCs w:val="24"/>
        </w:rPr>
        <w:t xml:space="preserve">však </w:t>
      </w:r>
      <w:r w:rsidRPr="000745A8">
        <w:rPr>
          <w:rFonts w:ascii="Times New Roman" w:hAnsi="Times New Roman" w:cs="Times New Roman"/>
          <w:sz w:val="24"/>
          <w:szCs w:val="24"/>
        </w:rPr>
        <w:t xml:space="preserve">neboli dostupné dostatočné údaje pre vyhodnotenie úspor obmenou </w:t>
      </w:r>
      <w:r w:rsidR="00FD714A" w:rsidRPr="000745A8">
        <w:rPr>
          <w:rFonts w:ascii="Times New Roman" w:hAnsi="Times New Roman" w:cs="Times New Roman"/>
          <w:sz w:val="24"/>
          <w:szCs w:val="24"/>
        </w:rPr>
        <w:t xml:space="preserve">uvedených </w:t>
      </w:r>
      <w:r w:rsidRPr="000745A8">
        <w:rPr>
          <w:rFonts w:ascii="Times New Roman" w:hAnsi="Times New Roman" w:cs="Times New Roman"/>
          <w:sz w:val="24"/>
          <w:szCs w:val="24"/>
        </w:rPr>
        <w:t xml:space="preserve">zariadení.  </w:t>
      </w:r>
    </w:p>
    <w:p w14:paraId="45404CA0" w14:textId="4C75F59F" w:rsidR="0070005B" w:rsidRDefault="005B589E" w:rsidP="000578FE">
      <w:pPr>
        <w:jc w:val="both"/>
        <w:rPr>
          <w:rFonts w:ascii="Times New Roman" w:hAnsi="Times New Roman" w:cs="Times New Roman"/>
          <w:sz w:val="24"/>
          <w:szCs w:val="24"/>
        </w:rPr>
      </w:pPr>
      <w:r w:rsidRPr="000745A8">
        <w:rPr>
          <w:rFonts w:ascii="Times New Roman" w:hAnsi="Times New Roman" w:cs="Times New Roman"/>
          <w:sz w:val="24"/>
          <w:szCs w:val="24"/>
        </w:rPr>
        <w:t xml:space="preserve">Obmenu kancelárskych zariadení nebolo možné v sledovanom období monitorovať. Napriek zavedeniu štatútu tzv. Zeleného </w:t>
      </w:r>
      <w:r w:rsidR="00FD714A" w:rsidRPr="000745A8">
        <w:rPr>
          <w:rFonts w:ascii="Times New Roman" w:hAnsi="Times New Roman" w:cs="Times New Roman"/>
          <w:sz w:val="24"/>
          <w:szCs w:val="24"/>
        </w:rPr>
        <w:t xml:space="preserve">verejného </w:t>
      </w:r>
      <w:r w:rsidRPr="000745A8">
        <w:rPr>
          <w:rFonts w:ascii="Times New Roman" w:hAnsi="Times New Roman" w:cs="Times New Roman"/>
          <w:sz w:val="24"/>
          <w:szCs w:val="24"/>
        </w:rPr>
        <w:t>obstarávania nebolo možné vyčísliť úsporu konečnej energetickej s</w:t>
      </w:r>
      <w:r w:rsidR="00160590" w:rsidRPr="000745A8">
        <w:rPr>
          <w:rFonts w:ascii="Times New Roman" w:hAnsi="Times New Roman" w:cs="Times New Roman"/>
          <w:sz w:val="24"/>
          <w:szCs w:val="24"/>
        </w:rPr>
        <w:t>potreby. Údaje poskytnuté</w:t>
      </w:r>
      <w:r w:rsidRPr="000745A8">
        <w:rPr>
          <w:rFonts w:ascii="Times New Roman" w:hAnsi="Times New Roman" w:cs="Times New Roman"/>
          <w:sz w:val="24"/>
          <w:szCs w:val="24"/>
        </w:rPr>
        <w:t xml:space="preserve"> </w:t>
      </w:r>
      <w:r w:rsidR="00BF12F6" w:rsidRPr="00BF12F6">
        <w:rPr>
          <w:rFonts w:ascii="Times New Roman" w:hAnsi="Times New Roman" w:cs="Times New Roman"/>
          <w:sz w:val="24"/>
          <w:szCs w:val="24"/>
        </w:rPr>
        <w:t xml:space="preserve">Slovenskou agentúrou životného prostredia </w:t>
      </w:r>
      <w:r w:rsidR="00BF12F6">
        <w:rPr>
          <w:rFonts w:ascii="Times New Roman" w:hAnsi="Times New Roman" w:cs="Times New Roman"/>
          <w:sz w:val="24"/>
          <w:szCs w:val="24"/>
        </w:rPr>
        <w:t>(</w:t>
      </w:r>
      <w:r w:rsidR="00160590" w:rsidRPr="000745A8">
        <w:rPr>
          <w:rFonts w:ascii="Times New Roman" w:hAnsi="Times New Roman" w:cs="Times New Roman"/>
          <w:sz w:val="24"/>
          <w:szCs w:val="24"/>
        </w:rPr>
        <w:t>SAŽP</w:t>
      </w:r>
      <w:r w:rsidR="00BF12F6">
        <w:rPr>
          <w:rFonts w:ascii="Times New Roman" w:hAnsi="Times New Roman" w:cs="Times New Roman"/>
          <w:sz w:val="24"/>
          <w:szCs w:val="24"/>
        </w:rPr>
        <w:t xml:space="preserve">) </w:t>
      </w:r>
      <w:r w:rsidRPr="000745A8">
        <w:rPr>
          <w:rFonts w:ascii="Times New Roman" w:hAnsi="Times New Roman" w:cs="Times New Roman"/>
          <w:sz w:val="24"/>
          <w:szCs w:val="24"/>
        </w:rPr>
        <w:t xml:space="preserve">neobsahujú relevantné hodnoty úspor. </w:t>
      </w:r>
      <w:r w:rsidR="0057589A" w:rsidRPr="000745A8">
        <w:rPr>
          <w:rFonts w:ascii="Times New Roman" w:hAnsi="Times New Roman" w:cs="Times New Roman"/>
          <w:sz w:val="24"/>
          <w:szCs w:val="24"/>
        </w:rPr>
        <w:t>Ďalším</w:t>
      </w:r>
      <w:r w:rsidRPr="000745A8">
        <w:rPr>
          <w:rFonts w:ascii="Times New Roman" w:hAnsi="Times New Roman" w:cs="Times New Roman"/>
          <w:sz w:val="24"/>
          <w:szCs w:val="24"/>
        </w:rPr>
        <w:t xml:space="preserve"> faktom zostáva, že povinnosť poskytnutia údajov</w:t>
      </w:r>
      <w:r w:rsidR="005E0010" w:rsidRPr="000745A8">
        <w:rPr>
          <w:rFonts w:ascii="Times New Roman" w:hAnsi="Times New Roman" w:cs="Times New Roman"/>
          <w:sz w:val="24"/>
          <w:szCs w:val="24"/>
        </w:rPr>
        <w:t xml:space="preserve">, ktorá vyplýva rezortom z uznesenia vlády č. </w:t>
      </w:r>
      <w:r w:rsidR="008C65CB" w:rsidRPr="000745A8">
        <w:rPr>
          <w:rFonts w:ascii="Times New Roman" w:hAnsi="Times New Roman" w:cs="Times New Roman"/>
          <w:sz w:val="24"/>
          <w:szCs w:val="24"/>
        </w:rPr>
        <w:t>398/2014</w:t>
      </w:r>
      <w:r w:rsidR="005E0010" w:rsidRPr="000745A8">
        <w:rPr>
          <w:rFonts w:ascii="Times New Roman" w:hAnsi="Times New Roman" w:cs="Times New Roman"/>
          <w:sz w:val="24"/>
          <w:szCs w:val="24"/>
        </w:rPr>
        <w:t xml:space="preserve"> k zákonu č.</w:t>
      </w:r>
      <w:r w:rsidR="00DE2381" w:rsidRPr="000745A8">
        <w:rPr>
          <w:rFonts w:ascii="Times New Roman" w:hAnsi="Times New Roman" w:cs="Times New Roman"/>
          <w:sz w:val="24"/>
          <w:szCs w:val="24"/>
        </w:rPr>
        <w:t> </w:t>
      </w:r>
      <w:r w:rsidR="005E0010" w:rsidRPr="000745A8">
        <w:rPr>
          <w:rFonts w:ascii="Times New Roman" w:hAnsi="Times New Roman" w:cs="Times New Roman"/>
          <w:sz w:val="24"/>
          <w:szCs w:val="24"/>
        </w:rPr>
        <w:t xml:space="preserve">321/2014 Z. z., platí </w:t>
      </w:r>
      <w:r w:rsidRPr="000745A8">
        <w:rPr>
          <w:rFonts w:ascii="Times New Roman" w:hAnsi="Times New Roman" w:cs="Times New Roman"/>
          <w:sz w:val="24"/>
          <w:szCs w:val="24"/>
        </w:rPr>
        <w:t>len v prípade nadlimitného obstarávania. N</w:t>
      </w:r>
      <w:r w:rsidR="0057589A" w:rsidRPr="000745A8">
        <w:rPr>
          <w:rFonts w:ascii="Times New Roman" w:hAnsi="Times New Roman" w:cs="Times New Roman"/>
          <w:sz w:val="24"/>
          <w:szCs w:val="24"/>
        </w:rPr>
        <w:t>á</w:t>
      </w:r>
      <w:r w:rsidRPr="000745A8">
        <w:rPr>
          <w:rFonts w:ascii="Times New Roman" w:hAnsi="Times New Roman" w:cs="Times New Roman"/>
          <w:sz w:val="24"/>
          <w:szCs w:val="24"/>
        </w:rPr>
        <w:t>kup kancelárskej techniky je v praxi spravidla podlimitné obstarávanie, teda väčšina nákupov kancelárskych zariadení nespadá do mechanizmu poskytovania údajov</w:t>
      </w:r>
      <w:r w:rsidR="0057589A" w:rsidRPr="000745A8">
        <w:rPr>
          <w:rFonts w:ascii="Times New Roman" w:hAnsi="Times New Roman" w:cs="Times New Roman"/>
          <w:sz w:val="24"/>
          <w:szCs w:val="24"/>
        </w:rPr>
        <w:t xml:space="preserve"> o zelenom </w:t>
      </w:r>
      <w:r w:rsidR="00FD714A" w:rsidRPr="000745A8">
        <w:rPr>
          <w:rFonts w:ascii="Times New Roman" w:hAnsi="Times New Roman" w:cs="Times New Roman"/>
          <w:sz w:val="24"/>
          <w:szCs w:val="24"/>
        </w:rPr>
        <w:t xml:space="preserve">verejnom </w:t>
      </w:r>
      <w:r w:rsidR="0057589A" w:rsidRPr="000745A8">
        <w:rPr>
          <w:rFonts w:ascii="Times New Roman" w:hAnsi="Times New Roman" w:cs="Times New Roman"/>
          <w:sz w:val="24"/>
          <w:szCs w:val="24"/>
        </w:rPr>
        <w:t xml:space="preserve">obstarávaní. </w:t>
      </w:r>
    </w:p>
    <w:p w14:paraId="0264DDC8" w14:textId="585164AF" w:rsidR="00CB1B49" w:rsidRDefault="00CB1B49">
      <w:pPr>
        <w:rPr>
          <w:rFonts w:ascii="Times New Roman" w:hAnsi="Times New Roman" w:cs="Times New Roman"/>
          <w:sz w:val="24"/>
          <w:szCs w:val="24"/>
        </w:rPr>
      </w:pPr>
      <w:r>
        <w:rPr>
          <w:rFonts w:ascii="Times New Roman" w:hAnsi="Times New Roman" w:cs="Times New Roman"/>
          <w:sz w:val="24"/>
          <w:szCs w:val="24"/>
        </w:rPr>
        <w:br w:type="page"/>
      </w:r>
    </w:p>
    <w:p w14:paraId="7FEFAF04" w14:textId="77777777" w:rsidR="0070005B" w:rsidRPr="000578FE" w:rsidRDefault="0070005B" w:rsidP="00AF5415">
      <w:pPr>
        <w:pStyle w:val="Nadpis2"/>
        <w:numPr>
          <w:ilvl w:val="1"/>
          <w:numId w:val="32"/>
        </w:numPr>
        <w:rPr>
          <w:rFonts w:ascii="Times New Roman" w:hAnsi="Times New Roman" w:cs="Times New Roman"/>
          <w:color w:val="auto"/>
        </w:rPr>
      </w:pPr>
      <w:bookmarkStart w:id="50" w:name="_Toc477345352"/>
      <w:r w:rsidRPr="000578FE">
        <w:rPr>
          <w:rFonts w:ascii="Times New Roman" w:hAnsi="Times New Roman" w:cs="Times New Roman"/>
          <w:color w:val="auto"/>
        </w:rPr>
        <w:lastRenderedPageBreak/>
        <w:t>Opatrenia na strane premeny, prenosu a distribúcie energie</w:t>
      </w:r>
      <w:bookmarkEnd w:id="50"/>
    </w:p>
    <w:p w14:paraId="291A1847" w14:textId="77777777" w:rsidR="0070005B" w:rsidRPr="009F2998" w:rsidRDefault="0070005B" w:rsidP="0070005B">
      <w:pPr>
        <w:jc w:val="both"/>
        <w:rPr>
          <w:rFonts w:ascii="Times New Roman" w:hAnsi="Times New Roman" w:cs="Times New Roman"/>
        </w:rPr>
      </w:pPr>
    </w:p>
    <w:p w14:paraId="19E67BE1" w14:textId="77777777" w:rsidR="00EA4F55" w:rsidRDefault="0070005B" w:rsidP="00FB5BD5">
      <w:pPr>
        <w:jc w:val="both"/>
        <w:rPr>
          <w:rFonts w:ascii="Times New Roman" w:hAnsi="Times New Roman" w:cs="Times New Roman"/>
          <w:sz w:val="24"/>
          <w:szCs w:val="24"/>
        </w:rPr>
      </w:pPr>
      <w:r w:rsidRPr="000745A8">
        <w:rPr>
          <w:rFonts w:ascii="Times New Roman" w:hAnsi="Times New Roman" w:cs="Times New Roman"/>
          <w:sz w:val="24"/>
          <w:szCs w:val="24"/>
        </w:rPr>
        <w:t>K úsporám energie prispeli opatrenia financované z OP KaHR, ktoré čiastočne modifikované pokračujú v novom programovom období 2014-2020 v OP KŽP a sú zamerané na výstavbu, rekonštrukciu a modernizáciu rozvodov tepla ako aj na výstavbu, rekonštrukciu a modernizáciu zariadení na výrobu elektriny a tepla vysoko účinnou kombinovanou výrobou s maximálnym tepelným príkonom do 20 MW. Cieľom bolo prispôsobiť výrobu a dodávku tepla potrebe využiteľného tepla, ktorá sa v dôsledku postupnej realizácie opatrení na úsporu energie na strane spotreby postupne znižuje. Optimalizáciou výroby, distribúcie a spotreby tepla s dôrazom na využívanie vysoko účinnej kombinovanej výroby elektriny a tepla je možné prispieť k zníženiu primárnych energetických zdrojov a rozvoju účinných systémov CZT.</w:t>
      </w:r>
      <w:r w:rsidR="00EA4F55">
        <w:rPr>
          <w:rFonts w:ascii="Times New Roman" w:hAnsi="Times New Roman" w:cs="Times New Roman"/>
          <w:sz w:val="24"/>
          <w:szCs w:val="24"/>
        </w:rPr>
        <w:t xml:space="preserve"> </w:t>
      </w:r>
    </w:p>
    <w:p w14:paraId="16FBDAC3" w14:textId="5E6EBBF0" w:rsidR="00FB5BD5" w:rsidRPr="000745A8" w:rsidRDefault="00911B2D" w:rsidP="00FB5BD5">
      <w:pPr>
        <w:jc w:val="both"/>
        <w:rPr>
          <w:rFonts w:ascii="Times New Roman" w:hAnsi="Times New Roman" w:cs="Times New Roman"/>
          <w:sz w:val="24"/>
          <w:szCs w:val="24"/>
        </w:rPr>
      </w:pPr>
      <w:bookmarkStart w:id="51" w:name="_Toc473638119"/>
      <w:bookmarkEnd w:id="51"/>
      <w:r>
        <w:rPr>
          <w:rFonts w:ascii="Times New Roman" w:hAnsi="Times New Roman" w:cs="Times New Roman"/>
          <w:sz w:val="24"/>
          <w:szCs w:val="24"/>
        </w:rPr>
        <w:t xml:space="preserve">Významný prínos v rámci úspor energie sa preukázal aj v oblasti prepravy a distribúcie plynu, kde v sledovanom období došlo k značnému zníženiu vlastnej spotreby. </w:t>
      </w:r>
    </w:p>
    <w:p w14:paraId="60953333" w14:textId="25F60D05" w:rsidR="00C61956" w:rsidRPr="000745A8" w:rsidRDefault="00C61956" w:rsidP="00C61956">
      <w:pPr>
        <w:jc w:val="both"/>
        <w:rPr>
          <w:rFonts w:ascii="Times New Roman" w:hAnsi="Times New Roman" w:cs="Times New Roman"/>
          <w:sz w:val="24"/>
          <w:szCs w:val="24"/>
        </w:rPr>
      </w:pPr>
      <w:r w:rsidRPr="000745A8">
        <w:rPr>
          <w:rFonts w:ascii="Times New Roman" w:hAnsi="Times New Roman" w:cs="Times New Roman"/>
          <w:sz w:val="24"/>
          <w:szCs w:val="24"/>
        </w:rPr>
        <w:t>Minimálne účinnosti premeny energie pri výrobe elektriny, tepla a v zariadeniach KVET sú stanovené v novej vyhláške MH SR č. 88/2015</w:t>
      </w:r>
      <w:r w:rsidR="001E06BE" w:rsidRPr="000745A8">
        <w:rPr>
          <w:rFonts w:ascii="Times New Roman" w:hAnsi="Times New Roman" w:cs="Times New Roman"/>
          <w:sz w:val="24"/>
          <w:szCs w:val="24"/>
        </w:rPr>
        <w:t> Z. z.</w:t>
      </w:r>
      <w:r w:rsidRPr="000745A8">
        <w:rPr>
          <w:rFonts w:ascii="Times New Roman" w:hAnsi="Times New Roman" w:cs="Times New Roman"/>
          <w:sz w:val="24"/>
          <w:szCs w:val="24"/>
        </w:rPr>
        <w:t xml:space="preserve"> Táto vyhláška taktiež stanovuje spôsoby výpočtu účinnosti prevádzky rozvodov elektrickej, plynárenskej infraštruktúry, ako aj rozvodov tepla, ropovodov, produktovodov, vodovodov a kanalizácií.</w:t>
      </w:r>
      <w:r w:rsidR="008029A8" w:rsidRPr="000745A8">
        <w:rPr>
          <w:rStyle w:val="Odkaznapoznmkupodiarou"/>
          <w:rFonts w:ascii="Times New Roman" w:hAnsi="Times New Roman" w:cs="Times New Roman"/>
          <w:sz w:val="24"/>
          <w:szCs w:val="24"/>
        </w:rPr>
        <w:footnoteReference w:id="22"/>
      </w:r>
      <w:r w:rsidRPr="000745A8">
        <w:rPr>
          <w:rFonts w:ascii="Times New Roman" w:hAnsi="Times New Roman" w:cs="Times New Roman"/>
          <w:sz w:val="24"/>
          <w:szCs w:val="24"/>
        </w:rPr>
        <w:t xml:space="preserve"> </w:t>
      </w:r>
    </w:p>
    <w:p w14:paraId="52F2E485" w14:textId="028CAF57" w:rsidR="00AC1D7F" w:rsidRDefault="00C61956">
      <w:pPr>
        <w:jc w:val="both"/>
        <w:rPr>
          <w:rFonts w:ascii="Times New Roman" w:hAnsi="Times New Roman" w:cs="Times New Roman"/>
          <w:sz w:val="24"/>
          <w:szCs w:val="24"/>
        </w:rPr>
      </w:pPr>
      <w:r w:rsidRPr="000745A8">
        <w:rPr>
          <w:rFonts w:ascii="Times New Roman" w:hAnsi="Times New Roman" w:cs="Times New Roman"/>
          <w:sz w:val="24"/>
          <w:szCs w:val="24"/>
        </w:rPr>
        <w:t>Plánované opatrenia investičného charakteru pri prevádzke energetickej infraštruktúry v elektrine a v plyne sú zasielané na základe požiadaviek zákonov č. 251/2012 o energetike a</w:t>
      </w:r>
      <w:r w:rsidR="00BF12F6">
        <w:rPr>
          <w:rFonts w:ascii="Times New Roman" w:hAnsi="Times New Roman" w:cs="Times New Roman"/>
          <w:sz w:val="24"/>
          <w:szCs w:val="24"/>
        </w:rPr>
        <w:t xml:space="preserve"> č. </w:t>
      </w:r>
      <w:r w:rsidRPr="000745A8">
        <w:rPr>
          <w:rFonts w:ascii="Times New Roman" w:hAnsi="Times New Roman" w:cs="Times New Roman"/>
          <w:sz w:val="24"/>
          <w:szCs w:val="24"/>
        </w:rPr>
        <w:t xml:space="preserve">321/2014 </w:t>
      </w:r>
      <w:r w:rsidR="00BF12F6">
        <w:rPr>
          <w:rFonts w:ascii="Times New Roman" w:hAnsi="Times New Roman" w:cs="Times New Roman"/>
          <w:sz w:val="24"/>
          <w:szCs w:val="24"/>
        </w:rPr>
        <w:t xml:space="preserve">Z. z. </w:t>
      </w:r>
      <w:r w:rsidRPr="000745A8">
        <w:rPr>
          <w:rFonts w:ascii="Times New Roman" w:hAnsi="Times New Roman" w:cs="Times New Roman"/>
          <w:sz w:val="24"/>
          <w:szCs w:val="24"/>
        </w:rPr>
        <w:t>o energetickej efektívnosti</w:t>
      </w:r>
      <w:r w:rsidR="00AC1D7F">
        <w:rPr>
          <w:rFonts w:ascii="Times New Roman" w:hAnsi="Times New Roman" w:cs="Times New Roman"/>
          <w:sz w:val="24"/>
          <w:szCs w:val="24"/>
        </w:rPr>
        <w:t xml:space="preserve"> </w:t>
      </w:r>
      <w:r w:rsidRPr="000745A8">
        <w:rPr>
          <w:rFonts w:ascii="Times New Roman" w:hAnsi="Times New Roman" w:cs="Times New Roman"/>
          <w:sz w:val="24"/>
          <w:szCs w:val="24"/>
        </w:rPr>
        <w:t>prevádzkovateľ</w:t>
      </w:r>
      <w:r w:rsidR="00AC1D7F">
        <w:rPr>
          <w:rFonts w:ascii="Times New Roman" w:hAnsi="Times New Roman" w:cs="Times New Roman"/>
          <w:sz w:val="24"/>
          <w:szCs w:val="24"/>
        </w:rPr>
        <w:t>ovi</w:t>
      </w:r>
      <w:r w:rsidRPr="000745A8">
        <w:rPr>
          <w:rFonts w:ascii="Times New Roman" w:hAnsi="Times New Roman" w:cs="Times New Roman"/>
          <w:sz w:val="24"/>
          <w:szCs w:val="24"/>
        </w:rPr>
        <w:t xml:space="preserve"> Monitorovacieho systému energetickej efektívnosti (ďalej aj „MSEE“)</w:t>
      </w:r>
      <w:r w:rsidR="00AC1D7F">
        <w:rPr>
          <w:rFonts w:ascii="Times New Roman" w:hAnsi="Times New Roman" w:cs="Times New Roman"/>
          <w:sz w:val="24"/>
          <w:szCs w:val="24"/>
        </w:rPr>
        <w:t>, ktorým je SIEA.</w:t>
      </w:r>
    </w:p>
    <w:p w14:paraId="721325DF" w14:textId="31966488" w:rsidR="0070005B" w:rsidRDefault="00C61956">
      <w:pPr>
        <w:jc w:val="both"/>
        <w:rPr>
          <w:rFonts w:ascii="Times New Roman" w:hAnsi="Times New Roman" w:cs="Times New Roman"/>
          <w:sz w:val="24"/>
          <w:szCs w:val="24"/>
        </w:rPr>
      </w:pPr>
      <w:r w:rsidRPr="000745A8">
        <w:rPr>
          <w:rFonts w:ascii="Times New Roman" w:hAnsi="Times New Roman" w:cs="Times New Roman"/>
          <w:sz w:val="24"/>
          <w:szCs w:val="24"/>
        </w:rPr>
        <w:t xml:space="preserve"> </w:t>
      </w:r>
    </w:p>
    <w:p w14:paraId="31DBA669" w14:textId="33D82749" w:rsidR="00AC1D7F" w:rsidRPr="00AC1D7F" w:rsidRDefault="00AC1D7F" w:rsidP="000578FE">
      <w:pPr>
        <w:keepNext/>
        <w:jc w:val="both"/>
        <w:rPr>
          <w:rFonts w:ascii="Times New Roman" w:hAnsi="Times New Roman" w:cs="Times New Roman"/>
          <w:sz w:val="24"/>
          <w:szCs w:val="24"/>
        </w:rPr>
      </w:pPr>
      <w:r w:rsidRPr="00AC1D7F">
        <w:rPr>
          <w:rFonts w:ascii="Times New Roman" w:hAnsi="Times New Roman" w:cs="Times New Roman"/>
          <w:sz w:val="24"/>
          <w:szCs w:val="24"/>
        </w:rPr>
        <w:t>Graf č. 1</w:t>
      </w:r>
      <w:r w:rsidR="00AE42A2">
        <w:rPr>
          <w:rFonts w:ascii="Times New Roman" w:hAnsi="Times New Roman" w:cs="Times New Roman"/>
          <w:sz w:val="24"/>
          <w:szCs w:val="24"/>
        </w:rPr>
        <w:t>2</w:t>
      </w:r>
      <w:r w:rsidRPr="00AC1D7F">
        <w:rPr>
          <w:rFonts w:ascii="Times New Roman" w:hAnsi="Times New Roman" w:cs="Times New Roman"/>
          <w:sz w:val="24"/>
          <w:szCs w:val="24"/>
        </w:rPr>
        <w:t xml:space="preserve">: </w:t>
      </w:r>
      <w:r w:rsidRPr="000578FE">
        <w:rPr>
          <w:rFonts w:ascii="Times New Roman" w:hAnsi="Times New Roman" w:cs="Times New Roman"/>
          <w:sz w:val="24"/>
          <w:szCs w:val="24"/>
        </w:rPr>
        <w:t>Zníženie primárnej energetickej spotreby  v sektore premeny, prenosu a distribúcie - podiel skupín opatrení na plnení cieľa v rokoch 2014-2016</w:t>
      </w:r>
    </w:p>
    <w:p w14:paraId="6D7891A9" w14:textId="77777777" w:rsidR="00E11A78" w:rsidRPr="000745A8" w:rsidRDefault="00E11A78" w:rsidP="00C61956">
      <w:pPr>
        <w:jc w:val="both"/>
        <w:rPr>
          <w:rFonts w:ascii="Times New Roman" w:hAnsi="Times New Roman" w:cs="Times New Roman"/>
          <w:sz w:val="24"/>
          <w:szCs w:val="24"/>
        </w:rPr>
      </w:pPr>
    </w:p>
    <w:tbl>
      <w:tblPr>
        <w:tblStyle w:val="Mriekatabuky"/>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253"/>
        <w:gridCol w:w="4819"/>
      </w:tblGrid>
      <w:tr w:rsidR="00E11A78" w:rsidRPr="009F2998" w14:paraId="73E28D20" w14:textId="77777777" w:rsidTr="003E73B5">
        <w:trPr>
          <w:trHeight w:val="3543"/>
          <w:jc w:val="center"/>
        </w:trPr>
        <w:tc>
          <w:tcPr>
            <w:tcW w:w="2344" w:type="pct"/>
          </w:tcPr>
          <w:p w14:paraId="7D7E1124" w14:textId="4120848E" w:rsidR="00E11A78" w:rsidRPr="009F2998" w:rsidRDefault="00A17EC1" w:rsidP="00EC1727">
            <w:pPr>
              <w:rPr>
                <w:rFonts w:ascii="Times New Roman" w:hAnsi="Times New Roman" w:cs="Times New Roman"/>
              </w:rPr>
            </w:pPr>
            <w:r w:rsidRPr="009F2998">
              <w:rPr>
                <w:rFonts w:ascii="Times New Roman" w:hAnsi="Times New Roman" w:cs="Times New Roman"/>
                <w:noProof/>
                <w:lang w:eastAsia="sk-SK"/>
              </w:rPr>
              <w:drawing>
                <wp:inline distT="0" distB="0" distL="0" distR="0" wp14:anchorId="178A15A7" wp14:editId="3CAFBF32">
                  <wp:extent cx="2355215" cy="2172335"/>
                  <wp:effectExtent l="0" t="0" r="6985"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656" w:type="pct"/>
          </w:tcPr>
          <w:tbl>
            <w:tblPr>
              <w:tblpPr w:leftFromText="141" w:rightFromText="141" w:vertAnchor="text" w:horzAnchor="margin" w:tblpY="887"/>
              <w:tblOverlap w:val="never"/>
              <w:tblW w:w="4536" w:type="dxa"/>
              <w:tblCellMar>
                <w:left w:w="70" w:type="dxa"/>
                <w:right w:w="70" w:type="dxa"/>
              </w:tblCellMar>
              <w:tblLook w:val="04A0" w:firstRow="1" w:lastRow="0" w:firstColumn="1" w:lastColumn="0" w:noHBand="0" w:noVBand="1"/>
            </w:tblPr>
            <w:tblGrid>
              <w:gridCol w:w="335"/>
              <w:gridCol w:w="3067"/>
              <w:gridCol w:w="1134"/>
            </w:tblGrid>
            <w:tr w:rsidR="00C51ADD" w:rsidRPr="009F2998" w14:paraId="71BFBC49" w14:textId="77777777" w:rsidTr="00755855">
              <w:trPr>
                <w:trHeight w:hRule="exact" w:val="297"/>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3FAD0" w14:textId="77777777" w:rsidR="00C51ADD" w:rsidRPr="009F2998" w:rsidRDefault="00C51ADD" w:rsidP="00C51ADD">
                  <w:pPr>
                    <w:spacing w:after="0" w:line="240" w:lineRule="auto"/>
                    <w:rPr>
                      <w:rFonts w:ascii="Times New Roman" w:eastAsia="Times New Roman" w:hAnsi="Times New Roman" w:cs="Times New Roman"/>
                      <w:lang w:eastAsia="sk-SK"/>
                    </w:rPr>
                  </w:pPr>
                </w:p>
              </w:tc>
              <w:tc>
                <w:tcPr>
                  <w:tcW w:w="3067" w:type="dxa"/>
                  <w:tcBorders>
                    <w:top w:val="single" w:sz="4" w:space="0" w:color="auto"/>
                    <w:left w:val="nil"/>
                    <w:bottom w:val="single" w:sz="4" w:space="0" w:color="auto"/>
                    <w:right w:val="single" w:sz="4" w:space="0" w:color="auto"/>
                  </w:tcBorders>
                  <w:shd w:val="clear" w:color="auto" w:fill="auto"/>
                  <w:noWrap/>
                  <w:vAlign w:val="bottom"/>
                </w:tcPr>
                <w:p w14:paraId="3C49A7BF" w14:textId="77777777" w:rsidR="00C51ADD" w:rsidRPr="00BF111E" w:rsidRDefault="00C51ADD" w:rsidP="00C51ADD">
                  <w:pPr>
                    <w:spacing w:after="0" w:line="240" w:lineRule="auto"/>
                    <w:rPr>
                      <w:rFonts w:ascii="Times New Roman" w:eastAsia="Times New Roman" w:hAnsi="Times New Roman" w:cs="Times New Roman"/>
                      <w:color w:val="000000"/>
                      <w:sz w:val="20"/>
                      <w:szCs w:val="20"/>
                      <w:lang w:eastAsia="sk-SK"/>
                    </w:rPr>
                  </w:pPr>
                  <w:r w:rsidRPr="00BF111E">
                    <w:rPr>
                      <w:rFonts w:ascii="Times New Roman" w:eastAsia="Times New Roman" w:hAnsi="Times New Roman" w:cs="Times New Roman"/>
                      <w:color w:val="000000"/>
                      <w:sz w:val="20"/>
                      <w:szCs w:val="20"/>
                      <w:lang w:eastAsia="sk-SK"/>
                    </w:rPr>
                    <w:t xml:space="preserve">Zdroje financovania: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0B52E57" w14:textId="77777777" w:rsidR="00C51ADD" w:rsidRPr="00BF111E" w:rsidRDefault="00C51ADD" w:rsidP="00C51ADD">
                  <w:pPr>
                    <w:spacing w:after="0" w:line="240" w:lineRule="auto"/>
                    <w:rPr>
                      <w:rFonts w:ascii="Times New Roman" w:eastAsia="Times New Roman" w:hAnsi="Times New Roman" w:cs="Times New Roman"/>
                      <w:color w:val="000000"/>
                      <w:sz w:val="20"/>
                      <w:szCs w:val="20"/>
                      <w:lang w:eastAsia="sk-SK"/>
                    </w:rPr>
                  </w:pPr>
                  <w:r w:rsidRPr="00BF111E">
                    <w:rPr>
                      <w:rFonts w:ascii="Times New Roman" w:eastAsia="Times New Roman" w:hAnsi="Times New Roman" w:cs="Times New Roman"/>
                      <w:color w:val="000000"/>
                      <w:sz w:val="20"/>
                      <w:szCs w:val="20"/>
                      <w:lang w:eastAsia="sk-SK"/>
                    </w:rPr>
                    <w:t>Úspora [TJ]</w:t>
                  </w:r>
                </w:p>
              </w:tc>
            </w:tr>
            <w:tr w:rsidR="006F670D" w:rsidRPr="009F2998" w14:paraId="242B0F3E" w14:textId="77777777" w:rsidTr="00AF5415">
              <w:trPr>
                <w:trHeight w:hRule="exact" w:val="284"/>
              </w:trPr>
              <w:tc>
                <w:tcPr>
                  <w:tcW w:w="335" w:type="dxa"/>
                  <w:tcBorders>
                    <w:top w:val="single" w:sz="4" w:space="0" w:color="auto"/>
                    <w:left w:val="single" w:sz="4" w:space="0" w:color="auto"/>
                    <w:bottom w:val="single" w:sz="4" w:space="0" w:color="auto"/>
                    <w:right w:val="single" w:sz="4" w:space="0" w:color="auto"/>
                  </w:tcBorders>
                  <w:shd w:val="clear" w:color="000000" w:fill="FF7857"/>
                  <w:noWrap/>
                  <w:vAlign w:val="bottom"/>
                  <w:hideMark/>
                </w:tcPr>
                <w:p w14:paraId="63A71FF3" w14:textId="77777777" w:rsidR="006F670D" w:rsidRPr="009F2998" w:rsidRDefault="006F670D" w:rsidP="006F670D">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3067" w:type="dxa"/>
                  <w:tcBorders>
                    <w:top w:val="single" w:sz="4" w:space="0" w:color="auto"/>
                    <w:left w:val="nil"/>
                    <w:bottom w:val="single" w:sz="4" w:space="0" w:color="auto"/>
                    <w:right w:val="single" w:sz="4" w:space="0" w:color="auto"/>
                  </w:tcBorders>
                  <w:shd w:val="clear" w:color="auto" w:fill="auto"/>
                  <w:noWrap/>
                  <w:vAlign w:val="bottom"/>
                  <w:hideMark/>
                </w:tcPr>
                <w:p w14:paraId="1D81889E" w14:textId="77777777" w:rsidR="006F670D" w:rsidRPr="00BF111E" w:rsidRDefault="006F670D" w:rsidP="006F670D">
                  <w:pPr>
                    <w:spacing w:after="0" w:line="240" w:lineRule="auto"/>
                    <w:rPr>
                      <w:rFonts w:ascii="Times New Roman" w:eastAsia="Times New Roman" w:hAnsi="Times New Roman" w:cs="Times New Roman"/>
                      <w:color w:val="000000"/>
                      <w:sz w:val="20"/>
                      <w:szCs w:val="20"/>
                      <w:lang w:eastAsia="sk-SK"/>
                    </w:rPr>
                  </w:pPr>
                  <w:r w:rsidRPr="00BF111E">
                    <w:rPr>
                      <w:rFonts w:ascii="Times New Roman" w:eastAsia="Times New Roman" w:hAnsi="Times New Roman" w:cs="Times New Roman"/>
                      <w:color w:val="000000"/>
                      <w:sz w:val="20"/>
                      <w:szCs w:val="20"/>
                      <w:lang w:eastAsia="sk-SK"/>
                    </w:rPr>
                    <w:t>OP KaHR 2007-2013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2D8FD" w14:textId="30C5BE57" w:rsidR="006F670D" w:rsidRPr="006F670D" w:rsidRDefault="006F670D">
                  <w:pPr>
                    <w:spacing w:after="0" w:line="240" w:lineRule="auto"/>
                    <w:jc w:val="right"/>
                    <w:rPr>
                      <w:rFonts w:ascii="Times New Roman" w:eastAsia="Times New Roman" w:hAnsi="Times New Roman" w:cs="Times New Roman"/>
                      <w:color w:val="000000"/>
                      <w:sz w:val="20"/>
                      <w:szCs w:val="20"/>
                      <w:lang w:eastAsia="sk-SK"/>
                    </w:rPr>
                  </w:pPr>
                  <w:r w:rsidRPr="00AF5415">
                    <w:rPr>
                      <w:rFonts w:ascii="Times New Roman" w:hAnsi="Times New Roman" w:cs="Times New Roman"/>
                      <w:color w:val="000000"/>
                      <w:sz w:val="20"/>
                      <w:szCs w:val="20"/>
                    </w:rPr>
                    <w:t>93,57</w:t>
                  </w:r>
                </w:p>
              </w:tc>
            </w:tr>
            <w:tr w:rsidR="006F670D" w:rsidRPr="009F2998" w14:paraId="03769D45" w14:textId="77777777" w:rsidTr="00AF5415">
              <w:trPr>
                <w:trHeight w:hRule="exact" w:val="284"/>
              </w:trPr>
              <w:tc>
                <w:tcPr>
                  <w:tcW w:w="335" w:type="dxa"/>
                  <w:tcBorders>
                    <w:top w:val="nil"/>
                    <w:left w:val="single" w:sz="4" w:space="0" w:color="auto"/>
                    <w:bottom w:val="single" w:sz="4" w:space="0" w:color="auto"/>
                    <w:right w:val="single" w:sz="4" w:space="0" w:color="auto"/>
                  </w:tcBorders>
                  <w:shd w:val="clear" w:color="000000" w:fill="FF9933"/>
                  <w:noWrap/>
                  <w:vAlign w:val="bottom"/>
                  <w:hideMark/>
                </w:tcPr>
                <w:p w14:paraId="22F4933E" w14:textId="77777777" w:rsidR="006F670D" w:rsidRPr="009F2998" w:rsidRDefault="006F670D" w:rsidP="006F670D">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3067" w:type="dxa"/>
                  <w:tcBorders>
                    <w:top w:val="nil"/>
                    <w:left w:val="nil"/>
                    <w:bottom w:val="single" w:sz="4" w:space="0" w:color="auto"/>
                    <w:right w:val="single" w:sz="4" w:space="0" w:color="auto"/>
                  </w:tcBorders>
                  <w:shd w:val="clear" w:color="auto" w:fill="auto"/>
                  <w:noWrap/>
                  <w:vAlign w:val="bottom"/>
                  <w:hideMark/>
                </w:tcPr>
                <w:p w14:paraId="1BC18393" w14:textId="77777777" w:rsidR="006F670D" w:rsidRPr="00BF111E" w:rsidRDefault="006F670D" w:rsidP="006F670D">
                  <w:pPr>
                    <w:spacing w:after="0" w:line="240" w:lineRule="auto"/>
                    <w:rPr>
                      <w:rFonts w:ascii="Times New Roman" w:eastAsia="Times New Roman" w:hAnsi="Times New Roman" w:cs="Times New Roman"/>
                      <w:color w:val="000000"/>
                      <w:sz w:val="20"/>
                      <w:szCs w:val="20"/>
                      <w:lang w:eastAsia="sk-SK"/>
                    </w:rPr>
                  </w:pPr>
                  <w:r w:rsidRPr="00BF111E">
                    <w:rPr>
                      <w:rFonts w:ascii="Times New Roman" w:eastAsia="Times New Roman" w:hAnsi="Times New Roman" w:cs="Times New Roman"/>
                      <w:color w:val="000000"/>
                      <w:sz w:val="20"/>
                      <w:szCs w:val="20"/>
                      <w:lang w:eastAsia="sk-SK"/>
                    </w:rPr>
                    <w:t>Slovseff III.</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E14DE8" w14:textId="0B00ED35" w:rsidR="006F670D" w:rsidRPr="006F670D" w:rsidRDefault="006F670D">
                  <w:pPr>
                    <w:spacing w:after="0" w:line="240" w:lineRule="auto"/>
                    <w:jc w:val="right"/>
                    <w:rPr>
                      <w:rFonts w:ascii="Times New Roman" w:eastAsia="Times New Roman" w:hAnsi="Times New Roman" w:cs="Times New Roman"/>
                      <w:color w:val="000000"/>
                      <w:sz w:val="20"/>
                      <w:szCs w:val="20"/>
                      <w:lang w:eastAsia="sk-SK"/>
                    </w:rPr>
                  </w:pPr>
                  <w:r w:rsidRPr="00AF5415">
                    <w:rPr>
                      <w:rFonts w:ascii="Times New Roman" w:hAnsi="Times New Roman" w:cs="Times New Roman"/>
                      <w:color w:val="000000"/>
                      <w:sz w:val="20"/>
                      <w:szCs w:val="20"/>
                    </w:rPr>
                    <w:t>105,75</w:t>
                  </w:r>
                </w:p>
              </w:tc>
            </w:tr>
            <w:tr w:rsidR="006F670D" w:rsidRPr="009F2998" w14:paraId="25DB0423" w14:textId="77777777" w:rsidTr="00AF5415">
              <w:trPr>
                <w:trHeight w:hRule="exact" w:val="274"/>
              </w:trPr>
              <w:tc>
                <w:tcPr>
                  <w:tcW w:w="335" w:type="dxa"/>
                  <w:tcBorders>
                    <w:top w:val="nil"/>
                    <w:left w:val="single" w:sz="4" w:space="0" w:color="auto"/>
                    <w:bottom w:val="single" w:sz="4" w:space="0" w:color="auto"/>
                    <w:right w:val="single" w:sz="4" w:space="0" w:color="auto"/>
                  </w:tcBorders>
                  <w:shd w:val="clear" w:color="000000" w:fill="FFCC00"/>
                  <w:noWrap/>
                  <w:vAlign w:val="bottom"/>
                  <w:hideMark/>
                </w:tcPr>
                <w:p w14:paraId="787C0753" w14:textId="77777777" w:rsidR="006F670D" w:rsidRPr="009F2998" w:rsidRDefault="006F670D" w:rsidP="006F670D">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3067" w:type="dxa"/>
                  <w:tcBorders>
                    <w:top w:val="nil"/>
                    <w:left w:val="nil"/>
                    <w:bottom w:val="single" w:sz="4" w:space="0" w:color="auto"/>
                    <w:right w:val="single" w:sz="4" w:space="0" w:color="auto"/>
                  </w:tcBorders>
                  <w:shd w:val="clear" w:color="auto" w:fill="auto"/>
                  <w:noWrap/>
                  <w:vAlign w:val="bottom"/>
                  <w:hideMark/>
                </w:tcPr>
                <w:p w14:paraId="4932023F" w14:textId="77777777" w:rsidR="006F670D" w:rsidRPr="00BF111E" w:rsidRDefault="006F670D" w:rsidP="006F670D">
                  <w:pPr>
                    <w:spacing w:after="0" w:line="240" w:lineRule="auto"/>
                    <w:rPr>
                      <w:rFonts w:ascii="Times New Roman" w:eastAsia="Times New Roman" w:hAnsi="Times New Roman" w:cs="Times New Roman"/>
                      <w:color w:val="000000"/>
                      <w:sz w:val="20"/>
                      <w:szCs w:val="20"/>
                      <w:lang w:eastAsia="sk-SK"/>
                    </w:rPr>
                  </w:pPr>
                  <w:r w:rsidRPr="00BF111E">
                    <w:rPr>
                      <w:rFonts w:ascii="Times New Roman" w:eastAsia="Times New Roman" w:hAnsi="Times New Roman" w:cs="Times New Roman"/>
                      <w:color w:val="000000"/>
                      <w:sz w:val="20"/>
                      <w:szCs w:val="20"/>
                      <w:lang w:eastAsia="sk-SK"/>
                    </w:rPr>
                    <w:t>Vlastné zdroje – Zákon č. 321/2014 Z.z.</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E8D17E9" w14:textId="7C334FA2" w:rsidR="006F670D" w:rsidRPr="006F670D" w:rsidRDefault="006F670D">
                  <w:pPr>
                    <w:spacing w:after="0" w:line="240" w:lineRule="auto"/>
                    <w:jc w:val="right"/>
                    <w:rPr>
                      <w:rFonts w:ascii="Times New Roman" w:eastAsia="Times New Roman" w:hAnsi="Times New Roman" w:cs="Times New Roman"/>
                      <w:color w:val="000000"/>
                      <w:sz w:val="20"/>
                      <w:szCs w:val="20"/>
                      <w:lang w:eastAsia="sk-SK"/>
                    </w:rPr>
                  </w:pPr>
                  <w:r w:rsidRPr="00AF5415">
                    <w:rPr>
                      <w:rFonts w:ascii="Times New Roman" w:hAnsi="Times New Roman" w:cs="Times New Roman"/>
                      <w:color w:val="000000"/>
                      <w:sz w:val="20"/>
                      <w:szCs w:val="20"/>
                    </w:rPr>
                    <w:t>1 238,53</w:t>
                  </w:r>
                </w:p>
              </w:tc>
            </w:tr>
            <w:tr w:rsidR="006F670D" w:rsidRPr="009F2998" w14:paraId="0C10D541" w14:textId="77777777" w:rsidTr="00AF5415">
              <w:trPr>
                <w:trHeight w:hRule="exact" w:val="284"/>
              </w:trPr>
              <w:tc>
                <w:tcPr>
                  <w:tcW w:w="335" w:type="dxa"/>
                  <w:tcBorders>
                    <w:top w:val="nil"/>
                    <w:left w:val="nil"/>
                    <w:bottom w:val="nil"/>
                    <w:right w:val="nil"/>
                  </w:tcBorders>
                  <w:shd w:val="clear" w:color="auto" w:fill="auto"/>
                  <w:noWrap/>
                  <w:vAlign w:val="bottom"/>
                  <w:hideMark/>
                </w:tcPr>
                <w:p w14:paraId="5E3A78EC" w14:textId="77777777" w:rsidR="006F670D" w:rsidRPr="009F2998" w:rsidRDefault="006F670D" w:rsidP="006F670D">
                  <w:pPr>
                    <w:spacing w:after="0" w:line="240" w:lineRule="auto"/>
                    <w:rPr>
                      <w:rFonts w:ascii="Times New Roman" w:eastAsia="Times New Roman" w:hAnsi="Times New Roman" w:cs="Times New Roman"/>
                      <w:color w:val="000000"/>
                      <w:sz w:val="18"/>
                      <w:szCs w:val="18"/>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043DD725" w14:textId="77777777" w:rsidR="006F670D" w:rsidRPr="00BF111E" w:rsidRDefault="006F670D" w:rsidP="006F670D">
                  <w:pPr>
                    <w:spacing w:after="0" w:line="240" w:lineRule="auto"/>
                    <w:rPr>
                      <w:rFonts w:ascii="Times New Roman" w:eastAsia="Times New Roman" w:hAnsi="Times New Roman" w:cs="Times New Roman"/>
                      <w:b/>
                      <w:color w:val="000000"/>
                      <w:sz w:val="20"/>
                      <w:szCs w:val="20"/>
                      <w:lang w:eastAsia="sk-SK"/>
                    </w:rPr>
                  </w:pPr>
                  <w:r w:rsidRPr="00BF111E">
                    <w:rPr>
                      <w:rFonts w:ascii="Times New Roman" w:eastAsia="Times New Roman" w:hAnsi="Times New Roman" w:cs="Times New Roman"/>
                      <w:b/>
                      <w:color w:val="000000"/>
                      <w:sz w:val="20"/>
                      <w:szCs w:val="20"/>
                      <w:lang w:eastAsia="sk-SK"/>
                    </w:rPr>
                    <w:t>Spolu:</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3735F03" w14:textId="5B5C9D63" w:rsidR="006F670D" w:rsidRPr="006F670D" w:rsidRDefault="006F670D">
                  <w:pPr>
                    <w:spacing w:after="0" w:line="240" w:lineRule="auto"/>
                    <w:jc w:val="right"/>
                    <w:rPr>
                      <w:rFonts w:ascii="Times New Roman" w:eastAsia="Times New Roman" w:hAnsi="Times New Roman" w:cs="Times New Roman"/>
                      <w:b/>
                      <w:color w:val="000000"/>
                      <w:sz w:val="20"/>
                      <w:szCs w:val="20"/>
                      <w:lang w:eastAsia="sk-SK"/>
                    </w:rPr>
                  </w:pPr>
                  <w:r w:rsidRPr="00AF5415">
                    <w:rPr>
                      <w:rFonts w:ascii="Times New Roman" w:hAnsi="Times New Roman" w:cs="Times New Roman"/>
                      <w:b/>
                      <w:bCs/>
                      <w:color w:val="000000"/>
                      <w:sz w:val="20"/>
                      <w:szCs w:val="20"/>
                    </w:rPr>
                    <w:t>1 437,85</w:t>
                  </w:r>
                </w:p>
              </w:tc>
            </w:tr>
          </w:tbl>
          <w:p w14:paraId="686488D7" w14:textId="77777777" w:rsidR="00E11A78" w:rsidRPr="009F2998" w:rsidRDefault="00E11A78" w:rsidP="00EC1727">
            <w:pPr>
              <w:rPr>
                <w:rFonts w:ascii="Times New Roman" w:hAnsi="Times New Roman" w:cs="Times New Roman"/>
              </w:rPr>
            </w:pPr>
          </w:p>
        </w:tc>
      </w:tr>
    </w:tbl>
    <w:p w14:paraId="091B836D" w14:textId="4E16945D" w:rsidR="00EA4F55" w:rsidRDefault="00EA4F55">
      <w:pPr>
        <w:rPr>
          <w:rFonts w:ascii="Times New Roman" w:eastAsiaTheme="majorEastAsia" w:hAnsi="Times New Roman" w:cs="Times New Roman"/>
          <w:b/>
          <w:bCs/>
          <w:color w:val="5B9BD5" w:themeColor="accent1"/>
          <w:sz w:val="26"/>
          <w:szCs w:val="26"/>
        </w:rPr>
      </w:pPr>
    </w:p>
    <w:p w14:paraId="2DFF605F" w14:textId="668CD5FD" w:rsidR="00902157" w:rsidRPr="000578FE" w:rsidRDefault="00902157" w:rsidP="00AF5415">
      <w:pPr>
        <w:pStyle w:val="Nadpis2"/>
        <w:keepNext w:val="0"/>
        <w:keepLines w:val="0"/>
        <w:numPr>
          <w:ilvl w:val="1"/>
          <w:numId w:val="32"/>
        </w:numPr>
        <w:ind w:left="993" w:hanging="567"/>
        <w:rPr>
          <w:rFonts w:ascii="Times New Roman" w:hAnsi="Times New Roman" w:cs="Times New Roman"/>
          <w:color w:val="auto"/>
        </w:rPr>
      </w:pPr>
      <w:bookmarkStart w:id="52" w:name="_Toc477345353"/>
      <w:r w:rsidRPr="000578FE">
        <w:rPr>
          <w:rFonts w:ascii="Times New Roman" w:hAnsi="Times New Roman" w:cs="Times New Roman"/>
          <w:color w:val="auto"/>
        </w:rPr>
        <w:t>Celkové vyhodnotenie opatrení energetickej efektívnosti za roky 2014-2016</w:t>
      </w:r>
      <w:bookmarkEnd w:id="52"/>
    </w:p>
    <w:p w14:paraId="3920F3CE" w14:textId="77777777" w:rsidR="00902157" w:rsidRPr="000745A8" w:rsidRDefault="00902157" w:rsidP="00902157">
      <w:pPr>
        <w:jc w:val="both"/>
        <w:rPr>
          <w:rFonts w:ascii="Times New Roman" w:hAnsi="Times New Roman" w:cs="Times New Roman"/>
          <w:sz w:val="24"/>
          <w:szCs w:val="24"/>
        </w:rPr>
      </w:pPr>
    </w:p>
    <w:p w14:paraId="7BDCF048" w14:textId="14772717" w:rsidR="00332237" w:rsidRDefault="00332237" w:rsidP="00332237">
      <w:pPr>
        <w:jc w:val="both"/>
        <w:rPr>
          <w:rFonts w:ascii="Times New Roman" w:hAnsi="Times New Roman" w:cs="Times New Roman"/>
          <w:sz w:val="24"/>
          <w:szCs w:val="24"/>
        </w:rPr>
      </w:pPr>
      <w:r w:rsidRPr="000745A8">
        <w:rPr>
          <w:rFonts w:ascii="Times New Roman" w:hAnsi="Times New Roman" w:cs="Times New Roman"/>
          <w:sz w:val="24"/>
          <w:szCs w:val="24"/>
        </w:rPr>
        <w:t xml:space="preserve">Na základe jednotlivých projektov alebo skupín projektov boli vyhodnotené celkové úspory energie na úrovni KES vo výške </w:t>
      </w:r>
      <w:r w:rsidR="00CC3518" w:rsidRPr="00AF5415">
        <w:rPr>
          <w:rFonts w:ascii="Times New Roman" w:hAnsi="Times New Roman" w:cs="Times New Roman"/>
          <w:b/>
          <w:sz w:val="24"/>
          <w:szCs w:val="24"/>
        </w:rPr>
        <w:t>10 065,45</w:t>
      </w:r>
      <w:r w:rsidR="00AE14F1">
        <w:rPr>
          <w:rFonts w:ascii="Times New Roman" w:hAnsi="Times New Roman" w:cs="Times New Roman"/>
          <w:b/>
          <w:bCs/>
          <w:color w:val="000000"/>
        </w:rPr>
        <w:t xml:space="preserve"> </w:t>
      </w:r>
      <w:r w:rsidRPr="000745A8">
        <w:rPr>
          <w:rFonts w:ascii="Times New Roman" w:hAnsi="Times New Roman" w:cs="Times New Roman"/>
          <w:b/>
          <w:sz w:val="24"/>
          <w:szCs w:val="24"/>
        </w:rPr>
        <w:t>TJ</w:t>
      </w:r>
      <w:r w:rsidRPr="000745A8">
        <w:rPr>
          <w:rFonts w:ascii="Times New Roman" w:hAnsi="Times New Roman" w:cs="Times New Roman"/>
          <w:sz w:val="24"/>
          <w:szCs w:val="24"/>
        </w:rPr>
        <w:t>.</w:t>
      </w:r>
      <w:r w:rsidR="00BF111E" w:rsidRPr="000745A8">
        <w:rPr>
          <w:rFonts w:ascii="Times New Roman" w:hAnsi="Times New Roman" w:cs="Times New Roman"/>
          <w:sz w:val="24"/>
          <w:szCs w:val="24"/>
        </w:rPr>
        <w:t xml:space="preserve"> Na opatrenia boli vynaložené finančné zdroje vo výške zhruba </w:t>
      </w:r>
      <w:r w:rsidR="00BF111E" w:rsidRPr="007577DE">
        <w:rPr>
          <w:rFonts w:ascii="Times New Roman" w:hAnsi="Times New Roman" w:cs="Times New Roman"/>
          <w:b/>
          <w:sz w:val="24"/>
          <w:szCs w:val="24"/>
        </w:rPr>
        <w:t>5,</w:t>
      </w:r>
      <w:r w:rsidR="00E3015F">
        <w:rPr>
          <w:rFonts w:ascii="Times New Roman" w:hAnsi="Times New Roman" w:cs="Times New Roman"/>
          <w:b/>
          <w:sz w:val="24"/>
          <w:szCs w:val="24"/>
        </w:rPr>
        <w:t>7</w:t>
      </w:r>
      <w:r w:rsidR="008029A8" w:rsidRPr="000745A8">
        <w:rPr>
          <w:rFonts w:ascii="Times New Roman" w:hAnsi="Times New Roman" w:cs="Times New Roman"/>
          <w:b/>
          <w:sz w:val="24"/>
          <w:szCs w:val="24"/>
        </w:rPr>
        <w:t> </w:t>
      </w:r>
      <w:r w:rsidR="00BF111E" w:rsidRPr="007577DE">
        <w:rPr>
          <w:rFonts w:ascii="Times New Roman" w:hAnsi="Times New Roman" w:cs="Times New Roman"/>
          <w:b/>
          <w:sz w:val="24"/>
          <w:szCs w:val="24"/>
        </w:rPr>
        <w:t xml:space="preserve">mld. </w:t>
      </w:r>
      <w:r w:rsidR="000C2919">
        <w:rPr>
          <w:rFonts w:ascii="Times New Roman" w:hAnsi="Times New Roman" w:cs="Times New Roman"/>
          <w:b/>
          <w:sz w:val="24"/>
          <w:szCs w:val="24"/>
        </w:rPr>
        <w:t>Eur</w:t>
      </w:r>
      <w:r w:rsidR="00BF111E" w:rsidRPr="007577DE">
        <w:rPr>
          <w:rFonts w:ascii="Times New Roman" w:hAnsi="Times New Roman" w:cs="Times New Roman"/>
          <w:b/>
          <w:sz w:val="24"/>
          <w:szCs w:val="24"/>
        </w:rPr>
        <w:t>.</w:t>
      </w:r>
      <w:r w:rsidR="00BF111E" w:rsidRPr="000745A8">
        <w:rPr>
          <w:rFonts w:ascii="Times New Roman" w:hAnsi="Times New Roman" w:cs="Times New Roman"/>
          <w:sz w:val="24"/>
          <w:szCs w:val="24"/>
        </w:rPr>
        <w:t xml:space="preserve"> </w:t>
      </w:r>
      <w:r w:rsidRPr="000745A8">
        <w:rPr>
          <w:rFonts w:ascii="Times New Roman" w:hAnsi="Times New Roman" w:cs="Times New Roman"/>
          <w:sz w:val="24"/>
          <w:szCs w:val="24"/>
        </w:rPr>
        <w:t xml:space="preserve"> </w:t>
      </w:r>
    </w:p>
    <w:p w14:paraId="2A9D001A" w14:textId="4AFFDEEE" w:rsidR="00AC1D7F" w:rsidRPr="00AC1D7F" w:rsidRDefault="00AC1D7F" w:rsidP="00332237">
      <w:pPr>
        <w:jc w:val="both"/>
        <w:rPr>
          <w:rFonts w:ascii="Times New Roman" w:hAnsi="Times New Roman" w:cs="Times New Roman"/>
          <w:i/>
          <w:sz w:val="24"/>
          <w:szCs w:val="24"/>
        </w:rPr>
      </w:pPr>
      <w:r w:rsidRPr="00AC1D7F">
        <w:rPr>
          <w:rFonts w:ascii="Times New Roman" w:hAnsi="Times New Roman" w:cs="Times New Roman"/>
          <w:sz w:val="24"/>
          <w:szCs w:val="24"/>
        </w:rPr>
        <w:t xml:space="preserve">Tabuľka č. 6: </w:t>
      </w:r>
      <w:r w:rsidRPr="000578FE">
        <w:rPr>
          <w:rFonts w:ascii="Times New Roman" w:hAnsi="Times New Roman" w:cs="Times New Roman"/>
          <w:sz w:val="24"/>
          <w:szCs w:val="24"/>
        </w:rPr>
        <w:t>Prehľad dosiahnutých úspor energie</w:t>
      </w:r>
      <w:r w:rsidR="002057FE">
        <w:rPr>
          <w:rFonts w:ascii="Times New Roman" w:hAnsi="Times New Roman" w:cs="Times New Roman"/>
          <w:sz w:val="24"/>
          <w:szCs w:val="24"/>
        </w:rPr>
        <w:t xml:space="preserve"> a vynaložených finančných zdrojov</w:t>
      </w:r>
      <w:r w:rsidRPr="000578FE">
        <w:rPr>
          <w:rFonts w:ascii="Times New Roman" w:hAnsi="Times New Roman" w:cs="Times New Roman"/>
          <w:sz w:val="24"/>
          <w:szCs w:val="24"/>
        </w:rPr>
        <w:t xml:space="preserve"> v jednotlivých sektoroch v rokoch 2014 – 2016</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1495"/>
        <w:gridCol w:w="1927"/>
        <w:gridCol w:w="1856"/>
        <w:gridCol w:w="1847"/>
        <w:gridCol w:w="1937"/>
      </w:tblGrid>
      <w:tr w:rsidR="00902157" w:rsidRPr="009F2998" w14:paraId="39F8030B" w14:textId="77777777" w:rsidTr="004E746F">
        <w:trPr>
          <w:trHeight w:val="255"/>
        </w:trPr>
        <w:tc>
          <w:tcPr>
            <w:tcW w:w="825" w:type="pct"/>
            <w:vMerge w:val="restart"/>
            <w:shd w:val="clear" w:color="auto" w:fill="C0C0C0"/>
            <w:vAlign w:val="center"/>
          </w:tcPr>
          <w:p w14:paraId="54953167" w14:textId="77777777" w:rsidR="00902157" w:rsidRPr="009F2998" w:rsidRDefault="00902157" w:rsidP="00EE18EC">
            <w:pPr>
              <w:spacing w:after="0" w:line="240" w:lineRule="auto"/>
              <w:rPr>
                <w:rFonts w:ascii="Times New Roman" w:hAnsi="Times New Roman" w:cs="Times New Roman"/>
                <w:b/>
              </w:rPr>
            </w:pPr>
          </w:p>
          <w:p w14:paraId="7A951DE5" w14:textId="77777777" w:rsidR="00902157" w:rsidRPr="009F2998" w:rsidRDefault="00902157" w:rsidP="00EE18EC">
            <w:pPr>
              <w:spacing w:after="0" w:line="240" w:lineRule="auto"/>
              <w:rPr>
                <w:rFonts w:ascii="Times New Roman" w:hAnsi="Times New Roman" w:cs="Times New Roman"/>
                <w:b/>
              </w:rPr>
            </w:pPr>
            <w:r w:rsidRPr="009F2998">
              <w:rPr>
                <w:rFonts w:ascii="Times New Roman" w:hAnsi="Times New Roman" w:cs="Times New Roman"/>
                <w:b/>
              </w:rPr>
              <w:t>Sektor</w:t>
            </w:r>
          </w:p>
        </w:tc>
        <w:tc>
          <w:tcPr>
            <w:tcW w:w="2087" w:type="pct"/>
            <w:gridSpan w:val="2"/>
            <w:tcBorders>
              <w:right w:val="single" w:sz="12" w:space="0" w:color="auto"/>
            </w:tcBorders>
            <w:shd w:val="clear" w:color="auto" w:fill="C0C0C0"/>
            <w:noWrap/>
            <w:vAlign w:val="center"/>
          </w:tcPr>
          <w:p w14:paraId="45A8E675" w14:textId="77777777" w:rsidR="00902157" w:rsidRPr="009F2998" w:rsidRDefault="00902157" w:rsidP="00EE18EC">
            <w:pPr>
              <w:spacing w:after="0" w:line="240" w:lineRule="auto"/>
              <w:jc w:val="center"/>
              <w:rPr>
                <w:rFonts w:ascii="Times New Roman" w:hAnsi="Times New Roman" w:cs="Times New Roman"/>
                <w:b/>
              </w:rPr>
            </w:pPr>
            <w:r w:rsidRPr="009F2998">
              <w:rPr>
                <w:rFonts w:ascii="Times New Roman" w:hAnsi="Times New Roman" w:cs="Times New Roman"/>
                <w:b/>
              </w:rPr>
              <w:t>Úspora energie (KES)</w:t>
            </w:r>
          </w:p>
          <w:p w14:paraId="7B9DF18A" w14:textId="77777777" w:rsidR="00902157" w:rsidRPr="009F2998" w:rsidRDefault="00902157" w:rsidP="00EE18EC">
            <w:pPr>
              <w:spacing w:after="0" w:line="240" w:lineRule="auto"/>
              <w:jc w:val="center"/>
              <w:rPr>
                <w:rFonts w:ascii="Times New Roman" w:hAnsi="Times New Roman" w:cs="Times New Roman"/>
                <w:b/>
              </w:rPr>
            </w:pPr>
            <w:r w:rsidRPr="009F2998">
              <w:rPr>
                <w:rFonts w:ascii="Times New Roman" w:hAnsi="Times New Roman" w:cs="Times New Roman"/>
                <w:b/>
              </w:rPr>
              <w:t xml:space="preserve"> 2014-2016</w:t>
            </w:r>
          </w:p>
          <w:p w14:paraId="75482F92" w14:textId="77777777" w:rsidR="00902157" w:rsidRPr="009F2998" w:rsidRDefault="00902157" w:rsidP="00EE18EC">
            <w:pPr>
              <w:spacing w:after="0" w:line="240" w:lineRule="auto"/>
              <w:jc w:val="center"/>
              <w:rPr>
                <w:rFonts w:ascii="Times New Roman" w:hAnsi="Times New Roman" w:cs="Times New Roman"/>
                <w:b/>
              </w:rPr>
            </w:pPr>
            <w:r w:rsidRPr="009F2998">
              <w:rPr>
                <w:rFonts w:ascii="Times New Roman" w:hAnsi="Times New Roman" w:cs="Times New Roman"/>
                <w:b/>
                <w:lang w:val="en-US"/>
              </w:rPr>
              <w:t>[</w:t>
            </w:r>
            <w:r w:rsidRPr="009F2998">
              <w:rPr>
                <w:rFonts w:ascii="Times New Roman" w:hAnsi="Times New Roman" w:cs="Times New Roman"/>
                <w:b/>
              </w:rPr>
              <w:t>TJ]</w:t>
            </w:r>
          </w:p>
        </w:tc>
        <w:tc>
          <w:tcPr>
            <w:tcW w:w="2088" w:type="pct"/>
            <w:gridSpan w:val="2"/>
            <w:tcBorders>
              <w:top w:val="single" w:sz="4" w:space="0" w:color="auto"/>
              <w:left w:val="single" w:sz="12" w:space="0" w:color="auto"/>
            </w:tcBorders>
            <w:shd w:val="clear" w:color="auto" w:fill="C0C0C0"/>
            <w:vAlign w:val="center"/>
          </w:tcPr>
          <w:p w14:paraId="6D55D837" w14:textId="77777777" w:rsidR="00902157" w:rsidRPr="009F2998" w:rsidRDefault="00902157" w:rsidP="00EE18EC">
            <w:pPr>
              <w:spacing w:after="0" w:line="240" w:lineRule="auto"/>
              <w:jc w:val="center"/>
              <w:rPr>
                <w:rFonts w:ascii="Times New Roman" w:hAnsi="Times New Roman" w:cs="Times New Roman"/>
                <w:b/>
              </w:rPr>
            </w:pPr>
          </w:p>
          <w:p w14:paraId="1154B0A4" w14:textId="54A1D3EF" w:rsidR="00902157" w:rsidRPr="009F2998" w:rsidRDefault="00902157" w:rsidP="00EE18EC">
            <w:pPr>
              <w:spacing w:after="0" w:line="240" w:lineRule="auto"/>
              <w:jc w:val="center"/>
              <w:rPr>
                <w:rFonts w:ascii="Times New Roman" w:hAnsi="Times New Roman" w:cs="Times New Roman"/>
                <w:b/>
              </w:rPr>
            </w:pPr>
            <w:r w:rsidRPr="009F2998">
              <w:rPr>
                <w:rFonts w:ascii="Times New Roman" w:hAnsi="Times New Roman" w:cs="Times New Roman"/>
                <w:b/>
              </w:rPr>
              <w:t xml:space="preserve">Celkové </w:t>
            </w:r>
            <w:r w:rsidR="002057FE">
              <w:rPr>
                <w:rFonts w:ascii="Times New Roman" w:hAnsi="Times New Roman" w:cs="Times New Roman"/>
                <w:b/>
              </w:rPr>
              <w:t>finančné zdroje</w:t>
            </w:r>
          </w:p>
          <w:p w14:paraId="79094463" w14:textId="77777777" w:rsidR="00902157" w:rsidRPr="009F2998" w:rsidRDefault="00902157" w:rsidP="00EE18EC">
            <w:pPr>
              <w:spacing w:after="0" w:line="240" w:lineRule="auto"/>
              <w:jc w:val="center"/>
              <w:rPr>
                <w:rFonts w:ascii="Times New Roman" w:hAnsi="Times New Roman" w:cs="Times New Roman"/>
                <w:b/>
              </w:rPr>
            </w:pPr>
            <w:r w:rsidRPr="009F2998">
              <w:rPr>
                <w:rFonts w:ascii="Times New Roman" w:hAnsi="Times New Roman" w:cs="Times New Roman"/>
                <w:b/>
              </w:rPr>
              <w:t xml:space="preserve"> 2014-2016</w:t>
            </w:r>
          </w:p>
          <w:p w14:paraId="73918EBC" w14:textId="377E81C9" w:rsidR="00902157" w:rsidRPr="009F2998" w:rsidRDefault="00902157" w:rsidP="00EE18EC">
            <w:pPr>
              <w:spacing w:after="0" w:line="240" w:lineRule="auto"/>
              <w:jc w:val="center"/>
              <w:rPr>
                <w:rFonts w:ascii="Times New Roman" w:hAnsi="Times New Roman" w:cs="Times New Roman"/>
                <w:b/>
              </w:rPr>
            </w:pPr>
            <w:r w:rsidRPr="009F2998">
              <w:rPr>
                <w:rFonts w:ascii="Times New Roman" w:hAnsi="Times New Roman" w:cs="Times New Roman"/>
                <w:b/>
              </w:rPr>
              <w:t xml:space="preserve">[tis. </w:t>
            </w:r>
            <w:r w:rsidR="000C2919">
              <w:rPr>
                <w:rFonts w:ascii="Times New Roman" w:hAnsi="Times New Roman" w:cs="Times New Roman"/>
                <w:b/>
              </w:rPr>
              <w:t>Eur</w:t>
            </w:r>
            <w:r w:rsidRPr="009F2998">
              <w:rPr>
                <w:rFonts w:ascii="Times New Roman" w:hAnsi="Times New Roman" w:cs="Times New Roman"/>
                <w:b/>
              </w:rPr>
              <w:t>]</w:t>
            </w:r>
          </w:p>
          <w:p w14:paraId="321DBD68" w14:textId="77777777" w:rsidR="00902157" w:rsidRPr="009F2998" w:rsidRDefault="00902157" w:rsidP="00EE18EC">
            <w:pPr>
              <w:spacing w:after="0" w:line="240" w:lineRule="auto"/>
              <w:jc w:val="center"/>
              <w:rPr>
                <w:rFonts w:ascii="Times New Roman" w:hAnsi="Times New Roman" w:cs="Times New Roman"/>
                <w:b/>
              </w:rPr>
            </w:pPr>
          </w:p>
        </w:tc>
      </w:tr>
      <w:tr w:rsidR="00902157" w:rsidRPr="009F2998" w14:paraId="61E42D62" w14:textId="77777777" w:rsidTr="004E746F">
        <w:trPr>
          <w:trHeight w:val="255"/>
        </w:trPr>
        <w:tc>
          <w:tcPr>
            <w:tcW w:w="825" w:type="pct"/>
            <w:vMerge/>
            <w:shd w:val="clear" w:color="auto" w:fill="C0C0C0"/>
            <w:vAlign w:val="center"/>
          </w:tcPr>
          <w:p w14:paraId="7A9982AD" w14:textId="77777777" w:rsidR="00902157" w:rsidRPr="009F2998" w:rsidRDefault="00902157" w:rsidP="00EE18EC">
            <w:pPr>
              <w:spacing w:after="0" w:line="240" w:lineRule="auto"/>
              <w:rPr>
                <w:rFonts w:ascii="Times New Roman" w:hAnsi="Times New Roman" w:cs="Times New Roman"/>
                <w:b/>
              </w:rPr>
            </w:pPr>
          </w:p>
        </w:tc>
        <w:tc>
          <w:tcPr>
            <w:tcW w:w="1063" w:type="pct"/>
            <w:shd w:val="clear" w:color="auto" w:fill="C0C0C0"/>
            <w:noWrap/>
            <w:vAlign w:val="center"/>
          </w:tcPr>
          <w:p w14:paraId="6E372433" w14:textId="068ADD92" w:rsidR="00902157" w:rsidRPr="009F2998" w:rsidRDefault="00902157" w:rsidP="00EE18EC">
            <w:pPr>
              <w:spacing w:after="0" w:line="240" w:lineRule="auto"/>
              <w:jc w:val="center"/>
              <w:rPr>
                <w:rFonts w:ascii="Times New Roman" w:hAnsi="Times New Roman" w:cs="Times New Roman"/>
                <w:b/>
              </w:rPr>
            </w:pPr>
            <w:r w:rsidRPr="009F2998">
              <w:rPr>
                <w:rFonts w:ascii="Times New Roman" w:hAnsi="Times New Roman" w:cs="Times New Roman"/>
                <w:b/>
              </w:rPr>
              <w:t xml:space="preserve">Plánovaná </w:t>
            </w:r>
            <w:r w:rsidR="008D65F1" w:rsidRPr="009F2998">
              <w:rPr>
                <w:rFonts w:ascii="Times New Roman" w:hAnsi="Times New Roman" w:cs="Times New Roman"/>
                <w:b/>
              </w:rPr>
              <w:t>v 3AP</w:t>
            </w:r>
          </w:p>
        </w:tc>
        <w:tc>
          <w:tcPr>
            <w:tcW w:w="1024" w:type="pct"/>
            <w:tcBorders>
              <w:right w:val="single" w:sz="12" w:space="0" w:color="auto"/>
            </w:tcBorders>
            <w:shd w:val="clear" w:color="auto" w:fill="C0C0C0"/>
            <w:vAlign w:val="center"/>
          </w:tcPr>
          <w:p w14:paraId="5474B462" w14:textId="6667478E" w:rsidR="00902157" w:rsidRPr="009F2998" w:rsidRDefault="00902157" w:rsidP="00EE18EC">
            <w:pPr>
              <w:spacing w:after="0" w:line="240" w:lineRule="auto"/>
              <w:jc w:val="center"/>
              <w:rPr>
                <w:rFonts w:ascii="Times New Roman" w:hAnsi="Times New Roman" w:cs="Times New Roman"/>
                <w:b/>
              </w:rPr>
            </w:pPr>
            <w:r w:rsidRPr="009F2998">
              <w:rPr>
                <w:rFonts w:ascii="Times New Roman" w:hAnsi="Times New Roman" w:cs="Times New Roman"/>
                <w:b/>
              </w:rPr>
              <w:t>Dosiahnutá</w:t>
            </w:r>
            <w:r w:rsidR="00AD037D" w:rsidRPr="009F2998">
              <w:rPr>
                <w:rStyle w:val="Odkaznapoznmkupodiarou"/>
                <w:rFonts w:ascii="Times New Roman" w:hAnsi="Times New Roman" w:cs="Times New Roman"/>
                <w:b/>
              </w:rPr>
              <w:footnoteReference w:id="23"/>
            </w:r>
          </w:p>
        </w:tc>
        <w:tc>
          <w:tcPr>
            <w:tcW w:w="1019" w:type="pct"/>
            <w:tcBorders>
              <w:left w:val="single" w:sz="12" w:space="0" w:color="auto"/>
            </w:tcBorders>
            <w:shd w:val="clear" w:color="auto" w:fill="C0C0C0"/>
            <w:vAlign w:val="center"/>
          </w:tcPr>
          <w:p w14:paraId="1C38F72F" w14:textId="6F45B8E9" w:rsidR="00902157" w:rsidRPr="009F2998" w:rsidRDefault="00902157" w:rsidP="00EE18EC">
            <w:pPr>
              <w:spacing w:after="0" w:line="240" w:lineRule="auto"/>
              <w:jc w:val="center"/>
              <w:rPr>
                <w:rFonts w:ascii="Times New Roman" w:hAnsi="Times New Roman" w:cs="Times New Roman"/>
                <w:b/>
              </w:rPr>
            </w:pPr>
            <w:r w:rsidRPr="009F2998">
              <w:rPr>
                <w:rFonts w:ascii="Times New Roman" w:hAnsi="Times New Roman" w:cs="Times New Roman"/>
                <w:b/>
              </w:rPr>
              <w:t>Plánované</w:t>
            </w:r>
            <w:r w:rsidR="008D65F1" w:rsidRPr="009F2998">
              <w:rPr>
                <w:rFonts w:ascii="Times New Roman" w:hAnsi="Times New Roman" w:cs="Times New Roman"/>
                <w:b/>
              </w:rPr>
              <w:t xml:space="preserve"> v 3AP</w:t>
            </w:r>
          </w:p>
        </w:tc>
        <w:tc>
          <w:tcPr>
            <w:tcW w:w="1069" w:type="pct"/>
            <w:shd w:val="clear" w:color="auto" w:fill="C0C0C0"/>
            <w:vAlign w:val="center"/>
          </w:tcPr>
          <w:p w14:paraId="506F88E9" w14:textId="77777777" w:rsidR="00902157" w:rsidRPr="009F2998" w:rsidRDefault="00902157" w:rsidP="00EE18EC">
            <w:pPr>
              <w:spacing w:after="0" w:line="240" w:lineRule="auto"/>
              <w:jc w:val="center"/>
              <w:rPr>
                <w:rFonts w:ascii="Times New Roman" w:hAnsi="Times New Roman" w:cs="Times New Roman"/>
                <w:b/>
              </w:rPr>
            </w:pPr>
            <w:r w:rsidRPr="009F2998">
              <w:rPr>
                <w:rFonts w:ascii="Times New Roman" w:hAnsi="Times New Roman" w:cs="Times New Roman"/>
                <w:b/>
              </w:rPr>
              <w:t xml:space="preserve">Reálne vynaložené </w:t>
            </w:r>
          </w:p>
        </w:tc>
      </w:tr>
      <w:tr w:rsidR="00CC3518" w:rsidRPr="009F2998" w14:paraId="50A52235" w14:textId="77777777" w:rsidTr="00AF5415">
        <w:trPr>
          <w:trHeight w:val="255"/>
        </w:trPr>
        <w:tc>
          <w:tcPr>
            <w:tcW w:w="825" w:type="pct"/>
            <w:shd w:val="clear" w:color="auto" w:fill="FFFFFF"/>
            <w:vAlign w:val="center"/>
          </w:tcPr>
          <w:p w14:paraId="09ADE12C" w14:textId="77777777" w:rsidR="00CC3518" w:rsidRPr="009F2998" w:rsidRDefault="00CC3518" w:rsidP="00CC3518">
            <w:pPr>
              <w:spacing w:after="0" w:line="240" w:lineRule="auto"/>
              <w:rPr>
                <w:rFonts w:ascii="Times New Roman" w:hAnsi="Times New Roman" w:cs="Times New Roman"/>
              </w:rPr>
            </w:pPr>
            <w:r w:rsidRPr="009F2998">
              <w:rPr>
                <w:rFonts w:ascii="Times New Roman" w:hAnsi="Times New Roman" w:cs="Times New Roman"/>
              </w:rPr>
              <w:t>Budovy</w:t>
            </w:r>
          </w:p>
        </w:tc>
        <w:tc>
          <w:tcPr>
            <w:tcW w:w="1063" w:type="pct"/>
            <w:shd w:val="clear" w:color="auto" w:fill="FFFFFF"/>
            <w:noWrap/>
            <w:vAlign w:val="center"/>
          </w:tcPr>
          <w:p w14:paraId="6EA3FCEB" w14:textId="23310800" w:rsidR="00CC3518" w:rsidRPr="009F2998" w:rsidRDefault="00CC3518" w:rsidP="00CC3518">
            <w:pPr>
              <w:spacing w:after="0" w:line="240" w:lineRule="auto"/>
              <w:jc w:val="right"/>
              <w:rPr>
                <w:rFonts w:ascii="Times New Roman" w:hAnsi="Times New Roman" w:cs="Times New Roman"/>
              </w:rPr>
            </w:pPr>
            <w:r w:rsidRPr="009F2998">
              <w:rPr>
                <w:rFonts w:ascii="Times New Roman" w:hAnsi="Times New Roman" w:cs="Times New Roman"/>
              </w:rPr>
              <w:t>3 087,00</w:t>
            </w:r>
          </w:p>
        </w:tc>
        <w:tc>
          <w:tcPr>
            <w:tcW w:w="1024" w:type="pct"/>
            <w:tcBorders>
              <w:top w:val="single" w:sz="4" w:space="0" w:color="auto"/>
              <w:left w:val="single" w:sz="4" w:space="0" w:color="auto"/>
              <w:bottom w:val="single" w:sz="4" w:space="0" w:color="auto"/>
              <w:right w:val="nil"/>
            </w:tcBorders>
            <w:shd w:val="clear" w:color="auto" w:fill="auto"/>
            <w:vAlign w:val="center"/>
          </w:tcPr>
          <w:p w14:paraId="242ABC75" w14:textId="0F94BADA" w:rsidR="00CC3518" w:rsidRPr="00AF5415" w:rsidRDefault="00CC3518">
            <w:pPr>
              <w:spacing w:after="0" w:line="240" w:lineRule="auto"/>
              <w:jc w:val="right"/>
              <w:rPr>
                <w:rFonts w:ascii="Times New Roman" w:hAnsi="Times New Roman" w:cs="Times New Roman"/>
                <w:sz w:val="20"/>
                <w:szCs w:val="20"/>
              </w:rPr>
            </w:pPr>
            <w:r w:rsidRPr="00AF5415">
              <w:rPr>
                <w:rFonts w:ascii="Times New Roman" w:hAnsi="Times New Roman" w:cs="Times New Roman"/>
                <w:color w:val="000000"/>
                <w:sz w:val="20"/>
                <w:szCs w:val="20"/>
              </w:rPr>
              <w:t>5 050,81</w:t>
            </w:r>
          </w:p>
        </w:tc>
        <w:tc>
          <w:tcPr>
            <w:tcW w:w="1019" w:type="pct"/>
            <w:tcBorders>
              <w:left w:val="single" w:sz="12" w:space="0" w:color="auto"/>
            </w:tcBorders>
            <w:shd w:val="clear" w:color="auto" w:fill="FFFFFF"/>
            <w:vAlign w:val="center"/>
          </w:tcPr>
          <w:p w14:paraId="168C9C5D" w14:textId="0758DED1" w:rsidR="00CC3518" w:rsidRPr="009F2998" w:rsidRDefault="00CC3518">
            <w:pPr>
              <w:spacing w:after="0" w:line="240" w:lineRule="auto"/>
              <w:jc w:val="right"/>
              <w:rPr>
                <w:rFonts w:ascii="Times New Roman" w:hAnsi="Times New Roman" w:cs="Times New Roman"/>
              </w:rPr>
            </w:pPr>
            <w:r w:rsidRPr="009F2998">
              <w:rPr>
                <w:rFonts w:ascii="Times New Roman" w:hAnsi="Times New Roman" w:cs="Times New Roman"/>
              </w:rPr>
              <w:t>3 160 612</w:t>
            </w:r>
          </w:p>
        </w:tc>
        <w:tc>
          <w:tcPr>
            <w:tcW w:w="1069" w:type="pct"/>
            <w:tcBorders>
              <w:top w:val="nil"/>
              <w:left w:val="single" w:sz="4" w:space="0" w:color="auto"/>
              <w:bottom w:val="single" w:sz="4" w:space="0" w:color="auto"/>
              <w:right w:val="single" w:sz="8" w:space="0" w:color="auto"/>
            </w:tcBorders>
            <w:shd w:val="clear" w:color="auto" w:fill="auto"/>
            <w:vAlign w:val="center"/>
          </w:tcPr>
          <w:p w14:paraId="2B5756AE" w14:textId="696ACDA0" w:rsidR="00CC3518" w:rsidRPr="00CC3518" w:rsidRDefault="00CC3518">
            <w:pPr>
              <w:spacing w:after="0" w:line="240" w:lineRule="auto"/>
              <w:jc w:val="right"/>
              <w:rPr>
                <w:rFonts w:ascii="Times New Roman" w:hAnsi="Times New Roman" w:cs="Times New Roman"/>
              </w:rPr>
            </w:pPr>
            <w:r w:rsidRPr="00AF5415">
              <w:rPr>
                <w:rFonts w:ascii="Times New Roman" w:hAnsi="Times New Roman" w:cs="Times New Roman"/>
                <w:color w:val="000000"/>
              </w:rPr>
              <w:t>3 677 826</w:t>
            </w:r>
          </w:p>
        </w:tc>
      </w:tr>
      <w:tr w:rsidR="00CC3518" w:rsidRPr="009F2998" w14:paraId="3D1F3A4A" w14:textId="77777777" w:rsidTr="00AF5415">
        <w:trPr>
          <w:trHeight w:val="255"/>
        </w:trPr>
        <w:tc>
          <w:tcPr>
            <w:tcW w:w="825" w:type="pct"/>
            <w:shd w:val="clear" w:color="auto" w:fill="FFFFFF"/>
            <w:vAlign w:val="center"/>
          </w:tcPr>
          <w:p w14:paraId="6A1E32A7" w14:textId="77777777" w:rsidR="00CC3518" w:rsidRPr="009F2998" w:rsidRDefault="00CC3518" w:rsidP="00CC3518">
            <w:pPr>
              <w:spacing w:after="0" w:line="240" w:lineRule="auto"/>
              <w:rPr>
                <w:rFonts w:ascii="Times New Roman" w:hAnsi="Times New Roman" w:cs="Times New Roman"/>
              </w:rPr>
            </w:pPr>
            <w:r w:rsidRPr="009F2998">
              <w:rPr>
                <w:rFonts w:ascii="Times New Roman" w:hAnsi="Times New Roman" w:cs="Times New Roman"/>
              </w:rPr>
              <w:t>Priemysel</w:t>
            </w:r>
          </w:p>
        </w:tc>
        <w:tc>
          <w:tcPr>
            <w:tcW w:w="1063" w:type="pct"/>
            <w:shd w:val="clear" w:color="auto" w:fill="FFFFFF"/>
            <w:noWrap/>
            <w:vAlign w:val="center"/>
          </w:tcPr>
          <w:p w14:paraId="238A23FC" w14:textId="0000E2DC" w:rsidR="00CC3518" w:rsidRPr="009F2998" w:rsidRDefault="00CC3518" w:rsidP="00CC3518">
            <w:pPr>
              <w:spacing w:after="0" w:line="240" w:lineRule="auto"/>
              <w:jc w:val="right"/>
              <w:rPr>
                <w:rFonts w:ascii="Times New Roman" w:hAnsi="Times New Roman" w:cs="Times New Roman"/>
              </w:rPr>
            </w:pPr>
            <w:r w:rsidRPr="009F2998">
              <w:rPr>
                <w:rFonts w:ascii="Times New Roman" w:hAnsi="Times New Roman" w:cs="Times New Roman"/>
              </w:rPr>
              <w:t>2 568,89</w:t>
            </w:r>
          </w:p>
        </w:tc>
        <w:tc>
          <w:tcPr>
            <w:tcW w:w="1024" w:type="pct"/>
            <w:tcBorders>
              <w:top w:val="nil"/>
              <w:left w:val="single" w:sz="4" w:space="0" w:color="auto"/>
              <w:bottom w:val="single" w:sz="4" w:space="0" w:color="auto"/>
              <w:right w:val="nil"/>
            </w:tcBorders>
            <w:shd w:val="clear" w:color="auto" w:fill="auto"/>
            <w:vAlign w:val="center"/>
          </w:tcPr>
          <w:p w14:paraId="059342EE" w14:textId="76A2BD05" w:rsidR="00CC3518" w:rsidRPr="00AF5415" w:rsidRDefault="00CC3518">
            <w:pPr>
              <w:spacing w:after="0" w:line="240" w:lineRule="auto"/>
              <w:jc w:val="right"/>
              <w:rPr>
                <w:rFonts w:ascii="Times New Roman" w:hAnsi="Times New Roman" w:cs="Times New Roman"/>
                <w:sz w:val="20"/>
                <w:szCs w:val="20"/>
              </w:rPr>
            </w:pPr>
            <w:r w:rsidRPr="00AF5415">
              <w:rPr>
                <w:rFonts w:ascii="Times New Roman" w:hAnsi="Times New Roman" w:cs="Times New Roman"/>
                <w:color w:val="000000"/>
                <w:sz w:val="20"/>
                <w:szCs w:val="20"/>
              </w:rPr>
              <w:t>2 772,04</w:t>
            </w:r>
          </w:p>
        </w:tc>
        <w:tc>
          <w:tcPr>
            <w:tcW w:w="1019" w:type="pct"/>
            <w:tcBorders>
              <w:left w:val="single" w:sz="12" w:space="0" w:color="auto"/>
            </w:tcBorders>
            <w:shd w:val="clear" w:color="auto" w:fill="FFFFFF"/>
            <w:vAlign w:val="center"/>
          </w:tcPr>
          <w:p w14:paraId="7D7B69C4" w14:textId="7768B5BD" w:rsidR="00CC3518" w:rsidRPr="009F2998" w:rsidRDefault="00CC3518">
            <w:pPr>
              <w:spacing w:after="0" w:line="240" w:lineRule="auto"/>
              <w:jc w:val="right"/>
              <w:rPr>
                <w:rFonts w:ascii="Times New Roman" w:hAnsi="Times New Roman" w:cs="Times New Roman"/>
              </w:rPr>
            </w:pPr>
            <w:r w:rsidRPr="009F2998">
              <w:rPr>
                <w:rFonts w:ascii="Times New Roman" w:hAnsi="Times New Roman" w:cs="Times New Roman"/>
              </w:rPr>
              <w:t>873 674</w:t>
            </w:r>
          </w:p>
        </w:tc>
        <w:tc>
          <w:tcPr>
            <w:tcW w:w="1069" w:type="pct"/>
            <w:tcBorders>
              <w:top w:val="nil"/>
              <w:left w:val="single" w:sz="4" w:space="0" w:color="auto"/>
              <w:bottom w:val="single" w:sz="4" w:space="0" w:color="auto"/>
              <w:right w:val="single" w:sz="8" w:space="0" w:color="auto"/>
            </w:tcBorders>
            <w:shd w:val="clear" w:color="auto" w:fill="auto"/>
            <w:vAlign w:val="center"/>
          </w:tcPr>
          <w:p w14:paraId="02958515" w14:textId="5C3A5E01" w:rsidR="00CC3518" w:rsidRPr="00CC3518" w:rsidRDefault="00CC3518">
            <w:pPr>
              <w:spacing w:after="0" w:line="240" w:lineRule="auto"/>
              <w:jc w:val="right"/>
              <w:rPr>
                <w:rFonts w:ascii="Times New Roman" w:hAnsi="Times New Roman" w:cs="Times New Roman"/>
              </w:rPr>
            </w:pPr>
            <w:r w:rsidRPr="00AF5415">
              <w:rPr>
                <w:rFonts w:ascii="Times New Roman" w:hAnsi="Times New Roman" w:cs="Times New Roman"/>
                <w:color w:val="000000"/>
              </w:rPr>
              <w:t>147 022</w:t>
            </w:r>
          </w:p>
        </w:tc>
      </w:tr>
      <w:tr w:rsidR="00CC3518" w:rsidRPr="009F2998" w14:paraId="267F7C87" w14:textId="77777777" w:rsidTr="00AF5415">
        <w:trPr>
          <w:trHeight w:val="255"/>
        </w:trPr>
        <w:tc>
          <w:tcPr>
            <w:tcW w:w="825" w:type="pct"/>
            <w:shd w:val="clear" w:color="auto" w:fill="FFFFFF"/>
            <w:vAlign w:val="center"/>
          </w:tcPr>
          <w:p w14:paraId="720C038C" w14:textId="77777777" w:rsidR="00CC3518" w:rsidRPr="009F2998" w:rsidRDefault="00CC3518" w:rsidP="00CC3518">
            <w:pPr>
              <w:spacing w:after="0" w:line="240" w:lineRule="auto"/>
              <w:rPr>
                <w:rFonts w:ascii="Times New Roman" w:hAnsi="Times New Roman" w:cs="Times New Roman"/>
              </w:rPr>
            </w:pPr>
            <w:r w:rsidRPr="009F2998">
              <w:rPr>
                <w:rFonts w:ascii="Times New Roman" w:hAnsi="Times New Roman" w:cs="Times New Roman"/>
              </w:rPr>
              <w:t>Verejný sektor</w:t>
            </w:r>
          </w:p>
        </w:tc>
        <w:tc>
          <w:tcPr>
            <w:tcW w:w="1063" w:type="pct"/>
            <w:shd w:val="clear" w:color="auto" w:fill="FFFFFF"/>
            <w:noWrap/>
            <w:vAlign w:val="center"/>
          </w:tcPr>
          <w:p w14:paraId="51F0FA75" w14:textId="2B0CB3AE" w:rsidR="00CC3518" w:rsidRPr="009F2998" w:rsidRDefault="00CC3518" w:rsidP="00CC3518">
            <w:pPr>
              <w:spacing w:after="0" w:line="240" w:lineRule="auto"/>
              <w:jc w:val="right"/>
              <w:rPr>
                <w:rFonts w:ascii="Times New Roman" w:hAnsi="Times New Roman" w:cs="Times New Roman"/>
              </w:rPr>
            </w:pPr>
            <w:r w:rsidRPr="009F2998">
              <w:rPr>
                <w:rFonts w:ascii="Times New Roman" w:hAnsi="Times New Roman" w:cs="Times New Roman"/>
              </w:rPr>
              <w:t>1 671,70</w:t>
            </w:r>
          </w:p>
        </w:tc>
        <w:tc>
          <w:tcPr>
            <w:tcW w:w="1024" w:type="pct"/>
            <w:tcBorders>
              <w:top w:val="nil"/>
              <w:left w:val="single" w:sz="4" w:space="0" w:color="auto"/>
              <w:bottom w:val="single" w:sz="4" w:space="0" w:color="auto"/>
              <w:right w:val="nil"/>
            </w:tcBorders>
            <w:shd w:val="clear" w:color="auto" w:fill="auto"/>
            <w:vAlign w:val="center"/>
          </w:tcPr>
          <w:p w14:paraId="24C54A39" w14:textId="46352980" w:rsidR="00CC3518" w:rsidRPr="00AF5415" w:rsidRDefault="00CC3518">
            <w:pPr>
              <w:spacing w:after="0" w:line="240" w:lineRule="auto"/>
              <w:jc w:val="right"/>
              <w:rPr>
                <w:rFonts w:ascii="Times New Roman" w:hAnsi="Times New Roman" w:cs="Times New Roman"/>
                <w:sz w:val="20"/>
                <w:szCs w:val="20"/>
              </w:rPr>
            </w:pPr>
            <w:r w:rsidRPr="00AF5415">
              <w:rPr>
                <w:rFonts w:ascii="Times New Roman" w:hAnsi="Times New Roman" w:cs="Times New Roman"/>
                <w:color w:val="000000"/>
                <w:sz w:val="20"/>
                <w:szCs w:val="20"/>
              </w:rPr>
              <w:t>776,31</w:t>
            </w:r>
          </w:p>
        </w:tc>
        <w:tc>
          <w:tcPr>
            <w:tcW w:w="1019" w:type="pct"/>
            <w:tcBorders>
              <w:left w:val="single" w:sz="12" w:space="0" w:color="auto"/>
            </w:tcBorders>
            <w:shd w:val="clear" w:color="auto" w:fill="FFFFFF"/>
            <w:vAlign w:val="center"/>
          </w:tcPr>
          <w:p w14:paraId="3FBD3FE1" w14:textId="07110E3F" w:rsidR="00CC3518" w:rsidRPr="009F2998" w:rsidRDefault="00CC3518">
            <w:pPr>
              <w:spacing w:after="0" w:line="240" w:lineRule="auto"/>
              <w:jc w:val="right"/>
              <w:rPr>
                <w:rFonts w:ascii="Times New Roman" w:hAnsi="Times New Roman" w:cs="Times New Roman"/>
              </w:rPr>
            </w:pPr>
            <w:r w:rsidRPr="009F2998">
              <w:rPr>
                <w:rFonts w:ascii="Times New Roman" w:hAnsi="Times New Roman" w:cs="Times New Roman"/>
              </w:rPr>
              <w:t>390 834</w:t>
            </w:r>
          </w:p>
        </w:tc>
        <w:tc>
          <w:tcPr>
            <w:tcW w:w="1069" w:type="pct"/>
            <w:tcBorders>
              <w:top w:val="nil"/>
              <w:left w:val="single" w:sz="4" w:space="0" w:color="auto"/>
              <w:bottom w:val="single" w:sz="4" w:space="0" w:color="auto"/>
              <w:right w:val="single" w:sz="8" w:space="0" w:color="auto"/>
            </w:tcBorders>
            <w:shd w:val="clear" w:color="auto" w:fill="auto"/>
            <w:vAlign w:val="center"/>
          </w:tcPr>
          <w:p w14:paraId="5A48660A" w14:textId="0085E4E0" w:rsidR="00CC3518" w:rsidRPr="00CC3518" w:rsidRDefault="00CC3518">
            <w:pPr>
              <w:spacing w:after="0" w:line="240" w:lineRule="auto"/>
              <w:jc w:val="right"/>
              <w:rPr>
                <w:rFonts w:ascii="Times New Roman" w:hAnsi="Times New Roman" w:cs="Times New Roman"/>
              </w:rPr>
            </w:pPr>
            <w:r w:rsidRPr="00AF5415">
              <w:rPr>
                <w:rFonts w:ascii="Times New Roman" w:hAnsi="Times New Roman" w:cs="Times New Roman"/>
                <w:color w:val="000000"/>
              </w:rPr>
              <w:t>290 088</w:t>
            </w:r>
          </w:p>
        </w:tc>
      </w:tr>
      <w:tr w:rsidR="00CC3518" w:rsidRPr="009F2998" w14:paraId="39FA5E77" w14:textId="77777777" w:rsidTr="00AF5415">
        <w:trPr>
          <w:trHeight w:val="255"/>
        </w:trPr>
        <w:tc>
          <w:tcPr>
            <w:tcW w:w="825" w:type="pct"/>
            <w:shd w:val="clear" w:color="auto" w:fill="FFFFFF"/>
            <w:vAlign w:val="center"/>
          </w:tcPr>
          <w:p w14:paraId="03D91A4B" w14:textId="77777777" w:rsidR="00CC3518" w:rsidRPr="009F2998" w:rsidRDefault="00CC3518" w:rsidP="00CC3518">
            <w:pPr>
              <w:spacing w:after="0" w:line="240" w:lineRule="auto"/>
              <w:rPr>
                <w:rFonts w:ascii="Times New Roman" w:hAnsi="Times New Roman" w:cs="Times New Roman"/>
              </w:rPr>
            </w:pPr>
            <w:r w:rsidRPr="009F2998">
              <w:rPr>
                <w:rFonts w:ascii="Times New Roman" w:hAnsi="Times New Roman" w:cs="Times New Roman"/>
              </w:rPr>
              <w:t>Doprava</w:t>
            </w:r>
          </w:p>
        </w:tc>
        <w:tc>
          <w:tcPr>
            <w:tcW w:w="1063" w:type="pct"/>
            <w:shd w:val="clear" w:color="auto" w:fill="FFFFFF"/>
            <w:noWrap/>
            <w:vAlign w:val="center"/>
          </w:tcPr>
          <w:p w14:paraId="3AD25B28" w14:textId="13619DEE" w:rsidR="00CC3518" w:rsidRPr="009F2998" w:rsidRDefault="00CC3518" w:rsidP="00CC3518">
            <w:pPr>
              <w:spacing w:after="0" w:line="240" w:lineRule="auto"/>
              <w:jc w:val="right"/>
              <w:rPr>
                <w:rFonts w:ascii="Times New Roman" w:hAnsi="Times New Roman" w:cs="Times New Roman"/>
              </w:rPr>
            </w:pPr>
            <w:r w:rsidRPr="009F2998">
              <w:rPr>
                <w:rFonts w:ascii="Times New Roman" w:hAnsi="Times New Roman" w:cs="Times New Roman"/>
              </w:rPr>
              <w:t>576,02</w:t>
            </w:r>
          </w:p>
        </w:tc>
        <w:tc>
          <w:tcPr>
            <w:tcW w:w="1024" w:type="pct"/>
            <w:tcBorders>
              <w:top w:val="nil"/>
              <w:left w:val="single" w:sz="4" w:space="0" w:color="auto"/>
              <w:bottom w:val="single" w:sz="4" w:space="0" w:color="auto"/>
              <w:right w:val="nil"/>
            </w:tcBorders>
            <w:shd w:val="clear" w:color="auto" w:fill="auto"/>
            <w:vAlign w:val="center"/>
          </w:tcPr>
          <w:p w14:paraId="32FFD1F1" w14:textId="2BAA22E5" w:rsidR="00CC3518" w:rsidRPr="00AF5415" w:rsidRDefault="00CC3518">
            <w:pPr>
              <w:spacing w:after="0" w:line="240" w:lineRule="auto"/>
              <w:jc w:val="right"/>
              <w:rPr>
                <w:rFonts w:ascii="Times New Roman" w:hAnsi="Times New Roman" w:cs="Times New Roman"/>
                <w:sz w:val="20"/>
                <w:szCs w:val="20"/>
              </w:rPr>
            </w:pPr>
            <w:r w:rsidRPr="00AF5415">
              <w:rPr>
                <w:rFonts w:ascii="Times New Roman" w:hAnsi="Times New Roman" w:cs="Times New Roman"/>
                <w:color w:val="000000"/>
                <w:sz w:val="20"/>
                <w:szCs w:val="20"/>
              </w:rPr>
              <w:t>896,52</w:t>
            </w:r>
          </w:p>
        </w:tc>
        <w:tc>
          <w:tcPr>
            <w:tcW w:w="1019" w:type="pct"/>
            <w:tcBorders>
              <w:left w:val="single" w:sz="12" w:space="0" w:color="auto"/>
            </w:tcBorders>
            <w:shd w:val="clear" w:color="auto" w:fill="FFFFFF"/>
            <w:vAlign w:val="center"/>
          </w:tcPr>
          <w:p w14:paraId="1B25DE2C" w14:textId="75445872" w:rsidR="00CC3518" w:rsidRPr="009F2998" w:rsidRDefault="00CC3518">
            <w:pPr>
              <w:spacing w:after="0" w:line="240" w:lineRule="auto"/>
              <w:jc w:val="right"/>
              <w:rPr>
                <w:rFonts w:ascii="Times New Roman" w:hAnsi="Times New Roman" w:cs="Times New Roman"/>
              </w:rPr>
            </w:pPr>
            <w:r w:rsidRPr="009F2998">
              <w:rPr>
                <w:rFonts w:ascii="Times New Roman" w:hAnsi="Times New Roman" w:cs="Times New Roman"/>
              </w:rPr>
              <w:t>3 868 046</w:t>
            </w:r>
          </w:p>
        </w:tc>
        <w:tc>
          <w:tcPr>
            <w:tcW w:w="1069" w:type="pct"/>
            <w:tcBorders>
              <w:top w:val="nil"/>
              <w:left w:val="single" w:sz="4" w:space="0" w:color="auto"/>
              <w:bottom w:val="single" w:sz="4" w:space="0" w:color="auto"/>
              <w:right w:val="single" w:sz="8" w:space="0" w:color="auto"/>
            </w:tcBorders>
            <w:shd w:val="clear" w:color="auto" w:fill="auto"/>
            <w:vAlign w:val="center"/>
          </w:tcPr>
          <w:p w14:paraId="16C90CBD" w14:textId="3909638A" w:rsidR="00CC3518" w:rsidRPr="00CC3518" w:rsidRDefault="00CC3518">
            <w:pPr>
              <w:spacing w:after="0" w:line="240" w:lineRule="auto"/>
              <w:jc w:val="right"/>
              <w:rPr>
                <w:rFonts w:ascii="Times New Roman" w:hAnsi="Times New Roman" w:cs="Times New Roman"/>
              </w:rPr>
            </w:pPr>
            <w:r w:rsidRPr="00AF5415">
              <w:rPr>
                <w:rFonts w:ascii="Times New Roman" w:hAnsi="Times New Roman" w:cs="Times New Roman"/>
                <w:color w:val="000000"/>
              </w:rPr>
              <w:t>1 456 598</w:t>
            </w:r>
          </w:p>
        </w:tc>
      </w:tr>
      <w:tr w:rsidR="00CC3518" w:rsidRPr="009F2998" w14:paraId="17F3F22F" w14:textId="77777777" w:rsidTr="00AF5415">
        <w:trPr>
          <w:trHeight w:val="255"/>
        </w:trPr>
        <w:tc>
          <w:tcPr>
            <w:tcW w:w="825" w:type="pct"/>
            <w:shd w:val="clear" w:color="auto" w:fill="FFFFFF"/>
            <w:vAlign w:val="center"/>
          </w:tcPr>
          <w:p w14:paraId="5506D0B9" w14:textId="77777777" w:rsidR="00CC3518" w:rsidRPr="009F2998" w:rsidRDefault="00CC3518" w:rsidP="00CC3518">
            <w:pPr>
              <w:spacing w:after="0" w:line="240" w:lineRule="auto"/>
              <w:rPr>
                <w:rFonts w:ascii="Times New Roman" w:hAnsi="Times New Roman" w:cs="Times New Roman"/>
              </w:rPr>
            </w:pPr>
            <w:r w:rsidRPr="009F2998">
              <w:rPr>
                <w:rFonts w:ascii="Times New Roman" w:hAnsi="Times New Roman" w:cs="Times New Roman"/>
              </w:rPr>
              <w:t>Spotrebiče</w:t>
            </w:r>
          </w:p>
        </w:tc>
        <w:tc>
          <w:tcPr>
            <w:tcW w:w="1063" w:type="pct"/>
            <w:shd w:val="clear" w:color="auto" w:fill="FFFFFF"/>
            <w:noWrap/>
            <w:vAlign w:val="center"/>
          </w:tcPr>
          <w:p w14:paraId="01822CB7" w14:textId="58E25B71" w:rsidR="00CC3518" w:rsidRPr="009F2998" w:rsidRDefault="00CC3518" w:rsidP="00CC3518">
            <w:pPr>
              <w:spacing w:after="0" w:line="240" w:lineRule="auto"/>
              <w:jc w:val="right"/>
              <w:rPr>
                <w:rFonts w:ascii="Times New Roman" w:hAnsi="Times New Roman" w:cs="Times New Roman"/>
              </w:rPr>
            </w:pPr>
            <w:r w:rsidRPr="009F2998">
              <w:rPr>
                <w:rFonts w:ascii="Times New Roman" w:hAnsi="Times New Roman" w:cs="Times New Roman"/>
              </w:rPr>
              <w:t>737,32</w:t>
            </w:r>
          </w:p>
        </w:tc>
        <w:tc>
          <w:tcPr>
            <w:tcW w:w="1024" w:type="pct"/>
            <w:tcBorders>
              <w:top w:val="nil"/>
              <w:left w:val="single" w:sz="4" w:space="0" w:color="auto"/>
              <w:bottom w:val="single" w:sz="4" w:space="0" w:color="auto"/>
              <w:right w:val="nil"/>
            </w:tcBorders>
            <w:shd w:val="clear" w:color="auto" w:fill="auto"/>
            <w:vAlign w:val="center"/>
          </w:tcPr>
          <w:p w14:paraId="79FA2458" w14:textId="383C7AE4" w:rsidR="00CC3518" w:rsidRPr="00AF5415" w:rsidRDefault="00CC3518">
            <w:pPr>
              <w:spacing w:after="0" w:line="240" w:lineRule="auto"/>
              <w:jc w:val="right"/>
              <w:rPr>
                <w:rFonts w:ascii="Times New Roman" w:hAnsi="Times New Roman" w:cs="Times New Roman"/>
                <w:sz w:val="20"/>
                <w:szCs w:val="20"/>
              </w:rPr>
            </w:pPr>
            <w:r w:rsidRPr="00AF5415">
              <w:rPr>
                <w:rFonts w:ascii="Times New Roman" w:hAnsi="Times New Roman" w:cs="Times New Roman"/>
                <w:color w:val="000000"/>
                <w:sz w:val="20"/>
                <w:szCs w:val="20"/>
              </w:rPr>
              <w:t>569,77</w:t>
            </w:r>
          </w:p>
        </w:tc>
        <w:tc>
          <w:tcPr>
            <w:tcW w:w="1019" w:type="pct"/>
            <w:tcBorders>
              <w:left w:val="single" w:sz="12" w:space="0" w:color="auto"/>
            </w:tcBorders>
            <w:shd w:val="clear" w:color="auto" w:fill="FFFFFF"/>
            <w:vAlign w:val="center"/>
          </w:tcPr>
          <w:p w14:paraId="0C514932" w14:textId="5A020A9E" w:rsidR="00CC3518" w:rsidRPr="009F2998" w:rsidRDefault="00CC3518">
            <w:pPr>
              <w:spacing w:after="0" w:line="240" w:lineRule="auto"/>
              <w:jc w:val="right"/>
              <w:rPr>
                <w:rFonts w:ascii="Times New Roman" w:hAnsi="Times New Roman" w:cs="Times New Roman"/>
              </w:rPr>
            </w:pPr>
            <w:r w:rsidRPr="009F2998">
              <w:rPr>
                <w:rFonts w:ascii="Times New Roman" w:hAnsi="Times New Roman" w:cs="Times New Roman"/>
              </w:rPr>
              <w:t>119 886</w:t>
            </w:r>
          </w:p>
        </w:tc>
        <w:tc>
          <w:tcPr>
            <w:tcW w:w="1069" w:type="pct"/>
            <w:tcBorders>
              <w:top w:val="nil"/>
              <w:left w:val="single" w:sz="4" w:space="0" w:color="auto"/>
              <w:bottom w:val="single" w:sz="4" w:space="0" w:color="auto"/>
              <w:right w:val="single" w:sz="8" w:space="0" w:color="auto"/>
            </w:tcBorders>
            <w:shd w:val="clear" w:color="auto" w:fill="auto"/>
            <w:vAlign w:val="center"/>
          </w:tcPr>
          <w:p w14:paraId="2571C088" w14:textId="03433F38" w:rsidR="00CC3518" w:rsidRPr="00CC3518" w:rsidRDefault="00CC3518">
            <w:pPr>
              <w:spacing w:after="0" w:line="240" w:lineRule="auto"/>
              <w:jc w:val="right"/>
              <w:rPr>
                <w:rFonts w:ascii="Times New Roman" w:hAnsi="Times New Roman" w:cs="Times New Roman"/>
              </w:rPr>
            </w:pPr>
            <w:r w:rsidRPr="00AF5415">
              <w:rPr>
                <w:rFonts w:ascii="Times New Roman" w:hAnsi="Times New Roman" w:cs="Times New Roman"/>
                <w:color w:val="000000"/>
              </w:rPr>
              <w:t>104 188</w:t>
            </w:r>
          </w:p>
        </w:tc>
      </w:tr>
      <w:tr w:rsidR="00CC3518" w:rsidRPr="009F2998" w14:paraId="599B35B6" w14:textId="77777777" w:rsidTr="00AF5415">
        <w:trPr>
          <w:trHeight w:val="270"/>
        </w:trPr>
        <w:tc>
          <w:tcPr>
            <w:tcW w:w="825" w:type="pct"/>
            <w:tcBorders>
              <w:bottom w:val="single" w:sz="4" w:space="0" w:color="auto"/>
            </w:tcBorders>
            <w:shd w:val="clear" w:color="auto" w:fill="FFFFFF"/>
            <w:vAlign w:val="center"/>
          </w:tcPr>
          <w:p w14:paraId="57937EE1" w14:textId="77777777" w:rsidR="00CC3518" w:rsidRPr="009F2998" w:rsidRDefault="00CC3518" w:rsidP="00CC3518">
            <w:pPr>
              <w:spacing w:after="0" w:line="240" w:lineRule="auto"/>
              <w:rPr>
                <w:rFonts w:ascii="Times New Roman" w:hAnsi="Times New Roman" w:cs="Times New Roman"/>
                <w:b/>
              </w:rPr>
            </w:pPr>
            <w:r w:rsidRPr="009F2998">
              <w:rPr>
                <w:rFonts w:ascii="Times New Roman" w:hAnsi="Times New Roman" w:cs="Times New Roman"/>
                <w:b/>
              </w:rPr>
              <w:t>Spolu</w:t>
            </w:r>
          </w:p>
        </w:tc>
        <w:tc>
          <w:tcPr>
            <w:tcW w:w="1063" w:type="pct"/>
            <w:tcBorders>
              <w:bottom w:val="single" w:sz="4" w:space="0" w:color="auto"/>
            </w:tcBorders>
            <w:shd w:val="clear" w:color="auto" w:fill="FFFFFF"/>
            <w:noWrap/>
            <w:vAlign w:val="center"/>
          </w:tcPr>
          <w:p w14:paraId="50775182" w14:textId="6A8C9E0F" w:rsidR="00CC3518" w:rsidRPr="009F2998" w:rsidRDefault="00CC3518" w:rsidP="00CC3518">
            <w:pPr>
              <w:spacing w:after="0" w:line="240" w:lineRule="auto"/>
              <w:jc w:val="right"/>
              <w:rPr>
                <w:rFonts w:ascii="Times New Roman" w:hAnsi="Times New Roman" w:cs="Times New Roman"/>
                <w:b/>
                <w:bCs/>
                <w:color w:val="000000"/>
              </w:rPr>
            </w:pPr>
            <w:r w:rsidRPr="009F2998">
              <w:rPr>
                <w:rFonts w:ascii="Times New Roman" w:hAnsi="Times New Roman" w:cs="Times New Roman"/>
                <w:b/>
                <w:bCs/>
                <w:color w:val="000000"/>
              </w:rPr>
              <w:t>8 640,93</w:t>
            </w:r>
          </w:p>
        </w:tc>
        <w:tc>
          <w:tcPr>
            <w:tcW w:w="1024" w:type="pct"/>
            <w:tcBorders>
              <w:top w:val="nil"/>
              <w:left w:val="single" w:sz="4" w:space="0" w:color="auto"/>
              <w:bottom w:val="single" w:sz="4" w:space="0" w:color="auto"/>
              <w:right w:val="nil"/>
            </w:tcBorders>
            <w:shd w:val="clear" w:color="auto" w:fill="auto"/>
            <w:vAlign w:val="center"/>
          </w:tcPr>
          <w:p w14:paraId="0C7EC4EB" w14:textId="45DCF846" w:rsidR="00CC3518" w:rsidRPr="00AF5415" w:rsidRDefault="00CC3518">
            <w:pPr>
              <w:spacing w:after="0" w:line="240" w:lineRule="auto"/>
              <w:jc w:val="right"/>
              <w:rPr>
                <w:rFonts w:ascii="Times New Roman" w:hAnsi="Times New Roman" w:cs="Times New Roman"/>
                <w:b/>
                <w:sz w:val="20"/>
                <w:szCs w:val="20"/>
              </w:rPr>
            </w:pPr>
            <w:r w:rsidRPr="00AF5415">
              <w:rPr>
                <w:rFonts w:ascii="Times New Roman" w:hAnsi="Times New Roman" w:cs="Times New Roman"/>
                <w:b/>
                <w:bCs/>
                <w:color w:val="000000"/>
                <w:sz w:val="20"/>
                <w:szCs w:val="20"/>
              </w:rPr>
              <w:t>10 065,45</w:t>
            </w:r>
          </w:p>
        </w:tc>
        <w:tc>
          <w:tcPr>
            <w:tcW w:w="1019" w:type="pct"/>
            <w:tcBorders>
              <w:left w:val="single" w:sz="12" w:space="0" w:color="auto"/>
              <w:bottom w:val="single" w:sz="4" w:space="0" w:color="auto"/>
            </w:tcBorders>
            <w:shd w:val="clear" w:color="auto" w:fill="FFFFFF"/>
            <w:vAlign w:val="center"/>
          </w:tcPr>
          <w:p w14:paraId="765512EE" w14:textId="2AAAEB30" w:rsidR="00CC3518" w:rsidRPr="009F2998" w:rsidRDefault="00CC3518">
            <w:pPr>
              <w:spacing w:after="0" w:line="240" w:lineRule="auto"/>
              <w:jc w:val="right"/>
              <w:rPr>
                <w:rFonts w:ascii="Times New Roman" w:hAnsi="Times New Roman" w:cs="Times New Roman"/>
                <w:b/>
              </w:rPr>
            </w:pPr>
            <w:r w:rsidRPr="009F2998">
              <w:rPr>
                <w:rFonts w:ascii="Times New Roman" w:hAnsi="Times New Roman" w:cs="Times New Roman"/>
                <w:b/>
              </w:rPr>
              <w:t>8 413 052</w:t>
            </w:r>
          </w:p>
        </w:tc>
        <w:tc>
          <w:tcPr>
            <w:tcW w:w="1069" w:type="pct"/>
            <w:tcBorders>
              <w:bottom w:val="single" w:sz="4" w:space="0" w:color="auto"/>
            </w:tcBorders>
            <w:shd w:val="clear" w:color="auto" w:fill="FFFFFF"/>
            <w:vAlign w:val="center"/>
          </w:tcPr>
          <w:p w14:paraId="38C43111" w14:textId="492D605C" w:rsidR="00CC3518" w:rsidRPr="00CC3518" w:rsidRDefault="00CC3518">
            <w:pPr>
              <w:spacing w:after="0" w:line="240" w:lineRule="auto"/>
              <w:jc w:val="right"/>
              <w:rPr>
                <w:rFonts w:ascii="Times New Roman" w:hAnsi="Times New Roman" w:cs="Times New Roman"/>
                <w:b/>
              </w:rPr>
            </w:pPr>
            <w:r w:rsidRPr="00CC3518">
              <w:rPr>
                <w:rFonts w:ascii="Times New Roman" w:hAnsi="Times New Roman" w:cs="Times New Roman"/>
                <w:b/>
              </w:rPr>
              <w:t>5 675 721</w:t>
            </w:r>
          </w:p>
        </w:tc>
      </w:tr>
    </w:tbl>
    <w:p w14:paraId="3B1908B6" w14:textId="77777777" w:rsidR="008029A8" w:rsidRDefault="008029A8" w:rsidP="00902157">
      <w:pPr>
        <w:jc w:val="both"/>
        <w:rPr>
          <w:rFonts w:ascii="Times New Roman" w:hAnsi="Times New Roman" w:cs="Times New Roman"/>
        </w:rPr>
      </w:pPr>
    </w:p>
    <w:p w14:paraId="6B3C7313" w14:textId="35579641" w:rsidR="00902157" w:rsidRDefault="00902157" w:rsidP="00902157">
      <w:pPr>
        <w:jc w:val="both"/>
        <w:rPr>
          <w:rFonts w:ascii="Times New Roman" w:hAnsi="Times New Roman" w:cs="Times New Roman"/>
          <w:sz w:val="24"/>
          <w:szCs w:val="24"/>
        </w:rPr>
      </w:pPr>
      <w:r w:rsidRPr="000745A8">
        <w:rPr>
          <w:rFonts w:ascii="Times New Roman" w:hAnsi="Times New Roman" w:cs="Times New Roman"/>
          <w:sz w:val="24"/>
          <w:szCs w:val="24"/>
        </w:rPr>
        <w:t xml:space="preserve">Najvyšší podiel na </w:t>
      </w:r>
      <w:r w:rsidR="00AF6574" w:rsidRPr="000745A8">
        <w:rPr>
          <w:rFonts w:ascii="Times New Roman" w:hAnsi="Times New Roman" w:cs="Times New Roman"/>
          <w:sz w:val="24"/>
          <w:szCs w:val="24"/>
        </w:rPr>
        <w:t xml:space="preserve">dosiahnutých </w:t>
      </w:r>
      <w:r w:rsidRPr="000745A8">
        <w:rPr>
          <w:rFonts w:ascii="Times New Roman" w:hAnsi="Times New Roman" w:cs="Times New Roman"/>
          <w:sz w:val="24"/>
          <w:szCs w:val="24"/>
        </w:rPr>
        <w:t xml:space="preserve">úsporách energie </w:t>
      </w:r>
      <w:r w:rsidR="00AF6574" w:rsidRPr="002F4575">
        <w:rPr>
          <w:rFonts w:ascii="Times New Roman" w:hAnsi="Times New Roman" w:cs="Times New Roman"/>
          <w:sz w:val="24"/>
          <w:szCs w:val="24"/>
        </w:rPr>
        <w:t>má</w:t>
      </w:r>
      <w:r w:rsidRPr="002F4575">
        <w:rPr>
          <w:rFonts w:ascii="Times New Roman" w:hAnsi="Times New Roman" w:cs="Times New Roman"/>
          <w:sz w:val="24"/>
          <w:szCs w:val="24"/>
        </w:rPr>
        <w:t> sektor budov</w:t>
      </w:r>
      <w:r w:rsidR="002F4575" w:rsidRPr="004E746F">
        <w:rPr>
          <w:rFonts w:ascii="Times New Roman" w:hAnsi="Times New Roman" w:cs="Times New Roman"/>
          <w:sz w:val="24"/>
          <w:szCs w:val="24"/>
        </w:rPr>
        <w:t xml:space="preserve"> zhruba</w:t>
      </w:r>
      <w:r w:rsidRPr="002F4575">
        <w:rPr>
          <w:rFonts w:ascii="Times New Roman" w:hAnsi="Times New Roman" w:cs="Times New Roman"/>
          <w:sz w:val="24"/>
          <w:szCs w:val="24"/>
        </w:rPr>
        <w:t xml:space="preserve"> </w:t>
      </w:r>
      <w:r w:rsidR="00DC5D49">
        <w:rPr>
          <w:rFonts w:ascii="Times New Roman" w:hAnsi="Times New Roman" w:cs="Times New Roman"/>
          <w:sz w:val="24"/>
          <w:szCs w:val="24"/>
        </w:rPr>
        <w:t>50</w:t>
      </w:r>
      <w:r w:rsidR="005311CA" w:rsidRPr="002F4575">
        <w:rPr>
          <w:rFonts w:ascii="Times New Roman" w:hAnsi="Times New Roman" w:cs="Times New Roman"/>
          <w:sz w:val="24"/>
          <w:szCs w:val="24"/>
        </w:rPr>
        <w:t>%</w:t>
      </w:r>
      <w:r w:rsidRPr="002F4575">
        <w:rPr>
          <w:rFonts w:ascii="Times New Roman" w:hAnsi="Times New Roman" w:cs="Times New Roman"/>
          <w:sz w:val="24"/>
          <w:szCs w:val="24"/>
        </w:rPr>
        <w:t xml:space="preserve">. </w:t>
      </w:r>
      <w:r w:rsidR="005311CA" w:rsidRPr="002F4575">
        <w:rPr>
          <w:rFonts w:ascii="Times New Roman" w:hAnsi="Times New Roman" w:cs="Times New Roman"/>
          <w:sz w:val="24"/>
          <w:szCs w:val="24"/>
        </w:rPr>
        <w:t>Priemysel</w:t>
      </w:r>
      <w:r w:rsidR="005311CA" w:rsidRPr="000745A8">
        <w:rPr>
          <w:rFonts w:ascii="Times New Roman" w:hAnsi="Times New Roman" w:cs="Times New Roman"/>
          <w:sz w:val="24"/>
          <w:szCs w:val="24"/>
        </w:rPr>
        <w:t xml:space="preserve"> sa podieľal na dosiahnutých úsporách zhruba </w:t>
      </w:r>
      <w:r w:rsidR="00DC5D49">
        <w:rPr>
          <w:rFonts w:ascii="Times New Roman" w:hAnsi="Times New Roman" w:cs="Times New Roman"/>
          <w:sz w:val="24"/>
          <w:szCs w:val="24"/>
        </w:rPr>
        <w:t>28</w:t>
      </w:r>
      <w:r w:rsidR="00DC5D49" w:rsidRPr="000745A8">
        <w:rPr>
          <w:rFonts w:ascii="Times New Roman" w:hAnsi="Times New Roman" w:cs="Times New Roman"/>
          <w:sz w:val="24"/>
          <w:szCs w:val="24"/>
        </w:rPr>
        <w:t> </w:t>
      </w:r>
      <w:r w:rsidR="005311CA" w:rsidRPr="000745A8">
        <w:rPr>
          <w:rFonts w:ascii="Times New Roman" w:hAnsi="Times New Roman" w:cs="Times New Roman"/>
          <w:sz w:val="24"/>
          <w:szCs w:val="24"/>
        </w:rPr>
        <w:t xml:space="preserve">%. </w:t>
      </w:r>
      <w:r w:rsidRPr="000745A8">
        <w:rPr>
          <w:rFonts w:ascii="Times New Roman" w:hAnsi="Times New Roman" w:cs="Times New Roman"/>
          <w:sz w:val="24"/>
          <w:szCs w:val="24"/>
        </w:rPr>
        <w:t xml:space="preserve">Podiel </w:t>
      </w:r>
      <w:r w:rsidR="00DC5D49">
        <w:rPr>
          <w:rFonts w:ascii="Times New Roman" w:hAnsi="Times New Roman" w:cs="Times New Roman"/>
          <w:sz w:val="24"/>
          <w:szCs w:val="24"/>
        </w:rPr>
        <w:t>dopravy</w:t>
      </w:r>
      <w:r w:rsidRPr="000745A8">
        <w:rPr>
          <w:rFonts w:ascii="Times New Roman" w:hAnsi="Times New Roman" w:cs="Times New Roman"/>
          <w:sz w:val="24"/>
          <w:szCs w:val="24"/>
        </w:rPr>
        <w:t xml:space="preserve"> predstavuje asi </w:t>
      </w:r>
      <w:r w:rsidR="00DC5D49">
        <w:rPr>
          <w:rFonts w:ascii="Times New Roman" w:hAnsi="Times New Roman" w:cs="Times New Roman"/>
          <w:sz w:val="24"/>
          <w:szCs w:val="24"/>
        </w:rPr>
        <w:t>9</w:t>
      </w:r>
      <w:r w:rsidR="00AC1D7F" w:rsidRPr="000745A8">
        <w:rPr>
          <w:rFonts w:ascii="Times New Roman" w:hAnsi="Times New Roman" w:cs="Times New Roman"/>
          <w:sz w:val="24"/>
          <w:szCs w:val="24"/>
        </w:rPr>
        <w:t> </w:t>
      </w:r>
      <w:r w:rsidRPr="000745A8">
        <w:rPr>
          <w:rFonts w:ascii="Times New Roman" w:hAnsi="Times New Roman" w:cs="Times New Roman"/>
          <w:sz w:val="24"/>
          <w:szCs w:val="24"/>
        </w:rPr>
        <w:t>%. Najnižš</w:t>
      </w:r>
      <w:r w:rsidR="005311CA" w:rsidRPr="000745A8">
        <w:rPr>
          <w:rFonts w:ascii="Times New Roman" w:hAnsi="Times New Roman" w:cs="Times New Roman"/>
          <w:sz w:val="24"/>
          <w:szCs w:val="24"/>
        </w:rPr>
        <w:t>ie</w:t>
      </w:r>
      <w:r w:rsidRPr="000745A8">
        <w:rPr>
          <w:rFonts w:ascii="Times New Roman" w:hAnsi="Times New Roman" w:cs="Times New Roman"/>
          <w:sz w:val="24"/>
          <w:szCs w:val="24"/>
        </w:rPr>
        <w:t xml:space="preserve"> percentuáln</w:t>
      </w:r>
      <w:r w:rsidR="005311CA" w:rsidRPr="000745A8">
        <w:rPr>
          <w:rFonts w:ascii="Times New Roman" w:hAnsi="Times New Roman" w:cs="Times New Roman"/>
          <w:sz w:val="24"/>
          <w:szCs w:val="24"/>
        </w:rPr>
        <w:t>e</w:t>
      </w:r>
      <w:r w:rsidRPr="000745A8">
        <w:rPr>
          <w:rFonts w:ascii="Times New Roman" w:hAnsi="Times New Roman" w:cs="Times New Roman"/>
          <w:sz w:val="24"/>
          <w:szCs w:val="24"/>
        </w:rPr>
        <w:t xml:space="preserve"> podiel</w:t>
      </w:r>
      <w:r w:rsidR="005311CA" w:rsidRPr="000745A8">
        <w:rPr>
          <w:rFonts w:ascii="Times New Roman" w:hAnsi="Times New Roman" w:cs="Times New Roman"/>
          <w:sz w:val="24"/>
          <w:szCs w:val="24"/>
        </w:rPr>
        <w:t>y pripadajú</w:t>
      </w:r>
      <w:r w:rsidRPr="000745A8">
        <w:rPr>
          <w:rFonts w:ascii="Times New Roman" w:hAnsi="Times New Roman" w:cs="Times New Roman"/>
          <w:sz w:val="24"/>
          <w:szCs w:val="24"/>
        </w:rPr>
        <w:t xml:space="preserve"> na</w:t>
      </w:r>
      <w:r w:rsidR="00DC5D49">
        <w:rPr>
          <w:rFonts w:ascii="Times New Roman" w:hAnsi="Times New Roman" w:cs="Times New Roman"/>
          <w:sz w:val="24"/>
          <w:szCs w:val="24"/>
        </w:rPr>
        <w:t xml:space="preserve"> verejný</w:t>
      </w:r>
      <w:r w:rsidRPr="000745A8">
        <w:rPr>
          <w:rFonts w:ascii="Times New Roman" w:hAnsi="Times New Roman" w:cs="Times New Roman"/>
          <w:sz w:val="24"/>
          <w:szCs w:val="24"/>
        </w:rPr>
        <w:t xml:space="preserve"> sektor</w:t>
      </w:r>
      <w:r w:rsidR="005311CA" w:rsidRPr="000745A8">
        <w:rPr>
          <w:rFonts w:ascii="Times New Roman" w:hAnsi="Times New Roman" w:cs="Times New Roman"/>
          <w:sz w:val="24"/>
          <w:szCs w:val="24"/>
        </w:rPr>
        <w:t xml:space="preserve"> a sektor spotrebiče</w:t>
      </w:r>
      <w:r w:rsidRPr="000745A8">
        <w:rPr>
          <w:rFonts w:ascii="Times New Roman" w:hAnsi="Times New Roman" w:cs="Times New Roman"/>
          <w:sz w:val="24"/>
          <w:szCs w:val="24"/>
        </w:rPr>
        <w:t>.</w:t>
      </w:r>
    </w:p>
    <w:p w14:paraId="6240E764" w14:textId="64D3FD61" w:rsidR="00AC1D7F" w:rsidRPr="00AC1D7F" w:rsidRDefault="00AC1D7F" w:rsidP="000578FE">
      <w:pPr>
        <w:keepNext/>
        <w:jc w:val="both"/>
        <w:rPr>
          <w:rFonts w:ascii="Times New Roman" w:hAnsi="Times New Roman" w:cs="Times New Roman"/>
          <w:sz w:val="24"/>
          <w:szCs w:val="24"/>
        </w:rPr>
      </w:pPr>
      <w:r w:rsidRPr="00AC1D7F">
        <w:rPr>
          <w:rFonts w:ascii="Times New Roman" w:hAnsi="Times New Roman" w:cs="Times New Roman"/>
          <w:sz w:val="24"/>
          <w:szCs w:val="24"/>
        </w:rPr>
        <w:t>Graf č. 1</w:t>
      </w:r>
      <w:r w:rsidR="00AE42A2">
        <w:rPr>
          <w:rFonts w:ascii="Times New Roman" w:hAnsi="Times New Roman" w:cs="Times New Roman"/>
          <w:sz w:val="24"/>
          <w:szCs w:val="24"/>
        </w:rPr>
        <w:t>3</w:t>
      </w:r>
      <w:r w:rsidRPr="00AC1D7F">
        <w:rPr>
          <w:rFonts w:ascii="Times New Roman" w:hAnsi="Times New Roman" w:cs="Times New Roman"/>
          <w:sz w:val="24"/>
          <w:szCs w:val="24"/>
        </w:rPr>
        <w:t xml:space="preserve">: </w:t>
      </w:r>
      <w:r w:rsidRPr="000578FE">
        <w:rPr>
          <w:rFonts w:ascii="Times New Roman" w:hAnsi="Times New Roman" w:cs="Times New Roman"/>
          <w:sz w:val="24"/>
          <w:szCs w:val="24"/>
        </w:rPr>
        <w:t>Podiel sektorov na dosiahnutých úsporách energie v rokoch 2014 - 2016</w:t>
      </w:r>
    </w:p>
    <w:p w14:paraId="0917A1FB" w14:textId="591F17DE" w:rsidR="00902157" w:rsidRPr="009F2998" w:rsidRDefault="00902157" w:rsidP="00AE0013">
      <w:pPr>
        <w:rPr>
          <w:rFonts w:ascii="Times New Roman" w:hAnsi="Times New Roman" w:cs="Times New Roman"/>
        </w:rPr>
      </w:pPr>
    </w:p>
    <w:p w14:paraId="596145F5" w14:textId="73EF23A2" w:rsidR="0014464F" w:rsidRPr="009F2998" w:rsidRDefault="0014464F" w:rsidP="0014464F">
      <w:pPr>
        <w:jc w:val="center"/>
        <w:rPr>
          <w:rFonts w:ascii="Times New Roman" w:hAnsi="Times New Roman" w:cs="Times New Roman"/>
        </w:rPr>
      </w:pPr>
      <w:r w:rsidRPr="009F2998">
        <w:rPr>
          <w:rFonts w:ascii="Times New Roman" w:hAnsi="Times New Roman" w:cs="Times New Roman"/>
          <w:noProof/>
          <w:lang w:eastAsia="sk-SK"/>
        </w:rPr>
        <w:drawing>
          <wp:inline distT="0" distB="0" distL="0" distR="0" wp14:anchorId="3836E2EE" wp14:editId="2CB0B788">
            <wp:extent cx="4283075" cy="2378075"/>
            <wp:effectExtent l="0" t="0" r="3175" b="3175"/>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C9DE9F7" w14:textId="77777777" w:rsidR="00902157" w:rsidRPr="000745A8" w:rsidRDefault="00902157" w:rsidP="00902157">
      <w:pPr>
        <w:spacing w:after="0" w:line="240" w:lineRule="auto"/>
        <w:rPr>
          <w:rFonts w:ascii="Times New Roman" w:hAnsi="Times New Roman" w:cs="Times New Roman"/>
          <w:sz w:val="24"/>
          <w:szCs w:val="24"/>
        </w:rPr>
      </w:pPr>
    </w:p>
    <w:p w14:paraId="026CAA77" w14:textId="416230E9" w:rsidR="009F2210" w:rsidRDefault="00902157" w:rsidP="00902157">
      <w:pPr>
        <w:jc w:val="both"/>
        <w:rPr>
          <w:rFonts w:ascii="Times New Roman" w:hAnsi="Times New Roman" w:cs="Times New Roman"/>
          <w:sz w:val="24"/>
          <w:szCs w:val="24"/>
        </w:rPr>
      </w:pPr>
      <w:r w:rsidRPr="000745A8">
        <w:rPr>
          <w:rFonts w:ascii="Times New Roman" w:hAnsi="Times New Roman" w:cs="Times New Roman"/>
          <w:sz w:val="24"/>
          <w:szCs w:val="24"/>
        </w:rPr>
        <w:lastRenderedPageBreak/>
        <w:t xml:space="preserve">Podiel vybraných národných a medzinárodných finančných mechanizmov na  financovaní opatrení energetickej efektívnosti </w:t>
      </w:r>
      <w:r w:rsidR="007F09F3" w:rsidRPr="000745A8">
        <w:rPr>
          <w:rFonts w:ascii="Times New Roman" w:hAnsi="Times New Roman" w:cs="Times New Roman"/>
          <w:sz w:val="24"/>
          <w:szCs w:val="24"/>
        </w:rPr>
        <w:t xml:space="preserve">za trojročné obdobie 2014 – 2016 </w:t>
      </w:r>
      <w:r w:rsidR="00ED3099" w:rsidRPr="000745A8">
        <w:rPr>
          <w:rFonts w:ascii="Times New Roman" w:hAnsi="Times New Roman" w:cs="Times New Roman"/>
          <w:sz w:val="24"/>
          <w:szCs w:val="24"/>
        </w:rPr>
        <w:t>je uvedený  v</w:t>
      </w:r>
      <w:r w:rsidR="00D2718C">
        <w:rPr>
          <w:rFonts w:ascii="Times New Roman" w:hAnsi="Times New Roman" w:cs="Times New Roman"/>
          <w:sz w:val="24"/>
          <w:szCs w:val="24"/>
        </w:rPr>
        <w:t> </w:t>
      </w:r>
      <w:r w:rsidR="00ED3099" w:rsidRPr="000745A8">
        <w:rPr>
          <w:rFonts w:ascii="Times New Roman" w:hAnsi="Times New Roman" w:cs="Times New Roman"/>
          <w:sz w:val="24"/>
          <w:szCs w:val="24"/>
        </w:rPr>
        <w:t>grafe</w:t>
      </w:r>
      <w:r w:rsidR="00D2718C">
        <w:rPr>
          <w:rFonts w:ascii="Times New Roman" w:hAnsi="Times New Roman" w:cs="Times New Roman"/>
          <w:sz w:val="24"/>
          <w:szCs w:val="24"/>
        </w:rPr>
        <w:t xml:space="preserve"> č. 1</w:t>
      </w:r>
      <w:r w:rsidR="00AE42A2">
        <w:rPr>
          <w:rFonts w:ascii="Times New Roman" w:hAnsi="Times New Roman" w:cs="Times New Roman"/>
          <w:sz w:val="24"/>
          <w:szCs w:val="24"/>
        </w:rPr>
        <w:t>4</w:t>
      </w:r>
      <w:r w:rsidR="00D2718C">
        <w:rPr>
          <w:rFonts w:ascii="Times New Roman" w:hAnsi="Times New Roman" w:cs="Times New Roman"/>
          <w:sz w:val="24"/>
          <w:szCs w:val="24"/>
        </w:rPr>
        <w:t>.</w:t>
      </w:r>
    </w:p>
    <w:p w14:paraId="78455EBE" w14:textId="4371001D" w:rsidR="00902157" w:rsidRPr="007345A8" w:rsidRDefault="009F2210" w:rsidP="000578FE">
      <w:pPr>
        <w:keepNext/>
        <w:jc w:val="both"/>
        <w:rPr>
          <w:rFonts w:ascii="Times New Roman" w:hAnsi="Times New Roman" w:cs="Times New Roman"/>
          <w:sz w:val="24"/>
          <w:szCs w:val="24"/>
        </w:rPr>
      </w:pPr>
      <w:r w:rsidRPr="009F2210">
        <w:rPr>
          <w:rFonts w:ascii="Times New Roman" w:hAnsi="Times New Roman" w:cs="Times New Roman"/>
          <w:sz w:val="24"/>
          <w:szCs w:val="24"/>
        </w:rPr>
        <w:t>Graf č. 1</w:t>
      </w:r>
      <w:r w:rsidR="00AE42A2">
        <w:rPr>
          <w:rFonts w:ascii="Times New Roman" w:hAnsi="Times New Roman" w:cs="Times New Roman"/>
          <w:sz w:val="24"/>
          <w:szCs w:val="24"/>
        </w:rPr>
        <w:t>4</w:t>
      </w:r>
      <w:r w:rsidRPr="009F2210">
        <w:rPr>
          <w:rFonts w:ascii="Times New Roman" w:hAnsi="Times New Roman" w:cs="Times New Roman"/>
          <w:sz w:val="24"/>
          <w:szCs w:val="24"/>
        </w:rPr>
        <w:t xml:space="preserve">: </w:t>
      </w:r>
      <w:r w:rsidRPr="000578FE">
        <w:rPr>
          <w:rFonts w:ascii="Times New Roman" w:hAnsi="Times New Roman" w:cs="Times New Roman"/>
          <w:sz w:val="24"/>
          <w:szCs w:val="24"/>
        </w:rPr>
        <w:t>Podiel vybraných národných a medzinárodných finančných mechanizmov na financovaní opatrení energetickej efektívnosti v rokoch 2014 - 2016</w:t>
      </w:r>
    </w:p>
    <w:p w14:paraId="303E1311" w14:textId="52261637" w:rsidR="00A8429F" w:rsidRPr="009F2998" w:rsidRDefault="00E812BE" w:rsidP="005311CA">
      <w:pPr>
        <w:jc w:val="center"/>
        <w:rPr>
          <w:rFonts w:ascii="Times New Roman" w:hAnsi="Times New Roman" w:cs="Times New Roman"/>
          <w:noProof/>
          <w:lang w:eastAsia="sk-SK"/>
        </w:rPr>
      </w:pPr>
      <w:r w:rsidRPr="009F2998">
        <w:rPr>
          <w:rFonts w:ascii="Times New Roman" w:hAnsi="Times New Roman" w:cs="Times New Roman"/>
          <w:noProof/>
          <w:lang w:eastAsia="sk-SK"/>
        </w:rPr>
        <w:drawing>
          <wp:inline distT="0" distB="0" distL="0" distR="0" wp14:anchorId="1A2F16F2" wp14:editId="13EDF2AA">
            <wp:extent cx="5067300" cy="2447925"/>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93EF559" w14:textId="36DE10D2" w:rsidR="00B83924" w:rsidRDefault="00062715" w:rsidP="00902157">
      <w:pPr>
        <w:jc w:val="both"/>
        <w:rPr>
          <w:rFonts w:ascii="Times New Roman" w:hAnsi="Times New Roman" w:cs="Times New Roman"/>
          <w:sz w:val="24"/>
          <w:szCs w:val="24"/>
        </w:rPr>
      </w:pPr>
      <w:r w:rsidRPr="000745A8">
        <w:rPr>
          <w:rFonts w:ascii="Times New Roman" w:hAnsi="Times New Roman" w:cs="Times New Roman"/>
          <w:sz w:val="24"/>
          <w:szCs w:val="24"/>
        </w:rPr>
        <w:t>Nízky p</w:t>
      </w:r>
      <w:r w:rsidR="00B83924" w:rsidRPr="000745A8">
        <w:rPr>
          <w:rFonts w:ascii="Times New Roman" w:hAnsi="Times New Roman" w:cs="Times New Roman"/>
          <w:sz w:val="24"/>
          <w:szCs w:val="24"/>
        </w:rPr>
        <w:t xml:space="preserve">odiel energetických služieb </w:t>
      </w:r>
      <w:r w:rsidRPr="000745A8">
        <w:rPr>
          <w:rFonts w:ascii="Times New Roman" w:hAnsi="Times New Roman" w:cs="Times New Roman"/>
          <w:sz w:val="24"/>
          <w:szCs w:val="24"/>
        </w:rPr>
        <w:t>je spôsobený najmä tým</w:t>
      </w:r>
      <w:r w:rsidR="00B83924" w:rsidRPr="000745A8">
        <w:rPr>
          <w:rFonts w:ascii="Times New Roman" w:hAnsi="Times New Roman" w:cs="Times New Roman"/>
          <w:sz w:val="24"/>
          <w:szCs w:val="24"/>
        </w:rPr>
        <w:t xml:space="preserve">, že v roku 2014 sa </w:t>
      </w:r>
      <w:r w:rsidRPr="000745A8">
        <w:rPr>
          <w:rFonts w:ascii="Times New Roman" w:hAnsi="Times New Roman" w:cs="Times New Roman"/>
          <w:sz w:val="24"/>
          <w:szCs w:val="24"/>
        </w:rPr>
        <w:t>nastavil nový legislatívny rámec pre energetické služby.</w:t>
      </w:r>
      <w:r w:rsidRPr="000745A8">
        <w:rPr>
          <w:rStyle w:val="Odkaznapoznmkupodiarou"/>
          <w:rFonts w:ascii="Times New Roman" w:hAnsi="Times New Roman" w:cs="Times New Roman"/>
          <w:sz w:val="24"/>
          <w:szCs w:val="24"/>
        </w:rPr>
        <w:footnoteReference w:id="24"/>
      </w:r>
      <w:r w:rsidR="00B83924" w:rsidRPr="000745A8">
        <w:rPr>
          <w:rFonts w:ascii="Times New Roman" w:hAnsi="Times New Roman" w:cs="Times New Roman"/>
          <w:sz w:val="24"/>
          <w:szCs w:val="24"/>
        </w:rPr>
        <w:t xml:space="preserve"> </w:t>
      </w:r>
    </w:p>
    <w:p w14:paraId="0AB50608" w14:textId="77777777" w:rsidR="003553AA" w:rsidRPr="000745A8" w:rsidRDefault="003553AA" w:rsidP="00902157">
      <w:pPr>
        <w:jc w:val="both"/>
        <w:rPr>
          <w:rFonts w:ascii="Times New Roman" w:hAnsi="Times New Roman" w:cs="Times New Roman"/>
          <w:sz w:val="24"/>
          <w:szCs w:val="24"/>
        </w:rPr>
      </w:pPr>
    </w:p>
    <w:p w14:paraId="1A5BADD1" w14:textId="25DECC3A" w:rsidR="003553AA" w:rsidRPr="003553AA" w:rsidRDefault="003553AA" w:rsidP="000578FE">
      <w:pPr>
        <w:keepNext/>
        <w:jc w:val="both"/>
        <w:rPr>
          <w:rFonts w:ascii="Times New Roman" w:hAnsi="Times New Roman" w:cs="Times New Roman"/>
          <w:sz w:val="24"/>
          <w:szCs w:val="24"/>
        </w:rPr>
      </w:pPr>
      <w:r w:rsidRPr="003553AA">
        <w:rPr>
          <w:rFonts w:ascii="Times New Roman" w:hAnsi="Times New Roman" w:cs="Times New Roman"/>
          <w:sz w:val="24"/>
          <w:szCs w:val="24"/>
        </w:rPr>
        <w:t>Graf č. 1</w:t>
      </w:r>
      <w:r w:rsidR="00AE42A2">
        <w:rPr>
          <w:rFonts w:ascii="Times New Roman" w:hAnsi="Times New Roman" w:cs="Times New Roman"/>
          <w:sz w:val="24"/>
          <w:szCs w:val="24"/>
        </w:rPr>
        <w:t>5</w:t>
      </w:r>
      <w:r w:rsidRPr="003553AA">
        <w:rPr>
          <w:rFonts w:ascii="Times New Roman" w:hAnsi="Times New Roman" w:cs="Times New Roman"/>
          <w:sz w:val="24"/>
          <w:szCs w:val="24"/>
        </w:rPr>
        <w:t xml:space="preserve">: </w:t>
      </w:r>
      <w:r w:rsidRPr="000578FE">
        <w:rPr>
          <w:rFonts w:ascii="Times New Roman" w:hAnsi="Times New Roman" w:cs="Times New Roman"/>
          <w:sz w:val="24"/>
          <w:szCs w:val="24"/>
        </w:rPr>
        <w:t>Podiel vybraných národných a medzinárodných finančných mechanizmov na financovaní opatrení energetickej efektívnosti v roku 2015</w:t>
      </w:r>
    </w:p>
    <w:p w14:paraId="4A32CFD3" w14:textId="77777777" w:rsidR="003553AA" w:rsidRPr="000745A8" w:rsidRDefault="003553AA" w:rsidP="00756ED8">
      <w:pPr>
        <w:jc w:val="both"/>
        <w:rPr>
          <w:rFonts w:ascii="Times New Roman" w:hAnsi="Times New Roman" w:cs="Times New Roman"/>
          <w:sz w:val="24"/>
          <w:szCs w:val="24"/>
        </w:rPr>
      </w:pPr>
    </w:p>
    <w:p w14:paraId="6F926556" w14:textId="69F1686B" w:rsidR="00516B6C" w:rsidRPr="009F2998" w:rsidRDefault="00516B6C" w:rsidP="00516B6C">
      <w:pPr>
        <w:jc w:val="center"/>
        <w:rPr>
          <w:rFonts w:ascii="Times New Roman" w:hAnsi="Times New Roman" w:cs="Times New Roman"/>
        </w:rPr>
      </w:pPr>
      <w:r w:rsidRPr="009F2998">
        <w:rPr>
          <w:rFonts w:ascii="Times New Roman" w:hAnsi="Times New Roman" w:cs="Times New Roman"/>
          <w:noProof/>
          <w:lang w:eastAsia="sk-SK"/>
        </w:rPr>
        <w:drawing>
          <wp:inline distT="0" distB="0" distL="0" distR="0" wp14:anchorId="6D3FAE28" wp14:editId="2A832A58">
            <wp:extent cx="4781550" cy="2711450"/>
            <wp:effectExtent l="0" t="0" r="0" b="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7515"/>
      </w:tblGrid>
      <w:tr w:rsidR="00756ED8" w:rsidRPr="009F2998" w14:paraId="06735A25" w14:textId="77777777" w:rsidTr="003E73B5">
        <w:tc>
          <w:tcPr>
            <w:tcW w:w="858" w:type="pct"/>
            <w:vAlign w:val="center"/>
          </w:tcPr>
          <w:p w14:paraId="59A0F3E7" w14:textId="77777777" w:rsidR="00756ED8" w:rsidRPr="009F2998" w:rsidRDefault="00756ED8" w:rsidP="00CD4818">
            <w:pPr>
              <w:rPr>
                <w:rFonts w:ascii="Times New Roman" w:hAnsi="Times New Roman" w:cs="Times New Roman"/>
              </w:rPr>
            </w:pPr>
          </w:p>
        </w:tc>
        <w:tc>
          <w:tcPr>
            <w:tcW w:w="4142" w:type="pct"/>
            <w:vAlign w:val="center"/>
          </w:tcPr>
          <w:p w14:paraId="0EB9BC24" w14:textId="77777777" w:rsidR="00756ED8" w:rsidRPr="009F2998" w:rsidRDefault="00756ED8" w:rsidP="00CD4818">
            <w:pPr>
              <w:rPr>
                <w:rFonts w:ascii="Times New Roman" w:hAnsi="Times New Roman" w:cs="Times New Roman"/>
              </w:rPr>
            </w:pPr>
          </w:p>
        </w:tc>
      </w:tr>
    </w:tbl>
    <w:p w14:paraId="35C89C84" w14:textId="0F8B2B54" w:rsidR="00902157" w:rsidRPr="000578FE" w:rsidRDefault="00D31B2D" w:rsidP="00AF5415">
      <w:pPr>
        <w:pStyle w:val="Nadpis2"/>
        <w:keepNext w:val="0"/>
        <w:keepLines w:val="0"/>
        <w:numPr>
          <w:ilvl w:val="1"/>
          <w:numId w:val="32"/>
        </w:numPr>
        <w:ind w:left="993" w:hanging="567"/>
        <w:rPr>
          <w:rFonts w:ascii="Times New Roman" w:hAnsi="Times New Roman" w:cs="Times New Roman"/>
          <w:color w:val="auto"/>
        </w:rPr>
      </w:pPr>
      <w:bookmarkStart w:id="53" w:name="_Toc477345354"/>
      <w:r w:rsidRPr="000578FE">
        <w:rPr>
          <w:rFonts w:ascii="Times New Roman" w:hAnsi="Times New Roman" w:cs="Times New Roman"/>
          <w:color w:val="auto"/>
        </w:rPr>
        <w:lastRenderedPageBreak/>
        <w:t>Plánované</w:t>
      </w:r>
      <w:r w:rsidR="00902157" w:rsidRPr="000578FE">
        <w:rPr>
          <w:rFonts w:ascii="Times New Roman" w:hAnsi="Times New Roman" w:cs="Times New Roman"/>
          <w:color w:val="auto"/>
        </w:rPr>
        <w:t xml:space="preserve"> opatren</w:t>
      </w:r>
      <w:r w:rsidRPr="000578FE">
        <w:rPr>
          <w:rFonts w:ascii="Times New Roman" w:hAnsi="Times New Roman" w:cs="Times New Roman"/>
          <w:color w:val="auto"/>
        </w:rPr>
        <w:t xml:space="preserve">ia </w:t>
      </w:r>
      <w:r w:rsidR="00902157" w:rsidRPr="000578FE">
        <w:rPr>
          <w:rFonts w:ascii="Times New Roman" w:hAnsi="Times New Roman" w:cs="Times New Roman"/>
          <w:color w:val="auto"/>
        </w:rPr>
        <w:t xml:space="preserve">energetickej efektívnosti na obdobie 2017-2019 </w:t>
      </w:r>
      <w:r w:rsidR="00D65116" w:rsidRPr="000578FE">
        <w:rPr>
          <w:rFonts w:ascii="Times New Roman" w:hAnsi="Times New Roman" w:cs="Times New Roman"/>
          <w:color w:val="auto"/>
        </w:rPr>
        <w:t xml:space="preserve">      </w:t>
      </w:r>
      <w:r w:rsidR="00902157" w:rsidRPr="000578FE">
        <w:rPr>
          <w:rFonts w:ascii="Times New Roman" w:hAnsi="Times New Roman" w:cs="Times New Roman"/>
          <w:color w:val="auto"/>
        </w:rPr>
        <w:t>s výhľadom do roku 2020</w:t>
      </w:r>
      <w:bookmarkEnd w:id="53"/>
    </w:p>
    <w:p w14:paraId="56CD073E" w14:textId="50AD43D0" w:rsidR="006439C3" w:rsidRPr="000578FE" w:rsidRDefault="006439C3" w:rsidP="00AF5415">
      <w:pPr>
        <w:pStyle w:val="Nadpis3"/>
        <w:numPr>
          <w:ilvl w:val="2"/>
          <w:numId w:val="32"/>
        </w:numPr>
        <w:rPr>
          <w:rFonts w:ascii="Times New Roman" w:hAnsi="Times New Roman" w:cs="Times New Roman"/>
          <w:color w:val="auto"/>
        </w:rPr>
      </w:pPr>
      <w:bookmarkStart w:id="54" w:name="_Toc477345355"/>
      <w:r w:rsidRPr="000578FE">
        <w:rPr>
          <w:rFonts w:ascii="Times New Roman" w:hAnsi="Times New Roman" w:cs="Times New Roman"/>
          <w:color w:val="auto"/>
        </w:rPr>
        <w:t>Plánované opatrenia v sektore budov</w:t>
      </w:r>
      <w:bookmarkEnd w:id="54"/>
    </w:p>
    <w:p w14:paraId="700AA1E7" w14:textId="6747C016" w:rsidR="00893E0D" w:rsidRPr="000745A8" w:rsidRDefault="00893E0D" w:rsidP="000745A8">
      <w:pPr>
        <w:jc w:val="both"/>
        <w:rPr>
          <w:rFonts w:ascii="Times New Roman" w:hAnsi="Times New Roman" w:cs="Times New Roman"/>
          <w:sz w:val="24"/>
          <w:szCs w:val="24"/>
        </w:rPr>
      </w:pPr>
      <w:r w:rsidRPr="000745A8">
        <w:rPr>
          <w:rFonts w:ascii="Times New Roman" w:hAnsi="Times New Roman" w:cs="Times New Roman"/>
          <w:sz w:val="24"/>
          <w:szCs w:val="24"/>
        </w:rPr>
        <w:t xml:space="preserve">V budúcom období bude pokračovať podpora zlepšovania tepelnotechnických vlastností budov v bytových domoch z prostriedkov ŠFRB, ako aj rodinných domov prostredníctvom dotácií MDV SR. Bytové domy sa budú významne obnovovať aj z prostriedkov IROP (2014-2020). </w:t>
      </w:r>
    </w:p>
    <w:p w14:paraId="129BA759" w14:textId="4639C297" w:rsidR="006439C3" w:rsidRPr="000578FE" w:rsidRDefault="006439C3" w:rsidP="00AF5415">
      <w:pPr>
        <w:pStyle w:val="Nadpis3"/>
        <w:numPr>
          <w:ilvl w:val="2"/>
          <w:numId w:val="32"/>
        </w:numPr>
        <w:rPr>
          <w:rFonts w:ascii="Times New Roman" w:hAnsi="Times New Roman" w:cs="Times New Roman"/>
          <w:color w:val="auto"/>
        </w:rPr>
      </w:pPr>
      <w:bookmarkStart w:id="55" w:name="_Toc477345356"/>
      <w:r w:rsidRPr="000578FE">
        <w:rPr>
          <w:rFonts w:ascii="Times New Roman" w:hAnsi="Times New Roman" w:cs="Times New Roman"/>
          <w:color w:val="auto"/>
        </w:rPr>
        <w:t>Plánované opatrenia v sektore priemysel</w:t>
      </w:r>
      <w:bookmarkEnd w:id="55"/>
    </w:p>
    <w:p w14:paraId="30EAEAF4" w14:textId="690B4BED" w:rsidR="00893E0D" w:rsidRPr="000745A8" w:rsidRDefault="009A2549" w:rsidP="009A2549">
      <w:pPr>
        <w:jc w:val="both"/>
        <w:rPr>
          <w:rFonts w:ascii="Times New Roman" w:hAnsi="Times New Roman" w:cs="Times New Roman"/>
          <w:sz w:val="24"/>
          <w:szCs w:val="24"/>
        </w:rPr>
      </w:pPr>
      <w:r w:rsidRPr="000745A8">
        <w:rPr>
          <w:rFonts w:ascii="Times New Roman" w:hAnsi="Times New Roman" w:cs="Times New Roman"/>
          <w:sz w:val="24"/>
          <w:szCs w:val="24"/>
        </w:rPr>
        <w:t xml:space="preserve">V budúcom období </w:t>
      </w:r>
      <w:r w:rsidR="002E09E2" w:rsidRPr="000745A8">
        <w:rPr>
          <w:rFonts w:ascii="Times New Roman" w:hAnsi="Times New Roman" w:cs="Times New Roman"/>
          <w:sz w:val="24"/>
          <w:szCs w:val="24"/>
        </w:rPr>
        <w:t xml:space="preserve">sa </w:t>
      </w:r>
      <w:r w:rsidRPr="000745A8">
        <w:rPr>
          <w:rFonts w:ascii="Times New Roman" w:hAnsi="Times New Roman" w:cs="Times New Roman"/>
          <w:sz w:val="24"/>
          <w:szCs w:val="24"/>
        </w:rPr>
        <w:t>plán</w:t>
      </w:r>
      <w:r w:rsidR="002E09E2" w:rsidRPr="000745A8">
        <w:rPr>
          <w:rFonts w:ascii="Times New Roman" w:hAnsi="Times New Roman" w:cs="Times New Roman"/>
          <w:sz w:val="24"/>
          <w:szCs w:val="24"/>
        </w:rPr>
        <w:t>uje</w:t>
      </w:r>
      <w:r w:rsidRPr="000745A8">
        <w:rPr>
          <w:rFonts w:ascii="Times New Roman" w:hAnsi="Times New Roman" w:cs="Times New Roman"/>
          <w:sz w:val="24"/>
          <w:szCs w:val="24"/>
        </w:rPr>
        <w:t xml:space="preserve"> využívať financovanie z</w:t>
      </w:r>
      <w:r w:rsidR="002E09E2" w:rsidRPr="000745A8">
        <w:rPr>
          <w:rFonts w:ascii="Times New Roman" w:hAnsi="Times New Roman" w:cs="Times New Roman"/>
          <w:sz w:val="24"/>
          <w:szCs w:val="24"/>
        </w:rPr>
        <w:t> </w:t>
      </w:r>
      <w:r w:rsidRPr="000745A8">
        <w:rPr>
          <w:rFonts w:ascii="Times New Roman" w:hAnsi="Times New Roman" w:cs="Times New Roman"/>
          <w:sz w:val="24"/>
          <w:szCs w:val="24"/>
        </w:rPr>
        <w:t>EŠIF</w:t>
      </w:r>
      <w:r w:rsidR="002E09E2" w:rsidRPr="000745A8">
        <w:rPr>
          <w:rFonts w:ascii="Times New Roman" w:hAnsi="Times New Roman" w:cs="Times New Roman"/>
          <w:sz w:val="24"/>
          <w:szCs w:val="24"/>
        </w:rPr>
        <w:t xml:space="preserve"> (2014-2020),</w:t>
      </w:r>
      <w:r w:rsidRPr="000745A8">
        <w:rPr>
          <w:rFonts w:ascii="Times New Roman" w:hAnsi="Times New Roman" w:cs="Times New Roman"/>
          <w:sz w:val="24"/>
          <w:szCs w:val="24"/>
        </w:rPr>
        <w:t xml:space="preserve"> a to najmä prostredníctvom OP VaI a OP KŽP. </w:t>
      </w:r>
      <w:r w:rsidR="00D12B23" w:rsidRPr="000745A8">
        <w:rPr>
          <w:rFonts w:ascii="Times New Roman" w:hAnsi="Times New Roman" w:cs="Times New Roman"/>
          <w:sz w:val="24"/>
          <w:szCs w:val="24"/>
        </w:rPr>
        <w:t>Významný podiel úspor energie sa očakáva od rozšírenia aplikácie dobrovoľných dohôd.</w:t>
      </w:r>
      <w:r w:rsidRPr="000745A8">
        <w:rPr>
          <w:rFonts w:ascii="Times New Roman" w:hAnsi="Times New Roman" w:cs="Times New Roman"/>
          <w:sz w:val="24"/>
          <w:szCs w:val="24"/>
        </w:rPr>
        <w:t xml:space="preserve"> </w:t>
      </w:r>
    </w:p>
    <w:p w14:paraId="786FC24B" w14:textId="4DCD8164" w:rsidR="006439C3" w:rsidRPr="000578FE" w:rsidRDefault="006439C3" w:rsidP="00AF5415">
      <w:pPr>
        <w:pStyle w:val="Nadpis3"/>
        <w:numPr>
          <w:ilvl w:val="2"/>
          <w:numId w:val="32"/>
        </w:numPr>
        <w:rPr>
          <w:rFonts w:ascii="Times New Roman" w:hAnsi="Times New Roman" w:cs="Times New Roman"/>
          <w:color w:val="auto"/>
        </w:rPr>
      </w:pPr>
      <w:bookmarkStart w:id="56" w:name="_Toc477345357"/>
      <w:r w:rsidRPr="000578FE">
        <w:rPr>
          <w:rFonts w:ascii="Times New Roman" w:hAnsi="Times New Roman" w:cs="Times New Roman"/>
          <w:color w:val="auto"/>
        </w:rPr>
        <w:t>Plánované opatrenia vo verejnom sektore</w:t>
      </w:r>
      <w:bookmarkEnd w:id="56"/>
    </w:p>
    <w:p w14:paraId="29B9057A" w14:textId="0DA224D9" w:rsidR="006B228F" w:rsidRPr="000745A8" w:rsidRDefault="006B228F" w:rsidP="007577DE">
      <w:pPr>
        <w:jc w:val="both"/>
        <w:rPr>
          <w:rFonts w:ascii="Times New Roman" w:hAnsi="Times New Roman" w:cs="Times New Roman"/>
          <w:sz w:val="24"/>
          <w:szCs w:val="24"/>
        </w:rPr>
      </w:pPr>
      <w:r w:rsidRPr="000745A8">
        <w:rPr>
          <w:rFonts w:ascii="Times New Roman" w:hAnsi="Times New Roman" w:cs="Times New Roman"/>
          <w:sz w:val="24"/>
          <w:szCs w:val="24"/>
        </w:rPr>
        <w:t>V budúcom období bude pokračovať podpora zlepšovania tepelnotechnických vlastností budov z existujúcich podporných mechanizmov (najmä OP KŽP</w:t>
      </w:r>
      <w:r w:rsidR="00EC03C0">
        <w:rPr>
          <w:rFonts w:ascii="Times New Roman" w:hAnsi="Times New Roman" w:cs="Times New Roman"/>
          <w:sz w:val="24"/>
          <w:szCs w:val="24"/>
        </w:rPr>
        <w:t>, IROP</w:t>
      </w:r>
      <w:r w:rsidRPr="000745A8">
        <w:rPr>
          <w:rFonts w:ascii="Times New Roman" w:hAnsi="Times New Roman" w:cs="Times New Roman"/>
          <w:sz w:val="24"/>
          <w:szCs w:val="24"/>
        </w:rPr>
        <w:t xml:space="preserve"> a Environmentálny fond)</w:t>
      </w:r>
      <w:r w:rsidR="00E1739F">
        <w:rPr>
          <w:rFonts w:ascii="Times New Roman" w:hAnsi="Times New Roman" w:cs="Times New Roman"/>
          <w:sz w:val="24"/>
          <w:szCs w:val="24"/>
        </w:rPr>
        <w:t xml:space="preserve">, resp. </w:t>
      </w:r>
      <w:r w:rsidR="000A3BE2">
        <w:rPr>
          <w:rFonts w:ascii="Times New Roman" w:hAnsi="Times New Roman" w:cs="Times New Roman"/>
          <w:sz w:val="24"/>
          <w:szCs w:val="24"/>
        </w:rPr>
        <w:t>v kombinácii</w:t>
      </w:r>
      <w:r w:rsidR="00E1739F">
        <w:rPr>
          <w:rFonts w:ascii="Times New Roman" w:hAnsi="Times New Roman" w:cs="Times New Roman"/>
          <w:sz w:val="24"/>
          <w:szCs w:val="24"/>
        </w:rPr>
        <w:t xml:space="preserve"> </w:t>
      </w:r>
      <w:r w:rsidR="00B776B1">
        <w:rPr>
          <w:rFonts w:ascii="Times New Roman" w:hAnsi="Times New Roman" w:cs="Times New Roman"/>
          <w:sz w:val="24"/>
          <w:szCs w:val="24"/>
        </w:rPr>
        <w:t>s mechanizmom</w:t>
      </w:r>
      <w:r w:rsidR="00E1739F">
        <w:rPr>
          <w:rFonts w:ascii="Times New Roman" w:hAnsi="Times New Roman" w:cs="Times New Roman"/>
          <w:sz w:val="24"/>
          <w:szCs w:val="24"/>
        </w:rPr>
        <w:t xml:space="preserve"> energetických služieb. </w:t>
      </w:r>
    </w:p>
    <w:p w14:paraId="5FE9C706" w14:textId="402DD6F6" w:rsidR="0073521A" w:rsidRPr="000745A8" w:rsidRDefault="006B228F" w:rsidP="00D12B23">
      <w:pPr>
        <w:jc w:val="both"/>
        <w:rPr>
          <w:rFonts w:ascii="Times New Roman" w:hAnsi="Times New Roman" w:cs="Times New Roman"/>
          <w:sz w:val="24"/>
          <w:szCs w:val="24"/>
        </w:rPr>
      </w:pPr>
      <w:r w:rsidRPr="000745A8">
        <w:rPr>
          <w:rFonts w:ascii="Times New Roman" w:hAnsi="Times New Roman" w:cs="Times New Roman"/>
          <w:sz w:val="24"/>
          <w:szCs w:val="24"/>
        </w:rPr>
        <w:t>Na základe prieskumu</w:t>
      </w:r>
      <w:r w:rsidR="00C50BBB" w:rsidRPr="000745A8">
        <w:rPr>
          <w:rFonts w:ascii="Times New Roman" w:hAnsi="Times New Roman" w:cs="Times New Roman"/>
          <w:sz w:val="24"/>
          <w:szCs w:val="24"/>
        </w:rPr>
        <w:t xml:space="preserve"> potrieb verejného sektora na obnovu verejných budov</w:t>
      </w:r>
      <w:r w:rsidRPr="000745A8">
        <w:rPr>
          <w:rFonts w:ascii="Times New Roman" w:hAnsi="Times New Roman" w:cs="Times New Roman"/>
          <w:sz w:val="24"/>
          <w:szCs w:val="24"/>
        </w:rPr>
        <w:t>, ktorý uskutočnila SIEA vo ve</w:t>
      </w:r>
      <w:r w:rsidR="00C50BBB" w:rsidRPr="000745A8">
        <w:rPr>
          <w:rFonts w:ascii="Times New Roman" w:hAnsi="Times New Roman" w:cs="Times New Roman"/>
          <w:sz w:val="24"/>
          <w:szCs w:val="24"/>
        </w:rPr>
        <w:t>rejných budovách</w:t>
      </w:r>
      <w:r w:rsidRPr="000745A8">
        <w:rPr>
          <w:rFonts w:ascii="Times New Roman" w:hAnsi="Times New Roman" w:cs="Times New Roman"/>
          <w:sz w:val="24"/>
          <w:szCs w:val="24"/>
        </w:rPr>
        <w:t>, možno predpokladať potenciál úspor energie vo verejnom sektore vo výške zhruba 650 TJ</w:t>
      </w:r>
      <w:r w:rsidR="00C50BBB" w:rsidRPr="000745A8">
        <w:rPr>
          <w:rFonts w:ascii="Times New Roman" w:hAnsi="Times New Roman" w:cs="Times New Roman"/>
          <w:sz w:val="24"/>
          <w:szCs w:val="24"/>
        </w:rPr>
        <w:t xml:space="preserve"> do roku 2019</w:t>
      </w:r>
      <w:r w:rsidRPr="000745A8">
        <w:rPr>
          <w:rFonts w:ascii="Times New Roman" w:hAnsi="Times New Roman" w:cs="Times New Roman"/>
          <w:sz w:val="24"/>
          <w:szCs w:val="24"/>
        </w:rPr>
        <w:t xml:space="preserve">, pričom potrebné finančné zdroje sú odhadované vo výške </w:t>
      </w:r>
      <w:r w:rsidR="00D12B23" w:rsidRPr="000745A8">
        <w:rPr>
          <w:rFonts w:ascii="Times New Roman" w:hAnsi="Times New Roman" w:cs="Times New Roman"/>
          <w:sz w:val="24"/>
          <w:szCs w:val="24"/>
        </w:rPr>
        <w:t>asi</w:t>
      </w:r>
      <w:r w:rsidRPr="000745A8">
        <w:rPr>
          <w:rFonts w:ascii="Times New Roman" w:hAnsi="Times New Roman" w:cs="Times New Roman"/>
          <w:sz w:val="24"/>
          <w:szCs w:val="24"/>
        </w:rPr>
        <w:t xml:space="preserve"> 180 mil. </w:t>
      </w:r>
      <w:r w:rsidR="000C2919">
        <w:rPr>
          <w:rFonts w:ascii="Times New Roman" w:hAnsi="Times New Roman" w:cs="Times New Roman"/>
          <w:sz w:val="24"/>
          <w:szCs w:val="24"/>
        </w:rPr>
        <w:t>Eur</w:t>
      </w:r>
      <w:r w:rsidRPr="000745A8">
        <w:rPr>
          <w:rFonts w:ascii="Times New Roman" w:hAnsi="Times New Roman" w:cs="Times New Roman"/>
          <w:sz w:val="24"/>
          <w:szCs w:val="24"/>
        </w:rPr>
        <w:t xml:space="preserve">. </w:t>
      </w:r>
    </w:p>
    <w:p w14:paraId="727DA397" w14:textId="0A1B2D4B" w:rsidR="006439C3" w:rsidRPr="000578FE" w:rsidRDefault="006439C3" w:rsidP="00AF5415">
      <w:pPr>
        <w:pStyle w:val="Nadpis3"/>
        <w:numPr>
          <w:ilvl w:val="2"/>
          <w:numId w:val="32"/>
        </w:numPr>
        <w:rPr>
          <w:rFonts w:ascii="Times New Roman" w:hAnsi="Times New Roman" w:cs="Times New Roman"/>
          <w:color w:val="auto"/>
        </w:rPr>
      </w:pPr>
      <w:bookmarkStart w:id="57" w:name="_Toc477345358"/>
      <w:r w:rsidRPr="000578FE">
        <w:rPr>
          <w:rFonts w:ascii="Times New Roman" w:hAnsi="Times New Roman" w:cs="Times New Roman"/>
          <w:color w:val="auto"/>
        </w:rPr>
        <w:t>Plánované opatrenia v sektore doprava</w:t>
      </w:r>
      <w:bookmarkEnd w:id="57"/>
    </w:p>
    <w:p w14:paraId="0D42D11C" w14:textId="47A05979" w:rsidR="00406E97" w:rsidRPr="000745A8" w:rsidRDefault="00406E97" w:rsidP="00406E97">
      <w:pPr>
        <w:jc w:val="both"/>
        <w:rPr>
          <w:rFonts w:ascii="Times New Roman" w:hAnsi="Times New Roman" w:cs="Times New Roman"/>
          <w:sz w:val="24"/>
          <w:szCs w:val="24"/>
        </w:rPr>
      </w:pPr>
      <w:r w:rsidRPr="000745A8">
        <w:rPr>
          <w:rFonts w:ascii="Times New Roman" w:hAnsi="Times New Roman" w:cs="Times New Roman"/>
          <w:sz w:val="24"/>
          <w:szCs w:val="24"/>
        </w:rPr>
        <w:t>V ďalšom období bude pokračovať „Obnova a modernizácia vozidlového parku“ (obnova prostriedkov verejnej autobusovej dopravy bude financovaná z IROP 2014-2020, obnova prostriedkov dráhovej dopravy bude financovaná prostredníctvom OPII 2014-2020), ako aj opatrenie „Budovanie a modernizácia dopravnej infrašt</w:t>
      </w:r>
      <w:r w:rsidR="00971C94">
        <w:rPr>
          <w:rFonts w:ascii="Times New Roman" w:hAnsi="Times New Roman" w:cs="Times New Roman"/>
          <w:sz w:val="24"/>
          <w:szCs w:val="24"/>
        </w:rPr>
        <w:t>ruktúry“ (</w:t>
      </w:r>
      <w:bookmarkStart w:id="58" w:name="_GoBack"/>
      <w:bookmarkEnd w:id="58"/>
      <w:r w:rsidRPr="000745A8">
        <w:rPr>
          <w:rFonts w:ascii="Times New Roman" w:hAnsi="Times New Roman" w:cs="Times New Roman"/>
          <w:sz w:val="24"/>
          <w:szCs w:val="24"/>
        </w:rPr>
        <w:t xml:space="preserve">OP II 2014-2020 a IROP 2014-2020). Predpokladá sa, že výstavba a rozvoj dopravnej infraštruktúry, dokončenie ucelenej siete nadradenej cestnej infraštruktúry, ciest II. a III. triedy a modernizácia hlavných železničných tratí, odstraňovanie úzkych dopravných miest a kritických nehodových lokalít umožnia zníženie spotreby pohonných látok. V rámci OP II 2014-2020 sa bude podporovať verejná osobná doprava prostredníctvom zlepšenia kvality infraštruktúry pre integrované dopravné systémy (ďalej aj „IDS“) a mestskú dráhovú dopravu. Prostredníctvom IROP 2014-2020 sa bude podporovať infraštruktúra a mobilné prostriedky cestnej verejnej osobnej dopravy, vrátane podpory pre vytváranie a zavádzanie integrovaných dopravných systémov. </w:t>
      </w:r>
    </w:p>
    <w:p w14:paraId="575CE5C1" w14:textId="399C6F23" w:rsidR="00406E97" w:rsidRPr="000745A8" w:rsidRDefault="00406E97" w:rsidP="00406E97">
      <w:pPr>
        <w:jc w:val="both"/>
        <w:rPr>
          <w:rFonts w:ascii="Times New Roman" w:hAnsi="Times New Roman" w:cs="Times New Roman"/>
          <w:sz w:val="24"/>
          <w:szCs w:val="24"/>
        </w:rPr>
      </w:pPr>
      <w:r w:rsidRPr="000745A8">
        <w:rPr>
          <w:rFonts w:ascii="Times New Roman" w:hAnsi="Times New Roman" w:cs="Times New Roman"/>
          <w:sz w:val="24"/>
          <w:szCs w:val="24"/>
        </w:rPr>
        <w:t>Zároveň sa bude výraznejšie podporovať rozvoj nemotorovej dopravy v súlade s Národnou stratégiou rozvoja cyklistickej dopravy a cykloturistiky v SR. Toto opatrenie zahŕňa podporu výstavby cyklistickej infraštruktúry, zavedenie orientačného a informačného systému pre cyklistov, zabezpečenie odstavných zariadení pre cyklistov, ale aj podporu pešej dopravy, vytváranie dopravne upokojených zón a ďalšie opatrenia, ktoré budú viesť k eliminácii nadmerného a neadekvátneho využívania súkromných osobných automobilov v</w:t>
      </w:r>
      <w:r w:rsidR="002B4689">
        <w:rPr>
          <w:rFonts w:ascii="Times New Roman" w:hAnsi="Times New Roman" w:cs="Times New Roman"/>
          <w:sz w:val="24"/>
          <w:szCs w:val="24"/>
        </w:rPr>
        <w:t> </w:t>
      </w:r>
      <w:r w:rsidRPr="000745A8">
        <w:rPr>
          <w:rFonts w:ascii="Times New Roman" w:hAnsi="Times New Roman" w:cs="Times New Roman"/>
          <w:sz w:val="24"/>
          <w:szCs w:val="24"/>
        </w:rPr>
        <w:t>mestách.</w:t>
      </w:r>
    </w:p>
    <w:p w14:paraId="5C5094BD" w14:textId="41606E67" w:rsidR="006439C3" w:rsidRPr="000745A8" w:rsidRDefault="00406E97" w:rsidP="007577DE">
      <w:pPr>
        <w:jc w:val="both"/>
        <w:rPr>
          <w:rFonts w:ascii="Times New Roman" w:hAnsi="Times New Roman" w:cs="Times New Roman"/>
          <w:sz w:val="24"/>
          <w:szCs w:val="24"/>
        </w:rPr>
      </w:pPr>
      <w:r w:rsidRPr="000745A8">
        <w:rPr>
          <w:rFonts w:ascii="Times New Roman" w:hAnsi="Times New Roman" w:cs="Times New Roman"/>
          <w:sz w:val="24"/>
          <w:szCs w:val="24"/>
        </w:rPr>
        <w:t>Okrem toho sa v budúcom období predpokladá aj nárast vozidiel na stlačený zemný plyn (CNG) a elektrickú energiu (plnohodnotne elektrické vozidlá, hybridné vozidlá), ktorých hlavnou výhodou je nižšia merná spotreba pohonných látok, ako aj nižšie emisie CO</w:t>
      </w:r>
      <w:r w:rsidRPr="000578FE">
        <w:rPr>
          <w:rFonts w:ascii="Times New Roman" w:hAnsi="Times New Roman" w:cs="Times New Roman"/>
          <w:sz w:val="24"/>
          <w:szCs w:val="24"/>
          <w:vertAlign w:val="subscript"/>
        </w:rPr>
        <w:t xml:space="preserve">2 </w:t>
      </w:r>
      <w:r w:rsidRPr="000745A8">
        <w:rPr>
          <w:rFonts w:ascii="Times New Roman" w:hAnsi="Times New Roman" w:cs="Times New Roman"/>
          <w:sz w:val="24"/>
          <w:szCs w:val="24"/>
        </w:rPr>
        <w:t>a </w:t>
      </w:r>
      <w:r w:rsidR="00D12B23" w:rsidRPr="000745A8">
        <w:rPr>
          <w:rFonts w:ascii="Times New Roman" w:hAnsi="Times New Roman" w:cs="Times New Roman"/>
          <w:sz w:val="24"/>
          <w:szCs w:val="24"/>
        </w:rPr>
        <w:t>tuhých</w:t>
      </w:r>
      <w:r w:rsidRPr="000745A8">
        <w:rPr>
          <w:rFonts w:ascii="Times New Roman" w:hAnsi="Times New Roman" w:cs="Times New Roman"/>
          <w:sz w:val="24"/>
          <w:szCs w:val="24"/>
        </w:rPr>
        <w:t xml:space="preserve"> častíc. Výzvou ostávajú vyššie počiatočné investičné náklady na obstaranie vozidla a vybudovanie siete plniacich </w:t>
      </w:r>
      <w:r w:rsidR="006471C6" w:rsidRPr="000745A8">
        <w:rPr>
          <w:rFonts w:ascii="Times New Roman" w:hAnsi="Times New Roman" w:cs="Times New Roman"/>
          <w:sz w:val="24"/>
          <w:szCs w:val="24"/>
        </w:rPr>
        <w:t xml:space="preserve">a nabíjacích </w:t>
      </w:r>
      <w:r w:rsidRPr="000745A8">
        <w:rPr>
          <w:rFonts w:ascii="Times New Roman" w:hAnsi="Times New Roman" w:cs="Times New Roman"/>
          <w:sz w:val="24"/>
          <w:szCs w:val="24"/>
        </w:rPr>
        <w:t>staníc</w:t>
      </w:r>
      <w:r w:rsidR="002B4689">
        <w:rPr>
          <w:rFonts w:ascii="Times New Roman" w:hAnsi="Times New Roman" w:cs="Times New Roman"/>
          <w:sz w:val="24"/>
          <w:szCs w:val="24"/>
        </w:rPr>
        <w:t xml:space="preserve">. Z tohto dôvodu MH SR a MDV SR budú pokračovať v </w:t>
      </w:r>
      <w:r w:rsidR="002B4689">
        <w:rPr>
          <w:rFonts w:ascii="Times New Roman" w:hAnsi="Times New Roman" w:cs="Times New Roman"/>
          <w:sz w:val="24"/>
          <w:szCs w:val="24"/>
        </w:rPr>
        <w:lastRenderedPageBreak/>
        <w:t xml:space="preserve">podpore </w:t>
      </w:r>
      <w:r w:rsidR="006B475D">
        <w:rPr>
          <w:rFonts w:ascii="Times New Roman" w:hAnsi="Times New Roman" w:cs="Times New Roman"/>
          <w:sz w:val="24"/>
          <w:szCs w:val="24"/>
        </w:rPr>
        <w:t>zvyšovania počtu</w:t>
      </w:r>
      <w:r w:rsidR="002B4689">
        <w:rPr>
          <w:rFonts w:ascii="Times New Roman" w:hAnsi="Times New Roman" w:cs="Times New Roman"/>
          <w:sz w:val="24"/>
          <w:szCs w:val="24"/>
        </w:rPr>
        <w:t xml:space="preserve"> vozidiel v súvislosti s Národným politickým rámcom pre rozvoj trhu s alternatívnymi palivami. </w:t>
      </w:r>
    </w:p>
    <w:p w14:paraId="58F9CADF" w14:textId="1EE4669F" w:rsidR="006439C3" w:rsidRPr="000578FE" w:rsidRDefault="006439C3" w:rsidP="00AF5415">
      <w:pPr>
        <w:pStyle w:val="Nadpis3"/>
        <w:numPr>
          <w:ilvl w:val="2"/>
          <w:numId w:val="32"/>
        </w:numPr>
        <w:rPr>
          <w:rFonts w:ascii="Times New Roman" w:hAnsi="Times New Roman" w:cs="Times New Roman"/>
          <w:color w:val="auto"/>
        </w:rPr>
      </w:pPr>
      <w:bookmarkStart w:id="59" w:name="_Toc477345359"/>
      <w:r w:rsidRPr="000578FE">
        <w:rPr>
          <w:rFonts w:ascii="Times New Roman" w:hAnsi="Times New Roman" w:cs="Times New Roman"/>
          <w:color w:val="auto"/>
        </w:rPr>
        <w:t>Plánované opatrenia v sektore spotrebiče</w:t>
      </w:r>
      <w:bookmarkEnd w:id="59"/>
    </w:p>
    <w:p w14:paraId="3B41AE7D" w14:textId="78B24CCF" w:rsidR="0007724F" w:rsidRPr="000745A8" w:rsidRDefault="003C6682" w:rsidP="007577DE">
      <w:pPr>
        <w:jc w:val="both"/>
        <w:rPr>
          <w:rFonts w:ascii="Times New Roman" w:hAnsi="Times New Roman" w:cs="Times New Roman"/>
          <w:sz w:val="24"/>
          <w:szCs w:val="24"/>
        </w:rPr>
      </w:pPr>
      <w:r w:rsidRPr="000745A8">
        <w:rPr>
          <w:rFonts w:ascii="Times New Roman" w:hAnsi="Times New Roman" w:cs="Times New Roman"/>
          <w:sz w:val="24"/>
          <w:szCs w:val="24"/>
        </w:rPr>
        <w:t>V sektore spotrebičov sa predpokladá naďalej obmena bielej techniky</w:t>
      </w:r>
      <w:r w:rsidR="00837791" w:rsidRPr="000745A8">
        <w:rPr>
          <w:rFonts w:ascii="Times New Roman" w:hAnsi="Times New Roman" w:cs="Times New Roman"/>
          <w:sz w:val="24"/>
          <w:szCs w:val="24"/>
        </w:rPr>
        <w:t xml:space="preserve">, inštalácia úsporných svietidiel a sprísňovanie minimálnych technických požiadaviek zo strany EK v rámci stanovenom legislatívou v oblasti ekodizajnu a štítkovania. V budúcom období plánuje MH SR/SIEA v spolupráci s CECED-om zabezpečiť monitorovanie aj iných typov spotrebičov v segmente bielej techniky. </w:t>
      </w:r>
      <w:r w:rsidRPr="000745A8">
        <w:rPr>
          <w:rFonts w:ascii="Times New Roman" w:hAnsi="Times New Roman" w:cs="Times New Roman"/>
          <w:sz w:val="24"/>
          <w:szCs w:val="24"/>
        </w:rPr>
        <w:t xml:space="preserve"> </w:t>
      </w:r>
    </w:p>
    <w:p w14:paraId="6C29482C" w14:textId="57FC4245" w:rsidR="00902157" w:rsidRPr="000578FE" w:rsidRDefault="006439C3" w:rsidP="00AF5415">
      <w:pPr>
        <w:pStyle w:val="Nadpis3"/>
        <w:numPr>
          <w:ilvl w:val="2"/>
          <w:numId w:val="32"/>
        </w:numPr>
        <w:rPr>
          <w:rFonts w:ascii="Times New Roman" w:hAnsi="Times New Roman" w:cs="Times New Roman"/>
          <w:color w:val="auto"/>
        </w:rPr>
      </w:pPr>
      <w:bookmarkStart w:id="60" w:name="_Toc477345360"/>
      <w:r w:rsidRPr="000578FE">
        <w:rPr>
          <w:rFonts w:ascii="Times New Roman" w:hAnsi="Times New Roman" w:cs="Times New Roman"/>
          <w:color w:val="auto"/>
        </w:rPr>
        <w:t xml:space="preserve">Plánované opatrenia v sektore </w:t>
      </w:r>
      <w:r w:rsidR="00BE0764" w:rsidRPr="000578FE">
        <w:rPr>
          <w:rFonts w:ascii="Times New Roman" w:hAnsi="Times New Roman" w:cs="Times New Roman"/>
          <w:color w:val="auto"/>
        </w:rPr>
        <w:t>premena, prenos</w:t>
      </w:r>
      <w:r w:rsidR="006471C6" w:rsidRPr="000578FE">
        <w:rPr>
          <w:rFonts w:ascii="Times New Roman" w:hAnsi="Times New Roman" w:cs="Times New Roman"/>
          <w:color w:val="auto"/>
        </w:rPr>
        <w:t xml:space="preserve"> a </w:t>
      </w:r>
      <w:r w:rsidR="00BE0764" w:rsidRPr="000578FE">
        <w:rPr>
          <w:rFonts w:ascii="Times New Roman" w:hAnsi="Times New Roman" w:cs="Times New Roman"/>
          <w:color w:val="auto"/>
        </w:rPr>
        <w:t>distribúcia energie</w:t>
      </w:r>
      <w:bookmarkEnd w:id="60"/>
    </w:p>
    <w:p w14:paraId="1C878CCB" w14:textId="70FDE70B" w:rsidR="0007724F" w:rsidRPr="000745A8" w:rsidRDefault="00837791" w:rsidP="007577DE">
      <w:pPr>
        <w:jc w:val="both"/>
        <w:rPr>
          <w:rFonts w:ascii="Times New Roman" w:hAnsi="Times New Roman" w:cs="Times New Roman"/>
          <w:sz w:val="24"/>
          <w:szCs w:val="24"/>
        </w:rPr>
      </w:pPr>
      <w:r w:rsidRPr="000745A8">
        <w:rPr>
          <w:rFonts w:ascii="Times New Roman" w:hAnsi="Times New Roman" w:cs="Times New Roman"/>
          <w:sz w:val="24"/>
          <w:szCs w:val="24"/>
        </w:rPr>
        <w:t>K úsporám energie prispejú najmä opatrenia financované z OP KŽP (2014-2020) zamerané jednak na výstavbu, rekonštrukciu a modernizáciu rozvodov tepla ako aj na výstavbu, rekonštrukciu a modernizáciu zariadení na výrobu elektriny a tepla vysoko účinnou kombinovanou výrobou s maximálnym tepelným príkonom do 20 MW. Cieľom je prispôsobiť výrobu a dodávku tepla potrebe využiteľného tepla, ktorá sa v dôsledku postupnej realizácie opatrení na úsporu energie na strane spotreby postupne znižuje. Optimalizáciou výroby, distribúcie a spotreby tepla s dôrazom na využívanie vysoko účinnej kombinovanej výroby elektriny a tepla je možné prispieť k zníženiu primárnych energetických zdrojov a rozvoju účinných systémov CZT. Nakoľko OP KŽP je financované z ERDF, z ktorého nemožno tieto opatrenia realizovať v BSK, MH SR bude poskytovať dotácie na rekonštrukciu a modernizáciu zariadení na výrobu elektriny a tepla a rozvodov tepla v BSK.</w:t>
      </w:r>
    </w:p>
    <w:p w14:paraId="7D7DB3FB" w14:textId="745BD14D" w:rsidR="00F9314F" w:rsidRPr="000578FE" w:rsidRDefault="006439C3" w:rsidP="00AF5415">
      <w:pPr>
        <w:pStyle w:val="Nadpis3"/>
        <w:numPr>
          <w:ilvl w:val="2"/>
          <w:numId w:val="32"/>
        </w:numPr>
        <w:rPr>
          <w:rFonts w:ascii="Times New Roman" w:hAnsi="Times New Roman" w:cs="Times New Roman"/>
          <w:color w:val="auto"/>
        </w:rPr>
      </w:pPr>
      <w:bookmarkStart w:id="61" w:name="_Toc477345361"/>
      <w:r w:rsidRPr="000578FE">
        <w:rPr>
          <w:rFonts w:ascii="Times New Roman" w:hAnsi="Times New Roman" w:cs="Times New Roman"/>
          <w:color w:val="auto"/>
        </w:rPr>
        <w:t>Sumárny návrh plánovaných opatrení</w:t>
      </w:r>
      <w:bookmarkEnd w:id="61"/>
    </w:p>
    <w:p w14:paraId="06C2A01F" w14:textId="2B783358" w:rsidR="00902157" w:rsidRPr="000745A8" w:rsidRDefault="009A7C57" w:rsidP="009A7C57">
      <w:pPr>
        <w:jc w:val="both"/>
        <w:rPr>
          <w:rFonts w:ascii="Times New Roman" w:hAnsi="Times New Roman" w:cs="Times New Roman"/>
          <w:sz w:val="24"/>
          <w:szCs w:val="24"/>
        </w:rPr>
      </w:pPr>
      <w:r w:rsidRPr="000745A8">
        <w:rPr>
          <w:rFonts w:ascii="Times New Roman" w:hAnsi="Times New Roman" w:cs="Times New Roman"/>
          <w:sz w:val="24"/>
          <w:szCs w:val="24"/>
        </w:rPr>
        <w:t xml:space="preserve">Plánované úspory energie </w:t>
      </w:r>
      <w:r w:rsidR="00294E6D" w:rsidRPr="000745A8">
        <w:rPr>
          <w:rFonts w:ascii="Times New Roman" w:hAnsi="Times New Roman" w:cs="Times New Roman"/>
          <w:sz w:val="24"/>
          <w:szCs w:val="24"/>
        </w:rPr>
        <w:t xml:space="preserve">pre jednotlivé opatrenia energetickej efektívnosti </w:t>
      </w:r>
      <w:r w:rsidRPr="000745A8">
        <w:rPr>
          <w:rFonts w:ascii="Times New Roman" w:hAnsi="Times New Roman" w:cs="Times New Roman"/>
          <w:sz w:val="24"/>
          <w:szCs w:val="24"/>
        </w:rPr>
        <w:t>na ďalšie obdobie rokov 2017-2019 s výhľadom do roku 2020 sú vypočítané n</w:t>
      </w:r>
      <w:r w:rsidR="00902157" w:rsidRPr="000745A8">
        <w:rPr>
          <w:rFonts w:ascii="Times New Roman" w:hAnsi="Times New Roman" w:cs="Times New Roman"/>
          <w:sz w:val="24"/>
          <w:szCs w:val="24"/>
        </w:rPr>
        <w:t>a základe existujúcich a pripravovaných opatrení energetickej efektívnosti a predpokladaných disponibilných finančných prostriedkov</w:t>
      </w:r>
      <w:r w:rsidRPr="000745A8">
        <w:rPr>
          <w:rFonts w:ascii="Times New Roman" w:hAnsi="Times New Roman" w:cs="Times New Roman"/>
          <w:sz w:val="24"/>
          <w:szCs w:val="24"/>
        </w:rPr>
        <w:t xml:space="preserve"> pomocou aplikácie priemernej investičnej náročnosti </w:t>
      </w:r>
      <w:r w:rsidR="00294E6D" w:rsidRPr="000745A8">
        <w:rPr>
          <w:rFonts w:ascii="Times New Roman" w:hAnsi="Times New Roman" w:cs="Times New Roman"/>
          <w:sz w:val="24"/>
          <w:szCs w:val="24"/>
        </w:rPr>
        <w:t>pre jednotlivé opatrenia za minulé obdobie (2014-2016). Výsledky plánovacieho procesu</w:t>
      </w:r>
      <w:r w:rsidR="00902157" w:rsidRPr="000745A8">
        <w:rPr>
          <w:rFonts w:ascii="Times New Roman" w:hAnsi="Times New Roman" w:cs="Times New Roman"/>
          <w:sz w:val="24"/>
          <w:szCs w:val="24"/>
        </w:rPr>
        <w:t xml:space="preserve"> sú podľa jednotlivých sektorov uvedené v tabuľke </w:t>
      </w:r>
      <w:r w:rsidR="00BB33A1">
        <w:rPr>
          <w:rFonts w:ascii="Times New Roman" w:hAnsi="Times New Roman" w:cs="Times New Roman"/>
          <w:sz w:val="24"/>
          <w:szCs w:val="24"/>
        </w:rPr>
        <w:t>č. 7</w:t>
      </w:r>
      <w:r w:rsidR="00902157" w:rsidRPr="000745A8">
        <w:rPr>
          <w:rFonts w:ascii="Times New Roman" w:hAnsi="Times New Roman" w:cs="Times New Roman"/>
          <w:sz w:val="24"/>
          <w:szCs w:val="24"/>
        </w:rPr>
        <w:t>.</w:t>
      </w:r>
    </w:p>
    <w:p w14:paraId="0C6327C4" w14:textId="629F5A08" w:rsidR="00902157" w:rsidRPr="000578FE" w:rsidRDefault="00BB33A1" w:rsidP="00902157">
      <w:pPr>
        <w:spacing w:after="0" w:line="240" w:lineRule="auto"/>
        <w:rPr>
          <w:rFonts w:ascii="Times New Roman" w:hAnsi="Times New Roman" w:cs="Times New Roman"/>
          <w:sz w:val="24"/>
          <w:szCs w:val="24"/>
        </w:rPr>
      </w:pPr>
      <w:r w:rsidRPr="000578FE">
        <w:rPr>
          <w:rFonts w:ascii="Times New Roman" w:hAnsi="Times New Roman" w:cs="Times New Roman"/>
          <w:sz w:val="24"/>
          <w:szCs w:val="24"/>
        </w:rPr>
        <w:t>Tabuľka č. 7: Prehľad plánovaných úspor energie</w:t>
      </w:r>
      <w:r w:rsidR="002706C2">
        <w:rPr>
          <w:rFonts w:ascii="Times New Roman" w:hAnsi="Times New Roman" w:cs="Times New Roman"/>
          <w:sz w:val="24"/>
          <w:szCs w:val="24"/>
        </w:rPr>
        <w:t xml:space="preserve"> a predpokladaných finančných zdrojov</w:t>
      </w:r>
      <w:r w:rsidRPr="000578FE">
        <w:rPr>
          <w:rFonts w:ascii="Times New Roman" w:hAnsi="Times New Roman" w:cs="Times New Roman"/>
          <w:sz w:val="24"/>
          <w:szCs w:val="24"/>
        </w:rPr>
        <w:t xml:space="preserve"> v jednotlivých sektoroch na roky 2017 – 2019 s výhľadom do roku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4"/>
        <w:gridCol w:w="923"/>
        <w:gridCol w:w="972"/>
        <w:gridCol w:w="1673"/>
        <w:gridCol w:w="1189"/>
        <w:gridCol w:w="916"/>
        <w:gridCol w:w="1025"/>
      </w:tblGrid>
      <w:tr w:rsidR="00902157" w:rsidRPr="00CB1BA9" w14:paraId="68058F80" w14:textId="77777777" w:rsidTr="00DA558A">
        <w:trPr>
          <w:trHeight w:val="330"/>
          <w:tblHeader/>
        </w:trPr>
        <w:tc>
          <w:tcPr>
            <w:tcW w:w="1300" w:type="pct"/>
            <w:vMerge w:val="restart"/>
            <w:tcBorders>
              <w:top w:val="single" w:sz="8" w:space="0" w:color="auto"/>
              <w:left w:val="single" w:sz="8" w:space="0" w:color="auto"/>
            </w:tcBorders>
            <w:shd w:val="pct25" w:color="auto" w:fill="auto"/>
            <w:noWrap/>
            <w:vAlign w:val="center"/>
          </w:tcPr>
          <w:p w14:paraId="311D9E11" w14:textId="601B6B35" w:rsidR="00902157" w:rsidRPr="004E746F" w:rsidRDefault="00CD4818" w:rsidP="00CD4818">
            <w:pPr>
              <w:spacing w:after="0" w:line="240" w:lineRule="auto"/>
              <w:jc w:val="center"/>
              <w:rPr>
                <w:rFonts w:ascii="Times New Roman" w:eastAsia="Times New Roman" w:hAnsi="Times New Roman" w:cs="Times New Roman"/>
                <w:b/>
                <w:color w:val="000000"/>
                <w:lang w:eastAsia="sk-SK"/>
              </w:rPr>
            </w:pPr>
            <w:r w:rsidRPr="004E746F">
              <w:rPr>
                <w:rFonts w:ascii="Times New Roman" w:eastAsia="Times New Roman" w:hAnsi="Times New Roman" w:cs="Times New Roman"/>
                <w:b/>
                <w:color w:val="000000"/>
                <w:lang w:eastAsia="sk-SK"/>
              </w:rPr>
              <w:t>Sektor</w:t>
            </w:r>
          </w:p>
        </w:tc>
        <w:tc>
          <w:tcPr>
            <w:tcW w:w="1971" w:type="pct"/>
            <w:gridSpan w:val="3"/>
            <w:tcBorders>
              <w:top w:val="single" w:sz="8" w:space="0" w:color="auto"/>
              <w:right w:val="single" w:sz="8" w:space="0" w:color="auto"/>
            </w:tcBorders>
            <w:shd w:val="pct25" w:color="auto" w:fill="auto"/>
            <w:noWrap/>
            <w:vAlign w:val="center"/>
          </w:tcPr>
          <w:p w14:paraId="5845B66F" w14:textId="77777777" w:rsidR="00902157" w:rsidRPr="004E746F" w:rsidRDefault="00902157" w:rsidP="00CD4818">
            <w:pPr>
              <w:spacing w:after="0" w:line="240" w:lineRule="auto"/>
              <w:jc w:val="center"/>
              <w:rPr>
                <w:rFonts w:ascii="Times New Roman" w:eastAsia="Times New Roman" w:hAnsi="Times New Roman" w:cs="Times New Roman"/>
                <w:b/>
                <w:color w:val="000000"/>
                <w:lang w:eastAsia="sk-SK"/>
              </w:rPr>
            </w:pPr>
            <w:r w:rsidRPr="004E746F">
              <w:rPr>
                <w:rFonts w:ascii="Times New Roman" w:eastAsia="Times New Roman" w:hAnsi="Times New Roman" w:cs="Times New Roman"/>
                <w:b/>
                <w:color w:val="000000"/>
                <w:lang w:eastAsia="sk-SK"/>
              </w:rPr>
              <w:t>2017-2019</w:t>
            </w:r>
          </w:p>
        </w:tc>
        <w:tc>
          <w:tcPr>
            <w:tcW w:w="1729" w:type="pct"/>
            <w:gridSpan w:val="3"/>
            <w:tcBorders>
              <w:top w:val="single" w:sz="8" w:space="0" w:color="auto"/>
              <w:left w:val="single" w:sz="8" w:space="0" w:color="auto"/>
              <w:right w:val="single" w:sz="8" w:space="0" w:color="auto"/>
            </w:tcBorders>
            <w:shd w:val="pct25" w:color="auto" w:fill="auto"/>
            <w:vAlign w:val="center"/>
          </w:tcPr>
          <w:p w14:paraId="0574AC60" w14:textId="77777777" w:rsidR="00902157" w:rsidRPr="004E746F" w:rsidRDefault="00902157" w:rsidP="00CD4818">
            <w:pPr>
              <w:spacing w:after="0" w:line="240" w:lineRule="auto"/>
              <w:jc w:val="center"/>
              <w:rPr>
                <w:rFonts w:ascii="Times New Roman" w:eastAsia="Times New Roman" w:hAnsi="Times New Roman" w:cs="Times New Roman"/>
                <w:b/>
                <w:color w:val="000000"/>
                <w:lang w:eastAsia="sk-SK"/>
              </w:rPr>
            </w:pPr>
            <w:r w:rsidRPr="004E746F">
              <w:rPr>
                <w:rFonts w:ascii="Times New Roman" w:eastAsia="Times New Roman" w:hAnsi="Times New Roman" w:cs="Times New Roman"/>
                <w:b/>
                <w:color w:val="000000"/>
                <w:lang w:eastAsia="sk-SK"/>
              </w:rPr>
              <w:t>2017-2020</w:t>
            </w:r>
          </w:p>
        </w:tc>
      </w:tr>
      <w:tr w:rsidR="00902157" w:rsidRPr="00CB1BA9" w14:paraId="3AA88985" w14:textId="77777777" w:rsidTr="00DA558A">
        <w:trPr>
          <w:trHeight w:val="330"/>
          <w:tblHeader/>
        </w:trPr>
        <w:tc>
          <w:tcPr>
            <w:tcW w:w="1300" w:type="pct"/>
            <w:vMerge/>
            <w:tcBorders>
              <w:left w:val="single" w:sz="8" w:space="0" w:color="auto"/>
            </w:tcBorders>
            <w:shd w:val="pct25" w:color="auto" w:fill="auto"/>
            <w:noWrap/>
            <w:vAlign w:val="center"/>
            <w:hideMark/>
          </w:tcPr>
          <w:p w14:paraId="385F1D48" w14:textId="77777777" w:rsidR="00902157" w:rsidRPr="00CB1BA9" w:rsidRDefault="00902157" w:rsidP="00CD4818">
            <w:pPr>
              <w:spacing w:after="0" w:line="240" w:lineRule="auto"/>
              <w:jc w:val="center"/>
              <w:rPr>
                <w:rFonts w:ascii="Times New Roman" w:eastAsia="Times New Roman" w:hAnsi="Times New Roman" w:cs="Times New Roman"/>
                <w:b/>
                <w:color w:val="000000"/>
                <w:lang w:eastAsia="sk-SK"/>
              </w:rPr>
            </w:pPr>
          </w:p>
        </w:tc>
        <w:tc>
          <w:tcPr>
            <w:tcW w:w="510" w:type="pct"/>
            <w:shd w:val="pct25" w:color="auto" w:fill="auto"/>
            <w:noWrap/>
            <w:vAlign w:val="center"/>
            <w:hideMark/>
          </w:tcPr>
          <w:p w14:paraId="33F32FB2" w14:textId="2030FE3C" w:rsidR="00902157" w:rsidRPr="004E746F" w:rsidRDefault="00902157" w:rsidP="00CD4818">
            <w:pPr>
              <w:spacing w:after="0" w:line="240" w:lineRule="auto"/>
              <w:jc w:val="center"/>
              <w:rPr>
                <w:rFonts w:ascii="Times New Roman" w:eastAsia="Times New Roman" w:hAnsi="Times New Roman" w:cs="Times New Roman"/>
                <w:b/>
                <w:color w:val="000000"/>
                <w:lang w:eastAsia="sk-SK"/>
              </w:rPr>
            </w:pPr>
            <w:r w:rsidRPr="004E746F">
              <w:rPr>
                <w:rFonts w:ascii="Times New Roman" w:eastAsia="Times New Roman" w:hAnsi="Times New Roman" w:cs="Times New Roman"/>
                <w:b/>
                <w:color w:val="000000"/>
                <w:lang w:eastAsia="sk-SK"/>
              </w:rPr>
              <w:t>Úspora energie</w:t>
            </w:r>
          </w:p>
          <w:p w14:paraId="13797FA8" w14:textId="1296152C" w:rsidR="00902157" w:rsidRPr="004E746F" w:rsidRDefault="00902157" w:rsidP="00CD4818">
            <w:pPr>
              <w:spacing w:after="0" w:line="240" w:lineRule="auto"/>
              <w:jc w:val="center"/>
              <w:rPr>
                <w:rFonts w:ascii="Times New Roman" w:eastAsia="Times New Roman" w:hAnsi="Times New Roman" w:cs="Times New Roman"/>
                <w:b/>
                <w:color w:val="000000"/>
                <w:lang w:eastAsia="sk-SK"/>
              </w:rPr>
            </w:pPr>
            <w:r w:rsidRPr="004E746F">
              <w:rPr>
                <w:rFonts w:ascii="Times New Roman" w:eastAsia="Times New Roman" w:hAnsi="Times New Roman" w:cs="Times New Roman"/>
                <w:b/>
                <w:color w:val="000000"/>
                <w:lang w:eastAsia="sk-SK"/>
              </w:rPr>
              <w:t>(KES)</w:t>
            </w:r>
          </w:p>
        </w:tc>
        <w:tc>
          <w:tcPr>
            <w:tcW w:w="537" w:type="pct"/>
            <w:shd w:val="pct25" w:color="auto" w:fill="auto"/>
            <w:noWrap/>
            <w:vAlign w:val="center"/>
            <w:hideMark/>
          </w:tcPr>
          <w:p w14:paraId="2D4BCEB2" w14:textId="77777777" w:rsidR="00BE0764" w:rsidRPr="004E746F" w:rsidRDefault="00BE0764" w:rsidP="00BE0764">
            <w:pPr>
              <w:spacing w:after="0" w:line="240" w:lineRule="auto"/>
              <w:jc w:val="center"/>
              <w:rPr>
                <w:rFonts w:ascii="Times New Roman" w:eastAsia="Times New Roman" w:hAnsi="Times New Roman" w:cs="Times New Roman"/>
                <w:b/>
                <w:color w:val="000000"/>
                <w:lang w:eastAsia="sk-SK"/>
              </w:rPr>
            </w:pPr>
            <w:r w:rsidRPr="004E746F">
              <w:rPr>
                <w:rFonts w:ascii="Times New Roman" w:eastAsia="Times New Roman" w:hAnsi="Times New Roman" w:cs="Times New Roman"/>
                <w:b/>
                <w:color w:val="000000"/>
                <w:lang w:eastAsia="sk-SK"/>
              </w:rPr>
              <w:t>Úspora energie</w:t>
            </w:r>
          </w:p>
          <w:p w14:paraId="37230827" w14:textId="227D1597" w:rsidR="00902157" w:rsidRPr="004E746F" w:rsidRDefault="00BE0764" w:rsidP="00BE0764">
            <w:pPr>
              <w:spacing w:after="0" w:line="240" w:lineRule="auto"/>
              <w:jc w:val="center"/>
              <w:rPr>
                <w:rFonts w:ascii="Times New Roman" w:eastAsia="Times New Roman" w:hAnsi="Times New Roman" w:cs="Times New Roman"/>
                <w:b/>
                <w:color w:val="000000"/>
                <w:lang w:eastAsia="sk-SK"/>
              </w:rPr>
            </w:pPr>
            <w:r w:rsidRPr="004E746F">
              <w:rPr>
                <w:rFonts w:ascii="Times New Roman" w:eastAsia="Times New Roman" w:hAnsi="Times New Roman" w:cs="Times New Roman"/>
                <w:b/>
                <w:color w:val="000000"/>
                <w:lang w:eastAsia="sk-SK"/>
              </w:rPr>
              <w:t>(PES)</w:t>
            </w:r>
          </w:p>
        </w:tc>
        <w:tc>
          <w:tcPr>
            <w:tcW w:w="924" w:type="pct"/>
            <w:tcBorders>
              <w:right w:val="single" w:sz="8" w:space="0" w:color="auto"/>
            </w:tcBorders>
            <w:shd w:val="pct25" w:color="auto" w:fill="auto"/>
            <w:noWrap/>
            <w:vAlign w:val="center"/>
            <w:hideMark/>
          </w:tcPr>
          <w:p w14:paraId="55FC9BE1" w14:textId="29B43EFA" w:rsidR="00902157" w:rsidRPr="004E746F" w:rsidRDefault="00902157" w:rsidP="00063AF1">
            <w:pPr>
              <w:spacing w:after="0" w:line="240" w:lineRule="auto"/>
              <w:jc w:val="center"/>
              <w:rPr>
                <w:rFonts w:ascii="Times New Roman" w:eastAsia="Times New Roman" w:hAnsi="Times New Roman" w:cs="Times New Roman"/>
                <w:b/>
                <w:color w:val="000000"/>
                <w:lang w:eastAsia="sk-SK"/>
              </w:rPr>
            </w:pPr>
            <w:r w:rsidRPr="004E746F">
              <w:rPr>
                <w:rFonts w:ascii="Times New Roman" w:eastAsia="Times New Roman" w:hAnsi="Times New Roman" w:cs="Times New Roman"/>
                <w:b/>
                <w:color w:val="000000"/>
                <w:lang w:eastAsia="sk-SK"/>
              </w:rPr>
              <w:t xml:space="preserve">Celkové </w:t>
            </w:r>
            <w:r w:rsidR="00BE0764" w:rsidRPr="004E746F">
              <w:rPr>
                <w:rFonts w:ascii="Times New Roman" w:eastAsia="Times New Roman" w:hAnsi="Times New Roman" w:cs="Times New Roman"/>
                <w:b/>
                <w:color w:val="000000"/>
                <w:lang w:eastAsia="sk-SK"/>
              </w:rPr>
              <w:t>finan</w:t>
            </w:r>
            <w:r w:rsidR="002706C2">
              <w:rPr>
                <w:rFonts w:ascii="Times New Roman" w:eastAsia="Times New Roman" w:hAnsi="Times New Roman" w:cs="Times New Roman"/>
                <w:b/>
                <w:color w:val="000000"/>
                <w:lang w:eastAsia="sk-SK"/>
              </w:rPr>
              <w:t>čné zdroje</w:t>
            </w:r>
          </w:p>
        </w:tc>
        <w:tc>
          <w:tcPr>
            <w:tcW w:w="657" w:type="pct"/>
            <w:tcBorders>
              <w:left w:val="single" w:sz="8" w:space="0" w:color="auto"/>
            </w:tcBorders>
            <w:shd w:val="pct25" w:color="auto" w:fill="auto"/>
            <w:vAlign w:val="center"/>
          </w:tcPr>
          <w:p w14:paraId="56F4ED2A" w14:textId="22B6F681" w:rsidR="00902157" w:rsidRPr="004E746F" w:rsidRDefault="00902157" w:rsidP="00CD4818">
            <w:pPr>
              <w:spacing w:after="0" w:line="240" w:lineRule="auto"/>
              <w:jc w:val="center"/>
              <w:rPr>
                <w:rFonts w:ascii="Times New Roman" w:eastAsia="Times New Roman" w:hAnsi="Times New Roman" w:cs="Times New Roman"/>
                <w:b/>
                <w:color w:val="000000"/>
                <w:lang w:eastAsia="sk-SK"/>
              </w:rPr>
            </w:pPr>
            <w:r w:rsidRPr="004E746F">
              <w:rPr>
                <w:rFonts w:ascii="Times New Roman" w:eastAsia="Times New Roman" w:hAnsi="Times New Roman" w:cs="Times New Roman"/>
                <w:b/>
                <w:color w:val="000000"/>
                <w:lang w:eastAsia="sk-SK"/>
              </w:rPr>
              <w:t>Úspora energie</w:t>
            </w:r>
          </w:p>
          <w:p w14:paraId="0D3B49B7" w14:textId="77777777" w:rsidR="00902157" w:rsidRPr="004E746F" w:rsidRDefault="00902157" w:rsidP="00CD4818">
            <w:pPr>
              <w:spacing w:after="0" w:line="240" w:lineRule="auto"/>
              <w:jc w:val="center"/>
              <w:rPr>
                <w:rFonts w:ascii="Times New Roman" w:eastAsia="Times New Roman" w:hAnsi="Times New Roman" w:cs="Times New Roman"/>
                <w:b/>
                <w:color w:val="000000"/>
                <w:lang w:eastAsia="sk-SK"/>
              </w:rPr>
            </w:pPr>
            <w:r w:rsidRPr="004E746F">
              <w:rPr>
                <w:rFonts w:ascii="Times New Roman" w:eastAsia="Times New Roman" w:hAnsi="Times New Roman" w:cs="Times New Roman"/>
                <w:b/>
                <w:color w:val="000000"/>
                <w:lang w:eastAsia="sk-SK"/>
              </w:rPr>
              <w:t>(KES)</w:t>
            </w:r>
          </w:p>
        </w:tc>
        <w:tc>
          <w:tcPr>
            <w:tcW w:w="506" w:type="pct"/>
            <w:shd w:val="pct25" w:color="auto" w:fill="auto"/>
            <w:vAlign w:val="center"/>
          </w:tcPr>
          <w:p w14:paraId="25D11E11" w14:textId="77777777" w:rsidR="00BE0764" w:rsidRPr="004E746F" w:rsidRDefault="00BE0764" w:rsidP="00BE0764">
            <w:pPr>
              <w:spacing w:after="0" w:line="240" w:lineRule="auto"/>
              <w:jc w:val="center"/>
              <w:rPr>
                <w:rFonts w:ascii="Times New Roman" w:eastAsia="Times New Roman" w:hAnsi="Times New Roman" w:cs="Times New Roman"/>
                <w:b/>
                <w:color w:val="000000"/>
                <w:lang w:eastAsia="sk-SK"/>
              </w:rPr>
            </w:pPr>
            <w:r w:rsidRPr="004E746F">
              <w:rPr>
                <w:rFonts w:ascii="Times New Roman" w:eastAsia="Times New Roman" w:hAnsi="Times New Roman" w:cs="Times New Roman"/>
                <w:b/>
                <w:color w:val="000000"/>
                <w:lang w:eastAsia="sk-SK"/>
              </w:rPr>
              <w:t>Úspora energie</w:t>
            </w:r>
          </w:p>
          <w:p w14:paraId="3687A2B6" w14:textId="505F2A0C" w:rsidR="00902157" w:rsidRPr="004E746F" w:rsidRDefault="00BE0764" w:rsidP="00BE0764">
            <w:pPr>
              <w:spacing w:after="0" w:line="240" w:lineRule="auto"/>
              <w:jc w:val="center"/>
              <w:rPr>
                <w:rFonts w:ascii="Times New Roman" w:eastAsia="Times New Roman" w:hAnsi="Times New Roman" w:cs="Times New Roman"/>
                <w:b/>
                <w:color w:val="000000"/>
                <w:lang w:eastAsia="sk-SK"/>
              </w:rPr>
            </w:pPr>
            <w:r w:rsidRPr="004E746F">
              <w:rPr>
                <w:rFonts w:ascii="Times New Roman" w:eastAsia="Times New Roman" w:hAnsi="Times New Roman" w:cs="Times New Roman"/>
                <w:b/>
                <w:color w:val="000000"/>
                <w:lang w:eastAsia="sk-SK"/>
              </w:rPr>
              <w:t>(PES)</w:t>
            </w:r>
          </w:p>
        </w:tc>
        <w:tc>
          <w:tcPr>
            <w:tcW w:w="566" w:type="pct"/>
            <w:tcBorders>
              <w:right w:val="single" w:sz="8" w:space="0" w:color="auto"/>
            </w:tcBorders>
            <w:shd w:val="pct25" w:color="auto" w:fill="auto"/>
            <w:vAlign w:val="center"/>
          </w:tcPr>
          <w:p w14:paraId="0C79E08F" w14:textId="02E0D251" w:rsidR="00902157" w:rsidRPr="004E746F" w:rsidRDefault="00902157" w:rsidP="00063AF1">
            <w:pPr>
              <w:spacing w:after="0" w:line="240" w:lineRule="auto"/>
              <w:jc w:val="center"/>
              <w:rPr>
                <w:rFonts w:ascii="Times New Roman" w:eastAsia="Times New Roman" w:hAnsi="Times New Roman" w:cs="Times New Roman"/>
                <w:b/>
                <w:color w:val="000000"/>
                <w:lang w:eastAsia="sk-SK"/>
              </w:rPr>
            </w:pPr>
            <w:r w:rsidRPr="004E746F">
              <w:rPr>
                <w:rFonts w:ascii="Times New Roman" w:eastAsia="Times New Roman" w:hAnsi="Times New Roman" w:cs="Times New Roman"/>
                <w:b/>
                <w:color w:val="000000"/>
                <w:lang w:eastAsia="sk-SK"/>
              </w:rPr>
              <w:t xml:space="preserve">Celkové </w:t>
            </w:r>
            <w:r w:rsidR="002706C2" w:rsidRPr="00D91203">
              <w:rPr>
                <w:rFonts w:ascii="Times New Roman" w:eastAsia="Times New Roman" w:hAnsi="Times New Roman" w:cs="Times New Roman"/>
                <w:b/>
                <w:color w:val="000000"/>
                <w:lang w:eastAsia="sk-SK"/>
              </w:rPr>
              <w:t>finan</w:t>
            </w:r>
            <w:r w:rsidR="002706C2">
              <w:rPr>
                <w:rFonts w:ascii="Times New Roman" w:eastAsia="Times New Roman" w:hAnsi="Times New Roman" w:cs="Times New Roman"/>
                <w:b/>
                <w:color w:val="000000"/>
                <w:lang w:eastAsia="sk-SK"/>
              </w:rPr>
              <w:t>čné zdroje</w:t>
            </w:r>
          </w:p>
        </w:tc>
      </w:tr>
      <w:tr w:rsidR="00902157" w:rsidRPr="00CB1BA9" w14:paraId="3538854C" w14:textId="77777777" w:rsidTr="00DA558A">
        <w:trPr>
          <w:trHeight w:val="330"/>
          <w:tblHeader/>
        </w:trPr>
        <w:tc>
          <w:tcPr>
            <w:tcW w:w="1300" w:type="pct"/>
            <w:vMerge/>
            <w:tcBorders>
              <w:left w:val="single" w:sz="8" w:space="0" w:color="auto"/>
              <w:bottom w:val="single" w:sz="8" w:space="0" w:color="auto"/>
            </w:tcBorders>
            <w:shd w:val="pct25" w:color="auto" w:fill="auto"/>
            <w:noWrap/>
            <w:vAlign w:val="center"/>
            <w:hideMark/>
          </w:tcPr>
          <w:p w14:paraId="6EB0764D" w14:textId="77777777" w:rsidR="00902157" w:rsidRPr="00CB1BA9" w:rsidRDefault="00902157" w:rsidP="00CD4818">
            <w:pPr>
              <w:spacing w:after="0" w:line="240" w:lineRule="auto"/>
              <w:jc w:val="center"/>
              <w:rPr>
                <w:rFonts w:ascii="Times New Roman" w:eastAsia="Times New Roman" w:hAnsi="Times New Roman" w:cs="Times New Roman"/>
                <w:b/>
                <w:color w:val="000000"/>
                <w:lang w:eastAsia="sk-SK"/>
              </w:rPr>
            </w:pPr>
          </w:p>
        </w:tc>
        <w:tc>
          <w:tcPr>
            <w:tcW w:w="510" w:type="pct"/>
            <w:tcBorders>
              <w:bottom w:val="single" w:sz="8" w:space="0" w:color="auto"/>
            </w:tcBorders>
            <w:shd w:val="pct25" w:color="auto" w:fill="auto"/>
            <w:noWrap/>
            <w:vAlign w:val="center"/>
            <w:hideMark/>
          </w:tcPr>
          <w:p w14:paraId="02B750A7" w14:textId="77777777" w:rsidR="00902157" w:rsidRPr="004E746F" w:rsidRDefault="00902157" w:rsidP="00CD4818">
            <w:pPr>
              <w:spacing w:after="0" w:line="240" w:lineRule="auto"/>
              <w:jc w:val="center"/>
              <w:rPr>
                <w:rFonts w:ascii="Times New Roman" w:eastAsia="Times New Roman" w:hAnsi="Times New Roman" w:cs="Times New Roman"/>
                <w:b/>
                <w:color w:val="000000"/>
                <w:lang w:eastAsia="sk-SK"/>
              </w:rPr>
            </w:pPr>
            <w:r w:rsidRPr="004E746F">
              <w:rPr>
                <w:rFonts w:ascii="Times New Roman" w:eastAsia="Times New Roman" w:hAnsi="Times New Roman" w:cs="Times New Roman"/>
                <w:b/>
                <w:color w:val="000000"/>
                <w:lang w:eastAsia="sk-SK"/>
              </w:rPr>
              <w:t>TJ</w:t>
            </w:r>
          </w:p>
        </w:tc>
        <w:tc>
          <w:tcPr>
            <w:tcW w:w="537" w:type="pct"/>
            <w:tcBorders>
              <w:bottom w:val="single" w:sz="8" w:space="0" w:color="auto"/>
            </w:tcBorders>
            <w:shd w:val="pct25" w:color="auto" w:fill="auto"/>
            <w:noWrap/>
            <w:vAlign w:val="center"/>
            <w:hideMark/>
          </w:tcPr>
          <w:p w14:paraId="4D9DC0B4" w14:textId="77777777" w:rsidR="00902157" w:rsidRPr="004E746F" w:rsidRDefault="00902157" w:rsidP="00CD4818">
            <w:pPr>
              <w:spacing w:after="0" w:line="240" w:lineRule="auto"/>
              <w:jc w:val="center"/>
              <w:rPr>
                <w:rFonts w:ascii="Times New Roman" w:eastAsia="Times New Roman" w:hAnsi="Times New Roman" w:cs="Times New Roman"/>
                <w:b/>
                <w:color w:val="000000"/>
                <w:lang w:eastAsia="sk-SK"/>
              </w:rPr>
            </w:pPr>
            <w:r w:rsidRPr="004E746F">
              <w:rPr>
                <w:rFonts w:ascii="Times New Roman" w:eastAsia="Times New Roman" w:hAnsi="Times New Roman" w:cs="Times New Roman"/>
                <w:b/>
                <w:color w:val="000000"/>
                <w:lang w:eastAsia="sk-SK"/>
              </w:rPr>
              <w:t>TJ</w:t>
            </w:r>
          </w:p>
        </w:tc>
        <w:tc>
          <w:tcPr>
            <w:tcW w:w="924" w:type="pct"/>
            <w:tcBorders>
              <w:bottom w:val="single" w:sz="8" w:space="0" w:color="auto"/>
              <w:right w:val="single" w:sz="8" w:space="0" w:color="auto"/>
            </w:tcBorders>
            <w:shd w:val="pct25" w:color="auto" w:fill="auto"/>
            <w:noWrap/>
            <w:vAlign w:val="center"/>
            <w:hideMark/>
          </w:tcPr>
          <w:p w14:paraId="37F68F69" w14:textId="356C0D76" w:rsidR="00902157" w:rsidRPr="004E746F" w:rsidRDefault="00902157" w:rsidP="00CD4818">
            <w:pPr>
              <w:spacing w:after="0" w:line="240" w:lineRule="auto"/>
              <w:jc w:val="center"/>
              <w:rPr>
                <w:rFonts w:ascii="Times New Roman" w:eastAsia="Times New Roman" w:hAnsi="Times New Roman" w:cs="Times New Roman"/>
                <w:b/>
                <w:color w:val="000000"/>
                <w:lang w:eastAsia="sk-SK"/>
              </w:rPr>
            </w:pPr>
            <w:r w:rsidRPr="004E746F">
              <w:rPr>
                <w:rFonts w:ascii="Times New Roman" w:eastAsia="Times New Roman" w:hAnsi="Times New Roman" w:cs="Times New Roman"/>
                <w:b/>
                <w:color w:val="000000"/>
                <w:lang w:eastAsia="sk-SK"/>
              </w:rPr>
              <w:t xml:space="preserve">tis. </w:t>
            </w:r>
            <w:r w:rsidR="000C2919" w:rsidRPr="004E746F">
              <w:rPr>
                <w:rFonts w:ascii="Times New Roman" w:eastAsia="Times New Roman" w:hAnsi="Times New Roman" w:cs="Times New Roman"/>
                <w:b/>
                <w:color w:val="000000"/>
                <w:lang w:eastAsia="sk-SK"/>
              </w:rPr>
              <w:t>Eur</w:t>
            </w:r>
          </w:p>
        </w:tc>
        <w:tc>
          <w:tcPr>
            <w:tcW w:w="657" w:type="pct"/>
            <w:tcBorders>
              <w:left w:val="single" w:sz="8" w:space="0" w:color="auto"/>
              <w:bottom w:val="single" w:sz="8" w:space="0" w:color="auto"/>
            </w:tcBorders>
            <w:shd w:val="pct25" w:color="auto" w:fill="auto"/>
            <w:vAlign w:val="center"/>
          </w:tcPr>
          <w:p w14:paraId="08E88DB5" w14:textId="77777777" w:rsidR="00902157" w:rsidRPr="004E746F" w:rsidRDefault="00902157" w:rsidP="00CD4818">
            <w:pPr>
              <w:spacing w:after="0" w:line="240" w:lineRule="auto"/>
              <w:jc w:val="center"/>
              <w:rPr>
                <w:rFonts w:ascii="Times New Roman" w:eastAsia="Times New Roman" w:hAnsi="Times New Roman" w:cs="Times New Roman"/>
                <w:b/>
                <w:color w:val="000000"/>
                <w:lang w:eastAsia="sk-SK"/>
              </w:rPr>
            </w:pPr>
            <w:r w:rsidRPr="004E746F">
              <w:rPr>
                <w:rFonts w:ascii="Times New Roman" w:eastAsia="Times New Roman" w:hAnsi="Times New Roman" w:cs="Times New Roman"/>
                <w:b/>
                <w:color w:val="000000"/>
                <w:lang w:eastAsia="sk-SK"/>
              </w:rPr>
              <w:t>TJ</w:t>
            </w:r>
          </w:p>
        </w:tc>
        <w:tc>
          <w:tcPr>
            <w:tcW w:w="506" w:type="pct"/>
            <w:tcBorders>
              <w:bottom w:val="single" w:sz="8" w:space="0" w:color="auto"/>
            </w:tcBorders>
            <w:shd w:val="pct25" w:color="auto" w:fill="auto"/>
            <w:vAlign w:val="center"/>
          </w:tcPr>
          <w:p w14:paraId="5C911512" w14:textId="77777777" w:rsidR="00902157" w:rsidRPr="004E746F" w:rsidRDefault="00902157" w:rsidP="00CD4818">
            <w:pPr>
              <w:spacing w:after="0" w:line="240" w:lineRule="auto"/>
              <w:jc w:val="center"/>
              <w:rPr>
                <w:rFonts w:ascii="Times New Roman" w:eastAsia="Times New Roman" w:hAnsi="Times New Roman" w:cs="Times New Roman"/>
                <w:b/>
                <w:color w:val="000000"/>
                <w:lang w:eastAsia="sk-SK"/>
              </w:rPr>
            </w:pPr>
            <w:r w:rsidRPr="004E746F">
              <w:rPr>
                <w:rFonts w:ascii="Times New Roman" w:eastAsia="Times New Roman" w:hAnsi="Times New Roman" w:cs="Times New Roman"/>
                <w:b/>
                <w:color w:val="000000"/>
                <w:lang w:eastAsia="sk-SK"/>
              </w:rPr>
              <w:t>TJ</w:t>
            </w:r>
          </w:p>
        </w:tc>
        <w:tc>
          <w:tcPr>
            <w:tcW w:w="566" w:type="pct"/>
            <w:tcBorders>
              <w:bottom w:val="single" w:sz="8" w:space="0" w:color="auto"/>
              <w:right w:val="single" w:sz="8" w:space="0" w:color="auto"/>
            </w:tcBorders>
            <w:shd w:val="pct25" w:color="auto" w:fill="auto"/>
            <w:vAlign w:val="center"/>
          </w:tcPr>
          <w:p w14:paraId="44E235D8" w14:textId="62C54181" w:rsidR="00902157" w:rsidRPr="004E746F" w:rsidRDefault="00902157" w:rsidP="00CD4818">
            <w:pPr>
              <w:spacing w:after="0" w:line="240" w:lineRule="auto"/>
              <w:jc w:val="center"/>
              <w:rPr>
                <w:rFonts w:ascii="Times New Roman" w:eastAsia="Times New Roman" w:hAnsi="Times New Roman" w:cs="Times New Roman"/>
                <w:b/>
                <w:color w:val="000000"/>
                <w:lang w:eastAsia="sk-SK"/>
              </w:rPr>
            </w:pPr>
            <w:r w:rsidRPr="004E746F">
              <w:rPr>
                <w:rFonts w:ascii="Times New Roman" w:eastAsia="Times New Roman" w:hAnsi="Times New Roman" w:cs="Times New Roman"/>
                <w:b/>
                <w:color w:val="000000"/>
                <w:lang w:eastAsia="sk-SK"/>
              </w:rPr>
              <w:t xml:space="preserve">tis. </w:t>
            </w:r>
            <w:r w:rsidR="000C2919" w:rsidRPr="004E746F">
              <w:rPr>
                <w:rFonts w:ascii="Times New Roman" w:eastAsia="Times New Roman" w:hAnsi="Times New Roman" w:cs="Times New Roman"/>
                <w:b/>
                <w:color w:val="000000"/>
                <w:lang w:eastAsia="sk-SK"/>
              </w:rPr>
              <w:t>Eur</w:t>
            </w:r>
          </w:p>
        </w:tc>
      </w:tr>
      <w:tr w:rsidR="00DA558A" w:rsidRPr="00CB1BA9" w14:paraId="5D4314DD" w14:textId="77777777" w:rsidTr="00AF5415">
        <w:trPr>
          <w:trHeight w:val="330"/>
        </w:trPr>
        <w:tc>
          <w:tcPr>
            <w:tcW w:w="1300" w:type="pct"/>
            <w:tcBorders>
              <w:top w:val="single" w:sz="8" w:space="0" w:color="auto"/>
              <w:left w:val="single" w:sz="8" w:space="0" w:color="auto"/>
            </w:tcBorders>
            <w:shd w:val="clear" w:color="auto" w:fill="auto"/>
            <w:noWrap/>
            <w:vAlign w:val="center"/>
            <w:hideMark/>
          </w:tcPr>
          <w:p w14:paraId="64BD4450" w14:textId="3E81360D" w:rsidR="00DA558A" w:rsidRPr="00CB1BA9" w:rsidRDefault="00DA558A" w:rsidP="00DA558A">
            <w:pPr>
              <w:spacing w:after="0" w:line="240" w:lineRule="auto"/>
              <w:rPr>
                <w:rFonts w:ascii="Times New Roman" w:eastAsia="Times New Roman" w:hAnsi="Times New Roman" w:cs="Times New Roman"/>
                <w:color w:val="000000"/>
                <w:lang w:eastAsia="sk-SK"/>
              </w:rPr>
            </w:pPr>
            <w:r w:rsidRPr="00CB1BA9">
              <w:rPr>
                <w:rFonts w:ascii="Times New Roman" w:eastAsia="Times New Roman" w:hAnsi="Times New Roman" w:cs="Times New Roman"/>
                <w:color w:val="000000"/>
                <w:lang w:eastAsia="sk-SK"/>
              </w:rPr>
              <w:t>Budovy</w:t>
            </w:r>
          </w:p>
        </w:tc>
        <w:tc>
          <w:tcPr>
            <w:tcW w:w="510" w:type="pct"/>
            <w:tcBorders>
              <w:top w:val="single" w:sz="8" w:space="0" w:color="auto"/>
            </w:tcBorders>
            <w:shd w:val="clear" w:color="auto" w:fill="auto"/>
            <w:noWrap/>
            <w:vAlign w:val="center"/>
          </w:tcPr>
          <w:p w14:paraId="4BF2AA39" w14:textId="0BA55745" w:rsidR="00DA558A" w:rsidRPr="00DA558A" w:rsidRDefault="00DA558A">
            <w:pPr>
              <w:spacing w:after="0" w:line="240" w:lineRule="auto"/>
              <w:jc w:val="right"/>
              <w:rPr>
                <w:rFonts w:ascii="Times New Roman" w:hAnsi="Times New Roman" w:cs="Times New Roman"/>
              </w:rPr>
            </w:pPr>
            <w:r w:rsidRPr="00AF5415">
              <w:rPr>
                <w:rFonts w:ascii="Times New Roman" w:hAnsi="Times New Roman" w:cs="Times New Roman"/>
              </w:rPr>
              <w:t>3 251</w:t>
            </w:r>
          </w:p>
        </w:tc>
        <w:tc>
          <w:tcPr>
            <w:tcW w:w="537" w:type="pct"/>
            <w:tcBorders>
              <w:top w:val="single" w:sz="8" w:space="0" w:color="auto"/>
            </w:tcBorders>
            <w:shd w:val="clear" w:color="auto" w:fill="auto"/>
            <w:noWrap/>
            <w:vAlign w:val="center"/>
          </w:tcPr>
          <w:p w14:paraId="37791B88" w14:textId="775F35B6"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5 088</w:t>
            </w:r>
          </w:p>
        </w:tc>
        <w:tc>
          <w:tcPr>
            <w:tcW w:w="924" w:type="pct"/>
            <w:tcBorders>
              <w:top w:val="single" w:sz="8" w:space="0" w:color="auto"/>
              <w:right w:val="single" w:sz="8" w:space="0" w:color="auto"/>
            </w:tcBorders>
            <w:shd w:val="clear" w:color="auto" w:fill="auto"/>
            <w:noWrap/>
            <w:vAlign w:val="center"/>
          </w:tcPr>
          <w:p w14:paraId="3C220D8B" w14:textId="63F88743"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1 501 215</w:t>
            </w:r>
          </w:p>
        </w:tc>
        <w:tc>
          <w:tcPr>
            <w:tcW w:w="657" w:type="pct"/>
            <w:tcBorders>
              <w:top w:val="single" w:sz="8" w:space="0" w:color="auto"/>
              <w:left w:val="single" w:sz="8" w:space="0" w:color="auto"/>
            </w:tcBorders>
            <w:shd w:val="clear" w:color="auto" w:fill="auto"/>
            <w:vAlign w:val="center"/>
          </w:tcPr>
          <w:p w14:paraId="016E5EDF" w14:textId="56DB1964"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4 280</w:t>
            </w:r>
          </w:p>
        </w:tc>
        <w:tc>
          <w:tcPr>
            <w:tcW w:w="506" w:type="pct"/>
            <w:tcBorders>
              <w:top w:val="single" w:sz="8" w:space="0" w:color="auto"/>
            </w:tcBorders>
            <w:shd w:val="clear" w:color="auto" w:fill="auto"/>
            <w:vAlign w:val="center"/>
          </w:tcPr>
          <w:p w14:paraId="023A4E88" w14:textId="1351192A"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6 698</w:t>
            </w:r>
          </w:p>
        </w:tc>
        <w:tc>
          <w:tcPr>
            <w:tcW w:w="566" w:type="pct"/>
            <w:tcBorders>
              <w:top w:val="single" w:sz="8" w:space="0" w:color="auto"/>
              <w:right w:val="single" w:sz="8" w:space="0" w:color="auto"/>
            </w:tcBorders>
            <w:shd w:val="clear" w:color="auto" w:fill="auto"/>
            <w:vAlign w:val="center"/>
          </w:tcPr>
          <w:p w14:paraId="11E36FC2" w14:textId="44C6A14D"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2 014 300</w:t>
            </w:r>
          </w:p>
        </w:tc>
      </w:tr>
      <w:tr w:rsidR="00DA558A" w:rsidRPr="00CB1BA9" w14:paraId="29E3EB93" w14:textId="77777777" w:rsidTr="00AF5415">
        <w:trPr>
          <w:trHeight w:val="330"/>
        </w:trPr>
        <w:tc>
          <w:tcPr>
            <w:tcW w:w="1300" w:type="pct"/>
            <w:tcBorders>
              <w:left w:val="single" w:sz="8" w:space="0" w:color="auto"/>
            </w:tcBorders>
            <w:shd w:val="clear" w:color="auto" w:fill="auto"/>
            <w:noWrap/>
            <w:vAlign w:val="center"/>
          </w:tcPr>
          <w:p w14:paraId="1652E2BD" w14:textId="1CBCD402" w:rsidR="00DA558A" w:rsidRPr="00CB1BA9" w:rsidRDefault="00DA558A" w:rsidP="00DA558A">
            <w:pPr>
              <w:spacing w:after="0" w:line="240" w:lineRule="auto"/>
              <w:rPr>
                <w:rFonts w:ascii="Times New Roman" w:eastAsia="Times New Roman" w:hAnsi="Times New Roman" w:cs="Times New Roman"/>
                <w:color w:val="000000"/>
                <w:lang w:eastAsia="sk-SK"/>
              </w:rPr>
            </w:pPr>
            <w:r w:rsidRPr="00CB1BA9">
              <w:rPr>
                <w:rFonts w:ascii="Times New Roman" w:eastAsia="Times New Roman" w:hAnsi="Times New Roman" w:cs="Times New Roman"/>
                <w:color w:val="000000"/>
                <w:lang w:eastAsia="sk-SK"/>
              </w:rPr>
              <w:t>Priemysel</w:t>
            </w:r>
          </w:p>
        </w:tc>
        <w:tc>
          <w:tcPr>
            <w:tcW w:w="510" w:type="pct"/>
            <w:shd w:val="clear" w:color="auto" w:fill="auto"/>
            <w:noWrap/>
            <w:vAlign w:val="center"/>
          </w:tcPr>
          <w:p w14:paraId="04D127DC" w14:textId="1326DD38" w:rsidR="00DA558A" w:rsidRPr="00DA558A" w:rsidRDefault="00DA558A">
            <w:pPr>
              <w:spacing w:after="0" w:line="240" w:lineRule="auto"/>
              <w:jc w:val="right"/>
              <w:rPr>
                <w:rFonts w:ascii="Times New Roman" w:hAnsi="Times New Roman" w:cs="Times New Roman"/>
              </w:rPr>
            </w:pPr>
            <w:r w:rsidRPr="00AF5415">
              <w:rPr>
                <w:rFonts w:ascii="Times New Roman" w:hAnsi="Times New Roman" w:cs="Times New Roman"/>
              </w:rPr>
              <w:t>5 358</w:t>
            </w:r>
          </w:p>
        </w:tc>
        <w:tc>
          <w:tcPr>
            <w:tcW w:w="537" w:type="pct"/>
            <w:shd w:val="clear" w:color="auto" w:fill="auto"/>
            <w:noWrap/>
            <w:vAlign w:val="center"/>
          </w:tcPr>
          <w:p w14:paraId="66F2C310" w14:textId="55016371"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8 385</w:t>
            </w:r>
          </w:p>
        </w:tc>
        <w:tc>
          <w:tcPr>
            <w:tcW w:w="924" w:type="pct"/>
            <w:tcBorders>
              <w:right w:val="single" w:sz="8" w:space="0" w:color="auto"/>
            </w:tcBorders>
            <w:shd w:val="clear" w:color="auto" w:fill="auto"/>
            <w:noWrap/>
            <w:vAlign w:val="center"/>
          </w:tcPr>
          <w:p w14:paraId="0A323A19" w14:textId="02B315EF"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946 695</w:t>
            </w:r>
          </w:p>
        </w:tc>
        <w:tc>
          <w:tcPr>
            <w:tcW w:w="657" w:type="pct"/>
            <w:tcBorders>
              <w:left w:val="single" w:sz="8" w:space="0" w:color="auto"/>
            </w:tcBorders>
            <w:shd w:val="clear" w:color="auto" w:fill="auto"/>
            <w:vAlign w:val="center"/>
          </w:tcPr>
          <w:p w14:paraId="43EB792B" w14:textId="2B5D26CD"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6 492</w:t>
            </w:r>
          </w:p>
        </w:tc>
        <w:tc>
          <w:tcPr>
            <w:tcW w:w="506" w:type="pct"/>
            <w:shd w:val="clear" w:color="auto" w:fill="auto"/>
            <w:vAlign w:val="center"/>
          </w:tcPr>
          <w:p w14:paraId="3B944747" w14:textId="2FA64A10"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10 159</w:t>
            </w:r>
          </w:p>
        </w:tc>
        <w:tc>
          <w:tcPr>
            <w:tcW w:w="566" w:type="pct"/>
            <w:tcBorders>
              <w:right w:val="single" w:sz="8" w:space="0" w:color="auto"/>
            </w:tcBorders>
            <w:shd w:val="clear" w:color="auto" w:fill="auto"/>
            <w:vAlign w:val="center"/>
          </w:tcPr>
          <w:p w14:paraId="427F54C5" w14:textId="19740C26"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1 182 474</w:t>
            </w:r>
          </w:p>
        </w:tc>
      </w:tr>
      <w:tr w:rsidR="00DA558A" w:rsidRPr="00CB1BA9" w14:paraId="7BB741F2" w14:textId="77777777" w:rsidTr="00AF5415">
        <w:trPr>
          <w:trHeight w:val="330"/>
        </w:trPr>
        <w:tc>
          <w:tcPr>
            <w:tcW w:w="1300" w:type="pct"/>
            <w:tcBorders>
              <w:left w:val="single" w:sz="8" w:space="0" w:color="auto"/>
            </w:tcBorders>
            <w:shd w:val="clear" w:color="auto" w:fill="auto"/>
            <w:noWrap/>
            <w:vAlign w:val="center"/>
            <w:hideMark/>
          </w:tcPr>
          <w:p w14:paraId="71845A5B" w14:textId="77777777" w:rsidR="00DA558A" w:rsidRPr="00CB1BA9" w:rsidRDefault="00DA558A" w:rsidP="00DA558A">
            <w:pPr>
              <w:spacing w:after="0" w:line="240" w:lineRule="auto"/>
              <w:rPr>
                <w:rFonts w:ascii="Times New Roman" w:eastAsia="Times New Roman" w:hAnsi="Times New Roman" w:cs="Times New Roman"/>
                <w:color w:val="000000"/>
                <w:lang w:eastAsia="sk-SK"/>
              </w:rPr>
            </w:pPr>
            <w:r w:rsidRPr="00CB1BA9">
              <w:rPr>
                <w:rFonts w:ascii="Times New Roman" w:eastAsia="Times New Roman" w:hAnsi="Times New Roman" w:cs="Times New Roman"/>
                <w:color w:val="000000"/>
                <w:lang w:eastAsia="sk-SK"/>
              </w:rPr>
              <w:t>Verejný sektor</w:t>
            </w:r>
          </w:p>
        </w:tc>
        <w:tc>
          <w:tcPr>
            <w:tcW w:w="510" w:type="pct"/>
            <w:shd w:val="clear" w:color="auto" w:fill="auto"/>
            <w:noWrap/>
            <w:vAlign w:val="center"/>
          </w:tcPr>
          <w:p w14:paraId="7D8B4526" w14:textId="1402DA76" w:rsidR="00DA558A" w:rsidRPr="00DA558A" w:rsidRDefault="00DA558A">
            <w:pPr>
              <w:spacing w:after="0" w:line="240" w:lineRule="auto"/>
              <w:jc w:val="right"/>
              <w:rPr>
                <w:rFonts w:ascii="Times New Roman" w:hAnsi="Times New Roman" w:cs="Times New Roman"/>
              </w:rPr>
            </w:pPr>
            <w:r w:rsidRPr="00AF5415">
              <w:rPr>
                <w:rFonts w:ascii="Times New Roman" w:hAnsi="Times New Roman" w:cs="Times New Roman"/>
              </w:rPr>
              <w:t>1 362</w:t>
            </w:r>
          </w:p>
        </w:tc>
        <w:tc>
          <w:tcPr>
            <w:tcW w:w="537" w:type="pct"/>
            <w:shd w:val="clear" w:color="auto" w:fill="auto"/>
            <w:noWrap/>
            <w:vAlign w:val="center"/>
          </w:tcPr>
          <w:p w14:paraId="62E8B8D1" w14:textId="4C838D60"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2 132</w:t>
            </w:r>
          </w:p>
        </w:tc>
        <w:tc>
          <w:tcPr>
            <w:tcW w:w="924" w:type="pct"/>
            <w:tcBorders>
              <w:right w:val="single" w:sz="8" w:space="0" w:color="auto"/>
            </w:tcBorders>
            <w:shd w:val="clear" w:color="auto" w:fill="auto"/>
            <w:noWrap/>
            <w:vAlign w:val="center"/>
          </w:tcPr>
          <w:p w14:paraId="15070711" w14:textId="6DD371AA"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636 147</w:t>
            </w:r>
          </w:p>
        </w:tc>
        <w:tc>
          <w:tcPr>
            <w:tcW w:w="657" w:type="pct"/>
            <w:tcBorders>
              <w:left w:val="single" w:sz="8" w:space="0" w:color="auto"/>
            </w:tcBorders>
            <w:shd w:val="clear" w:color="auto" w:fill="auto"/>
            <w:vAlign w:val="center"/>
          </w:tcPr>
          <w:p w14:paraId="49A6C22F" w14:textId="63BC8622"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1 706</w:t>
            </w:r>
          </w:p>
        </w:tc>
        <w:tc>
          <w:tcPr>
            <w:tcW w:w="506" w:type="pct"/>
            <w:shd w:val="clear" w:color="auto" w:fill="auto"/>
            <w:vAlign w:val="center"/>
          </w:tcPr>
          <w:p w14:paraId="1D7468F5" w14:textId="5272BE76"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2 670</w:t>
            </w:r>
          </w:p>
        </w:tc>
        <w:tc>
          <w:tcPr>
            <w:tcW w:w="566" w:type="pct"/>
            <w:tcBorders>
              <w:right w:val="single" w:sz="8" w:space="0" w:color="auto"/>
            </w:tcBorders>
            <w:shd w:val="clear" w:color="auto" w:fill="auto"/>
            <w:vAlign w:val="center"/>
          </w:tcPr>
          <w:p w14:paraId="15EB375A" w14:textId="1701953A"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800 522</w:t>
            </w:r>
          </w:p>
        </w:tc>
      </w:tr>
      <w:tr w:rsidR="00DA558A" w:rsidRPr="00CB1BA9" w14:paraId="0D46EDA4" w14:textId="77777777" w:rsidTr="00AF5415">
        <w:trPr>
          <w:trHeight w:val="330"/>
        </w:trPr>
        <w:tc>
          <w:tcPr>
            <w:tcW w:w="1300" w:type="pct"/>
            <w:tcBorders>
              <w:left w:val="single" w:sz="8" w:space="0" w:color="auto"/>
            </w:tcBorders>
            <w:shd w:val="clear" w:color="auto" w:fill="auto"/>
            <w:noWrap/>
            <w:vAlign w:val="center"/>
            <w:hideMark/>
          </w:tcPr>
          <w:p w14:paraId="4069E157" w14:textId="77777777" w:rsidR="00DA558A" w:rsidRPr="00CB1BA9" w:rsidRDefault="00DA558A" w:rsidP="00DA558A">
            <w:pPr>
              <w:spacing w:after="0" w:line="240" w:lineRule="auto"/>
              <w:rPr>
                <w:rFonts w:ascii="Times New Roman" w:eastAsia="Times New Roman" w:hAnsi="Times New Roman" w:cs="Times New Roman"/>
                <w:color w:val="000000"/>
                <w:lang w:eastAsia="sk-SK"/>
              </w:rPr>
            </w:pPr>
            <w:r w:rsidRPr="00CB1BA9">
              <w:rPr>
                <w:rFonts w:ascii="Times New Roman" w:eastAsia="Times New Roman" w:hAnsi="Times New Roman" w:cs="Times New Roman"/>
                <w:color w:val="000000"/>
                <w:lang w:eastAsia="sk-SK"/>
              </w:rPr>
              <w:t xml:space="preserve">Doprava </w:t>
            </w:r>
          </w:p>
        </w:tc>
        <w:tc>
          <w:tcPr>
            <w:tcW w:w="510" w:type="pct"/>
            <w:shd w:val="clear" w:color="auto" w:fill="auto"/>
            <w:noWrap/>
            <w:vAlign w:val="center"/>
          </w:tcPr>
          <w:p w14:paraId="38F6AD2F" w14:textId="32C69C2D" w:rsidR="00DA558A" w:rsidRPr="00DA558A" w:rsidRDefault="00DA558A">
            <w:pPr>
              <w:spacing w:after="0" w:line="240" w:lineRule="auto"/>
              <w:jc w:val="right"/>
              <w:rPr>
                <w:rFonts w:ascii="Times New Roman" w:hAnsi="Times New Roman" w:cs="Times New Roman"/>
              </w:rPr>
            </w:pPr>
            <w:r w:rsidRPr="00AF5415">
              <w:rPr>
                <w:rFonts w:ascii="Times New Roman" w:hAnsi="Times New Roman" w:cs="Times New Roman"/>
              </w:rPr>
              <w:t>831</w:t>
            </w:r>
          </w:p>
        </w:tc>
        <w:tc>
          <w:tcPr>
            <w:tcW w:w="537" w:type="pct"/>
            <w:shd w:val="clear" w:color="auto" w:fill="auto"/>
            <w:noWrap/>
            <w:vAlign w:val="center"/>
          </w:tcPr>
          <w:p w14:paraId="6A5EB119" w14:textId="0862367B"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1 300</w:t>
            </w:r>
          </w:p>
        </w:tc>
        <w:tc>
          <w:tcPr>
            <w:tcW w:w="924" w:type="pct"/>
            <w:tcBorders>
              <w:right w:val="single" w:sz="8" w:space="0" w:color="auto"/>
            </w:tcBorders>
            <w:shd w:val="clear" w:color="auto" w:fill="auto"/>
            <w:noWrap/>
            <w:vAlign w:val="center"/>
          </w:tcPr>
          <w:p w14:paraId="4DBD01CB" w14:textId="3AD0AEC7"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1 162 470</w:t>
            </w:r>
          </w:p>
        </w:tc>
        <w:tc>
          <w:tcPr>
            <w:tcW w:w="657" w:type="pct"/>
            <w:tcBorders>
              <w:left w:val="single" w:sz="8" w:space="0" w:color="auto"/>
            </w:tcBorders>
            <w:shd w:val="clear" w:color="auto" w:fill="auto"/>
            <w:vAlign w:val="center"/>
          </w:tcPr>
          <w:p w14:paraId="66FAB04C" w14:textId="72CDD491"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1 149</w:t>
            </w:r>
          </w:p>
        </w:tc>
        <w:tc>
          <w:tcPr>
            <w:tcW w:w="506" w:type="pct"/>
            <w:shd w:val="clear" w:color="auto" w:fill="auto"/>
            <w:vAlign w:val="center"/>
          </w:tcPr>
          <w:p w14:paraId="3A4A2E80" w14:textId="5D60BB6E"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1 798</w:t>
            </w:r>
          </w:p>
        </w:tc>
        <w:tc>
          <w:tcPr>
            <w:tcW w:w="566" w:type="pct"/>
            <w:tcBorders>
              <w:right w:val="single" w:sz="8" w:space="0" w:color="auto"/>
            </w:tcBorders>
            <w:shd w:val="clear" w:color="auto" w:fill="auto"/>
            <w:vAlign w:val="center"/>
          </w:tcPr>
          <w:p w14:paraId="4AE6A4A3" w14:textId="6303556F"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1 683 905</w:t>
            </w:r>
          </w:p>
        </w:tc>
      </w:tr>
      <w:tr w:rsidR="00DA558A" w:rsidRPr="00CB1BA9" w14:paraId="4CB138FF" w14:textId="77777777" w:rsidTr="00AF5415">
        <w:trPr>
          <w:trHeight w:val="330"/>
        </w:trPr>
        <w:tc>
          <w:tcPr>
            <w:tcW w:w="1300" w:type="pct"/>
            <w:tcBorders>
              <w:left w:val="single" w:sz="8" w:space="0" w:color="auto"/>
            </w:tcBorders>
            <w:shd w:val="clear" w:color="auto" w:fill="auto"/>
            <w:noWrap/>
            <w:vAlign w:val="center"/>
            <w:hideMark/>
          </w:tcPr>
          <w:p w14:paraId="751759AF" w14:textId="4B43113C" w:rsidR="00DA558A" w:rsidRPr="00CB1BA9" w:rsidRDefault="00DA558A" w:rsidP="00DA558A">
            <w:pPr>
              <w:spacing w:after="0" w:line="240" w:lineRule="auto"/>
              <w:rPr>
                <w:rFonts w:ascii="Times New Roman" w:eastAsia="Times New Roman" w:hAnsi="Times New Roman" w:cs="Times New Roman"/>
                <w:color w:val="000000"/>
                <w:lang w:eastAsia="sk-SK"/>
              </w:rPr>
            </w:pPr>
            <w:r w:rsidRPr="00CB1BA9">
              <w:rPr>
                <w:rFonts w:ascii="Times New Roman" w:eastAsia="Times New Roman" w:hAnsi="Times New Roman" w:cs="Times New Roman"/>
                <w:color w:val="000000"/>
                <w:lang w:eastAsia="sk-SK"/>
              </w:rPr>
              <w:t>Spotrebiče</w:t>
            </w:r>
          </w:p>
        </w:tc>
        <w:tc>
          <w:tcPr>
            <w:tcW w:w="510" w:type="pct"/>
            <w:shd w:val="clear" w:color="auto" w:fill="auto"/>
            <w:noWrap/>
            <w:vAlign w:val="center"/>
          </w:tcPr>
          <w:p w14:paraId="1BD875C1" w14:textId="11F16170" w:rsidR="00DA558A" w:rsidRPr="00DA558A" w:rsidRDefault="00DA558A">
            <w:pPr>
              <w:spacing w:after="0" w:line="240" w:lineRule="auto"/>
              <w:jc w:val="right"/>
              <w:rPr>
                <w:rFonts w:ascii="Times New Roman" w:hAnsi="Times New Roman" w:cs="Times New Roman"/>
              </w:rPr>
            </w:pPr>
            <w:r w:rsidRPr="00AF5415">
              <w:rPr>
                <w:rFonts w:ascii="Times New Roman" w:hAnsi="Times New Roman" w:cs="Times New Roman"/>
              </w:rPr>
              <w:t>677</w:t>
            </w:r>
          </w:p>
        </w:tc>
        <w:tc>
          <w:tcPr>
            <w:tcW w:w="537" w:type="pct"/>
            <w:shd w:val="clear" w:color="auto" w:fill="auto"/>
            <w:noWrap/>
            <w:vAlign w:val="center"/>
          </w:tcPr>
          <w:p w14:paraId="5A2A253C" w14:textId="7433BE8E"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1 059</w:t>
            </w:r>
          </w:p>
        </w:tc>
        <w:tc>
          <w:tcPr>
            <w:tcW w:w="924" w:type="pct"/>
            <w:tcBorders>
              <w:right w:val="single" w:sz="8" w:space="0" w:color="auto"/>
            </w:tcBorders>
            <w:shd w:val="clear" w:color="auto" w:fill="auto"/>
            <w:noWrap/>
            <w:vAlign w:val="center"/>
          </w:tcPr>
          <w:p w14:paraId="1DE34A83" w14:textId="0022489F"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118 665</w:t>
            </w:r>
          </w:p>
        </w:tc>
        <w:tc>
          <w:tcPr>
            <w:tcW w:w="657" w:type="pct"/>
            <w:tcBorders>
              <w:left w:val="single" w:sz="8" w:space="0" w:color="auto"/>
            </w:tcBorders>
            <w:shd w:val="clear" w:color="auto" w:fill="auto"/>
            <w:vAlign w:val="center"/>
          </w:tcPr>
          <w:p w14:paraId="33AE43A8" w14:textId="3E48B921"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902</w:t>
            </w:r>
          </w:p>
        </w:tc>
        <w:tc>
          <w:tcPr>
            <w:tcW w:w="506" w:type="pct"/>
            <w:shd w:val="clear" w:color="auto" w:fill="auto"/>
            <w:vAlign w:val="center"/>
          </w:tcPr>
          <w:p w14:paraId="3F66431F" w14:textId="06F2F7C4"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1 412</w:t>
            </w:r>
          </w:p>
        </w:tc>
        <w:tc>
          <w:tcPr>
            <w:tcW w:w="566" w:type="pct"/>
            <w:tcBorders>
              <w:right w:val="single" w:sz="8" w:space="0" w:color="auto"/>
            </w:tcBorders>
            <w:shd w:val="clear" w:color="auto" w:fill="auto"/>
            <w:vAlign w:val="center"/>
          </w:tcPr>
          <w:p w14:paraId="5129D3DA" w14:textId="3217D4B9"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158 220</w:t>
            </w:r>
          </w:p>
        </w:tc>
      </w:tr>
      <w:tr w:rsidR="00DA558A" w:rsidRPr="00CB1BA9" w14:paraId="44DD6D7D" w14:textId="77777777" w:rsidTr="00AF5415">
        <w:trPr>
          <w:trHeight w:val="330"/>
        </w:trPr>
        <w:tc>
          <w:tcPr>
            <w:tcW w:w="1300" w:type="pct"/>
            <w:tcBorders>
              <w:left w:val="single" w:sz="8" w:space="0" w:color="auto"/>
            </w:tcBorders>
            <w:shd w:val="clear" w:color="auto" w:fill="auto"/>
            <w:noWrap/>
            <w:vAlign w:val="center"/>
            <w:hideMark/>
          </w:tcPr>
          <w:p w14:paraId="7A725B51" w14:textId="77777777" w:rsidR="00DA558A" w:rsidRPr="00CB1BA9" w:rsidRDefault="00DA558A" w:rsidP="00DA558A">
            <w:pPr>
              <w:spacing w:after="0" w:line="240" w:lineRule="auto"/>
              <w:rPr>
                <w:rFonts w:ascii="Times New Roman" w:eastAsia="Times New Roman" w:hAnsi="Times New Roman" w:cs="Times New Roman"/>
                <w:color w:val="000000"/>
                <w:lang w:eastAsia="sk-SK"/>
              </w:rPr>
            </w:pPr>
            <w:r w:rsidRPr="00CB1BA9">
              <w:rPr>
                <w:rFonts w:ascii="Times New Roman" w:eastAsia="Times New Roman" w:hAnsi="Times New Roman" w:cs="Times New Roman"/>
                <w:color w:val="000000"/>
                <w:lang w:eastAsia="sk-SK"/>
              </w:rPr>
              <w:t xml:space="preserve">Premena, prenos a distribúcia energie </w:t>
            </w:r>
          </w:p>
        </w:tc>
        <w:tc>
          <w:tcPr>
            <w:tcW w:w="510" w:type="pct"/>
            <w:shd w:val="clear" w:color="auto" w:fill="auto"/>
            <w:noWrap/>
            <w:vAlign w:val="center"/>
          </w:tcPr>
          <w:p w14:paraId="102619F7" w14:textId="574891BA" w:rsidR="00DA558A" w:rsidRPr="00DA558A" w:rsidRDefault="00DA558A">
            <w:pPr>
              <w:spacing w:after="0" w:line="240" w:lineRule="auto"/>
              <w:jc w:val="right"/>
              <w:rPr>
                <w:rFonts w:ascii="Times New Roman" w:hAnsi="Times New Roman" w:cs="Times New Roman"/>
              </w:rPr>
            </w:pPr>
            <w:r w:rsidRPr="00AF5415">
              <w:rPr>
                <w:rFonts w:ascii="Times New Roman" w:hAnsi="Times New Roman" w:cs="Times New Roman"/>
              </w:rPr>
              <w:t>0</w:t>
            </w:r>
          </w:p>
        </w:tc>
        <w:tc>
          <w:tcPr>
            <w:tcW w:w="537" w:type="pct"/>
            <w:shd w:val="clear" w:color="auto" w:fill="auto"/>
            <w:noWrap/>
            <w:vAlign w:val="center"/>
          </w:tcPr>
          <w:p w14:paraId="20BEDCB1" w14:textId="160B6237" w:rsidR="00DA558A" w:rsidRPr="00DA558A" w:rsidRDefault="00DA558A">
            <w:pPr>
              <w:spacing w:after="0" w:line="240" w:lineRule="auto"/>
              <w:jc w:val="right"/>
              <w:rPr>
                <w:rFonts w:ascii="Times New Roman" w:hAnsi="Times New Roman" w:cs="Times New Roman"/>
              </w:rPr>
            </w:pPr>
            <w:r w:rsidRPr="00AF5415">
              <w:rPr>
                <w:rFonts w:ascii="Times New Roman" w:hAnsi="Times New Roman" w:cs="Times New Roman"/>
              </w:rPr>
              <w:t>3 165</w:t>
            </w:r>
          </w:p>
        </w:tc>
        <w:tc>
          <w:tcPr>
            <w:tcW w:w="924" w:type="pct"/>
            <w:tcBorders>
              <w:right w:val="single" w:sz="8" w:space="0" w:color="auto"/>
            </w:tcBorders>
            <w:shd w:val="clear" w:color="auto" w:fill="auto"/>
            <w:noWrap/>
            <w:vAlign w:val="center"/>
          </w:tcPr>
          <w:p w14:paraId="55254279" w14:textId="4DC3A30F"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236 410</w:t>
            </w:r>
          </w:p>
        </w:tc>
        <w:tc>
          <w:tcPr>
            <w:tcW w:w="657" w:type="pct"/>
            <w:tcBorders>
              <w:left w:val="single" w:sz="8" w:space="0" w:color="auto"/>
            </w:tcBorders>
            <w:shd w:val="clear" w:color="auto" w:fill="auto"/>
            <w:vAlign w:val="center"/>
          </w:tcPr>
          <w:p w14:paraId="11740370" w14:textId="65535070"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0</w:t>
            </w:r>
          </w:p>
        </w:tc>
        <w:tc>
          <w:tcPr>
            <w:tcW w:w="506" w:type="pct"/>
            <w:shd w:val="clear" w:color="auto" w:fill="auto"/>
            <w:vAlign w:val="center"/>
          </w:tcPr>
          <w:p w14:paraId="2AB48D3F" w14:textId="4841B84C"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4 212</w:t>
            </w:r>
          </w:p>
        </w:tc>
        <w:tc>
          <w:tcPr>
            <w:tcW w:w="566" w:type="pct"/>
            <w:tcBorders>
              <w:right w:val="single" w:sz="8" w:space="0" w:color="auto"/>
            </w:tcBorders>
            <w:shd w:val="clear" w:color="auto" w:fill="auto"/>
            <w:vAlign w:val="center"/>
          </w:tcPr>
          <w:p w14:paraId="6B9B6E25" w14:textId="1C480CC2" w:rsidR="00DA558A" w:rsidRPr="00DA558A" w:rsidRDefault="00DA558A">
            <w:pPr>
              <w:spacing w:after="0" w:line="240" w:lineRule="auto"/>
              <w:jc w:val="right"/>
              <w:rPr>
                <w:rFonts w:ascii="Times New Roman" w:hAnsi="Times New Roman" w:cs="Times New Roman"/>
                <w:color w:val="000000"/>
              </w:rPr>
            </w:pPr>
            <w:r w:rsidRPr="00AF5415">
              <w:rPr>
                <w:rFonts w:ascii="Times New Roman" w:hAnsi="Times New Roman" w:cs="Times New Roman"/>
              </w:rPr>
              <w:t>316 708</w:t>
            </w:r>
          </w:p>
        </w:tc>
      </w:tr>
      <w:tr w:rsidR="00DA558A" w:rsidRPr="00CB1BA9" w14:paraId="1833D9CB" w14:textId="77777777" w:rsidTr="00AF5415">
        <w:trPr>
          <w:trHeight w:val="300"/>
        </w:trPr>
        <w:tc>
          <w:tcPr>
            <w:tcW w:w="1300" w:type="pct"/>
            <w:tcBorders>
              <w:left w:val="single" w:sz="8" w:space="0" w:color="auto"/>
            </w:tcBorders>
            <w:shd w:val="clear" w:color="auto" w:fill="auto"/>
            <w:noWrap/>
            <w:vAlign w:val="center"/>
            <w:hideMark/>
          </w:tcPr>
          <w:p w14:paraId="7DBE2B66" w14:textId="77777777" w:rsidR="00DA558A" w:rsidRPr="00CB1BA9" w:rsidRDefault="00DA558A" w:rsidP="00DA558A">
            <w:pPr>
              <w:spacing w:after="0" w:line="240" w:lineRule="auto"/>
              <w:rPr>
                <w:rFonts w:ascii="Times New Roman" w:eastAsia="Times New Roman" w:hAnsi="Times New Roman" w:cs="Times New Roman"/>
                <w:b/>
                <w:color w:val="000000"/>
                <w:lang w:eastAsia="sk-SK"/>
              </w:rPr>
            </w:pPr>
            <w:r w:rsidRPr="00CB1BA9">
              <w:rPr>
                <w:rFonts w:ascii="Times New Roman" w:eastAsia="Times New Roman" w:hAnsi="Times New Roman" w:cs="Times New Roman"/>
                <w:b/>
                <w:color w:val="000000"/>
                <w:lang w:eastAsia="sk-SK"/>
              </w:rPr>
              <w:t>Spolu</w:t>
            </w:r>
          </w:p>
        </w:tc>
        <w:tc>
          <w:tcPr>
            <w:tcW w:w="510" w:type="pct"/>
            <w:shd w:val="clear" w:color="auto" w:fill="auto"/>
            <w:noWrap/>
            <w:vAlign w:val="center"/>
          </w:tcPr>
          <w:p w14:paraId="0393E3D7" w14:textId="131E3D74" w:rsidR="00DA558A" w:rsidRPr="00DA558A" w:rsidRDefault="00DA558A">
            <w:pPr>
              <w:spacing w:after="0" w:line="240" w:lineRule="auto"/>
              <w:jc w:val="right"/>
              <w:rPr>
                <w:rFonts w:ascii="Times New Roman" w:hAnsi="Times New Roman" w:cs="Times New Roman"/>
                <w:b/>
                <w:color w:val="000000"/>
              </w:rPr>
            </w:pPr>
            <w:r w:rsidRPr="00AF5415">
              <w:rPr>
                <w:rFonts w:ascii="Times New Roman" w:hAnsi="Times New Roman" w:cs="Times New Roman"/>
                <w:b/>
              </w:rPr>
              <w:t>11 479</w:t>
            </w:r>
          </w:p>
        </w:tc>
        <w:tc>
          <w:tcPr>
            <w:tcW w:w="537" w:type="pct"/>
            <w:shd w:val="clear" w:color="auto" w:fill="auto"/>
            <w:noWrap/>
            <w:vAlign w:val="center"/>
          </w:tcPr>
          <w:p w14:paraId="5B986547" w14:textId="0A284FDA" w:rsidR="00DA558A" w:rsidRPr="00DA558A" w:rsidRDefault="00DA558A">
            <w:pPr>
              <w:spacing w:after="0" w:line="240" w:lineRule="auto"/>
              <w:jc w:val="right"/>
              <w:rPr>
                <w:rFonts w:ascii="Times New Roman" w:hAnsi="Times New Roman" w:cs="Times New Roman"/>
                <w:b/>
                <w:color w:val="000000"/>
              </w:rPr>
            </w:pPr>
            <w:r w:rsidRPr="00AF5415">
              <w:rPr>
                <w:rFonts w:ascii="Times New Roman" w:hAnsi="Times New Roman" w:cs="Times New Roman"/>
                <w:b/>
              </w:rPr>
              <w:t>21 129</w:t>
            </w:r>
          </w:p>
        </w:tc>
        <w:tc>
          <w:tcPr>
            <w:tcW w:w="924" w:type="pct"/>
            <w:tcBorders>
              <w:right w:val="single" w:sz="8" w:space="0" w:color="auto"/>
            </w:tcBorders>
            <w:shd w:val="clear" w:color="auto" w:fill="auto"/>
            <w:noWrap/>
            <w:vAlign w:val="center"/>
          </w:tcPr>
          <w:p w14:paraId="00723B26" w14:textId="478C2753" w:rsidR="00DA558A" w:rsidRPr="00DA558A" w:rsidRDefault="00DA558A">
            <w:pPr>
              <w:spacing w:after="0" w:line="240" w:lineRule="auto"/>
              <w:jc w:val="right"/>
              <w:rPr>
                <w:rFonts w:ascii="Times New Roman" w:hAnsi="Times New Roman" w:cs="Times New Roman"/>
                <w:b/>
                <w:color w:val="000000"/>
              </w:rPr>
            </w:pPr>
            <w:r w:rsidRPr="00AF5415">
              <w:rPr>
                <w:rFonts w:ascii="Times New Roman" w:hAnsi="Times New Roman" w:cs="Times New Roman"/>
                <w:b/>
              </w:rPr>
              <w:t>4 601 602</w:t>
            </w:r>
          </w:p>
        </w:tc>
        <w:tc>
          <w:tcPr>
            <w:tcW w:w="657" w:type="pct"/>
            <w:tcBorders>
              <w:left w:val="single" w:sz="8" w:space="0" w:color="auto"/>
            </w:tcBorders>
            <w:shd w:val="clear" w:color="auto" w:fill="auto"/>
            <w:vAlign w:val="center"/>
          </w:tcPr>
          <w:p w14:paraId="3953D8ED" w14:textId="66CD7FC7" w:rsidR="00DA558A" w:rsidRPr="00DA558A" w:rsidRDefault="00DA558A">
            <w:pPr>
              <w:spacing w:after="0" w:line="240" w:lineRule="auto"/>
              <w:jc w:val="right"/>
              <w:rPr>
                <w:rFonts w:ascii="Times New Roman" w:hAnsi="Times New Roman" w:cs="Times New Roman"/>
                <w:b/>
                <w:color w:val="000000"/>
              </w:rPr>
            </w:pPr>
            <w:r w:rsidRPr="00AF5415">
              <w:rPr>
                <w:rFonts w:ascii="Times New Roman" w:hAnsi="Times New Roman" w:cs="Times New Roman"/>
                <w:b/>
              </w:rPr>
              <w:t>14 529</w:t>
            </w:r>
          </w:p>
        </w:tc>
        <w:tc>
          <w:tcPr>
            <w:tcW w:w="506" w:type="pct"/>
            <w:shd w:val="clear" w:color="auto" w:fill="auto"/>
            <w:vAlign w:val="center"/>
          </w:tcPr>
          <w:p w14:paraId="60B5D7CF" w14:textId="74ABF352" w:rsidR="00DA558A" w:rsidRPr="00DA558A" w:rsidRDefault="00DA558A">
            <w:pPr>
              <w:spacing w:after="0" w:line="240" w:lineRule="auto"/>
              <w:jc w:val="right"/>
              <w:rPr>
                <w:rFonts w:ascii="Times New Roman" w:hAnsi="Times New Roman" w:cs="Times New Roman"/>
                <w:b/>
                <w:color w:val="000000"/>
              </w:rPr>
            </w:pPr>
            <w:r w:rsidRPr="00AF5415">
              <w:rPr>
                <w:rFonts w:ascii="Times New Roman" w:hAnsi="Times New Roman" w:cs="Times New Roman"/>
                <w:b/>
              </w:rPr>
              <w:t>26 949</w:t>
            </w:r>
          </w:p>
        </w:tc>
        <w:tc>
          <w:tcPr>
            <w:tcW w:w="566" w:type="pct"/>
            <w:tcBorders>
              <w:right w:val="single" w:sz="8" w:space="0" w:color="auto"/>
            </w:tcBorders>
            <w:shd w:val="clear" w:color="auto" w:fill="auto"/>
            <w:vAlign w:val="center"/>
          </w:tcPr>
          <w:p w14:paraId="3B251217" w14:textId="03A27E90" w:rsidR="00DA558A" w:rsidRPr="00DA558A" w:rsidRDefault="00DA558A">
            <w:pPr>
              <w:spacing w:after="0" w:line="240" w:lineRule="auto"/>
              <w:jc w:val="right"/>
              <w:rPr>
                <w:rFonts w:ascii="Times New Roman" w:hAnsi="Times New Roman" w:cs="Times New Roman"/>
                <w:b/>
                <w:color w:val="000000"/>
              </w:rPr>
            </w:pPr>
            <w:r w:rsidRPr="00AF5415">
              <w:rPr>
                <w:rFonts w:ascii="Times New Roman" w:hAnsi="Times New Roman" w:cs="Times New Roman"/>
                <w:b/>
              </w:rPr>
              <w:t>6 156 129</w:t>
            </w:r>
          </w:p>
        </w:tc>
      </w:tr>
    </w:tbl>
    <w:p w14:paraId="23E9E3C9" w14:textId="77777777" w:rsidR="00BB33A1" w:rsidRDefault="00BB33A1" w:rsidP="000745A8">
      <w:pPr>
        <w:jc w:val="both"/>
        <w:rPr>
          <w:rFonts w:ascii="Times New Roman" w:hAnsi="Times New Roman" w:cs="Times New Roman"/>
          <w:sz w:val="24"/>
          <w:szCs w:val="24"/>
        </w:rPr>
      </w:pPr>
    </w:p>
    <w:p w14:paraId="15EE26F1" w14:textId="7324925F" w:rsidR="00BB33A1" w:rsidRPr="000745A8" w:rsidRDefault="00BB33A1" w:rsidP="00BB33A1">
      <w:pPr>
        <w:jc w:val="both"/>
        <w:rPr>
          <w:rFonts w:ascii="Times New Roman" w:hAnsi="Times New Roman" w:cs="Times New Roman"/>
          <w:sz w:val="24"/>
          <w:szCs w:val="24"/>
        </w:rPr>
      </w:pPr>
      <w:r w:rsidRPr="000745A8">
        <w:rPr>
          <w:rFonts w:ascii="Times New Roman" w:hAnsi="Times New Roman" w:cs="Times New Roman"/>
          <w:sz w:val="24"/>
          <w:szCs w:val="24"/>
        </w:rPr>
        <w:lastRenderedPageBreak/>
        <w:t xml:space="preserve">Plánované úspory energie vo forme konečnej energetickej spotreby sú </w:t>
      </w:r>
      <w:r w:rsidRPr="007577DE">
        <w:rPr>
          <w:rFonts w:ascii="Times New Roman" w:hAnsi="Times New Roman" w:cs="Times New Roman"/>
          <w:sz w:val="24"/>
          <w:szCs w:val="24"/>
        </w:rPr>
        <w:t>v rokoch 2017 – 2020</w:t>
      </w:r>
      <w:r w:rsidRPr="000745A8">
        <w:rPr>
          <w:rFonts w:ascii="Times New Roman" w:hAnsi="Times New Roman" w:cs="Times New Roman"/>
          <w:b/>
          <w:sz w:val="24"/>
          <w:szCs w:val="24"/>
        </w:rPr>
        <w:t xml:space="preserve"> </w:t>
      </w:r>
      <w:r w:rsidRPr="000745A8">
        <w:rPr>
          <w:rFonts w:ascii="Times New Roman" w:hAnsi="Times New Roman" w:cs="Times New Roman"/>
          <w:sz w:val="24"/>
          <w:szCs w:val="24"/>
        </w:rPr>
        <w:t xml:space="preserve">vo výške </w:t>
      </w:r>
      <w:r w:rsidR="0020448C" w:rsidRPr="00AF5415">
        <w:rPr>
          <w:rFonts w:ascii="Times New Roman" w:hAnsi="Times New Roman" w:cs="Times New Roman"/>
          <w:b/>
          <w:sz w:val="24"/>
          <w:szCs w:val="24"/>
        </w:rPr>
        <w:t>14 529</w:t>
      </w:r>
      <w:r w:rsidRPr="000745A8">
        <w:rPr>
          <w:rFonts w:ascii="Times New Roman" w:hAnsi="Times New Roman" w:cs="Times New Roman"/>
          <w:b/>
          <w:sz w:val="24"/>
          <w:szCs w:val="24"/>
        </w:rPr>
        <w:t xml:space="preserve"> TJ</w:t>
      </w:r>
      <w:r w:rsidRPr="000745A8">
        <w:rPr>
          <w:rFonts w:ascii="Times New Roman" w:hAnsi="Times New Roman" w:cs="Times New Roman"/>
          <w:sz w:val="24"/>
          <w:szCs w:val="24"/>
        </w:rPr>
        <w:t xml:space="preserve">. </w:t>
      </w:r>
    </w:p>
    <w:p w14:paraId="6C58B55A" w14:textId="211E4FDF" w:rsidR="00BB33A1" w:rsidRPr="000745A8" w:rsidRDefault="00BB33A1" w:rsidP="00BB33A1">
      <w:pPr>
        <w:jc w:val="both"/>
        <w:rPr>
          <w:rFonts w:ascii="Times New Roman" w:hAnsi="Times New Roman" w:cs="Times New Roman"/>
          <w:sz w:val="24"/>
          <w:szCs w:val="24"/>
        </w:rPr>
      </w:pPr>
      <w:r w:rsidRPr="000745A8">
        <w:rPr>
          <w:rFonts w:ascii="Times New Roman" w:hAnsi="Times New Roman" w:cs="Times New Roman"/>
          <w:sz w:val="24"/>
          <w:szCs w:val="24"/>
        </w:rPr>
        <w:t>Úspory vo forme primárnej energetickej spotreby sú plánované v rokoch 2017 – 2020 vo výške</w:t>
      </w:r>
      <w:r w:rsidRPr="000745A8">
        <w:rPr>
          <w:rFonts w:ascii="Times New Roman" w:hAnsi="Times New Roman" w:cs="Times New Roman"/>
          <w:b/>
          <w:sz w:val="24"/>
          <w:szCs w:val="24"/>
        </w:rPr>
        <w:t xml:space="preserve"> </w:t>
      </w:r>
      <w:r w:rsidR="0020448C" w:rsidRPr="0020448C">
        <w:rPr>
          <w:rFonts w:ascii="Times New Roman" w:hAnsi="Times New Roman" w:cs="Times New Roman"/>
          <w:b/>
          <w:sz w:val="24"/>
          <w:szCs w:val="24"/>
        </w:rPr>
        <w:t>26 949</w:t>
      </w:r>
      <w:r w:rsidRPr="000745A8">
        <w:rPr>
          <w:rFonts w:ascii="Times New Roman" w:hAnsi="Times New Roman" w:cs="Times New Roman"/>
          <w:b/>
          <w:sz w:val="24"/>
          <w:szCs w:val="24"/>
        </w:rPr>
        <w:t xml:space="preserve"> TJ</w:t>
      </w:r>
      <w:r w:rsidRPr="000745A8">
        <w:rPr>
          <w:rFonts w:ascii="Times New Roman" w:hAnsi="Times New Roman" w:cs="Times New Roman"/>
          <w:sz w:val="24"/>
          <w:szCs w:val="24"/>
        </w:rPr>
        <w:t>.</w:t>
      </w:r>
      <w:r w:rsidRPr="000745A8">
        <w:rPr>
          <w:rStyle w:val="Odkaznapoznmkupodiarou"/>
          <w:rFonts w:ascii="Times New Roman" w:hAnsi="Times New Roman" w:cs="Times New Roman"/>
          <w:sz w:val="24"/>
          <w:szCs w:val="24"/>
        </w:rPr>
        <w:footnoteReference w:id="25"/>
      </w:r>
    </w:p>
    <w:p w14:paraId="4B5C21CF" w14:textId="3CDF1706" w:rsidR="00902157" w:rsidRPr="000745A8" w:rsidRDefault="00902157" w:rsidP="000745A8">
      <w:pPr>
        <w:jc w:val="both"/>
        <w:rPr>
          <w:rFonts w:ascii="Times New Roman" w:hAnsi="Times New Roman" w:cs="Times New Roman"/>
          <w:sz w:val="24"/>
          <w:szCs w:val="24"/>
        </w:rPr>
      </w:pPr>
      <w:r w:rsidRPr="000745A8">
        <w:rPr>
          <w:rFonts w:ascii="Times New Roman" w:hAnsi="Times New Roman" w:cs="Times New Roman"/>
          <w:sz w:val="24"/>
          <w:szCs w:val="24"/>
        </w:rPr>
        <w:t>K plánovanému plneniu cieľa úspor energie prispejú najviac budovy, priemysel a verejný sektor</w:t>
      </w:r>
      <w:r w:rsidR="006471C6" w:rsidRPr="000745A8">
        <w:rPr>
          <w:rFonts w:ascii="Times New Roman" w:hAnsi="Times New Roman" w:cs="Times New Roman"/>
          <w:sz w:val="24"/>
          <w:szCs w:val="24"/>
        </w:rPr>
        <w:t xml:space="preserve"> </w:t>
      </w:r>
      <w:r w:rsidR="00236ABD" w:rsidRPr="000745A8">
        <w:rPr>
          <w:rFonts w:ascii="Times New Roman" w:hAnsi="Times New Roman" w:cs="Times New Roman"/>
          <w:sz w:val="24"/>
          <w:szCs w:val="24"/>
        </w:rPr>
        <w:t>(</w:t>
      </w:r>
      <w:r w:rsidR="001653AA" w:rsidRPr="000745A8">
        <w:rPr>
          <w:rFonts w:ascii="Times New Roman" w:hAnsi="Times New Roman" w:cs="Times New Roman"/>
          <w:sz w:val="24"/>
          <w:szCs w:val="24"/>
        </w:rPr>
        <w:t>pozri</w:t>
      </w:r>
      <w:r w:rsidR="00F8616B" w:rsidRPr="000745A8">
        <w:rPr>
          <w:rFonts w:ascii="Times New Roman" w:hAnsi="Times New Roman" w:cs="Times New Roman"/>
          <w:sz w:val="24"/>
          <w:szCs w:val="24"/>
        </w:rPr>
        <w:t xml:space="preserve"> </w:t>
      </w:r>
      <w:r w:rsidR="00BB33A1">
        <w:rPr>
          <w:rFonts w:ascii="Times New Roman" w:hAnsi="Times New Roman" w:cs="Times New Roman"/>
          <w:sz w:val="24"/>
          <w:szCs w:val="24"/>
        </w:rPr>
        <w:t>g</w:t>
      </w:r>
      <w:r w:rsidR="00236ABD" w:rsidRPr="000745A8">
        <w:rPr>
          <w:rFonts w:ascii="Times New Roman" w:hAnsi="Times New Roman" w:cs="Times New Roman"/>
          <w:sz w:val="24"/>
          <w:szCs w:val="24"/>
        </w:rPr>
        <w:t>raf</w:t>
      </w:r>
      <w:r w:rsidRPr="000745A8">
        <w:rPr>
          <w:rFonts w:ascii="Times New Roman" w:hAnsi="Times New Roman" w:cs="Times New Roman"/>
          <w:sz w:val="24"/>
          <w:szCs w:val="24"/>
        </w:rPr>
        <w:t xml:space="preserve"> </w:t>
      </w:r>
      <w:r w:rsidR="00BB33A1">
        <w:rPr>
          <w:rFonts w:ascii="Times New Roman" w:hAnsi="Times New Roman" w:cs="Times New Roman"/>
          <w:sz w:val="24"/>
          <w:szCs w:val="24"/>
        </w:rPr>
        <w:t>č. 1</w:t>
      </w:r>
      <w:r w:rsidR="00AE42A2">
        <w:rPr>
          <w:rFonts w:ascii="Times New Roman" w:hAnsi="Times New Roman" w:cs="Times New Roman"/>
          <w:sz w:val="24"/>
          <w:szCs w:val="24"/>
        </w:rPr>
        <w:t>6</w:t>
      </w:r>
      <w:r w:rsidRPr="000745A8">
        <w:rPr>
          <w:rFonts w:ascii="Times New Roman" w:hAnsi="Times New Roman" w:cs="Times New Roman"/>
          <w:sz w:val="24"/>
          <w:szCs w:val="24"/>
        </w:rPr>
        <w:t>)</w:t>
      </w:r>
      <w:r w:rsidR="00F8616B" w:rsidRPr="000745A8">
        <w:rPr>
          <w:rFonts w:ascii="Times New Roman" w:hAnsi="Times New Roman" w:cs="Times New Roman"/>
          <w:sz w:val="24"/>
          <w:szCs w:val="24"/>
        </w:rPr>
        <w:t>. Podrobnosti o jednotlivých navrhovaných opatreniach energetickej efektívnosti na roky 2017 – 2019 s výhľadom do roku 2020 sú uvedené v prílohe č. 2.</w:t>
      </w:r>
    </w:p>
    <w:p w14:paraId="2889E628" w14:textId="17A14993" w:rsidR="00902157" w:rsidRPr="000745A8" w:rsidRDefault="00902157" w:rsidP="000745A8">
      <w:pPr>
        <w:jc w:val="both"/>
        <w:rPr>
          <w:rFonts w:ascii="Times New Roman" w:hAnsi="Times New Roman" w:cs="Times New Roman"/>
          <w:sz w:val="24"/>
          <w:szCs w:val="24"/>
        </w:rPr>
      </w:pPr>
      <w:r w:rsidRPr="000745A8">
        <w:rPr>
          <w:rFonts w:ascii="Times New Roman" w:hAnsi="Times New Roman" w:cs="Times New Roman"/>
          <w:sz w:val="24"/>
          <w:szCs w:val="24"/>
        </w:rPr>
        <w:t>Uvedené úspory je možné dosiahnuť len spolu s aplikáciou horizontálnych a podporných opatrení, ktorých priamy dopad na plánovanú úsporu energie nie je možné určiť s primeranou presnosťou tak, aby sa predišlo dvojitému započítavaniu</w:t>
      </w:r>
      <w:r w:rsidR="00F8616B" w:rsidRPr="000745A8">
        <w:rPr>
          <w:rFonts w:ascii="Times New Roman" w:hAnsi="Times New Roman" w:cs="Times New Roman"/>
          <w:sz w:val="24"/>
          <w:szCs w:val="24"/>
        </w:rPr>
        <w:t>,</w:t>
      </w:r>
      <w:r w:rsidRPr="000745A8">
        <w:rPr>
          <w:rFonts w:ascii="Times New Roman" w:hAnsi="Times New Roman" w:cs="Times New Roman"/>
          <w:sz w:val="24"/>
          <w:szCs w:val="24"/>
        </w:rPr>
        <w:t xml:space="preserve"> a preto sa úspory energie pre horizontálne a podporné opatrenia neuvádzajú.</w:t>
      </w:r>
    </w:p>
    <w:p w14:paraId="61214A59" w14:textId="77777777" w:rsidR="000B168C" w:rsidRDefault="00086BB0" w:rsidP="000745A8">
      <w:pPr>
        <w:spacing w:after="0" w:line="240" w:lineRule="auto"/>
        <w:jc w:val="both"/>
        <w:rPr>
          <w:rFonts w:ascii="Times New Roman" w:hAnsi="Times New Roman" w:cs="Times New Roman"/>
          <w:sz w:val="24"/>
          <w:szCs w:val="24"/>
        </w:rPr>
      </w:pPr>
      <w:r w:rsidRPr="000745A8">
        <w:rPr>
          <w:rFonts w:ascii="Times New Roman" w:hAnsi="Times New Roman" w:cs="Times New Roman"/>
          <w:sz w:val="24"/>
          <w:szCs w:val="24"/>
        </w:rPr>
        <w:t xml:space="preserve">V časovom horizonte do roku 2020 sa pomer niektorých segmentov výrazne </w:t>
      </w:r>
      <w:r w:rsidR="006B2030" w:rsidRPr="000745A8">
        <w:rPr>
          <w:rFonts w:ascii="Times New Roman" w:hAnsi="Times New Roman" w:cs="Times New Roman"/>
          <w:sz w:val="24"/>
          <w:szCs w:val="24"/>
        </w:rPr>
        <w:t>nez</w:t>
      </w:r>
      <w:r w:rsidRPr="000745A8">
        <w:rPr>
          <w:rFonts w:ascii="Times New Roman" w:hAnsi="Times New Roman" w:cs="Times New Roman"/>
          <w:sz w:val="24"/>
          <w:szCs w:val="24"/>
        </w:rPr>
        <w:t>mení</w:t>
      </w:r>
      <w:r w:rsidR="006005BE" w:rsidRPr="000745A8">
        <w:rPr>
          <w:rFonts w:ascii="Times New Roman" w:hAnsi="Times New Roman" w:cs="Times New Roman"/>
          <w:sz w:val="24"/>
          <w:szCs w:val="24"/>
        </w:rPr>
        <w:t xml:space="preserve">, napríklad v segmente priemyslu sa predpokladá pre rok 2020 už vyčerpaný balík operačných programov EŠIF a teda aj menšia dosiahnutá úspora v poslednom roku.  </w:t>
      </w:r>
      <w:r w:rsidR="00964DC1" w:rsidRPr="000745A8">
        <w:rPr>
          <w:rFonts w:ascii="Times New Roman" w:hAnsi="Times New Roman" w:cs="Times New Roman"/>
          <w:sz w:val="24"/>
          <w:szCs w:val="24"/>
        </w:rPr>
        <w:t xml:space="preserve">  </w:t>
      </w:r>
    </w:p>
    <w:p w14:paraId="4359F7BC" w14:textId="77777777" w:rsidR="00BB33A1" w:rsidRDefault="00BB33A1" w:rsidP="000745A8">
      <w:pPr>
        <w:spacing w:after="0" w:line="240" w:lineRule="auto"/>
        <w:jc w:val="both"/>
        <w:rPr>
          <w:rFonts w:ascii="Times New Roman" w:hAnsi="Times New Roman" w:cs="Times New Roman"/>
          <w:sz w:val="24"/>
          <w:szCs w:val="24"/>
        </w:rPr>
      </w:pPr>
    </w:p>
    <w:p w14:paraId="6D81BC90" w14:textId="3763B86B" w:rsidR="00BB33A1" w:rsidRPr="00BB33A1" w:rsidRDefault="00BB33A1" w:rsidP="000578FE">
      <w:pPr>
        <w:keepNext/>
        <w:jc w:val="both"/>
        <w:rPr>
          <w:rFonts w:ascii="Times New Roman" w:hAnsi="Times New Roman" w:cs="Times New Roman"/>
          <w:sz w:val="24"/>
          <w:szCs w:val="24"/>
        </w:rPr>
      </w:pPr>
      <w:r w:rsidRPr="00BB33A1">
        <w:rPr>
          <w:rFonts w:ascii="Times New Roman" w:hAnsi="Times New Roman" w:cs="Times New Roman"/>
          <w:sz w:val="24"/>
          <w:szCs w:val="24"/>
        </w:rPr>
        <w:t>Graf č. 1</w:t>
      </w:r>
      <w:r w:rsidR="00AE42A2">
        <w:rPr>
          <w:rFonts w:ascii="Times New Roman" w:hAnsi="Times New Roman" w:cs="Times New Roman"/>
          <w:sz w:val="24"/>
          <w:szCs w:val="24"/>
        </w:rPr>
        <w:t>6</w:t>
      </w:r>
      <w:r w:rsidRPr="00BB33A1">
        <w:rPr>
          <w:rFonts w:ascii="Times New Roman" w:hAnsi="Times New Roman" w:cs="Times New Roman"/>
          <w:sz w:val="24"/>
          <w:szCs w:val="24"/>
        </w:rPr>
        <w:t xml:space="preserve">: </w:t>
      </w:r>
      <w:r w:rsidRPr="000578FE">
        <w:rPr>
          <w:rFonts w:ascii="Times New Roman" w:hAnsi="Times New Roman" w:cs="Times New Roman"/>
          <w:sz w:val="24"/>
          <w:szCs w:val="24"/>
        </w:rPr>
        <w:t>Podiel sektorov na plánovaných úsporách energie v rokoch 2017 - 2020</w:t>
      </w:r>
    </w:p>
    <w:p w14:paraId="46AFBFDE" w14:textId="552E1192" w:rsidR="00086BB0" w:rsidRPr="000745A8" w:rsidRDefault="00964DC1" w:rsidP="000745A8">
      <w:pPr>
        <w:spacing w:after="0" w:line="240" w:lineRule="auto"/>
        <w:jc w:val="both"/>
        <w:rPr>
          <w:rFonts w:ascii="Times New Roman" w:hAnsi="Times New Roman" w:cs="Times New Roman"/>
          <w:sz w:val="24"/>
          <w:szCs w:val="24"/>
        </w:rPr>
      </w:pPr>
      <w:r w:rsidRPr="000745A8">
        <w:rPr>
          <w:rFonts w:ascii="Times New Roman" w:hAnsi="Times New Roman" w:cs="Times New Roman"/>
          <w:sz w:val="24"/>
          <w:szCs w:val="24"/>
        </w:rPr>
        <w:t xml:space="preserve"> </w:t>
      </w:r>
    </w:p>
    <w:p w14:paraId="15D9622B" w14:textId="1E7DF4B3" w:rsidR="009955EB" w:rsidRDefault="000B168C" w:rsidP="00AE0013">
      <w:pPr>
        <w:spacing w:after="0" w:line="240" w:lineRule="auto"/>
        <w:ind w:firstLine="708"/>
        <w:rPr>
          <w:rFonts w:ascii="Times New Roman" w:hAnsi="Times New Roman" w:cs="Times New Roman"/>
        </w:rPr>
      </w:pPr>
      <w:r>
        <w:rPr>
          <w:noProof/>
          <w:lang w:eastAsia="sk-SK"/>
        </w:rPr>
        <w:drawing>
          <wp:inline distT="0" distB="0" distL="0" distR="0" wp14:anchorId="2EB4E007" wp14:editId="689F8A3F">
            <wp:extent cx="4648200" cy="2487930"/>
            <wp:effectExtent l="0" t="0" r="0" b="762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FB6D10C" w14:textId="380FF365" w:rsidR="00902157" w:rsidRDefault="00902157" w:rsidP="00902157">
      <w:pPr>
        <w:jc w:val="both"/>
        <w:rPr>
          <w:rFonts w:ascii="Times New Roman" w:hAnsi="Times New Roman" w:cs="Times New Roman"/>
          <w:sz w:val="24"/>
          <w:szCs w:val="24"/>
        </w:rPr>
      </w:pPr>
      <w:r w:rsidRPr="000745A8">
        <w:rPr>
          <w:rFonts w:ascii="Times New Roman" w:hAnsi="Times New Roman" w:cs="Times New Roman"/>
          <w:sz w:val="24"/>
          <w:szCs w:val="24"/>
        </w:rPr>
        <w:t xml:space="preserve">Podiel vybraných národných a medzinárodných finančných mechanizmov na  plánovanom financovaní opatrení energetickej </w:t>
      </w:r>
      <w:r w:rsidR="00751440" w:rsidRPr="000745A8">
        <w:rPr>
          <w:rFonts w:ascii="Times New Roman" w:hAnsi="Times New Roman" w:cs="Times New Roman"/>
          <w:sz w:val="24"/>
          <w:szCs w:val="24"/>
        </w:rPr>
        <w:t>efektívnosti je uvedený v</w:t>
      </w:r>
      <w:r w:rsidR="00BB33A1">
        <w:rPr>
          <w:rFonts w:ascii="Times New Roman" w:hAnsi="Times New Roman" w:cs="Times New Roman"/>
          <w:sz w:val="24"/>
          <w:szCs w:val="24"/>
        </w:rPr>
        <w:t> </w:t>
      </w:r>
      <w:r w:rsidR="00751440" w:rsidRPr="000745A8">
        <w:rPr>
          <w:rFonts w:ascii="Times New Roman" w:hAnsi="Times New Roman" w:cs="Times New Roman"/>
          <w:sz w:val="24"/>
          <w:szCs w:val="24"/>
        </w:rPr>
        <w:t>graf</w:t>
      </w:r>
      <w:r w:rsidR="00BB33A1">
        <w:rPr>
          <w:rFonts w:ascii="Times New Roman" w:hAnsi="Times New Roman" w:cs="Times New Roman"/>
          <w:sz w:val="24"/>
          <w:szCs w:val="24"/>
        </w:rPr>
        <w:t>e č. 1</w:t>
      </w:r>
      <w:r w:rsidR="00AE42A2">
        <w:rPr>
          <w:rFonts w:ascii="Times New Roman" w:hAnsi="Times New Roman" w:cs="Times New Roman"/>
          <w:sz w:val="24"/>
          <w:szCs w:val="24"/>
        </w:rPr>
        <w:t>7</w:t>
      </w:r>
      <w:r w:rsidR="00BB33A1">
        <w:rPr>
          <w:rFonts w:ascii="Times New Roman" w:hAnsi="Times New Roman" w:cs="Times New Roman"/>
          <w:sz w:val="24"/>
          <w:szCs w:val="24"/>
        </w:rPr>
        <w:t>.</w:t>
      </w:r>
    </w:p>
    <w:p w14:paraId="66EF0D31" w14:textId="77777777" w:rsidR="0051358B" w:rsidRDefault="0051358B" w:rsidP="0034698B">
      <w:pPr>
        <w:jc w:val="both"/>
        <w:rPr>
          <w:rFonts w:ascii="Times New Roman" w:hAnsi="Times New Roman" w:cs="Times New Roman"/>
          <w:sz w:val="24"/>
          <w:szCs w:val="24"/>
        </w:rPr>
      </w:pPr>
    </w:p>
    <w:p w14:paraId="351F7BB5" w14:textId="71B0C7AE" w:rsidR="0034698B" w:rsidRPr="000745A8" w:rsidRDefault="0034698B" w:rsidP="0034698B">
      <w:pPr>
        <w:jc w:val="both"/>
        <w:rPr>
          <w:rFonts w:ascii="Times New Roman" w:hAnsi="Times New Roman" w:cs="Times New Roman"/>
          <w:sz w:val="24"/>
          <w:szCs w:val="24"/>
        </w:rPr>
      </w:pPr>
      <w:r w:rsidRPr="000745A8">
        <w:rPr>
          <w:rFonts w:ascii="Times New Roman" w:hAnsi="Times New Roman" w:cs="Times New Roman"/>
          <w:sz w:val="24"/>
          <w:szCs w:val="24"/>
        </w:rPr>
        <w:t xml:space="preserve">Plánované opatrenia si </w:t>
      </w:r>
      <w:r w:rsidR="0051358B">
        <w:rPr>
          <w:rFonts w:ascii="Times New Roman" w:hAnsi="Times New Roman" w:cs="Times New Roman"/>
          <w:sz w:val="24"/>
          <w:szCs w:val="24"/>
        </w:rPr>
        <w:t>na</w:t>
      </w:r>
      <w:r w:rsidRPr="000745A8">
        <w:rPr>
          <w:rFonts w:ascii="Times New Roman" w:hAnsi="Times New Roman" w:cs="Times New Roman"/>
          <w:sz w:val="24"/>
          <w:szCs w:val="24"/>
        </w:rPr>
        <w:t xml:space="preserve"> účel plnenia stanoveného cieľa vyžiadajú finančné zdroje vo výške  zhruba </w:t>
      </w:r>
      <w:r w:rsidR="00976C57">
        <w:rPr>
          <w:rFonts w:ascii="Times New Roman" w:hAnsi="Times New Roman" w:cs="Times New Roman"/>
          <w:sz w:val="24"/>
          <w:szCs w:val="24"/>
        </w:rPr>
        <w:t>6,</w:t>
      </w:r>
      <w:r w:rsidR="006145C9">
        <w:rPr>
          <w:rFonts w:ascii="Times New Roman" w:hAnsi="Times New Roman" w:cs="Times New Roman"/>
          <w:sz w:val="24"/>
          <w:szCs w:val="24"/>
        </w:rPr>
        <w:t>2</w:t>
      </w:r>
      <w:r w:rsidRPr="000745A8">
        <w:rPr>
          <w:rFonts w:ascii="Times New Roman" w:hAnsi="Times New Roman" w:cs="Times New Roman"/>
          <w:sz w:val="24"/>
          <w:szCs w:val="24"/>
        </w:rPr>
        <w:t xml:space="preserve"> mld. </w:t>
      </w:r>
      <w:r w:rsidR="000C2919">
        <w:rPr>
          <w:rFonts w:ascii="Times New Roman" w:hAnsi="Times New Roman" w:cs="Times New Roman"/>
          <w:sz w:val="24"/>
          <w:szCs w:val="24"/>
        </w:rPr>
        <w:t>Eur</w:t>
      </w:r>
      <w:r w:rsidR="006145C9">
        <w:rPr>
          <w:rFonts w:ascii="Times New Roman" w:hAnsi="Times New Roman" w:cs="Times New Roman"/>
          <w:sz w:val="24"/>
          <w:szCs w:val="24"/>
        </w:rPr>
        <w:t xml:space="preserve"> </w:t>
      </w:r>
      <w:r w:rsidRPr="000745A8">
        <w:rPr>
          <w:rFonts w:ascii="Times New Roman" w:hAnsi="Times New Roman" w:cs="Times New Roman"/>
          <w:sz w:val="24"/>
          <w:szCs w:val="24"/>
        </w:rPr>
        <w:t xml:space="preserve">(pozri </w:t>
      </w:r>
      <w:r w:rsidR="0051358B">
        <w:rPr>
          <w:rFonts w:ascii="Times New Roman" w:hAnsi="Times New Roman" w:cs="Times New Roman"/>
          <w:sz w:val="24"/>
          <w:szCs w:val="24"/>
        </w:rPr>
        <w:t>tabuľku č. 8</w:t>
      </w:r>
      <w:r w:rsidRPr="000745A8">
        <w:rPr>
          <w:rFonts w:ascii="Times New Roman" w:hAnsi="Times New Roman" w:cs="Times New Roman"/>
          <w:sz w:val="24"/>
          <w:szCs w:val="24"/>
        </w:rPr>
        <w:t xml:space="preserve">). </w:t>
      </w:r>
    </w:p>
    <w:p w14:paraId="3C800BCB" w14:textId="77777777" w:rsidR="0034698B" w:rsidRDefault="0034698B" w:rsidP="00902157">
      <w:pPr>
        <w:jc w:val="both"/>
        <w:rPr>
          <w:rFonts w:ascii="Times New Roman" w:hAnsi="Times New Roman" w:cs="Times New Roman"/>
          <w:sz w:val="24"/>
          <w:szCs w:val="24"/>
        </w:rPr>
      </w:pPr>
    </w:p>
    <w:p w14:paraId="77E819E9" w14:textId="77777777" w:rsidR="0051358B" w:rsidRDefault="0051358B" w:rsidP="00902157">
      <w:pPr>
        <w:jc w:val="both"/>
        <w:rPr>
          <w:rFonts w:ascii="Times New Roman" w:hAnsi="Times New Roman" w:cs="Times New Roman"/>
          <w:sz w:val="24"/>
          <w:szCs w:val="24"/>
        </w:rPr>
      </w:pPr>
    </w:p>
    <w:p w14:paraId="17512DA9" w14:textId="2BA9549B" w:rsidR="0034698B" w:rsidRPr="0034698B" w:rsidRDefault="0034698B" w:rsidP="000578FE">
      <w:pPr>
        <w:keepNext/>
        <w:jc w:val="both"/>
        <w:rPr>
          <w:rFonts w:ascii="Times New Roman" w:hAnsi="Times New Roman" w:cs="Times New Roman"/>
          <w:sz w:val="24"/>
          <w:szCs w:val="24"/>
        </w:rPr>
      </w:pPr>
      <w:r w:rsidRPr="0034698B">
        <w:rPr>
          <w:rFonts w:ascii="Times New Roman" w:hAnsi="Times New Roman" w:cs="Times New Roman"/>
          <w:sz w:val="24"/>
          <w:szCs w:val="24"/>
        </w:rPr>
        <w:lastRenderedPageBreak/>
        <w:t>Graf č. 1</w:t>
      </w:r>
      <w:r w:rsidR="00AE42A2">
        <w:rPr>
          <w:rFonts w:ascii="Times New Roman" w:hAnsi="Times New Roman" w:cs="Times New Roman"/>
          <w:sz w:val="24"/>
          <w:szCs w:val="24"/>
        </w:rPr>
        <w:t>7</w:t>
      </w:r>
      <w:r w:rsidRPr="0034698B">
        <w:rPr>
          <w:rFonts w:ascii="Times New Roman" w:hAnsi="Times New Roman" w:cs="Times New Roman"/>
          <w:sz w:val="24"/>
          <w:szCs w:val="24"/>
        </w:rPr>
        <w:t xml:space="preserve">: </w:t>
      </w:r>
      <w:r w:rsidRPr="000578FE">
        <w:rPr>
          <w:rFonts w:ascii="Times New Roman" w:hAnsi="Times New Roman" w:cs="Times New Roman"/>
          <w:sz w:val="24"/>
          <w:szCs w:val="24"/>
        </w:rPr>
        <w:t>Podiel vybraných národných a medzinárodných finančných mechanizmov na plánovanom financovaní opatrení energetickej efektívnosti v rokoch 2017 - 2020</w:t>
      </w:r>
    </w:p>
    <w:p w14:paraId="537BFFC5" w14:textId="27A1CAE9" w:rsidR="00902157" w:rsidRPr="009F2998" w:rsidRDefault="006D14AB" w:rsidP="0093098D">
      <w:pPr>
        <w:spacing w:after="0" w:line="240" w:lineRule="auto"/>
        <w:jc w:val="center"/>
        <w:rPr>
          <w:rFonts w:ascii="Times New Roman" w:hAnsi="Times New Roman" w:cs="Times New Roman"/>
        </w:rPr>
      </w:pPr>
      <w:r w:rsidRPr="009F2998">
        <w:rPr>
          <w:rFonts w:ascii="Times New Roman" w:hAnsi="Times New Roman" w:cs="Times New Roman"/>
          <w:noProof/>
          <w:lang w:eastAsia="sk-SK"/>
        </w:rPr>
        <w:drawing>
          <wp:inline distT="0" distB="0" distL="0" distR="0" wp14:anchorId="04F217E0" wp14:editId="6318688D">
            <wp:extent cx="5353050" cy="31623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B0E2EE8" w14:textId="610BE226" w:rsidR="000745A8" w:rsidRPr="000578FE" w:rsidRDefault="0051358B" w:rsidP="004E746F">
      <w:pPr>
        <w:keepNext/>
        <w:rPr>
          <w:rFonts w:ascii="Times New Roman" w:hAnsi="Times New Roman" w:cs="Times New Roman"/>
          <w:sz w:val="24"/>
          <w:szCs w:val="24"/>
        </w:rPr>
      </w:pPr>
      <w:r w:rsidRPr="000578FE">
        <w:rPr>
          <w:rFonts w:ascii="Times New Roman" w:hAnsi="Times New Roman" w:cs="Times New Roman"/>
          <w:sz w:val="24"/>
          <w:szCs w:val="24"/>
        </w:rPr>
        <w:t xml:space="preserve">Tabuľka č. 8: </w:t>
      </w:r>
      <w:r w:rsidR="008A64AA">
        <w:rPr>
          <w:rFonts w:ascii="Times New Roman" w:hAnsi="Times New Roman" w:cs="Times New Roman"/>
          <w:sz w:val="24"/>
          <w:szCs w:val="24"/>
        </w:rPr>
        <w:t>Predpokladané potrebné finan</w:t>
      </w:r>
      <w:r w:rsidR="00E670AA">
        <w:rPr>
          <w:rFonts w:ascii="Times New Roman" w:hAnsi="Times New Roman" w:cs="Times New Roman"/>
          <w:sz w:val="24"/>
          <w:szCs w:val="24"/>
        </w:rPr>
        <w:t>čn</w:t>
      </w:r>
      <w:r w:rsidR="0072665B">
        <w:rPr>
          <w:rFonts w:ascii="Times New Roman" w:hAnsi="Times New Roman" w:cs="Times New Roman"/>
          <w:sz w:val="24"/>
          <w:szCs w:val="24"/>
        </w:rPr>
        <w:t>é</w:t>
      </w:r>
      <w:r w:rsidR="00E670AA">
        <w:rPr>
          <w:rFonts w:ascii="Times New Roman" w:hAnsi="Times New Roman" w:cs="Times New Roman"/>
          <w:sz w:val="24"/>
          <w:szCs w:val="24"/>
        </w:rPr>
        <w:t xml:space="preserve"> zdroj</w:t>
      </w:r>
      <w:r w:rsidR="0072665B">
        <w:rPr>
          <w:rFonts w:ascii="Times New Roman" w:hAnsi="Times New Roman" w:cs="Times New Roman"/>
          <w:sz w:val="24"/>
          <w:szCs w:val="24"/>
        </w:rPr>
        <w:t>e</w:t>
      </w:r>
      <w:r w:rsidR="00E670AA">
        <w:rPr>
          <w:rFonts w:ascii="Times New Roman" w:hAnsi="Times New Roman" w:cs="Times New Roman"/>
          <w:sz w:val="24"/>
          <w:szCs w:val="24"/>
        </w:rPr>
        <w:t xml:space="preserve"> </w:t>
      </w:r>
      <w:r w:rsidRPr="000578FE">
        <w:rPr>
          <w:rFonts w:ascii="Times New Roman" w:hAnsi="Times New Roman" w:cs="Times New Roman"/>
          <w:sz w:val="24"/>
          <w:szCs w:val="24"/>
        </w:rPr>
        <w:t xml:space="preserve">na dosiahnutie </w:t>
      </w:r>
      <w:r w:rsidR="008A64AA">
        <w:rPr>
          <w:rFonts w:ascii="Times New Roman" w:hAnsi="Times New Roman" w:cs="Times New Roman"/>
          <w:sz w:val="24"/>
          <w:szCs w:val="24"/>
        </w:rPr>
        <w:t xml:space="preserve">plánovaných </w:t>
      </w:r>
      <w:r w:rsidRPr="000578FE">
        <w:rPr>
          <w:rFonts w:ascii="Times New Roman" w:hAnsi="Times New Roman" w:cs="Times New Roman"/>
          <w:sz w:val="24"/>
          <w:szCs w:val="24"/>
        </w:rPr>
        <w:t>úspor energie v jednotlivých sektoroch na roky 2017 – 2019 s výhľadom do roku 2020</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45"/>
        <w:gridCol w:w="1246"/>
        <w:gridCol w:w="1247"/>
        <w:gridCol w:w="1246"/>
        <w:gridCol w:w="1247"/>
        <w:gridCol w:w="1246"/>
        <w:gridCol w:w="1249"/>
      </w:tblGrid>
      <w:tr w:rsidR="004215C0" w:rsidRPr="00BD7EC2" w14:paraId="6747C431" w14:textId="77777777" w:rsidTr="000578FE">
        <w:trPr>
          <w:trHeight w:val="836"/>
        </w:trPr>
        <w:tc>
          <w:tcPr>
            <w:tcW w:w="856" w:type="pct"/>
            <w:vMerge w:val="restart"/>
            <w:tcBorders>
              <w:top w:val="single" w:sz="18" w:space="0" w:color="auto"/>
              <w:bottom w:val="single" w:sz="6" w:space="0" w:color="auto"/>
            </w:tcBorders>
            <w:shd w:val="clear" w:color="auto" w:fill="F2F2F2" w:themeFill="background1" w:themeFillShade="F2"/>
            <w:noWrap/>
            <w:vAlign w:val="center"/>
            <w:hideMark/>
          </w:tcPr>
          <w:p w14:paraId="4DF5A21E" w14:textId="6C92B4FF" w:rsidR="004215C0" w:rsidRPr="00BD7EC2" w:rsidRDefault="004215C0" w:rsidP="00283209">
            <w:pPr>
              <w:spacing w:after="0" w:line="240" w:lineRule="auto"/>
              <w:jc w:val="center"/>
              <w:rPr>
                <w:rFonts w:ascii="Times New Roman" w:eastAsia="Times New Roman" w:hAnsi="Times New Roman" w:cs="Times New Roman"/>
                <w:b/>
                <w:bCs/>
                <w:color w:val="000000"/>
                <w:lang w:eastAsia="sk-SK"/>
              </w:rPr>
            </w:pPr>
            <w:r w:rsidRPr="00BD7EC2">
              <w:rPr>
                <w:rFonts w:ascii="Times New Roman" w:eastAsia="Times New Roman" w:hAnsi="Times New Roman" w:cs="Times New Roman"/>
                <w:b/>
                <w:bCs/>
                <w:color w:val="000000"/>
                <w:lang w:eastAsia="sk-SK"/>
              </w:rPr>
              <w:t>Sektor:</w:t>
            </w:r>
          </w:p>
        </w:tc>
        <w:tc>
          <w:tcPr>
            <w:tcW w:w="4144" w:type="pct"/>
            <w:gridSpan w:val="6"/>
            <w:tcBorders>
              <w:top w:val="single" w:sz="18" w:space="0" w:color="auto"/>
              <w:bottom w:val="single" w:sz="6" w:space="0" w:color="auto"/>
            </w:tcBorders>
            <w:shd w:val="clear" w:color="auto" w:fill="F2F2F2" w:themeFill="background1" w:themeFillShade="F2"/>
            <w:noWrap/>
            <w:vAlign w:val="center"/>
          </w:tcPr>
          <w:p w14:paraId="453FBC22" w14:textId="3BD645D0" w:rsidR="004215C0" w:rsidRPr="00BD7EC2" w:rsidRDefault="004215C0" w:rsidP="000578FE">
            <w:pPr>
              <w:spacing w:after="0" w:line="240" w:lineRule="auto"/>
              <w:rPr>
                <w:rFonts w:ascii="Times New Roman" w:eastAsia="Times New Roman" w:hAnsi="Times New Roman" w:cs="Times New Roman"/>
                <w:b/>
                <w:bCs/>
                <w:color w:val="000000"/>
                <w:lang w:eastAsia="sk-SK"/>
              </w:rPr>
            </w:pPr>
          </w:p>
          <w:p w14:paraId="14012242" w14:textId="612110EA" w:rsidR="00E670AA" w:rsidRDefault="004215C0" w:rsidP="00283209">
            <w:pPr>
              <w:spacing w:after="0" w:line="240" w:lineRule="auto"/>
              <w:jc w:val="center"/>
              <w:rPr>
                <w:rFonts w:ascii="Times New Roman" w:eastAsia="Times New Roman" w:hAnsi="Times New Roman" w:cs="Times New Roman"/>
                <w:b/>
                <w:bCs/>
                <w:color w:val="000000"/>
                <w:lang w:eastAsia="sk-SK"/>
              </w:rPr>
            </w:pPr>
            <w:r w:rsidRPr="00BD7EC2">
              <w:rPr>
                <w:rFonts w:ascii="Times New Roman" w:eastAsia="Times New Roman" w:hAnsi="Times New Roman" w:cs="Times New Roman"/>
                <w:b/>
                <w:bCs/>
                <w:color w:val="000000"/>
                <w:lang w:eastAsia="sk-SK"/>
              </w:rPr>
              <w:t>Celkové</w:t>
            </w:r>
            <w:r w:rsidR="002706C2">
              <w:rPr>
                <w:rFonts w:ascii="Times New Roman" w:eastAsia="Times New Roman" w:hAnsi="Times New Roman" w:cs="Times New Roman"/>
                <w:b/>
                <w:bCs/>
                <w:color w:val="000000"/>
                <w:lang w:eastAsia="sk-SK"/>
              </w:rPr>
              <w:t xml:space="preserve"> predpokladané</w:t>
            </w:r>
            <w:r w:rsidRPr="00BD7EC2">
              <w:rPr>
                <w:rFonts w:ascii="Times New Roman" w:eastAsia="Times New Roman" w:hAnsi="Times New Roman" w:cs="Times New Roman"/>
                <w:b/>
                <w:bCs/>
                <w:color w:val="000000"/>
                <w:lang w:eastAsia="sk-SK"/>
              </w:rPr>
              <w:t xml:space="preserve"> finan</w:t>
            </w:r>
            <w:r w:rsidR="00E670AA">
              <w:rPr>
                <w:rFonts w:ascii="Times New Roman" w:eastAsia="Times New Roman" w:hAnsi="Times New Roman" w:cs="Times New Roman"/>
                <w:b/>
                <w:bCs/>
                <w:color w:val="000000"/>
                <w:lang w:eastAsia="sk-SK"/>
              </w:rPr>
              <w:t xml:space="preserve">čné zdroje </w:t>
            </w:r>
          </w:p>
          <w:p w14:paraId="000552D7" w14:textId="5CCBDD99" w:rsidR="004215C0" w:rsidRPr="00BD7EC2" w:rsidRDefault="00E670AA" w:rsidP="00283209">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(tis. Eur)</w:t>
            </w:r>
          </w:p>
        </w:tc>
      </w:tr>
      <w:tr w:rsidR="00E670AA" w:rsidRPr="00BD7EC2" w14:paraId="786A727D" w14:textId="77777777" w:rsidTr="004E746F">
        <w:trPr>
          <w:trHeight w:val="381"/>
        </w:trPr>
        <w:tc>
          <w:tcPr>
            <w:tcW w:w="856" w:type="pct"/>
            <w:vMerge/>
            <w:tcBorders>
              <w:top w:val="single" w:sz="18" w:space="0" w:color="auto"/>
              <w:bottom w:val="single" w:sz="6" w:space="0" w:color="auto"/>
            </w:tcBorders>
            <w:shd w:val="clear" w:color="auto" w:fill="F2F2F2" w:themeFill="background1" w:themeFillShade="F2"/>
            <w:noWrap/>
            <w:vAlign w:val="center"/>
          </w:tcPr>
          <w:p w14:paraId="6B3D6E2D" w14:textId="77777777" w:rsidR="00E670AA" w:rsidRPr="00BD7EC2" w:rsidRDefault="00E670AA" w:rsidP="004215C0">
            <w:pPr>
              <w:spacing w:after="0" w:line="240" w:lineRule="auto"/>
              <w:jc w:val="center"/>
              <w:rPr>
                <w:rFonts w:ascii="Times New Roman" w:eastAsia="Times New Roman" w:hAnsi="Times New Roman" w:cs="Times New Roman"/>
                <w:b/>
                <w:bCs/>
                <w:color w:val="000000"/>
                <w:lang w:eastAsia="sk-SK"/>
              </w:rPr>
            </w:pPr>
          </w:p>
        </w:tc>
        <w:tc>
          <w:tcPr>
            <w:tcW w:w="690" w:type="pct"/>
            <w:tcBorders>
              <w:top w:val="single" w:sz="18" w:space="0" w:color="auto"/>
            </w:tcBorders>
            <w:shd w:val="clear" w:color="auto" w:fill="F2F2F2" w:themeFill="background1" w:themeFillShade="F2"/>
            <w:noWrap/>
            <w:vAlign w:val="center"/>
          </w:tcPr>
          <w:p w14:paraId="2EB8A125" w14:textId="39440CE3" w:rsidR="00E670AA" w:rsidRPr="00BD7EC2" w:rsidRDefault="00E670AA" w:rsidP="00D555FE">
            <w:pPr>
              <w:spacing w:after="0" w:line="240" w:lineRule="auto"/>
              <w:jc w:val="center"/>
              <w:rPr>
                <w:rFonts w:ascii="Times New Roman" w:eastAsia="Times New Roman" w:hAnsi="Times New Roman" w:cs="Times New Roman"/>
                <w:b/>
                <w:bCs/>
                <w:color w:val="000000"/>
                <w:lang w:eastAsia="sk-SK"/>
              </w:rPr>
            </w:pPr>
            <w:r w:rsidRPr="00BD7EC2">
              <w:rPr>
                <w:rFonts w:ascii="Times New Roman" w:eastAsia="Times New Roman" w:hAnsi="Times New Roman" w:cs="Times New Roman"/>
                <w:b/>
                <w:bCs/>
                <w:color w:val="000000"/>
                <w:lang w:eastAsia="sk-SK"/>
              </w:rPr>
              <w:t>2017</w:t>
            </w:r>
          </w:p>
        </w:tc>
        <w:tc>
          <w:tcPr>
            <w:tcW w:w="691" w:type="pct"/>
            <w:tcBorders>
              <w:top w:val="single" w:sz="18" w:space="0" w:color="auto"/>
            </w:tcBorders>
            <w:shd w:val="clear" w:color="auto" w:fill="F2F2F2" w:themeFill="background1" w:themeFillShade="F2"/>
            <w:noWrap/>
            <w:vAlign w:val="center"/>
          </w:tcPr>
          <w:p w14:paraId="7C0AD863" w14:textId="144BD751" w:rsidR="00E670AA" w:rsidRPr="00BD7EC2" w:rsidRDefault="00E670AA" w:rsidP="00D555FE">
            <w:pPr>
              <w:spacing w:after="0" w:line="240" w:lineRule="auto"/>
              <w:jc w:val="center"/>
              <w:rPr>
                <w:rFonts w:ascii="Times New Roman" w:eastAsia="Times New Roman" w:hAnsi="Times New Roman" w:cs="Times New Roman"/>
                <w:b/>
                <w:bCs/>
                <w:color w:val="000000"/>
                <w:lang w:eastAsia="sk-SK"/>
              </w:rPr>
            </w:pPr>
            <w:r w:rsidRPr="00BD7EC2">
              <w:rPr>
                <w:rFonts w:ascii="Times New Roman" w:eastAsia="Times New Roman" w:hAnsi="Times New Roman" w:cs="Times New Roman"/>
                <w:b/>
                <w:bCs/>
                <w:color w:val="000000"/>
                <w:lang w:eastAsia="sk-SK"/>
              </w:rPr>
              <w:t>2018</w:t>
            </w:r>
          </w:p>
        </w:tc>
        <w:tc>
          <w:tcPr>
            <w:tcW w:w="690" w:type="pct"/>
            <w:tcBorders>
              <w:top w:val="single" w:sz="18" w:space="0" w:color="auto"/>
            </w:tcBorders>
            <w:shd w:val="clear" w:color="auto" w:fill="F2F2F2" w:themeFill="background1" w:themeFillShade="F2"/>
            <w:noWrap/>
            <w:vAlign w:val="center"/>
          </w:tcPr>
          <w:p w14:paraId="471C46E6" w14:textId="7B0EDEC5" w:rsidR="00E670AA" w:rsidRPr="00BD7EC2" w:rsidRDefault="00E670AA" w:rsidP="00D555FE">
            <w:pPr>
              <w:spacing w:after="0" w:line="240" w:lineRule="auto"/>
              <w:jc w:val="center"/>
              <w:rPr>
                <w:rFonts w:ascii="Times New Roman" w:eastAsia="Times New Roman" w:hAnsi="Times New Roman" w:cs="Times New Roman"/>
                <w:b/>
                <w:bCs/>
                <w:color w:val="000000"/>
                <w:lang w:eastAsia="sk-SK"/>
              </w:rPr>
            </w:pPr>
            <w:r w:rsidRPr="00BD7EC2">
              <w:rPr>
                <w:rFonts w:ascii="Times New Roman" w:eastAsia="Times New Roman" w:hAnsi="Times New Roman" w:cs="Times New Roman"/>
                <w:b/>
                <w:bCs/>
                <w:color w:val="000000"/>
                <w:lang w:eastAsia="sk-SK"/>
              </w:rPr>
              <w:t>2019</w:t>
            </w:r>
          </w:p>
        </w:tc>
        <w:tc>
          <w:tcPr>
            <w:tcW w:w="691" w:type="pct"/>
            <w:tcBorders>
              <w:top w:val="single" w:sz="18" w:space="0" w:color="auto"/>
            </w:tcBorders>
            <w:shd w:val="clear" w:color="auto" w:fill="F2F2F2" w:themeFill="background1" w:themeFillShade="F2"/>
            <w:noWrap/>
            <w:vAlign w:val="center"/>
          </w:tcPr>
          <w:p w14:paraId="22D8C5FD" w14:textId="00CDDA45" w:rsidR="00E670AA" w:rsidRPr="00BD7EC2" w:rsidRDefault="00E670AA" w:rsidP="00D555FE">
            <w:pPr>
              <w:spacing w:after="0" w:line="240" w:lineRule="auto"/>
              <w:jc w:val="center"/>
              <w:rPr>
                <w:rFonts w:ascii="Times New Roman" w:eastAsia="Times New Roman" w:hAnsi="Times New Roman" w:cs="Times New Roman"/>
                <w:b/>
                <w:bCs/>
                <w:color w:val="000000"/>
                <w:lang w:eastAsia="sk-SK"/>
              </w:rPr>
            </w:pPr>
            <w:r w:rsidRPr="00BD7EC2">
              <w:rPr>
                <w:rFonts w:ascii="Times New Roman" w:eastAsia="Times New Roman" w:hAnsi="Times New Roman" w:cs="Times New Roman"/>
                <w:b/>
                <w:bCs/>
                <w:color w:val="000000"/>
                <w:lang w:eastAsia="sk-SK"/>
              </w:rPr>
              <w:t>2020</w:t>
            </w:r>
          </w:p>
        </w:tc>
        <w:tc>
          <w:tcPr>
            <w:tcW w:w="690" w:type="pct"/>
            <w:tcBorders>
              <w:top w:val="single" w:sz="18" w:space="0" w:color="auto"/>
            </w:tcBorders>
            <w:shd w:val="clear" w:color="auto" w:fill="F2F2F2" w:themeFill="background1" w:themeFillShade="F2"/>
            <w:noWrap/>
            <w:vAlign w:val="center"/>
          </w:tcPr>
          <w:p w14:paraId="71304BFB" w14:textId="1FBF4FF9" w:rsidR="00E670AA" w:rsidRPr="00BD7EC2" w:rsidRDefault="00E670AA" w:rsidP="00D555FE">
            <w:pPr>
              <w:spacing w:after="0" w:line="240" w:lineRule="auto"/>
              <w:jc w:val="center"/>
              <w:rPr>
                <w:rFonts w:ascii="Times New Roman" w:eastAsia="Times New Roman" w:hAnsi="Times New Roman" w:cs="Times New Roman"/>
                <w:b/>
                <w:bCs/>
                <w:color w:val="000000"/>
                <w:lang w:eastAsia="sk-SK"/>
              </w:rPr>
            </w:pPr>
            <w:r w:rsidRPr="00BD7EC2">
              <w:rPr>
                <w:rFonts w:ascii="Times New Roman" w:eastAsia="Times New Roman" w:hAnsi="Times New Roman" w:cs="Times New Roman"/>
                <w:b/>
                <w:bCs/>
                <w:color w:val="000000"/>
                <w:lang w:eastAsia="sk-SK"/>
              </w:rPr>
              <w:t>2017-2019</w:t>
            </w:r>
          </w:p>
        </w:tc>
        <w:tc>
          <w:tcPr>
            <w:tcW w:w="692" w:type="pct"/>
            <w:tcBorders>
              <w:top w:val="single" w:sz="18" w:space="0" w:color="auto"/>
            </w:tcBorders>
            <w:shd w:val="clear" w:color="auto" w:fill="F2F2F2" w:themeFill="background1" w:themeFillShade="F2"/>
            <w:noWrap/>
            <w:vAlign w:val="center"/>
          </w:tcPr>
          <w:p w14:paraId="64DFCA8D" w14:textId="0701E1B8" w:rsidR="00E670AA" w:rsidRPr="00BD7EC2" w:rsidRDefault="00E670AA" w:rsidP="00D555FE">
            <w:pPr>
              <w:spacing w:after="0" w:line="240" w:lineRule="auto"/>
              <w:jc w:val="center"/>
              <w:rPr>
                <w:rFonts w:ascii="Times New Roman" w:eastAsia="Times New Roman" w:hAnsi="Times New Roman" w:cs="Times New Roman"/>
                <w:b/>
                <w:bCs/>
                <w:color w:val="000000"/>
                <w:lang w:eastAsia="sk-SK"/>
              </w:rPr>
            </w:pPr>
            <w:r w:rsidRPr="00BD7EC2">
              <w:rPr>
                <w:rFonts w:ascii="Times New Roman" w:eastAsia="Times New Roman" w:hAnsi="Times New Roman" w:cs="Times New Roman"/>
                <w:b/>
                <w:bCs/>
                <w:color w:val="000000"/>
                <w:lang w:eastAsia="sk-SK"/>
              </w:rPr>
              <w:t>2017-2020</w:t>
            </w:r>
          </w:p>
        </w:tc>
      </w:tr>
      <w:tr w:rsidR="006145C9" w:rsidRPr="00BD7EC2" w14:paraId="616789B1" w14:textId="77777777" w:rsidTr="00AF5415">
        <w:trPr>
          <w:trHeight w:val="288"/>
        </w:trPr>
        <w:tc>
          <w:tcPr>
            <w:tcW w:w="856" w:type="pct"/>
            <w:tcBorders>
              <w:top w:val="single" w:sz="18" w:space="0" w:color="auto"/>
              <w:bottom w:val="single" w:sz="6" w:space="0" w:color="auto"/>
            </w:tcBorders>
            <w:shd w:val="clear" w:color="auto" w:fill="auto"/>
            <w:noWrap/>
            <w:vAlign w:val="center"/>
            <w:hideMark/>
          </w:tcPr>
          <w:p w14:paraId="79200688" w14:textId="77777777" w:rsidR="006145C9" w:rsidRPr="00BD7EC2" w:rsidRDefault="006145C9" w:rsidP="006145C9">
            <w:pPr>
              <w:spacing w:after="0" w:line="240" w:lineRule="auto"/>
              <w:rPr>
                <w:rFonts w:ascii="Times New Roman" w:eastAsia="Times New Roman" w:hAnsi="Times New Roman" w:cs="Times New Roman"/>
                <w:color w:val="000000"/>
                <w:lang w:eastAsia="sk-SK"/>
              </w:rPr>
            </w:pPr>
            <w:r w:rsidRPr="00BD7EC2">
              <w:rPr>
                <w:rFonts w:ascii="Times New Roman" w:eastAsia="Times New Roman" w:hAnsi="Times New Roman" w:cs="Times New Roman"/>
                <w:color w:val="000000"/>
                <w:lang w:eastAsia="sk-SK"/>
              </w:rPr>
              <w:t>Budovy</w:t>
            </w:r>
          </w:p>
        </w:tc>
        <w:tc>
          <w:tcPr>
            <w:tcW w:w="690" w:type="pct"/>
            <w:tcBorders>
              <w:top w:val="single" w:sz="18" w:space="0" w:color="auto"/>
              <w:bottom w:val="single" w:sz="6" w:space="0" w:color="auto"/>
            </w:tcBorders>
            <w:shd w:val="clear" w:color="auto" w:fill="auto"/>
            <w:noWrap/>
            <w:vAlign w:val="center"/>
            <w:hideMark/>
          </w:tcPr>
          <w:p w14:paraId="5CA78D49" w14:textId="109BEB56"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477 897</w:t>
            </w:r>
          </w:p>
        </w:tc>
        <w:tc>
          <w:tcPr>
            <w:tcW w:w="691" w:type="pct"/>
            <w:tcBorders>
              <w:top w:val="single" w:sz="18" w:space="0" w:color="auto"/>
              <w:bottom w:val="single" w:sz="6" w:space="0" w:color="auto"/>
            </w:tcBorders>
            <w:shd w:val="clear" w:color="auto" w:fill="auto"/>
            <w:noWrap/>
            <w:vAlign w:val="center"/>
            <w:hideMark/>
          </w:tcPr>
          <w:p w14:paraId="22E4095B" w14:textId="33FF7903"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524 749</w:t>
            </w:r>
          </w:p>
        </w:tc>
        <w:tc>
          <w:tcPr>
            <w:tcW w:w="690" w:type="pct"/>
            <w:tcBorders>
              <w:top w:val="single" w:sz="18" w:space="0" w:color="auto"/>
              <w:bottom w:val="single" w:sz="6" w:space="0" w:color="auto"/>
            </w:tcBorders>
            <w:shd w:val="clear" w:color="auto" w:fill="auto"/>
            <w:noWrap/>
            <w:vAlign w:val="center"/>
            <w:hideMark/>
          </w:tcPr>
          <w:p w14:paraId="2147A7C0" w14:textId="26F73CC0"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498 569</w:t>
            </w:r>
          </w:p>
        </w:tc>
        <w:tc>
          <w:tcPr>
            <w:tcW w:w="691" w:type="pct"/>
            <w:tcBorders>
              <w:top w:val="single" w:sz="18" w:space="0" w:color="auto"/>
              <w:bottom w:val="single" w:sz="6" w:space="0" w:color="auto"/>
            </w:tcBorders>
            <w:shd w:val="clear" w:color="auto" w:fill="auto"/>
            <w:noWrap/>
            <w:vAlign w:val="center"/>
            <w:hideMark/>
          </w:tcPr>
          <w:p w14:paraId="54FB335C" w14:textId="2167A8DD"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513 085</w:t>
            </w:r>
          </w:p>
        </w:tc>
        <w:tc>
          <w:tcPr>
            <w:tcW w:w="690" w:type="pct"/>
            <w:tcBorders>
              <w:top w:val="single" w:sz="18" w:space="0" w:color="auto"/>
              <w:bottom w:val="single" w:sz="6" w:space="0" w:color="auto"/>
            </w:tcBorders>
            <w:shd w:val="clear" w:color="auto" w:fill="auto"/>
            <w:noWrap/>
            <w:vAlign w:val="center"/>
            <w:hideMark/>
          </w:tcPr>
          <w:p w14:paraId="43EE3C9E" w14:textId="3C2C72AF"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1 501 215</w:t>
            </w:r>
          </w:p>
        </w:tc>
        <w:tc>
          <w:tcPr>
            <w:tcW w:w="692" w:type="pct"/>
            <w:tcBorders>
              <w:top w:val="single" w:sz="18" w:space="0" w:color="auto"/>
              <w:bottom w:val="single" w:sz="6" w:space="0" w:color="auto"/>
            </w:tcBorders>
            <w:shd w:val="clear" w:color="auto" w:fill="auto"/>
            <w:noWrap/>
            <w:vAlign w:val="center"/>
            <w:hideMark/>
          </w:tcPr>
          <w:p w14:paraId="25985E54" w14:textId="1038849C"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2 014 300</w:t>
            </w:r>
          </w:p>
        </w:tc>
      </w:tr>
      <w:tr w:rsidR="006145C9" w:rsidRPr="00BD7EC2" w14:paraId="2F8A12F9" w14:textId="77777777" w:rsidTr="00AF5415">
        <w:trPr>
          <w:trHeight w:val="288"/>
        </w:trPr>
        <w:tc>
          <w:tcPr>
            <w:tcW w:w="856" w:type="pct"/>
            <w:tcBorders>
              <w:top w:val="single" w:sz="6" w:space="0" w:color="auto"/>
              <w:bottom w:val="single" w:sz="6" w:space="0" w:color="auto"/>
            </w:tcBorders>
            <w:shd w:val="clear" w:color="auto" w:fill="auto"/>
            <w:noWrap/>
            <w:vAlign w:val="center"/>
            <w:hideMark/>
          </w:tcPr>
          <w:p w14:paraId="5C1A2896" w14:textId="77777777" w:rsidR="006145C9" w:rsidRPr="00BD7EC2" w:rsidRDefault="006145C9" w:rsidP="006145C9">
            <w:pPr>
              <w:spacing w:after="0" w:line="240" w:lineRule="auto"/>
              <w:rPr>
                <w:rFonts w:ascii="Times New Roman" w:eastAsia="Times New Roman" w:hAnsi="Times New Roman" w:cs="Times New Roman"/>
                <w:color w:val="000000"/>
                <w:lang w:eastAsia="sk-SK"/>
              </w:rPr>
            </w:pPr>
            <w:r w:rsidRPr="00BD7EC2">
              <w:rPr>
                <w:rFonts w:ascii="Times New Roman" w:eastAsia="Times New Roman" w:hAnsi="Times New Roman" w:cs="Times New Roman"/>
                <w:color w:val="000000"/>
                <w:lang w:eastAsia="sk-SK"/>
              </w:rPr>
              <w:t>Priemysel</w:t>
            </w:r>
          </w:p>
        </w:tc>
        <w:tc>
          <w:tcPr>
            <w:tcW w:w="690" w:type="pct"/>
            <w:tcBorders>
              <w:top w:val="single" w:sz="6" w:space="0" w:color="auto"/>
              <w:bottom w:val="single" w:sz="6" w:space="0" w:color="auto"/>
            </w:tcBorders>
            <w:shd w:val="clear" w:color="auto" w:fill="auto"/>
            <w:noWrap/>
            <w:vAlign w:val="center"/>
            <w:hideMark/>
          </w:tcPr>
          <w:p w14:paraId="7293E1CC" w14:textId="63441C3A"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210 287</w:t>
            </w:r>
          </w:p>
        </w:tc>
        <w:tc>
          <w:tcPr>
            <w:tcW w:w="691" w:type="pct"/>
            <w:tcBorders>
              <w:top w:val="single" w:sz="6" w:space="0" w:color="auto"/>
              <w:bottom w:val="single" w:sz="6" w:space="0" w:color="auto"/>
            </w:tcBorders>
            <w:shd w:val="clear" w:color="auto" w:fill="auto"/>
            <w:noWrap/>
            <w:vAlign w:val="center"/>
            <w:hideMark/>
          </w:tcPr>
          <w:p w14:paraId="2E4A511D" w14:textId="46FBC8D1"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413 383</w:t>
            </w:r>
          </w:p>
        </w:tc>
        <w:tc>
          <w:tcPr>
            <w:tcW w:w="690" w:type="pct"/>
            <w:tcBorders>
              <w:top w:val="single" w:sz="6" w:space="0" w:color="auto"/>
              <w:bottom w:val="single" w:sz="6" w:space="0" w:color="auto"/>
            </w:tcBorders>
            <w:shd w:val="clear" w:color="auto" w:fill="auto"/>
            <w:noWrap/>
            <w:vAlign w:val="center"/>
            <w:hideMark/>
          </w:tcPr>
          <w:p w14:paraId="74167EB4" w14:textId="4453DB68"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323 026</w:t>
            </w:r>
          </w:p>
        </w:tc>
        <w:tc>
          <w:tcPr>
            <w:tcW w:w="691" w:type="pct"/>
            <w:tcBorders>
              <w:top w:val="single" w:sz="6" w:space="0" w:color="auto"/>
              <w:bottom w:val="single" w:sz="6" w:space="0" w:color="auto"/>
            </w:tcBorders>
            <w:shd w:val="clear" w:color="auto" w:fill="auto"/>
            <w:noWrap/>
            <w:vAlign w:val="center"/>
            <w:hideMark/>
          </w:tcPr>
          <w:p w14:paraId="1E07AFEF" w14:textId="60150AAF"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235 779</w:t>
            </w:r>
          </w:p>
        </w:tc>
        <w:tc>
          <w:tcPr>
            <w:tcW w:w="690" w:type="pct"/>
            <w:tcBorders>
              <w:top w:val="single" w:sz="6" w:space="0" w:color="auto"/>
              <w:bottom w:val="single" w:sz="6" w:space="0" w:color="auto"/>
            </w:tcBorders>
            <w:shd w:val="clear" w:color="auto" w:fill="auto"/>
            <w:noWrap/>
            <w:vAlign w:val="center"/>
            <w:hideMark/>
          </w:tcPr>
          <w:p w14:paraId="27F53712" w14:textId="2247B69D"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946 695</w:t>
            </w:r>
          </w:p>
        </w:tc>
        <w:tc>
          <w:tcPr>
            <w:tcW w:w="692" w:type="pct"/>
            <w:tcBorders>
              <w:top w:val="single" w:sz="6" w:space="0" w:color="auto"/>
              <w:bottom w:val="single" w:sz="6" w:space="0" w:color="auto"/>
            </w:tcBorders>
            <w:shd w:val="clear" w:color="auto" w:fill="auto"/>
            <w:noWrap/>
            <w:vAlign w:val="center"/>
            <w:hideMark/>
          </w:tcPr>
          <w:p w14:paraId="054E7FD0" w14:textId="3435731D"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1 182 474</w:t>
            </w:r>
          </w:p>
        </w:tc>
      </w:tr>
      <w:tr w:rsidR="006145C9" w:rsidRPr="00BD7EC2" w14:paraId="330B5B06" w14:textId="77777777" w:rsidTr="00AF5415">
        <w:trPr>
          <w:trHeight w:val="288"/>
        </w:trPr>
        <w:tc>
          <w:tcPr>
            <w:tcW w:w="856" w:type="pct"/>
            <w:tcBorders>
              <w:top w:val="single" w:sz="6" w:space="0" w:color="auto"/>
              <w:bottom w:val="single" w:sz="6" w:space="0" w:color="auto"/>
            </w:tcBorders>
            <w:shd w:val="clear" w:color="auto" w:fill="auto"/>
            <w:noWrap/>
            <w:vAlign w:val="center"/>
            <w:hideMark/>
          </w:tcPr>
          <w:p w14:paraId="5F06AE13" w14:textId="77777777" w:rsidR="006145C9" w:rsidRPr="00BD7EC2" w:rsidRDefault="006145C9" w:rsidP="006145C9">
            <w:pPr>
              <w:spacing w:after="0" w:line="240" w:lineRule="auto"/>
              <w:rPr>
                <w:rFonts w:ascii="Times New Roman" w:eastAsia="Times New Roman" w:hAnsi="Times New Roman" w:cs="Times New Roman"/>
                <w:color w:val="000000"/>
                <w:lang w:eastAsia="sk-SK"/>
              </w:rPr>
            </w:pPr>
            <w:r w:rsidRPr="00BD7EC2">
              <w:rPr>
                <w:rFonts w:ascii="Times New Roman" w:eastAsia="Times New Roman" w:hAnsi="Times New Roman" w:cs="Times New Roman"/>
                <w:color w:val="000000"/>
                <w:lang w:eastAsia="sk-SK"/>
              </w:rPr>
              <w:t>Verejný sektor</w:t>
            </w:r>
          </w:p>
        </w:tc>
        <w:tc>
          <w:tcPr>
            <w:tcW w:w="690" w:type="pct"/>
            <w:tcBorders>
              <w:top w:val="single" w:sz="6" w:space="0" w:color="auto"/>
              <w:bottom w:val="single" w:sz="6" w:space="0" w:color="auto"/>
            </w:tcBorders>
            <w:shd w:val="clear" w:color="auto" w:fill="auto"/>
            <w:noWrap/>
            <w:vAlign w:val="center"/>
            <w:hideMark/>
          </w:tcPr>
          <w:p w14:paraId="1E510405" w14:textId="018DDD5B"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179 689</w:t>
            </w:r>
          </w:p>
        </w:tc>
        <w:tc>
          <w:tcPr>
            <w:tcW w:w="691" w:type="pct"/>
            <w:tcBorders>
              <w:top w:val="single" w:sz="6" w:space="0" w:color="auto"/>
              <w:bottom w:val="single" w:sz="6" w:space="0" w:color="auto"/>
            </w:tcBorders>
            <w:shd w:val="clear" w:color="auto" w:fill="auto"/>
            <w:noWrap/>
            <w:vAlign w:val="center"/>
            <w:hideMark/>
          </w:tcPr>
          <w:p w14:paraId="2513E39F" w14:textId="3A7199EA"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231 834</w:t>
            </w:r>
          </w:p>
        </w:tc>
        <w:tc>
          <w:tcPr>
            <w:tcW w:w="690" w:type="pct"/>
            <w:tcBorders>
              <w:top w:val="single" w:sz="6" w:space="0" w:color="auto"/>
              <w:bottom w:val="single" w:sz="6" w:space="0" w:color="auto"/>
            </w:tcBorders>
            <w:shd w:val="clear" w:color="auto" w:fill="auto"/>
            <w:noWrap/>
            <w:vAlign w:val="center"/>
            <w:hideMark/>
          </w:tcPr>
          <w:p w14:paraId="07102042" w14:textId="332A8625"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224 624</w:t>
            </w:r>
          </w:p>
        </w:tc>
        <w:tc>
          <w:tcPr>
            <w:tcW w:w="691" w:type="pct"/>
            <w:tcBorders>
              <w:top w:val="single" w:sz="6" w:space="0" w:color="auto"/>
              <w:bottom w:val="single" w:sz="6" w:space="0" w:color="auto"/>
            </w:tcBorders>
            <w:shd w:val="clear" w:color="auto" w:fill="auto"/>
            <w:noWrap/>
            <w:vAlign w:val="center"/>
            <w:hideMark/>
          </w:tcPr>
          <w:p w14:paraId="10B2411F" w14:textId="0168FA1C"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164 375</w:t>
            </w:r>
          </w:p>
        </w:tc>
        <w:tc>
          <w:tcPr>
            <w:tcW w:w="690" w:type="pct"/>
            <w:tcBorders>
              <w:top w:val="single" w:sz="6" w:space="0" w:color="auto"/>
              <w:bottom w:val="single" w:sz="6" w:space="0" w:color="auto"/>
            </w:tcBorders>
            <w:shd w:val="clear" w:color="auto" w:fill="auto"/>
            <w:noWrap/>
            <w:vAlign w:val="center"/>
            <w:hideMark/>
          </w:tcPr>
          <w:p w14:paraId="2178FE22" w14:textId="334FAE48"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636 147</w:t>
            </w:r>
          </w:p>
        </w:tc>
        <w:tc>
          <w:tcPr>
            <w:tcW w:w="692" w:type="pct"/>
            <w:tcBorders>
              <w:top w:val="single" w:sz="6" w:space="0" w:color="auto"/>
              <w:bottom w:val="single" w:sz="6" w:space="0" w:color="auto"/>
            </w:tcBorders>
            <w:shd w:val="clear" w:color="auto" w:fill="auto"/>
            <w:noWrap/>
            <w:vAlign w:val="center"/>
            <w:hideMark/>
          </w:tcPr>
          <w:p w14:paraId="39BA16D9" w14:textId="12DDDD26"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800 522</w:t>
            </w:r>
          </w:p>
        </w:tc>
      </w:tr>
      <w:tr w:rsidR="006145C9" w:rsidRPr="00BD7EC2" w14:paraId="12316D0C" w14:textId="77777777" w:rsidTr="00AF5415">
        <w:trPr>
          <w:trHeight w:val="288"/>
        </w:trPr>
        <w:tc>
          <w:tcPr>
            <w:tcW w:w="856" w:type="pct"/>
            <w:tcBorders>
              <w:top w:val="single" w:sz="6" w:space="0" w:color="auto"/>
              <w:bottom w:val="single" w:sz="6" w:space="0" w:color="auto"/>
            </w:tcBorders>
            <w:shd w:val="clear" w:color="auto" w:fill="auto"/>
            <w:noWrap/>
            <w:vAlign w:val="center"/>
            <w:hideMark/>
          </w:tcPr>
          <w:p w14:paraId="55AFC700" w14:textId="77777777" w:rsidR="006145C9" w:rsidRPr="00BD7EC2" w:rsidRDefault="006145C9" w:rsidP="006145C9">
            <w:pPr>
              <w:spacing w:after="0" w:line="240" w:lineRule="auto"/>
              <w:rPr>
                <w:rFonts w:ascii="Times New Roman" w:eastAsia="Times New Roman" w:hAnsi="Times New Roman" w:cs="Times New Roman"/>
                <w:color w:val="000000"/>
                <w:lang w:eastAsia="sk-SK"/>
              </w:rPr>
            </w:pPr>
            <w:r w:rsidRPr="00BD7EC2">
              <w:rPr>
                <w:rFonts w:ascii="Times New Roman" w:eastAsia="Times New Roman" w:hAnsi="Times New Roman" w:cs="Times New Roman"/>
                <w:color w:val="000000"/>
                <w:lang w:eastAsia="sk-SK"/>
              </w:rPr>
              <w:t xml:space="preserve">Doprava </w:t>
            </w:r>
          </w:p>
        </w:tc>
        <w:tc>
          <w:tcPr>
            <w:tcW w:w="690" w:type="pct"/>
            <w:tcBorders>
              <w:top w:val="single" w:sz="6" w:space="0" w:color="auto"/>
              <w:bottom w:val="single" w:sz="6" w:space="0" w:color="auto"/>
            </w:tcBorders>
            <w:shd w:val="clear" w:color="auto" w:fill="auto"/>
            <w:noWrap/>
            <w:vAlign w:val="center"/>
            <w:hideMark/>
          </w:tcPr>
          <w:p w14:paraId="53723253" w14:textId="6479A360"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195 780</w:t>
            </w:r>
          </w:p>
        </w:tc>
        <w:tc>
          <w:tcPr>
            <w:tcW w:w="691" w:type="pct"/>
            <w:tcBorders>
              <w:top w:val="single" w:sz="6" w:space="0" w:color="auto"/>
              <w:bottom w:val="single" w:sz="6" w:space="0" w:color="auto"/>
            </w:tcBorders>
            <w:shd w:val="clear" w:color="auto" w:fill="auto"/>
            <w:noWrap/>
            <w:vAlign w:val="center"/>
            <w:hideMark/>
          </w:tcPr>
          <w:p w14:paraId="5F01867F" w14:textId="297D94A6"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298 898</w:t>
            </w:r>
          </w:p>
        </w:tc>
        <w:tc>
          <w:tcPr>
            <w:tcW w:w="690" w:type="pct"/>
            <w:tcBorders>
              <w:top w:val="single" w:sz="6" w:space="0" w:color="auto"/>
              <w:bottom w:val="single" w:sz="6" w:space="0" w:color="auto"/>
            </w:tcBorders>
            <w:shd w:val="clear" w:color="auto" w:fill="auto"/>
            <w:noWrap/>
            <w:vAlign w:val="center"/>
            <w:hideMark/>
          </w:tcPr>
          <w:p w14:paraId="5891A900" w14:textId="51BC5C5A"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667 792</w:t>
            </w:r>
          </w:p>
        </w:tc>
        <w:tc>
          <w:tcPr>
            <w:tcW w:w="691" w:type="pct"/>
            <w:tcBorders>
              <w:top w:val="single" w:sz="6" w:space="0" w:color="auto"/>
              <w:bottom w:val="single" w:sz="6" w:space="0" w:color="auto"/>
            </w:tcBorders>
            <w:shd w:val="clear" w:color="auto" w:fill="auto"/>
            <w:noWrap/>
            <w:vAlign w:val="center"/>
            <w:hideMark/>
          </w:tcPr>
          <w:p w14:paraId="670D504C" w14:textId="422FBD70"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521 435</w:t>
            </w:r>
          </w:p>
        </w:tc>
        <w:tc>
          <w:tcPr>
            <w:tcW w:w="690" w:type="pct"/>
            <w:tcBorders>
              <w:top w:val="single" w:sz="6" w:space="0" w:color="auto"/>
              <w:bottom w:val="single" w:sz="6" w:space="0" w:color="auto"/>
            </w:tcBorders>
            <w:shd w:val="clear" w:color="auto" w:fill="auto"/>
            <w:noWrap/>
            <w:vAlign w:val="center"/>
            <w:hideMark/>
          </w:tcPr>
          <w:p w14:paraId="04CE51A6" w14:textId="3C835C3C"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1 162 470</w:t>
            </w:r>
          </w:p>
        </w:tc>
        <w:tc>
          <w:tcPr>
            <w:tcW w:w="692" w:type="pct"/>
            <w:tcBorders>
              <w:top w:val="single" w:sz="6" w:space="0" w:color="auto"/>
              <w:bottom w:val="single" w:sz="6" w:space="0" w:color="auto"/>
            </w:tcBorders>
            <w:shd w:val="clear" w:color="auto" w:fill="auto"/>
            <w:noWrap/>
            <w:vAlign w:val="center"/>
            <w:hideMark/>
          </w:tcPr>
          <w:p w14:paraId="7A1EFF34" w14:textId="16764EE1"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1 683 905</w:t>
            </w:r>
          </w:p>
        </w:tc>
      </w:tr>
      <w:tr w:rsidR="006145C9" w:rsidRPr="00BD7EC2" w14:paraId="3EF6BD7E" w14:textId="77777777" w:rsidTr="00AF5415">
        <w:trPr>
          <w:trHeight w:val="288"/>
        </w:trPr>
        <w:tc>
          <w:tcPr>
            <w:tcW w:w="856" w:type="pct"/>
            <w:tcBorders>
              <w:top w:val="single" w:sz="6" w:space="0" w:color="auto"/>
              <w:bottom w:val="single" w:sz="6" w:space="0" w:color="auto"/>
            </w:tcBorders>
            <w:shd w:val="clear" w:color="auto" w:fill="auto"/>
            <w:noWrap/>
            <w:vAlign w:val="center"/>
            <w:hideMark/>
          </w:tcPr>
          <w:p w14:paraId="0D312248" w14:textId="77777777" w:rsidR="006145C9" w:rsidRPr="00BD7EC2" w:rsidRDefault="006145C9" w:rsidP="006145C9">
            <w:pPr>
              <w:spacing w:after="0" w:line="240" w:lineRule="auto"/>
              <w:rPr>
                <w:rFonts w:ascii="Times New Roman" w:eastAsia="Times New Roman" w:hAnsi="Times New Roman" w:cs="Times New Roman"/>
                <w:color w:val="000000"/>
                <w:lang w:eastAsia="sk-SK"/>
              </w:rPr>
            </w:pPr>
            <w:r w:rsidRPr="00BD7EC2">
              <w:rPr>
                <w:rFonts w:ascii="Times New Roman" w:eastAsia="Times New Roman" w:hAnsi="Times New Roman" w:cs="Times New Roman"/>
                <w:color w:val="000000"/>
                <w:lang w:eastAsia="sk-SK"/>
              </w:rPr>
              <w:t>Spotrebiče</w:t>
            </w:r>
          </w:p>
        </w:tc>
        <w:tc>
          <w:tcPr>
            <w:tcW w:w="690" w:type="pct"/>
            <w:tcBorders>
              <w:top w:val="single" w:sz="6" w:space="0" w:color="auto"/>
              <w:bottom w:val="single" w:sz="6" w:space="0" w:color="auto"/>
            </w:tcBorders>
            <w:shd w:val="clear" w:color="auto" w:fill="auto"/>
            <w:noWrap/>
            <w:vAlign w:val="center"/>
            <w:hideMark/>
          </w:tcPr>
          <w:p w14:paraId="30FCCB1F" w14:textId="53BCC27D"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39 555</w:t>
            </w:r>
          </w:p>
        </w:tc>
        <w:tc>
          <w:tcPr>
            <w:tcW w:w="691" w:type="pct"/>
            <w:tcBorders>
              <w:top w:val="single" w:sz="6" w:space="0" w:color="auto"/>
              <w:bottom w:val="single" w:sz="6" w:space="0" w:color="auto"/>
            </w:tcBorders>
            <w:shd w:val="clear" w:color="auto" w:fill="auto"/>
            <w:noWrap/>
            <w:vAlign w:val="center"/>
            <w:hideMark/>
          </w:tcPr>
          <w:p w14:paraId="6D09291E" w14:textId="0B7E0A75"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39 555</w:t>
            </w:r>
          </w:p>
        </w:tc>
        <w:tc>
          <w:tcPr>
            <w:tcW w:w="690" w:type="pct"/>
            <w:tcBorders>
              <w:top w:val="single" w:sz="6" w:space="0" w:color="auto"/>
              <w:bottom w:val="single" w:sz="6" w:space="0" w:color="auto"/>
            </w:tcBorders>
            <w:shd w:val="clear" w:color="auto" w:fill="auto"/>
            <w:noWrap/>
            <w:vAlign w:val="center"/>
            <w:hideMark/>
          </w:tcPr>
          <w:p w14:paraId="137B6155" w14:textId="7D63E432"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39 555</w:t>
            </w:r>
          </w:p>
        </w:tc>
        <w:tc>
          <w:tcPr>
            <w:tcW w:w="691" w:type="pct"/>
            <w:tcBorders>
              <w:top w:val="single" w:sz="6" w:space="0" w:color="auto"/>
              <w:bottom w:val="single" w:sz="6" w:space="0" w:color="auto"/>
            </w:tcBorders>
            <w:shd w:val="clear" w:color="auto" w:fill="auto"/>
            <w:noWrap/>
            <w:vAlign w:val="center"/>
            <w:hideMark/>
          </w:tcPr>
          <w:p w14:paraId="7F51B00C" w14:textId="7C364D1E"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39 555</w:t>
            </w:r>
          </w:p>
        </w:tc>
        <w:tc>
          <w:tcPr>
            <w:tcW w:w="690" w:type="pct"/>
            <w:tcBorders>
              <w:top w:val="single" w:sz="6" w:space="0" w:color="auto"/>
              <w:bottom w:val="single" w:sz="6" w:space="0" w:color="auto"/>
            </w:tcBorders>
            <w:shd w:val="clear" w:color="auto" w:fill="auto"/>
            <w:noWrap/>
            <w:vAlign w:val="center"/>
            <w:hideMark/>
          </w:tcPr>
          <w:p w14:paraId="7BDBC912" w14:textId="4A397AF3"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118 665</w:t>
            </w:r>
          </w:p>
        </w:tc>
        <w:tc>
          <w:tcPr>
            <w:tcW w:w="692" w:type="pct"/>
            <w:tcBorders>
              <w:top w:val="single" w:sz="6" w:space="0" w:color="auto"/>
              <w:bottom w:val="single" w:sz="6" w:space="0" w:color="auto"/>
            </w:tcBorders>
            <w:shd w:val="clear" w:color="auto" w:fill="auto"/>
            <w:noWrap/>
            <w:vAlign w:val="center"/>
            <w:hideMark/>
          </w:tcPr>
          <w:p w14:paraId="39BDBC8A" w14:textId="1A2E8A48" w:rsidR="006145C9" w:rsidRPr="006145C9" w:rsidRDefault="006145C9">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158 220</w:t>
            </w:r>
          </w:p>
        </w:tc>
      </w:tr>
      <w:tr w:rsidR="006145C9" w:rsidRPr="00BD7EC2" w14:paraId="192030E1" w14:textId="77777777" w:rsidTr="00AF5415">
        <w:trPr>
          <w:trHeight w:val="564"/>
        </w:trPr>
        <w:tc>
          <w:tcPr>
            <w:tcW w:w="856" w:type="pct"/>
            <w:tcBorders>
              <w:top w:val="single" w:sz="6" w:space="0" w:color="auto"/>
              <w:bottom w:val="single" w:sz="18" w:space="0" w:color="auto"/>
            </w:tcBorders>
            <w:shd w:val="clear" w:color="auto" w:fill="auto"/>
            <w:vAlign w:val="center"/>
            <w:hideMark/>
          </w:tcPr>
          <w:p w14:paraId="1AD06FEE" w14:textId="77777777" w:rsidR="006145C9" w:rsidRPr="00BD7EC2" w:rsidRDefault="006145C9" w:rsidP="006145C9">
            <w:pPr>
              <w:spacing w:after="0" w:line="240" w:lineRule="auto"/>
              <w:rPr>
                <w:rFonts w:ascii="Times New Roman" w:eastAsia="Times New Roman" w:hAnsi="Times New Roman" w:cs="Times New Roman"/>
                <w:color w:val="000000"/>
                <w:lang w:eastAsia="sk-SK"/>
              </w:rPr>
            </w:pPr>
            <w:r w:rsidRPr="00BD7EC2">
              <w:rPr>
                <w:rFonts w:ascii="Times New Roman" w:eastAsia="Times New Roman" w:hAnsi="Times New Roman" w:cs="Times New Roman"/>
                <w:color w:val="000000"/>
                <w:lang w:eastAsia="sk-SK"/>
              </w:rPr>
              <w:t xml:space="preserve">Premena, prenos a distribúcia energie </w:t>
            </w:r>
          </w:p>
        </w:tc>
        <w:tc>
          <w:tcPr>
            <w:tcW w:w="690" w:type="pct"/>
            <w:tcBorders>
              <w:top w:val="single" w:sz="6" w:space="0" w:color="auto"/>
              <w:bottom w:val="single" w:sz="18" w:space="0" w:color="auto"/>
            </w:tcBorders>
            <w:shd w:val="clear" w:color="auto" w:fill="auto"/>
            <w:noWrap/>
            <w:vAlign w:val="center"/>
            <w:hideMark/>
          </w:tcPr>
          <w:p w14:paraId="4962B92E" w14:textId="067BA302" w:rsidR="006145C9" w:rsidRPr="006145C9" w:rsidRDefault="006145C9">
            <w:pPr>
              <w:spacing w:after="0" w:line="240" w:lineRule="auto"/>
              <w:jc w:val="right"/>
              <w:rPr>
                <w:rFonts w:ascii="Times New Roman" w:hAnsi="Times New Roman" w:cs="Times New Roman"/>
                <w:color w:val="000000"/>
              </w:rPr>
            </w:pPr>
            <w:r w:rsidRPr="00AF5415">
              <w:rPr>
                <w:rFonts w:ascii="Times New Roman" w:hAnsi="Times New Roman" w:cs="Times New Roman"/>
              </w:rPr>
              <w:t>42 558</w:t>
            </w:r>
          </w:p>
        </w:tc>
        <w:tc>
          <w:tcPr>
            <w:tcW w:w="691" w:type="pct"/>
            <w:tcBorders>
              <w:top w:val="single" w:sz="6" w:space="0" w:color="auto"/>
              <w:bottom w:val="single" w:sz="18" w:space="0" w:color="auto"/>
            </w:tcBorders>
            <w:shd w:val="clear" w:color="auto" w:fill="auto"/>
            <w:noWrap/>
            <w:vAlign w:val="center"/>
            <w:hideMark/>
          </w:tcPr>
          <w:p w14:paraId="6B66EAA2" w14:textId="502935B4" w:rsidR="006145C9" w:rsidRPr="006145C9" w:rsidRDefault="006145C9">
            <w:pPr>
              <w:spacing w:after="0" w:line="240" w:lineRule="auto"/>
              <w:jc w:val="right"/>
              <w:rPr>
                <w:rFonts w:ascii="Times New Roman" w:hAnsi="Times New Roman" w:cs="Times New Roman"/>
                <w:color w:val="000000"/>
              </w:rPr>
            </w:pPr>
            <w:r w:rsidRPr="00AF5415">
              <w:rPr>
                <w:rFonts w:ascii="Times New Roman" w:hAnsi="Times New Roman" w:cs="Times New Roman"/>
              </w:rPr>
              <w:t>97 026</w:t>
            </w:r>
          </w:p>
        </w:tc>
        <w:tc>
          <w:tcPr>
            <w:tcW w:w="690" w:type="pct"/>
            <w:tcBorders>
              <w:top w:val="single" w:sz="6" w:space="0" w:color="auto"/>
              <w:bottom w:val="single" w:sz="18" w:space="0" w:color="auto"/>
            </w:tcBorders>
            <w:shd w:val="clear" w:color="auto" w:fill="auto"/>
            <w:noWrap/>
            <w:vAlign w:val="center"/>
            <w:hideMark/>
          </w:tcPr>
          <w:p w14:paraId="66442948" w14:textId="57FE1A26" w:rsidR="006145C9" w:rsidRPr="006145C9" w:rsidRDefault="006145C9">
            <w:pPr>
              <w:spacing w:after="0" w:line="240" w:lineRule="auto"/>
              <w:jc w:val="right"/>
              <w:rPr>
                <w:rFonts w:ascii="Times New Roman" w:hAnsi="Times New Roman" w:cs="Times New Roman"/>
                <w:color w:val="000000"/>
              </w:rPr>
            </w:pPr>
            <w:r w:rsidRPr="00AF5415">
              <w:rPr>
                <w:rFonts w:ascii="Times New Roman" w:hAnsi="Times New Roman" w:cs="Times New Roman"/>
              </w:rPr>
              <w:t>96 826</w:t>
            </w:r>
          </w:p>
        </w:tc>
        <w:tc>
          <w:tcPr>
            <w:tcW w:w="691" w:type="pct"/>
            <w:tcBorders>
              <w:top w:val="single" w:sz="6" w:space="0" w:color="auto"/>
              <w:bottom w:val="single" w:sz="18" w:space="0" w:color="auto"/>
            </w:tcBorders>
            <w:shd w:val="clear" w:color="auto" w:fill="auto"/>
            <w:noWrap/>
            <w:vAlign w:val="center"/>
            <w:hideMark/>
          </w:tcPr>
          <w:p w14:paraId="5FF0A6AA" w14:textId="4A3E02E3" w:rsidR="006145C9" w:rsidRPr="006145C9" w:rsidRDefault="006145C9">
            <w:pPr>
              <w:spacing w:after="0" w:line="240" w:lineRule="auto"/>
              <w:jc w:val="right"/>
              <w:rPr>
                <w:rFonts w:ascii="Times New Roman" w:hAnsi="Times New Roman" w:cs="Times New Roman"/>
                <w:color w:val="000000"/>
              </w:rPr>
            </w:pPr>
            <w:r w:rsidRPr="00AF5415">
              <w:rPr>
                <w:rFonts w:ascii="Times New Roman" w:hAnsi="Times New Roman" w:cs="Times New Roman"/>
              </w:rPr>
              <w:t>80 298</w:t>
            </w:r>
          </w:p>
        </w:tc>
        <w:tc>
          <w:tcPr>
            <w:tcW w:w="690" w:type="pct"/>
            <w:tcBorders>
              <w:top w:val="single" w:sz="6" w:space="0" w:color="auto"/>
              <w:bottom w:val="single" w:sz="18" w:space="0" w:color="auto"/>
            </w:tcBorders>
            <w:shd w:val="clear" w:color="auto" w:fill="auto"/>
            <w:noWrap/>
            <w:vAlign w:val="center"/>
            <w:hideMark/>
          </w:tcPr>
          <w:p w14:paraId="2E36BD19" w14:textId="4801AB8F" w:rsidR="006145C9" w:rsidRPr="006145C9" w:rsidRDefault="006145C9">
            <w:pPr>
              <w:spacing w:after="0" w:line="240" w:lineRule="auto"/>
              <w:jc w:val="right"/>
              <w:rPr>
                <w:rFonts w:ascii="Times New Roman" w:hAnsi="Times New Roman" w:cs="Times New Roman"/>
                <w:color w:val="000000"/>
              </w:rPr>
            </w:pPr>
            <w:r w:rsidRPr="00AF5415">
              <w:rPr>
                <w:rFonts w:ascii="Times New Roman" w:hAnsi="Times New Roman" w:cs="Times New Roman"/>
              </w:rPr>
              <w:t>236 410</w:t>
            </w:r>
          </w:p>
        </w:tc>
        <w:tc>
          <w:tcPr>
            <w:tcW w:w="692" w:type="pct"/>
            <w:tcBorders>
              <w:top w:val="single" w:sz="6" w:space="0" w:color="auto"/>
              <w:bottom w:val="single" w:sz="18" w:space="0" w:color="auto"/>
            </w:tcBorders>
            <w:shd w:val="clear" w:color="auto" w:fill="auto"/>
            <w:noWrap/>
            <w:vAlign w:val="center"/>
            <w:hideMark/>
          </w:tcPr>
          <w:p w14:paraId="05012CCC" w14:textId="031F78C6" w:rsidR="006145C9" w:rsidRPr="006145C9" w:rsidRDefault="006145C9">
            <w:pPr>
              <w:spacing w:after="0" w:line="240" w:lineRule="auto"/>
              <w:jc w:val="right"/>
              <w:rPr>
                <w:rFonts w:ascii="Times New Roman" w:hAnsi="Times New Roman" w:cs="Times New Roman"/>
                <w:color w:val="000000"/>
              </w:rPr>
            </w:pPr>
            <w:r w:rsidRPr="00AF5415">
              <w:rPr>
                <w:rFonts w:ascii="Times New Roman" w:hAnsi="Times New Roman" w:cs="Times New Roman"/>
              </w:rPr>
              <w:t>316 708</w:t>
            </w:r>
          </w:p>
        </w:tc>
      </w:tr>
      <w:tr w:rsidR="006145C9" w:rsidRPr="00BD7EC2" w14:paraId="23C98D13" w14:textId="77777777" w:rsidTr="00AF5415">
        <w:trPr>
          <w:trHeight w:val="300"/>
        </w:trPr>
        <w:tc>
          <w:tcPr>
            <w:tcW w:w="856" w:type="pct"/>
            <w:tcBorders>
              <w:top w:val="single" w:sz="18" w:space="0" w:color="auto"/>
              <w:left w:val="single" w:sz="18" w:space="0" w:color="auto"/>
              <w:bottom w:val="single" w:sz="18" w:space="0" w:color="auto"/>
            </w:tcBorders>
            <w:shd w:val="clear" w:color="auto" w:fill="auto"/>
            <w:noWrap/>
            <w:vAlign w:val="center"/>
            <w:hideMark/>
          </w:tcPr>
          <w:p w14:paraId="02FFE602" w14:textId="77777777" w:rsidR="006145C9" w:rsidRPr="00BD7EC2" w:rsidRDefault="006145C9" w:rsidP="006145C9">
            <w:pPr>
              <w:spacing w:after="0" w:line="240" w:lineRule="auto"/>
              <w:rPr>
                <w:rFonts w:ascii="Times New Roman" w:eastAsia="Times New Roman" w:hAnsi="Times New Roman" w:cs="Times New Roman"/>
                <w:b/>
                <w:bCs/>
                <w:color w:val="000000"/>
                <w:lang w:eastAsia="sk-SK"/>
              </w:rPr>
            </w:pPr>
            <w:r w:rsidRPr="00BD7EC2">
              <w:rPr>
                <w:rFonts w:ascii="Times New Roman" w:eastAsia="Times New Roman" w:hAnsi="Times New Roman" w:cs="Times New Roman"/>
                <w:b/>
                <w:bCs/>
                <w:color w:val="000000"/>
                <w:lang w:eastAsia="sk-SK"/>
              </w:rPr>
              <w:t>Spolu</w:t>
            </w:r>
          </w:p>
        </w:tc>
        <w:tc>
          <w:tcPr>
            <w:tcW w:w="690" w:type="pct"/>
            <w:tcBorders>
              <w:top w:val="single" w:sz="18" w:space="0" w:color="auto"/>
              <w:bottom w:val="single" w:sz="18" w:space="0" w:color="auto"/>
            </w:tcBorders>
            <w:shd w:val="clear" w:color="auto" w:fill="auto"/>
            <w:noWrap/>
            <w:vAlign w:val="center"/>
            <w:hideMark/>
          </w:tcPr>
          <w:p w14:paraId="2E278C08" w14:textId="69690604" w:rsidR="006145C9" w:rsidRPr="006145C9" w:rsidRDefault="006145C9">
            <w:pPr>
              <w:spacing w:after="0" w:line="240" w:lineRule="auto"/>
              <w:jc w:val="right"/>
              <w:rPr>
                <w:rFonts w:ascii="Times New Roman" w:hAnsi="Times New Roman" w:cs="Times New Roman"/>
                <w:b/>
                <w:color w:val="000000"/>
              </w:rPr>
            </w:pPr>
            <w:r w:rsidRPr="00AF5415">
              <w:rPr>
                <w:rFonts w:ascii="Times New Roman" w:hAnsi="Times New Roman" w:cs="Times New Roman"/>
                <w:b/>
              </w:rPr>
              <w:t>1 145 766</w:t>
            </w:r>
          </w:p>
        </w:tc>
        <w:tc>
          <w:tcPr>
            <w:tcW w:w="691" w:type="pct"/>
            <w:tcBorders>
              <w:top w:val="single" w:sz="18" w:space="0" w:color="auto"/>
              <w:bottom w:val="single" w:sz="18" w:space="0" w:color="auto"/>
            </w:tcBorders>
            <w:shd w:val="clear" w:color="auto" w:fill="auto"/>
            <w:noWrap/>
            <w:vAlign w:val="center"/>
            <w:hideMark/>
          </w:tcPr>
          <w:p w14:paraId="3E33D651" w14:textId="7D18A93C" w:rsidR="006145C9" w:rsidRPr="006145C9" w:rsidRDefault="006145C9">
            <w:pPr>
              <w:spacing w:after="0" w:line="240" w:lineRule="auto"/>
              <w:jc w:val="right"/>
              <w:rPr>
                <w:rFonts w:ascii="Times New Roman" w:hAnsi="Times New Roman" w:cs="Times New Roman"/>
                <w:b/>
                <w:color w:val="000000"/>
              </w:rPr>
            </w:pPr>
            <w:r w:rsidRPr="00AF5415">
              <w:rPr>
                <w:rFonts w:ascii="Times New Roman" w:hAnsi="Times New Roman" w:cs="Times New Roman"/>
                <w:b/>
              </w:rPr>
              <w:t>1 605 444</w:t>
            </w:r>
          </w:p>
        </w:tc>
        <w:tc>
          <w:tcPr>
            <w:tcW w:w="690" w:type="pct"/>
            <w:tcBorders>
              <w:top w:val="single" w:sz="18" w:space="0" w:color="auto"/>
              <w:bottom w:val="single" w:sz="18" w:space="0" w:color="auto"/>
            </w:tcBorders>
            <w:shd w:val="clear" w:color="auto" w:fill="auto"/>
            <w:noWrap/>
            <w:vAlign w:val="center"/>
            <w:hideMark/>
          </w:tcPr>
          <w:p w14:paraId="65B1AFE0" w14:textId="36215537" w:rsidR="006145C9" w:rsidRPr="006145C9" w:rsidRDefault="006145C9">
            <w:pPr>
              <w:spacing w:after="0" w:line="240" w:lineRule="auto"/>
              <w:jc w:val="right"/>
              <w:rPr>
                <w:rFonts w:ascii="Times New Roman" w:hAnsi="Times New Roman" w:cs="Times New Roman"/>
                <w:b/>
                <w:color w:val="000000"/>
              </w:rPr>
            </w:pPr>
            <w:r w:rsidRPr="00AF5415">
              <w:rPr>
                <w:rFonts w:ascii="Times New Roman" w:hAnsi="Times New Roman" w:cs="Times New Roman"/>
                <w:b/>
              </w:rPr>
              <w:t>1 850 391</w:t>
            </w:r>
          </w:p>
        </w:tc>
        <w:tc>
          <w:tcPr>
            <w:tcW w:w="691" w:type="pct"/>
            <w:tcBorders>
              <w:top w:val="single" w:sz="18" w:space="0" w:color="auto"/>
              <w:bottom w:val="single" w:sz="18" w:space="0" w:color="auto"/>
            </w:tcBorders>
            <w:shd w:val="clear" w:color="auto" w:fill="auto"/>
            <w:noWrap/>
            <w:vAlign w:val="center"/>
            <w:hideMark/>
          </w:tcPr>
          <w:p w14:paraId="6CB50508" w14:textId="37CEE08B" w:rsidR="006145C9" w:rsidRPr="006145C9" w:rsidRDefault="006145C9">
            <w:pPr>
              <w:spacing w:after="0" w:line="240" w:lineRule="auto"/>
              <w:jc w:val="right"/>
              <w:rPr>
                <w:rFonts w:ascii="Times New Roman" w:hAnsi="Times New Roman" w:cs="Times New Roman"/>
                <w:b/>
                <w:color w:val="000000"/>
              </w:rPr>
            </w:pPr>
            <w:r w:rsidRPr="00AF5415">
              <w:rPr>
                <w:rFonts w:ascii="Times New Roman" w:hAnsi="Times New Roman" w:cs="Times New Roman"/>
                <w:b/>
              </w:rPr>
              <w:t>1 554 527</w:t>
            </w:r>
          </w:p>
        </w:tc>
        <w:tc>
          <w:tcPr>
            <w:tcW w:w="690" w:type="pct"/>
            <w:tcBorders>
              <w:top w:val="single" w:sz="18" w:space="0" w:color="auto"/>
              <w:bottom w:val="single" w:sz="18" w:space="0" w:color="auto"/>
            </w:tcBorders>
            <w:shd w:val="clear" w:color="auto" w:fill="auto"/>
            <w:noWrap/>
            <w:vAlign w:val="center"/>
            <w:hideMark/>
          </w:tcPr>
          <w:p w14:paraId="778EE9E1" w14:textId="16890BDE" w:rsidR="006145C9" w:rsidRPr="006145C9" w:rsidRDefault="006145C9">
            <w:pPr>
              <w:spacing w:after="0" w:line="240" w:lineRule="auto"/>
              <w:jc w:val="right"/>
              <w:rPr>
                <w:rFonts w:ascii="Times New Roman" w:hAnsi="Times New Roman" w:cs="Times New Roman"/>
                <w:b/>
                <w:color w:val="000000"/>
              </w:rPr>
            </w:pPr>
            <w:r w:rsidRPr="00AF5415">
              <w:rPr>
                <w:rFonts w:ascii="Times New Roman" w:hAnsi="Times New Roman" w:cs="Times New Roman"/>
                <w:b/>
              </w:rPr>
              <w:t>4 601 602</w:t>
            </w:r>
          </w:p>
        </w:tc>
        <w:tc>
          <w:tcPr>
            <w:tcW w:w="692" w:type="pct"/>
            <w:tcBorders>
              <w:top w:val="single" w:sz="18" w:space="0" w:color="auto"/>
              <w:bottom w:val="single" w:sz="18" w:space="0" w:color="auto"/>
              <w:right w:val="single" w:sz="18" w:space="0" w:color="auto"/>
            </w:tcBorders>
            <w:shd w:val="clear" w:color="auto" w:fill="auto"/>
            <w:noWrap/>
            <w:vAlign w:val="center"/>
            <w:hideMark/>
          </w:tcPr>
          <w:p w14:paraId="40AF652F" w14:textId="2298EF2F" w:rsidR="006145C9" w:rsidRPr="006145C9" w:rsidRDefault="006145C9">
            <w:pPr>
              <w:spacing w:after="0" w:line="240" w:lineRule="auto"/>
              <w:jc w:val="right"/>
              <w:rPr>
                <w:rFonts w:ascii="Times New Roman" w:hAnsi="Times New Roman" w:cs="Times New Roman"/>
                <w:b/>
                <w:color w:val="000000"/>
              </w:rPr>
            </w:pPr>
            <w:r w:rsidRPr="00AF5415">
              <w:rPr>
                <w:rFonts w:ascii="Times New Roman" w:hAnsi="Times New Roman" w:cs="Times New Roman"/>
                <w:b/>
              </w:rPr>
              <w:t>6 156 129</w:t>
            </w:r>
          </w:p>
        </w:tc>
      </w:tr>
    </w:tbl>
    <w:p w14:paraId="3CC9C6B7" w14:textId="70B6CBEE" w:rsidR="00294E6D" w:rsidRPr="009F2998" w:rsidRDefault="00294E6D" w:rsidP="00902157">
      <w:pPr>
        <w:jc w:val="both"/>
        <w:rPr>
          <w:rFonts w:ascii="Times New Roman" w:hAnsi="Times New Roman" w:cs="Times New Roman"/>
        </w:rPr>
      </w:pPr>
    </w:p>
    <w:p w14:paraId="00A7539B" w14:textId="3B329C23" w:rsidR="002B1C61" w:rsidRDefault="00E57BAD" w:rsidP="00902157">
      <w:pPr>
        <w:jc w:val="both"/>
        <w:rPr>
          <w:rFonts w:ascii="Times New Roman" w:hAnsi="Times New Roman" w:cs="Times New Roman"/>
          <w:sz w:val="24"/>
          <w:szCs w:val="24"/>
        </w:rPr>
      </w:pPr>
      <w:r>
        <w:rPr>
          <w:rFonts w:ascii="Times New Roman" w:hAnsi="Times New Roman" w:cs="Times New Roman"/>
          <w:sz w:val="24"/>
          <w:szCs w:val="24"/>
        </w:rPr>
        <w:t>Pri plánovaní opatrení, kde neboli známe predpokladané úspory energie, sa použili priemerné investičné náročnosti za obdobné opatrenia v období rokov 2014-2016</w:t>
      </w:r>
      <w:r w:rsidR="00294E6D" w:rsidRPr="000745A8">
        <w:rPr>
          <w:rFonts w:ascii="Times New Roman" w:hAnsi="Times New Roman" w:cs="Times New Roman"/>
          <w:sz w:val="24"/>
          <w:szCs w:val="24"/>
        </w:rPr>
        <w:t xml:space="preserve"> (</w:t>
      </w:r>
      <w:r w:rsidR="001653AA" w:rsidRPr="000745A8">
        <w:rPr>
          <w:rFonts w:ascii="Times New Roman" w:hAnsi="Times New Roman" w:cs="Times New Roman"/>
          <w:sz w:val="24"/>
          <w:szCs w:val="24"/>
        </w:rPr>
        <w:t>pozri</w:t>
      </w:r>
      <w:r w:rsidR="00294E6D" w:rsidRPr="000745A8">
        <w:rPr>
          <w:rFonts w:ascii="Times New Roman" w:hAnsi="Times New Roman" w:cs="Times New Roman"/>
          <w:sz w:val="24"/>
          <w:szCs w:val="24"/>
        </w:rPr>
        <w:t xml:space="preserve"> </w:t>
      </w:r>
      <w:r w:rsidR="00C97A78" w:rsidRPr="000745A8">
        <w:rPr>
          <w:rFonts w:ascii="Times New Roman" w:hAnsi="Times New Roman" w:cs="Times New Roman"/>
          <w:sz w:val="24"/>
          <w:szCs w:val="24"/>
        </w:rPr>
        <w:t>tab</w:t>
      </w:r>
      <w:r w:rsidR="0051358B">
        <w:rPr>
          <w:rFonts w:ascii="Times New Roman" w:hAnsi="Times New Roman" w:cs="Times New Roman"/>
          <w:sz w:val="24"/>
          <w:szCs w:val="24"/>
        </w:rPr>
        <w:t>uľku č. 9</w:t>
      </w:r>
      <w:r w:rsidR="00294E6D" w:rsidRPr="000745A8">
        <w:rPr>
          <w:rFonts w:ascii="Times New Roman" w:hAnsi="Times New Roman" w:cs="Times New Roman"/>
          <w:sz w:val="24"/>
          <w:szCs w:val="24"/>
        </w:rPr>
        <w:t>). Najnižšiu priemernú investičnú náročnosť vykazuje sektor spotrebičov, najvyššiu priemernú investičnú náročnosť vykazuje sektor dopravy. V</w:t>
      </w:r>
      <w:r w:rsidR="00D31B2D" w:rsidRPr="000745A8">
        <w:rPr>
          <w:rFonts w:ascii="Times New Roman" w:hAnsi="Times New Roman" w:cs="Times New Roman"/>
          <w:sz w:val="24"/>
          <w:szCs w:val="24"/>
        </w:rPr>
        <w:t>ysoká investičná náročnosť</w:t>
      </w:r>
      <w:r w:rsidR="00294E6D" w:rsidRPr="000745A8">
        <w:rPr>
          <w:rFonts w:ascii="Times New Roman" w:hAnsi="Times New Roman" w:cs="Times New Roman"/>
          <w:sz w:val="24"/>
          <w:szCs w:val="24"/>
        </w:rPr>
        <w:t> </w:t>
      </w:r>
      <w:r w:rsidR="00D31B2D" w:rsidRPr="000745A8">
        <w:rPr>
          <w:rFonts w:ascii="Times New Roman" w:hAnsi="Times New Roman" w:cs="Times New Roman"/>
          <w:sz w:val="24"/>
          <w:szCs w:val="24"/>
        </w:rPr>
        <w:t xml:space="preserve">v </w:t>
      </w:r>
      <w:r w:rsidR="00294E6D" w:rsidRPr="000745A8">
        <w:rPr>
          <w:rFonts w:ascii="Times New Roman" w:hAnsi="Times New Roman" w:cs="Times New Roman"/>
          <w:sz w:val="24"/>
          <w:szCs w:val="24"/>
        </w:rPr>
        <w:t xml:space="preserve">sektore dopravy </w:t>
      </w:r>
      <w:r w:rsidR="00D31B2D" w:rsidRPr="000745A8">
        <w:rPr>
          <w:rFonts w:ascii="Times New Roman" w:hAnsi="Times New Roman" w:cs="Times New Roman"/>
          <w:sz w:val="24"/>
          <w:szCs w:val="24"/>
        </w:rPr>
        <w:t xml:space="preserve">je spôsobená vysokými investičnými nákladmi na jednotku ušetrenej energie v opatrení č. 4.2 Budovanie a modernizácia dopravnej infraštruktúry. Uvedené investičné náročnosti predstavujú priemer za všetky opatrenia v danom sektore, medzi ktorými môže existovať značný rozptyl. </w:t>
      </w:r>
    </w:p>
    <w:p w14:paraId="11454EE5" w14:textId="6D202AFB" w:rsidR="0051358B" w:rsidRPr="0051358B" w:rsidRDefault="0051358B" w:rsidP="00902157">
      <w:pPr>
        <w:jc w:val="both"/>
        <w:rPr>
          <w:rFonts w:ascii="Times New Roman" w:hAnsi="Times New Roman" w:cs="Times New Roman"/>
          <w:sz w:val="24"/>
          <w:szCs w:val="24"/>
        </w:rPr>
      </w:pPr>
      <w:r w:rsidRPr="0051358B">
        <w:rPr>
          <w:rFonts w:ascii="Times New Roman" w:hAnsi="Times New Roman" w:cs="Times New Roman"/>
          <w:sz w:val="24"/>
          <w:szCs w:val="24"/>
        </w:rPr>
        <w:lastRenderedPageBreak/>
        <w:t xml:space="preserve">Tabuľka č. 9: </w:t>
      </w:r>
      <w:r w:rsidRPr="000578FE">
        <w:rPr>
          <w:rFonts w:ascii="Times New Roman" w:hAnsi="Times New Roman" w:cs="Times New Roman"/>
          <w:sz w:val="24"/>
          <w:szCs w:val="24"/>
        </w:rPr>
        <w:t>Prehľad priemern</w:t>
      </w:r>
      <w:r w:rsidR="00260158">
        <w:rPr>
          <w:rFonts w:ascii="Times New Roman" w:hAnsi="Times New Roman" w:cs="Times New Roman"/>
          <w:sz w:val="24"/>
          <w:szCs w:val="24"/>
        </w:rPr>
        <w:t>ej investičnej náročnosti</w:t>
      </w:r>
      <w:r w:rsidRPr="000578FE">
        <w:rPr>
          <w:rFonts w:ascii="Times New Roman" w:hAnsi="Times New Roman" w:cs="Times New Roman"/>
          <w:sz w:val="24"/>
          <w:szCs w:val="24"/>
        </w:rPr>
        <w:t xml:space="preserve"> v jednotlivých sektoroch </w:t>
      </w:r>
      <w:r w:rsidR="008D57E9">
        <w:rPr>
          <w:rFonts w:ascii="Times New Roman" w:hAnsi="Times New Roman" w:cs="Times New Roman"/>
          <w:sz w:val="24"/>
          <w:szCs w:val="24"/>
        </w:rPr>
        <w:t xml:space="preserve">v </w:t>
      </w:r>
      <w:r w:rsidRPr="000578FE">
        <w:rPr>
          <w:rFonts w:ascii="Times New Roman" w:hAnsi="Times New Roman" w:cs="Times New Roman"/>
          <w:sz w:val="24"/>
          <w:szCs w:val="24"/>
        </w:rPr>
        <w:t xml:space="preserve"> rok</w:t>
      </w:r>
      <w:r w:rsidR="008D57E9">
        <w:rPr>
          <w:rFonts w:ascii="Times New Roman" w:hAnsi="Times New Roman" w:cs="Times New Roman"/>
          <w:sz w:val="24"/>
          <w:szCs w:val="24"/>
        </w:rPr>
        <w:t>och</w:t>
      </w:r>
      <w:r w:rsidRPr="000578FE">
        <w:rPr>
          <w:rFonts w:ascii="Times New Roman" w:hAnsi="Times New Roman" w:cs="Times New Roman"/>
          <w:sz w:val="24"/>
          <w:szCs w:val="24"/>
        </w:rPr>
        <w:t xml:space="preserve"> 201</w:t>
      </w:r>
      <w:r w:rsidR="008D57E9">
        <w:rPr>
          <w:rFonts w:ascii="Times New Roman" w:hAnsi="Times New Roman" w:cs="Times New Roman"/>
          <w:sz w:val="24"/>
          <w:szCs w:val="24"/>
        </w:rPr>
        <w:t>4</w:t>
      </w:r>
      <w:r w:rsidRPr="000578FE">
        <w:rPr>
          <w:rFonts w:ascii="Times New Roman" w:hAnsi="Times New Roman" w:cs="Times New Roman"/>
          <w:sz w:val="24"/>
          <w:szCs w:val="24"/>
        </w:rPr>
        <w:t> –  20</w:t>
      </w:r>
      <w:r w:rsidR="008D57E9">
        <w:rPr>
          <w:rFonts w:ascii="Times New Roman" w:hAnsi="Times New Roman" w:cs="Times New Roman"/>
          <w:sz w:val="24"/>
          <w:szCs w:val="24"/>
        </w:rPr>
        <w:t>16</w:t>
      </w:r>
    </w:p>
    <w:tbl>
      <w:tblPr>
        <w:tblW w:w="4379" w:type="pct"/>
        <w:jc w:val="center"/>
        <w:tblLayout w:type="fixed"/>
        <w:tblCellMar>
          <w:left w:w="70" w:type="dxa"/>
          <w:right w:w="70" w:type="dxa"/>
        </w:tblCellMar>
        <w:tblLook w:val="04A0" w:firstRow="1" w:lastRow="0" w:firstColumn="1" w:lastColumn="0" w:noHBand="0" w:noVBand="1"/>
      </w:tblPr>
      <w:tblGrid>
        <w:gridCol w:w="5238"/>
        <w:gridCol w:w="2693"/>
      </w:tblGrid>
      <w:tr w:rsidR="00FE1572" w:rsidRPr="009F2998" w14:paraId="3D297B10" w14:textId="2DC8E4C8" w:rsidTr="004E746F">
        <w:trPr>
          <w:trHeight w:val="288"/>
          <w:jc w:val="center"/>
        </w:trPr>
        <w:tc>
          <w:tcPr>
            <w:tcW w:w="3302" w:type="pct"/>
            <w:vMerge w:val="restart"/>
            <w:tcBorders>
              <w:top w:val="single" w:sz="6" w:space="0" w:color="auto"/>
              <w:left w:val="single" w:sz="6" w:space="0" w:color="auto"/>
              <w:bottom w:val="single" w:sz="6" w:space="0" w:color="auto"/>
              <w:right w:val="single" w:sz="6" w:space="0" w:color="auto"/>
            </w:tcBorders>
            <w:shd w:val="clear" w:color="000000" w:fill="F2F2F2"/>
            <w:noWrap/>
            <w:vAlign w:val="center"/>
            <w:hideMark/>
          </w:tcPr>
          <w:p w14:paraId="3818008C" w14:textId="1CDEF73B" w:rsidR="00FE1572" w:rsidRPr="009F2998" w:rsidRDefault="00FE1572" w:rsidP="00283209">
            <w:pPr>
              <w:spacing w:after="0" w:line="240" w:lineRule="auto"/>
              <w:jc w:val="center"/>
              <w:rPr>
                <w:rFonts w:ascii="Times New Roman" w:eastAsia="Times New Roman" w:hAnsi="Times New Roman" w:cs="Times New Roman"/>
                <w:b/>
                <w:bCs/>
                <w:color w:val="000000"/>
                <w:lang w:eastAsia="sk-SK"/>
              </w:rPr>
            </w:pPr>
            <w:r w:rsidRPr="009F2998">
              <w:rPr>
                <w:rFonts w:ascii="Times New Roman" w:eastAsia="Times New Roman" w:hAnsi="Times New Roman" w:cs="Times New Roman"/>
                <w:b/>
                <w:bCs/>
                <w:color w:val="000000"/>
                <w:lang w:eastAsia="sk-SK"/>
              </w:rPr>
              <w:t>Sektor</w:t>
            </w:r>
          </w:p>
        </w:tc>
        <w:tc>
          <w:tcPr>
            <w:tcW w:w="1698" w:type="pct"/>
            <w:tcBorders>
              <w:top w:val="single" w:sz="6" w:space="0" w:color="auto"/>
              <w:left w:val="single" w:sz="6" w:space="0" w:color="auto"/>
              <w:bottom w:val="single" w:sz="6" w:space="0" w:color="auto"/>
              <w:right w:val="single" w:sz="6" w:space="0" w:color="auto"/>
            </w:tcBorders>
            <w:shd w:val="clear" w:color="000000" w:fill="F2F2F2"/>
            <w:noWrap/>
            <w:vAlign w:val="center"/>
            <w:hideMark/>
          </w:tcPr>
          <w:p w14:paraId="0BD9CA10" w14:textId="48E7134C" w:rsidR="00FE1572" w:rsidRPr="009F2998" w:rsidRDefault="00FE1572" w:rsidP="00283209">
            <w:pPr>
              <w:spacing w:after="0" w:line="240" w:lineRule="auto"/>
              <w:jc w:val="center"/>
              <w:rPr>
                <w:rFonts w:ascii="Times New Roman" w:eastAsia="Times New Roman" w:hAnsi="Times New Roman" w:cs="Times New Roman"/>
                <w:b/>
                <w:bCs/>
                <w:color w:val="000000"/>
                <w:lang w:eastAsia="sk-SK"/>
              </w:rPr>
            </w:pPr>
            <w:r w:rsidRPr="009F2998">
              <w:rPr>
                <w:rFonts w:ascii="Times New Roman" w:eastAsia="Times New Roman" w:hAnsi="Times New Roman" w:cs="Times New Roman"/>
                <w:b/>
                <w:bCs/>
                <w:color w:val="000000"/>
                <w:lang w:eastAsia="sk-SK"/>
              </w:rPr>
              <w:t>201</w:t>
            </w:r>
            <w:r>
              <w:rPr>
                <w:rFonts w:ascii="Times New Roman" w:eastAsia="Times New Roman" w:hAnsi="Times New Roman" w:cs="Times New Roman"/>
                <w:b/>
                <w:bCs/>
                <w:color w:val="000000"/>
                <w:lang w:eastAsia="sk-SK"/>
              </w:rPr>
              <w:t>4</w:t>
            </w:r>
            <w:r w:rsidRPr="009F2998">
              <w:rPr>
                <w:rFonts w:ascii="Times New Roman" w:eastAsia="Times New Roman" w:hAnsi="Times New Roman" w:cs="Times New Roman"/>
                <w:b/>
                <w:bCs/>
                <w:color w:val="000000"/>
                <w:lang w:eastAsia="sk-SK"/>
              </w:rPr>
              <w:t>-20</w:t>
            </w:r>
            <w:r>
              <w:rPr>
                <w:rFonts w:ascii="Times New Roman" w:eastAsia="Times New Roman" w:hAnsi="Times New Roman" w:cs="Times New Roman"/>
                <w:b/>
                <w:bCs/>
                <w:color w:val="000000"/>
                <w:lang w:eastAsia="sk-SK"/>
              </w:rPr>
              <w:t>16</w:t>
            </w:r>
          </w:p>
        </w:tc>
      </w:tr>
      <w:tr w:rsidR="00FE1572" w:rsidRPr="009F2998" w14:paraId="7C678395" w14:textId="32C6D4DF" w:rsidTr="004E746F">
        <w:trPr>
          <w:trHeight w:val="732"/>
          <w:jc w:val="center"/>
        </w:trPr>
        <w:tc>
          <w:tcPr>
            <w:tcW w:w="3302" w:type="pct"/>
            <w:vMerge/>
            <w:tcBorders>
              <w:top w:val="single" w:sz="6" w:space="0" w:color="auto"/>
              <w:left w:val="single" w:sz="6" w:space="0" w:color="auto"/>
              <w:bottom w:val="single" w:sz="6" w:space="0" w:color="auto"/>
              <w:right w:val="single" w:sz="6" w:space="0" w:color="auto"/>
            </w:tcBorders>
            <w:vAlign w:val="center"/>
            <w:hideMark/>
          </w:tcPr>
          <w:p w14:paraId="7B62F7F0" w14:textId="77777777" w:rsidR="00FE1572" w:rsidRPr="009F2998" w:rsidRDefault="00FE1572" w:rsidP="00283209">
            <w:pPr>
              <w:spacing w:after="0" w:line="240" w:lineRule="auto"/>
              <w:jc w:val="center"/>
              <w:rPr>
                <w:rFonts w:ascii="Times New Roman" w:eastAsia="Times New Roman" w:hAnsi="Times New Roman" w:cs="Times New Roman"/>
                <w:b/>
                <w:bCs/>
                <w:color w:val="000000"/>
                <w:lang w:eastAsia="sk-SK"/>
              </w:rPr>
            </w:pPr>
          </w:p>
        </w:tc>
        <w:tc>
          <w:tcPr>
            <w:tcW w:w="1698" w:type="pct"/>
            <w:tcBorders>
              <w:top w:val="single" w:sz="6" w:space="0" w:color="auto"/>
              <w:left w:val="single" w:sz="6" w:space="0" w:color="auto"/>
              <w:bottom w:val="single" w:sz="6" w:space="0" w:color="auto"/>
              <w:right w:val="single" w:sz="6" w:space="0" w:color="auto"/>
            </w:tcBorders>
            <w:shd w:val="clear" w:color="000000" w:fill="F2F2F2"/>
            <w:vAlign w:val="center"/>
            <w:hideMark/>
          </w:tcPr>
          <w:p w14:paraId="1ECEBE4E" w14:textId="731F155D" w:rsidR="00FE1572" w:rsidRPr="009F2998" w:rsidRDefault="00FE1572" w:rsidP="00D555FE">
            <w:pPr>
              <w:spacing w:after="0" w:line="240" w:lineRule="auto"/>
              <w:jc w:val="center"/>
              <w:rPr>
                <w:rFonts w:ascii="Times New Roman" w:eastAsia="Times New Roman" w:hAnsi="Times New Roman" w:cs="Times New Roman"/>
                <w:b/>
                <w:bCs/>
                <w:color w:val="000000"/>
                <w:lang w:eastAsia="sk-SK"/>
              </w:rPr>
            </w:pPr>
            <w:r w:rsidRPr="009F2998">
              <w:rPr>
                <w:rFonts w:ascii="Times New Roman" w:eastAsia="Times New Roman" w:hAnsi="Times New Roman" w:cs="Times New Roman"/>
                <w:b/>
                <w:bCs/>
                <w:color w:val="000000"/>
                <w:lang w:eastAsia="sk-SK"/>
              </w:rPr>
              <w:t>Priemern</w:t>
            </w:r>
            <w:r>
              <w:rPr>
                <w:rFonts w:ascii="Times New Roman" w:eastAsia="Times New Roman" w:hAnsi="Times New Roman" w:cs="Times New Roman"/>
                <w:b/>
                <w:bCs/>
                <w:color w:val="000000"/>
                <w:lang w:eastAsia="sk-SK"/>
              </w:rPr>
              <w:t xml:space="preserve">á </w:t>
            </w:r>
            <w:r w:rsidRPr="009F2998">
              <w:rPr>
                <w:rFonts w:ascii="Times New Roman" w:eastAsia="Times New Roman" w:hAnsi="Times New Roman" w:cs="Times New Roman"/>
                <w:b/>
                <w:bCs/>
                <w:color w:val="000000"/>
                <w:lang w:eastAsia="sk-SK"/>
              </w:rPr>
              <w:t>investičn</w:t>
            </w:r>
            <w:r>
              <w:rPr>
                <w:rFonts w:ascii="Times New Roman" w:eastAsia="Times New Roman" w:hAnsi="Times New Roman" w:cs="Times New Roman"/>
                <w:b/>
                <w:bCs/>
                <w:color w:val="000000"/>
                <w:lang w:eastAsia="sk-SK"/>
              </w:rPr>
              <w:t>á</w:t>
            </w:r>
            <w:r w:rsidRPr="009F2998">
              <w:rPr>
                <w:rFonts w:ascii="Times New Roman" w:eastAsia="Times New Roman" w:hAnsi="Times New Roman" w:cs="Times New Roman"/>
                <w:b/>
                <w:bCs/>
                <w:color w:val="000000"/>
                <w:lang w:eastAsia="sk-SK"/>
              </w:rPr>
              <w:t xml:space="preserve"> </w:t>
            </w:r>
            <w:r>
              <w:rPr>
                <w:rFonts w:ascii="Times New Roman" w:eastAsia="Times New Roman" w:hAnsi="Times New Roman" w:cs="Times New Roman"/>
                <w:b/>
                <w:bCs/>
                <w:color w:val="000000"/>
                <w:lang w:eastAsia="sk-SK"/>
              </w:rPr>
              <w:t>náročnosť</w:t>
            </w:r>
            <w:r w:rsidR="00260158">
              <w:rPr>
                <w:rFonts w:ascii="Times New Roman" w:eastAsia="Times New Roman" w:hAnsi="Times New Roman" w:cs="Times New Roman"/>
                <w:b/>
                <w:bCs/>
                <w:color w:val="000000"/>
                <w:lang w:eastAsia="sk-SK"/>
              </w:rPr>
              <w:t xml:space="preserve"> </w:t>
            </w:r>
          </w:p>
        </w:tc>
      </w:tr>
      <w:tr w:rsidR="00FE1572" w:rsidRPr="009F2998" w14:paraId="021C214E" w14:textId="5D6DF707" w:rsidTr="004E746F">
        <w:trPr>
          <w:trHeight w:val="288"/>
          <w:jc w:val="center"/>
        </w:trPr>
        <w:tc>
          <w:tcPr>
            <w:tcW w:w="3302" w:type="pct"/>
            <w:vMerge/>
            <w:tcBorders>
              <w:top w:val="single" w:sz="6" w:space="0" w:color="auto"/>
              <w:left w:val="single" w:sz="6" w:space="0" w:color="auto"/>
              <w:bottom w:val="single" w:sz="6" w:space="0" w:color="auto"/>
              <w:right w:val="single" w:sz="6" w:space="0" w:color="auto"/>
            </w:tcBorders>
            <w:vAlign w:val="center"/>
            <w:hideMark/>
          </w:tcPr>
          <w:p w14:paraId="33029C3A" w14:textId="77777777" w:rsidR="00FE1572" w:rsidRPr="009F2998" w:rsidRDefault="00FE1572" w:rsidP="00283209">
            <w:pPr>
              <w:spacing w:after="0" w:line="240" w:lineRule="auto"/>
              <w:jc w:val="center"/>
              <w:rPr>
                <w:rFonts w:ascii="Times New Roman" w:eastAsia="Times New Roman" w:hAnsi="Times New Roman" w:cs="Times New Roman"/>
                <w:b/>
                <w:bCs/>
                <w:color w:val="000000"/>
                <w:lang w:eastAsia="sk-SK"/>
              </w:rPr>
            </w:pPr>
          </w:p>
        </w:tc>
        <w:tc>
          <w:tcPr>
            <w:tcW w:w="1698" w:type="pct"/>
            <w:tcBorders>
              <w:top w:val="single" w:sz="6" w:space="0" w:color="auto"/>
              <w:left w:val="single" w:sz="6" w:space="0" w:color="auto"/>
              <w:bottom w:val="single" w:sz="6" w:space="0" w:color="auto"/>
              <w:right w:val="single" w:sz="6" w:space="0" w:color="auto"/>
            </w:tcBorders>
            <w:shd w:val="clear" w:color="000000" w:fill="F2F2F2"/>
            <w:noWrap/>
            <w:vAlign w:val="center"/>
            <w:hideMark/>
          </w:tcPr>
          <w:p w14:paraId="063032DE" w14:textId="0E60ED9C" w:rsidR="00FE1572" w:rsidRPr="009F2998" w:rsidRDefault="00FE1572" w:rsidP="00283209">
            <w:pPr>
              <w:spacing w:after="0" w:line="240" w:lineRule="auto"/>
              <w:jc w:val="center"/>
              <w:rPr>
                <w:rFonts w:ascii="Times New Roman" w:eastAsia="Times New Roman" w:hAnsi="Times New Roman" w:cs="Times New Roman"/>
                <w:b/>
                <w:bCs/>
                <w:color w:val="000000"/>
                <w:lang w:eastAsia="sk-SK"/>
              </w:rPr>
            </w:pPr>
            <w:r w:rsidRPr="009F2998">
              <w:rPr>
                <w:rFonts w:ascii="Times New Roman" w:eastAsia="Times New Roman" w:hAnsi="Times New Roman" w:cs="Times New Roman"/>
                <w:b/>
                <w:bCs/>
                <w:color w:val="000000"/>
                <w:lang w:val="en-GB" w:eastAsia="sk-SK"/>
              </w:rPr>
              <w:t>[</w:t>
            </w:r>
            <w:r>
              <w:rPr>
                <w:rFonts w:ascii="Times New Roman" w:eastAsia="Times New Roman" w:hAnsi="Times New Roman" w:cs="Times New Roman"/>
                <w:b/>
                <w:bCs/>
                <w:color w:val="000000"/>
                <w:lang w:eastAsia="sk-SK"/>
              </w:rPr>
              <w:t>Eur</w:t>
            </w:r>
            <w:r w:rsidRPr="009F2998">
              <w:rPr>
                <w:rFonts w:ascii="Times New Roman" w:eastAsia="Times New Roman" w:hAnsi="Times New Roman" w:cs="Times New Roman"/>
                <w:b/>
                <w:bCs/>
                <w:color w:val="000000"/>
                <w:lang w:eastAsia="sk-SK"/>
              </w:rPr>
              <w:t>/MWh]</w:t>
            </w:r>
          </w:p>
        </w:tc>
      </w:tr>
      <w:tr w:rsidR="00293EB5" w:rsidRPr="009F2998" w14:paraId="577B8AFD" w14:textId="5470CD97" w:rsidTr="00AF5415">
        <w:trPr>
          <w:trHeight w:val="288"/>
          <w:jc w:val="center"/>
        </w:trPr>
        <w:tc>
          <w:tcPr>
            <w:tcW w:w="330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3658B9" w14:textId="77777777" w:rsidR="00293EB5" w:rsidRPr="009F2998" w:rsidRDefault="00293EB5" w:rsidP="00293EB5">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Budovy</w:t>
            </w:r>
          </w:p>
        </w:tc>
        <w:tc>
          <w:tcPr>
            <w:tcW w:w="1698" w:type="pct"/>
            <w:tcBorders>
              <w:top w:val="nil"/>
              <w:left w:val="nil"/>
              <w:bottom w:val="single" w:sz="4" w:space="0" w:color="auto"/>
              <w:right w:val="single" w:sz="4" w:space="0" w:color="auto"/>
            </w:tcBorders>
            <w:shd w:val="clear" w:color="auto" w:fill="auto"/>
            <w:noWrap/>
            <w:vAlign w:val="center"/>
            <w:hideMark/>
          </w:tcPr>
          <w:p w14:paraId="1BF66B35" w14:textId="2E1291F5" w:rsidR="00293EB5" w:rsidRPr="00293EB5" w:rsidRDefault="00293EB5" w:rsidP="00AF5415">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2 620</w:t>
            </w:r>
          </w:p>
        </w:tc>
      </w:tr>
      <w:tr w:rsidR="00293EB5" w:rsidRPr="009F2998" w14:paraId="5EEA1D32" w14:textId="42D15CAC" w:rsidTr="00AF5415">
        <w:trPr>
          <w:trHeight w:val="288"/>
          <w:jc w:val="center"/>
        </w:trPr>
        <w:tc>
          <w:tcPr>
            <w:tcW w:w="330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8FE616" w14:textId="77777777" w:rsidR="00293EB5" w:rsidRPr="009F2998" w:rsidRDefault="00293EB5" w:rsidP="00293EB5">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Priemysel</w:t>
            </w:r>
          </w:p>
        </w:tc>
        <w:tc>
          <w:tcPr>
            <w:tcW w:w="1698" w:type="pct"/>
            <w:tcBorders>
              <w:top w:val="nil"/>
              <w:left w:val="nil"/>
              <w:bottom w:val="single" w:sz="4" w:space="0" w:color="auto"/>
              <w:right w:val="single" w:sz="4" w:space="0" w:color="auto"/>
            </w:tcBorders>
            <w:shd w:val="clear" w:color="auto" w:fill="auto"/>
            <w:noWrap/>
            <w:vAlign w:val="center"/>
            <w:hideMark/>
          </w:tcPr>
          <w:p w14:paraId="607AB7CD" w14:textId="19762EA3" w:rsidR="00293EB5" w:rsidRPr="00293EB5" w:rsidRDefault="00293EB5" w:rsidP="00AF5415">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213</w:t>
            </w:r>
          </w:p>
        </w:tc>
      </w:tr>
      <w:tr w:rsidR="00293EB5" w:rsidRPr="009F2998" w14:paraId="7F486925" w14:textId="5DFB0BA9" w:rsidTr="00AF5415">
        <w:trPr>
          <w:trHeight w:val="288"/>
          <w:jc w:val="center"/>
        </w:trPr>
        <w:tc>
          <w:tcPr>
            <w:tcW w:w="330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6EEC51" w14:textId="77777777" w:rsidR="00293EB5" w:rsidRPr="009F2998" w:rsidRDefault="00293EB5" w:rsidP="00293EB5">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Verejný sektor</w:t>
            </w:r>
          </w:p>
        </w:tc>
        <w:tc>
          <w:tcPr>
            <w:tcW w:w="1698" w:type="pct"/>
            <w:tcBorders>
              <w:top w:val="nil"/>
              <w:left w:val="nil"/>
              <w:bottom w:val="single" w:sz="4" w:space="0" w:color="auto"/>
              <w:right w:val="single" w:sz="4" w:space="0" w:color="auto"/>
            </w:tcBorders>
            <w:shd w:val="clear" w:color="auto" w:fill="auto"/>
            <w:noWrap/>
            <w:vAlign w:val="center"/>
            <w:hideMark/>
          </w:tcPr>
          <w:p w14:paraId="786CC181" w14:textId="65E7D364" w:rsidR="00293EB5" w:rsidRPr="00293EB5" w:rsidRDefault="00293EB5" w:rsidP="00AF5415">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1 201</w:t>
            </w:r>
          </w:p>
        </w:tc>
      </w:tr>
      <w:tr w:rsidR="00293EB5" w:rsidRPr="009F2998" w14:paraId="334155AD" w14:textId="7BA5AB65" w:rsidTr="00AF5415">
        <w:trPr>
          <w:trHeight w:val="300"/>
          <w:jc w:val="center"/>
        </w:trPr>
        <w:tc>
          <w:tcPr>
            <w:tcW w:w="330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F6B73D" w14:textId="77777777" w:rsidR="00293EB5" w:rsidRPr="009F2998" w:rsidRDefault="00293EB5" w:rsidP="00293EB5">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xml:space="preserve">Doprava </w:t>
            </w:r>
          </w:p>
        </w:tc>
        <w:tc>
          <w:tcPr>
            <w:tcW w:w="1698" w:type="pct"/>
            <w:tcBorders>
              <w:top w:val="nil"/>
              <w:left w:val="nil"/>
              <w:bottom w:val="single" w:sz="4" w:space="0" w:color="auto"/>
              <w:right w:val="single" w:sz="4" w:space="0" w:color="auto"/>
            </w:tcBorders>
            <w:shd w:val="clear" w:color="auto" w:fill="auto"/>
            <w:noWrap/>
            <w:vAlign w:val="center"/>
            <w:hideMark/>
          </w:tcPr>
          <w:p w14:paraId="6EE0704E" w14:textId="09A59BAB" w:rsidR="00293EB5" w:rsidRPr="00293EB5" w:rsidRDefault="00293EB5" w:rsidP="00AF5415">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10 593</w:t>
            </w:r>
          </w:p>
        </w:tc>
      </w:tr>
      <w:tr w:rsidR="00293EB5" w:rsidRPr="009F2998" w14:paraId="71F154D3" w14:textId="1705C210" w:rsidTr="00AF5415">
        <w:trPr>
          <w:trHeight w:val="288"/>
          <w:jc w:val="center"/>
        </w:trPr>
        <w:tc>
          <w:tcPr>
            <w:tcW w:w="330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8092B4" w14:textId="77777777" w:rsidR="00293EB5" w:rsidRPr="009F2998" w:rsidRDefault="00293EB5" w:rsidP="00293EB5">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Spotrebiče</w:t>
            </w:r>
          </w:p>
        </w:tc>
        <w:tc>
          <w:tcPr>
            <w:tcW w:w="1698" w:type="pct"/>
            <w:tcBorders>
              <w:top w:val="nil"/>
              <w:left w:val="nil"/>
              <w:bottom w:val="single" w:sz="4" w:space="0" w:color="auto"/>
              <w:right w:val="single" w:sz="4" w:space="0" w:color="auto"/>
            </w:tcBorders>
            <w:shd w:val="clear" w:color="auto" w:fill="auto"/>
            <w:noWrap/>
            <w:vAlign w:val="center"/>
            <w:hideMark/>
          </w:tcPr>
          <w:p w14:paraId="1B8900D3" w14:textId="315197A9" w:rsidR="00293EB5" w:rsidRPr="00293EB5" w:rsidRDefault="00293EB5" w:rsidP="00AF5415">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670</w:t>
            </w:r>
          </w:p>
        </w:tc>
      </w:tr>
      <w:tr w:rsidR="00293EB5" w:rsidRPr="009F2998" w14:paraId="4C01A549" w14:textId="42A9C5C8" w:rsidTr="00AF5415">
        <w:trPr>
          <w:trHeight w:val="552"/>
          <w:jc w:val="center"/>
        </w:trPr>
        <w:tc>
          <w:tcPr>
            <w:tcW w:w="33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500901" w14:textId="01818E86" w:rsidR="00293EB5" w:rsidRPr="009F2998" w:rsidRDefault="00293EB5" w:rsidP="00293EB5">
            <w:pPr>
              <w:spacing w:after="0" w:line="240" w:lineRule="auto"/>
              <w:rPr>
                <w:rFonts w:ascii="Times New Roman" w:eastAsia="Times New Roman" w:hAnsi="Times New Roman" w:cs="Times New Roman"/>
                <w:color w:val="000000"/>
                <w:highlight w:val="yellow"/>
                <w:lang w:eastAsia="sk-SK"/>
              </w:rPr>
            </w:pPr>
            <w:r w:rsidRPr="009F2998">
              <w:rPr>
                <w:rFonts w:ascii="Times New Roman" w:eastAsia="Times New Roman" w:hAnsi="Times New Roman" w:cs="Times New Roman"/>
                <w:color w:val="000000"/>
                <w:lang w:eastAsia="sk-SK"/>
              </w:rPr>
              <w:t>Premena, prenos a distribúcia energie (</w:t>
            </w:r>
            <w:r>
              <w:rPr>
                <w:rFonts w:ascii="Times New Roman" w:eastAsia="Times New Roman" w:hAnsi="Times New Roman" w:cs="Times New Roman"/>
                <w:color w:val="000000"/>
                <w:lang w:eastAsia="sk-SK"/>
              </w:rPr>
              <w:t xml:space="preserve">na úrovni </w:t>
            </w:r>
            <w:r w:rsidRPr="009F2998">
              <w:rPr>
                <w:rFonts w:ascii="Times New Roman" w:eastAsia="Times New Roman" w:hAnsi="Times New Roman" w:cs="Times New Roman"/>
                <w:color w:val="000000"/>
                <w:lang w:eastAsia="sk-SK"/>
              </w:rPr>
              <w:t>PES)</w:t>
            </w:r>
          </w:p>
        </w:tc>
        <w:tc>
          <w:tcPr>
            <w:tcW w:w="1698" w:type="pct"/>
            <w:tcBorders>
              <w:top w:val="nil"/>
              <w:left w:val="single" w:sz="4" w:space="0" w:color="auto"/>
              <w:bottom w:val="single" w:sz="4" w:space="0" w:color="auto"/>
              <w:right w:val="single" w:sz="4" w:space="0" w:color="auto"/>
            </w:tcBorders>
            <w:shd w:val="clear" w:color="auto" w:fill="auto"/>
            <w:noWrap/>
            <w:vAlign w:val="center"/>
            <w:hideMark/>
          </w:tcPr>
          <w:p w14:paraId="637649FF" w14:textId="2233EC23" w:rsidR="00293EB5" w:rsidRPr="00293EB5" w:rsidRDefault="00293EB5" w:rsidP="00AF5415">
            <w:pPr>
              <w:spacing w:after="0" w:line="240" w:lineRule="auto"/>
              <w:jc w:val="right"/>
              <w:rPr>
                <w:rFonts w:ascii="Times New Roman" w:eastAsia="Times New Roman" w:hAnsi="Times New Roman" w:cs="Times New Roman"/>
                <w:color w:val="000000"/>
                <w:highlight w:val="yellow"/>
                <w:lang w:eastAsia="sk-SK"/>
              </w:rPr>
            </w:pPr>
            <w:r w:rsidRPr="00AF5415">
              <w:rPr>
                <w:rFonts w:ascii="Times New Roman" w:hAnsi="Times New Roman" w:cs="Times New Roman"/>
              </w:rPr>
              <w:t>1 011</w:t>
            </w:r>
          </w:p>
        </w:tc>
      </w:tr>
    </w:tbl>
    <w:p w14:paraId="72479433" w14:textId="487901FA" w:rsidR="000D333E" w:rsidRDefault="000D333E" w:rsidP="000D333E">
      <w:pPr>
        <w:pStyle w:val="Nadpis1"/>
        <w:numPr>
          <w:ilvl w:val="0"/>
          <w:numId w:val="0"/>
        </w:numPr>
        <w:ind w:left="644" w:hanging="360"/>
        <w:rPr>
          <w:rFonts w:ascii="Times New Roman" w:hAnsi="Times New Roman" w:cs="Times New Roman"/>
          <w:b/>
          <w:color w:val="auto"/>
        </w:rPr>
      </w:pPr>
    </w:p>
    <w:p w14:paraId="654DBB12" w14:textId="77777777" w:rsidR="000D333E" w:rsidRDefault="000D333E">
      <w:pPr>
        <w:rPr>
          <w:rFonts w:ascii="Times New Roman" w:eastAsiaTheme="majorEastAsia" w:hAnsi="Times New Roman" w:cs="Times New Roman"/>
          <w:b/>
          <w:sz w:val="32"/>
          <w:szCs w:val="32"/>
        </w:rPr>
      </w:pPr>
      <w:r>
        <w:rPr>
          <w:rFonts w:ascii="Times New Roman" w:hAnsi="Times New Roman" w:cs="Times New Roman"/>
          <w:b/>
        </w:rPr>
        <w:br w:type="page"/>
      </w:r>
    </w:p>
    <w:p w14:paraId="7A7D4297" w14:textId="5F4BC99A" w:rsidR="00B82096" w:rsidRDefault="000D333E" w:rsidP="004E746F">
      <w:pPr>
        <w:pStyle w:val="Nadpis1"/>
        <w:rPr>
          <w:rFonts w:ascii="Times New Roman" w:hAnsi="Times New Roman" w:cs="Times New Roman"/>
          <w:b/>
        </w:rPr>
      </w:pPr>
      <w:bookmarkStart w:id="62" w:name="_Toc477345362"/>
      <w:r w:rsidRPr="004E746F">
        <w:rPr>
          <w:rFonts w:ascii="Times New Roman" w:hAnsi="Times New Roman" w:cs="Times New Roman"/>
          <w:b/>
          <w:color w:val="auto"/>
        </w:rPr>
        <w:lastRenderedPageBreak/>
        <w:t>Politické opatrenia na vykonávanie smernice o energetickej efektívnosti</w:t>
      </w:r>
      <w:bookmarkEnd w:id="62"/>
    </w:p>
    <w:p w14:paraId="798210D4" w14:textId="38E89FBA" w:rsidR="000D333E" w:rsidRDefault="000D333E" w:rsidP="004E746F"/>
    <w:p w14:paraId="35069F3B" w14:textId="78DDA410" w:rsidR="00902157" w:rsidRPr="000578FE" w:rsidRDefault="00902157" w:rsidP="007157D7">
      <w:pPr>
        <w:pStyle w:val="Nadpis2"/>
        <w:numPr>
          <w:ilvl w:val="1"/>
          <w:numId w:val="17"/>
        </w:numPr>
        <w:rPr>
          <w:rFonts w:ascii="Times New Roman" w:hAnsi="Times New Roman" w:cs="Times New Roman"/>
          <w:color w:val="auto"/>
        </w:rPr>
      </w:pPr>
      <w:bookmarkStart w:id="63" w:name="_Toc477166631"/>
      <w:bookmarkStart w:id="64" w:name="_Toc475963832"/>
      <w:bookmarkStart w:id="65" w:name="_Toc477166437"/>
      <w:bookmarkStart w:id="66" w:name="_Toc477166519"/>
      <w:bookmarkStart w:id="67" w:name="_Toc477166632"/>
      <w:bookmarkStart w:id="68" w:name="_Toc477345363"/>
      <w:bookmarkEnd w:id="63"/>
      <w:bookmarkEnd w:id="64"/>
      <w:bookmarkEnd w:id="65"/>
      <w:bookmarkEnd w:id="66"/>
      <w:bookmarkEnd w:id="67"/>
      <w:r w:rsidRPr="000578FE">
        <w:rPr>
          <w:rFonts w:ascii="Times New Roman" w:hAnsi="Times New Roman" w:cs="Times New Roman"/>
          <w:color w:val="auto"/>
        </w:rPr>
        <w:t>Horizontálne opatrenia</w:t>
      </w:r>
      <w:bookmarkEnd w:id="68"/>
    </w:p>
    <w:p w14:paraId="46E900A5" w14:textId="77777777" w:rsidR="00486646" w:rsidRPr="007345A8" w:rsidRDefault="00486646" w:rsidP="009B60E0">
      <w:pPr>
        <w:rPr>
          <w:rFonts w:ascii="Times New Roman" w:hAnsi="Times New Roman" w:cs="Times New Roman"/>
        </w:rPr>
      </w:pPr>
    </w:p>
    <w:p w14:paraId="7AD3B9E9" w14:textId="0D2707D3" w:rsidR="00293169" w:rsidRPr="000745A8" w:rsidRDefault="00293169" w:rsidP="009B60E0">
      <w:pPr>
        <w:rPr>
          <w:rFonts w:ascii="Times New Roman" w:hAnsi="Times New Roman" w:cs="Times New Roman"/>
          <w:sz w:val="24"/>
          <w:szCs w:val="24"/>
        </w:rPr>
      </w:pPr>
      <w:r w:rsidRPr="000745A8">
        <w:rPr>
          <w:rFonts w:ascii="Times New Roman" w:hAnsi="Times New Roman" w:cs="Times New Roman"/>
          <w:sz w:val="24"/>
          <w:szCs w:val="24"/>
        </w:rPr>
        <w:t xml:space="preserve">Horizontálne opatrenia sú </w:t>
      </w:r>
      <w:r w:rsidR="00571A49" w:rsidRPr="000745A8">
        <w:rPr>
          <w:rFonts w:ascii="Times New Roman" w:hAnsi="Times New Roman" w:cs="Times New Roman"/>
          <w:sz w:val="24"/>
          <w:szCs w:val="24"/>
        </w:rPr>
        <w:t xml:space="preserve">uvedené </w:t>
      </w:r>
      <w:r w:rsidRPr="000745A8">
        <w:rPr>
          <w:rFonts w:ascii="Times New Roman" w:hAnsi="Times New Roman" w:cs="Times New Roman"/>
          <w:sz w:val="24"/>
          <w:szCs w:val="24"/>
        </w:rPr>
        <w:t xml:space="preserve">v Prílohe č. </w:t>
      </w:r>
      <w:r w:rsidR="00044366">
        <w:rPr>
          <w:rFonts w:ascii="Times New Roman" w:hAnsi="Times New Roman" w:cs="Times New Roman"/>
          <w:sz w:val="24"/>
          <w:szCs w:val="24"/>
        </w:rPr>
        <w:t>3</w:t>
      </w:r>
      <w:r w:rsidR="00486646" w:rsidRPr="000745A8">
        <w:rPr>
          <w:rFonts w:ascii="Times New Roman" w:hAnsi="Times New Roman" w:cs="Times New Roman"/>
          <w:sz w:val="24"/>
          <w:szCs w:val="24"/>
        </w:rPr>
        <w:t xml:space="preserve">. </w:t>
      </w:r>
    </w:p>
    <w:p w14:paraId="57120633" w14:textId="1D7DF41B" w:rsidR="00902157" w:rsidRPr="000578FE" w:rsidRDefault="00902157" w:rsidP="007157D7">
      <w:pPr>
        <w:pStyle w:val="Nadpis3"/>
        <w:keepNext w:val="0"/>
        <w:keepLines w:val="0"/>
        <w:numPr>
          <w:ilvl w:val="2"/>
          <w:numId w:val="16"/>
        </w:numPr>
        <w:rPr>
          <w:rFonts w:ascii="Times New Roman" w:hAnsi="Times New Roman" w:cs="Times New Roman"/>
          <w:color w:val="auto"/>
        </w:rPr>
      </w:pPr>
      <w:bookmarkStart w:id="69" w:name="_Toc477345364"/>
      <w:r w:rsidRPr="000578FE">
        <w:rPr>
          <w:rFonts w:ascii="Times New Roman" w:hAnsi="Times New Roman" w:cs="Times New Roman"/>
          <w:color w:val="auto"/>
        </w:rPr>
        <w:t>Povinné schémy energetickej efektívnosti a alternatívne politické opatrenia (článok 7 SEE)</w:t>
      </w:r>
      <w:bookmarkEnd w:id="69"/>
    </w:p>
    <w:p w14:paraId="6984AD30" w14:textId="77777777" w:rsidR="00902157" w:rsidRPr="009F2998" w:rsidRDefault="00902157" w:rsidP="00902157">
      <w:pPr>
        <w:jc w:val="both"/>
        <w:rPr>
          <w:rFonts w:ascii="Times New Roman" w:hAnsi="Times New Roman" w:cs="Times New Roman"/>
        </w:rPr>
      </w:pPr>
    </w:p>
    <w:p w14:paraId="21F50266" w14:textId="77777777" w:rsidR="00902157" w:rsidRPr="000745A8" w:rsidRDefault="00902157" w:rsidP="00902157">
      <w:pPr>
        <w:jc w:val="both"/>
        <w:rPr>
          <w:rFonts w:ascii="Times New Roman" w:hAnsi="Times New Roman" w:cs="Times New Roman"/>
          <w:color w:val="2E74B5" w:themeColor="accent1" w:themeShade="BF"/>
          <w:sz w:val="24"/>
          <w:szCs w:val="24"/>
        </w:rPr>
      </w:pPr>
      <w:r w:rsidRPr="000745A8">
        <w:rPr>
          <w:rFonts w:ascii="Times New Roman" w:hAnsi="Times New Roman" w:cs="Times New Roman"/>
          <w:sz w:val="24"/>
          <w:szCs w:val="24"/>
        </w:rPr>
        <w:t xml:space="preserve">Na základe článku 7 odsek 1 smernice 2012/27/EÚ každý členský štát musí zriadiť povinnú schému energetickej efektívnosti, prostredníctvom ktorej majú dodávatelia alebo distribútori energie dosiahnuť do 31. decembra 2020 kumulatívny cieľ úspor energie na úrovni KES. Tento kumulatívny cieľ predstavuje kumuláciu ročných úspor energie stanovených vo výške 1,5 % priemerného ročného množstva energie predanej koncovým odberateľom všetkými dodávateľmi energie. Množstvo predanej energie, ktorá sa použila v doprave, možno z tohto výpočtu vylúčiť. Pri výpočte možno použiť výnimky stanovené v odseku 2 článku 7 smernice. Členské štáty sa môžu rozhodnúť aj pre alternatívny prístup (odsek 9 článku 7 smernice) a naplniť kumulatívny cieľ úspor energie (stanovený podľa odseku 1 článku 7) realizáciou politických opatrení. </w:t>
      </w:r>
    </w:p>
    <w:p w14:paraId="4F69D57A" w14:textId="77777777" w:rsidR="00902157" w:rsidRPr="009F2998" w:rsidRDefault="00902157" w:rsidP="00902157">
      <w:pPr>
        <w:rPr>
          <w:rFonts w:ascii="Times New Roman" w:hAnsi="Times New Roman" w:cs="Times New Roman"/>
        </w:rPr>
      </w:pPr>
    </w:p>
    <w:p w14:paraId="2A2F7BAB" w14:textId="29B4AF27" w:rsidR="00902157" w:rsidRPr="000578FE" w:rsidRDefault="007170F1" w:rsidP="007157D7">
      <w:pPr>
        <w:pStyle w:val="Nadpis4"/>
        <w:numPr>
          <w:ilvl w:val="3"/>
          <w:numId w:val="16"/>
        </w:numPr>
        <w:rPr>
          <w:rFonts w:ascii="Times New Roman" w:eastAsia="Times New Roman" w:hAnsi="Times New Roman" w:cs="Times New Roman"/>
          <w:i w:val="0"/>
          <w:color w:val="auto"/>
          <w:lang w:eastAsia="sk-SK"/>
        </w:rPr>
      </w:pPr>
      <w:bookmarkStart w:id="70" w:name="_Toc477345365"/>
      <w:r w:rsidRPr="000578FE">
        <w:rPr>
          <w:rFonts w:ascii="Times New Roman" w:eastAsia="Times New Roman" w:hAnsi="Times New Roman" w:cs="Times New Roman"/>
          <w:i w:val="0"/>
          <w:color w:val="auto"/>
          <w:lang w:eastAsia="sk-SK"/>
        </w:rPr>
        <w:t>C</w:t>
      </w:r>
      <w:r w:rsidR="00902157" w:rsidRPr="000578FE">
        <w:rPr>
          <w:rFonts w:ascii="Times New Roman" w:eastAsia="Times New Roman" w:hAnsi="Times New Roman" w:cs="Times New Roman"/>
          <w:i w:val="0"/>
          <w:color w:val="auto"/>
          <w:lang w:eastAsia="sk-SK"/>
        </w:rPr>
        <w:t>elkov</w:t>
      </w:r>
      <w:r w:rsidRPr="000578FE">
        <w:rPr>
          <w:rFonts w:ascii="Times New Roman" w:eastAsia="Times New Roman" w:hAnsi="Times New Roman" w:cs="Times New Roman"/>
          <w:i w:val="0"/>
          <w:color w:val="auto"/>
          <w:lang w:eastAsia="sk-SK"/>
        </w:rPr>
        <w:t>é</w:t>
      </w:r>
      <w:r w:rsidR="00902157" w:rsidRPr="000578FE">
        <w:rPr>
          <w:rFonts w:ascii="Times New Roman" w:eastAsia="Times New Roman" w:hAnsi="Times New Roman" w:cs="Times New Roman"/>
          <w:i w:val="0"/>
          <w:color w:val="auto"/>
          <w:lang w:eastAsia="sk-SK"/>
        </w:rPr>
        <w:t xml:space="preserve"> úspor</w:t>
      </w:r>
      <w:r w:rsidRPr="000578FE">
        <w:rPr>
          <w:rFonts w:ascii="Times New Roman" w:eastAsia="Times New Roman" w:hAnsi="Times New Roman" w:cs="Times New Roman"/>
          <w:i w:val="0"/>
          <w:color w:val="auto"/>
          <w:lang w:eastAsia="sk-SK"/>
        </w:rPr>
        <w:t>y</w:t>
      </w:r>
      <w:r w:rsidR="00902157" w:rsidRPr="000578FE">
        <w:rPr>
          <w:rFonts w:ascii="Times New Roman" w:eastAsia="Times New Roman" w:hAnsi="Times New Roman" w:cs="Times New Roman"/>
          <w:i w:val="0"/>
          <w:color w:val="auto"/>
          <w:lang w:eastAsia="sk-SK"/>
        </w:rPr>
        <w:t xml:space="preserve"> energie počas obdobia povinnosti</w:t>
      </w:r>
      <w:bookmarkEnd w:id="70"/>
    </w:p>
    <w:p w14:paraId="7AA81A7F" w14:textId="77777777" w:rsidR="00902157" w:rsidRPr="009F2998" w:rsidRDefault="00902157" w:rsidP="00902157">
      <w:pPr>
        <w:rPr>
          <w:rFonts w:ascii="Times New Roman" w:hAnsi="Times New Roman" w:cs="Times New Roman"/>
          <w:lang w:eastAsia="sk-SK"/>
        </w:rPr>
      </w:pPr>
    </w:p>
    <w:p w14:paraId="2EA6D149" w14:textId="77777777" w:rsidR="007170F1" w:rsidRPr="000745A8" w:rsidRDefault="007170F1" w:rsidP="007170F1">
      <w:pPr>
        <w:jc w:val="both"/>
        <w:rPr>
          <w:rFonts w:ascii="Times New Roman" w:hAnsi="Times New Roman" w:cs="Times New Roman"/>
          <w:sz w:val="24"/>
          <w:szCs w:val="24"/>
        </w:rPr>
      </w:pPr>
      <w:r w:rsidRPr="000745A8">
        <w:rPr>
          <w:rFonts w:ascii="Times New Roman" w:hAnsi="Times New Roman" w:cs="Times New Roman"/>
          <w:sz w:val="24"/>
          <w:szCs w:val="24"/>
        </w:rPr>
        <w:t>Uplatnenie článku 7 smernice 2012/27/EÚ o energetickej efektívnosti v podmienkach SR znamenalo zaviesť povinnú schému energetickej efektívnosti (ďalej len „povinná schéma“), resp. uplatniť politické opatrenia, ktorých cieľom bude dosiahnutie úspor energie minimálne vo výške, ktorá by sa mala dosiahnuť povinnou schémou. Výška úspor energie sa stanovila z priemeru konečnej energetickej spotreby v rokoch 2010 – 2012, pričom do tejto spotreby energie sa nezapočítala konečná energetická spotreba v doprave. Pre účely článku 7 smernice sa ročná výška cieľa úspor energie stanovila ako 1,5 % z takto vypočítanej hodnoty. Kumulovaný súčet plánovaných úspor energie, vypočítaný v zmysle metodiky EK, bol korigovaný uplatnením odseku 2, pričom táto korekcia nesmela presiahnuť 25 % pôvodnej hodnoty kumulovaného súčtu plánovaných úspor energie.</w:t>
      </w:r>
      <w:r w:rsidRPr="000745A8">
        <w:rPr>
          <w:rStyle w:val="Odkaznapoznmkupodiarou"/>
          <w:rFonts w:ascii="Times New Roman" w:hAnsi="Times New Roman" w:cs="Times New Roman"/>
          <w:sz w:val="24"/>
          <w:szCs w:val="24"/>
        </w:rPr>
        <w:footnoteReference w:id="26"/>
      </w:r>
    </w:p>
    <w:p w14:paraId="5EF26A5C" w14:textId="18411B02" w:rsidR="00AA4C5B" w:rsidRDefault="007170F1" w:rsidP="00AA4C5B">
      <w:pPr>
        <w:jc w:val="both"/>
        <w:rPr>
          <w:rFonts w:ascii="Times New Roman" w:hAnsi="Times New Roman" w:cs="Times New Roman"/>
          <w:sz w:val="24"/>
          <w:szCs w:val="24"/>
        </w:rPr>
      </w:pPr>
      <w:r w:rsidRPr="000745A8">
        <w:rPr>
          <w:rFonts w:ascii="Times New Roman" w:hAnsi="Times New Roman" w:cs="Times New Roman"/>
          <w:sz w:val="24"/>
          <w:szCs w:val="24"/>
        </w:rPr>
        <w:t>Výsledná hodnota kumulovaného cieľa úspor energie pre roky 2014 – 2020 tak bola stanovená vo výške 26 565 GWh. Z toho predstavuje hodnota ročnej úspory energie 948,75 GWh/rok.</w:t>
      </w:r>
      <w:r w:rsidR="00672612" w:rsidRPr="000745A8">
        <w:rPr>
          <w:rFonts w:ascii="Times New Roman" w:hAnsi="Times New Roman" w:cs="Times New Roman"/>
          <w:sz w:val="24"/>
          <w:szCs w:val="24"/>
        </w:rPr>
        <w:t xml:space="preserve"> </w:t>
      </w:r>
    </w:p>
    <w:p w14:paraId="45A20F21" w14:textId="77777777" w:rsidR="00167FF2" w:rsidRDefault="00167FF2" w:rsidP="00AA4C5B">
      <w:pPr>
        <w:jc w:val="both"/>
        <w:rPr>
          <w:rFonts w:ascii="Times New Roman" w:hAnsi="Times New Roman" w:cs="Times New Roman"/>
          <w:sz w:val="24"/>
          <w:szCs w:val="24"/>
        </w:rPr>
      </w:pPr>
    </w:p>
    <w:p w14:paraId="002E0F83" w14:textId="7AFD9FB5" w:rsidR="00167FF2" w:rsidRPr="000745A8" w:rsidRDefault="00167FF2" w:rsidP="00167FF2">
      <w:pPr>
        <w:jc w:val="both"/>
        <w:rPr>
          <w:rFonts w:ascii="Times New Roman" w:hAnsi="Times New Roman" w:cs="Times New Roman"/>
          <w:sz w:val="24"/>
          <w:szCs w:val="24"/>
        </w:rPr>
      </w:pPr>
      <w:r w:rsidRPr="000745A8">
        <w:rPr>
          <w:rFonts w:ascii="Times New Roman" w:hAnsi="Times New Roman" w:cs="Times New Roman"/>
          <w:sz w:val="24"/>
          <w:szCs w:val="24"/>
        </w:rPr>
        <w:t xml:space="preserve">Ročný cieľ bol v roku 2016 v dôsledku deficitu plnenia ročného cieľa za rok 2014 za účelom dosiahnutia stanoveného kumulatívneho cieľa do roku 2020 zvýšený na hodnotu 959,84 GWh/rok a v roku 2017 na hodnotu </w:t>
      </w:r>
      <w:r w:rsidR="00293EB5" w:rsidRPr="00AF5415">
        <w:rPr>
          <w:rFonts w:ascii="Times New Roman" w:hAnsi="Times New Roman" w:cs="Times New Roman"/>
          <w:b/>
          <w:sz w:val="24"/>
          <w:szCs w:val="24"/>
        </w:rPr>
        <w:t xml:space="preserve">1 022 </w:t>
      </w:r>
      <w:r w:rsidRPr="00AF5415">
        <w:rPr>
          <w:rFonts w:ascii="Times New Roman" w:hAnsi="Times New Roman" w:cs="Times New Roman"/>
          <w:b/>
          <w:sz w:val="24"/>
          <w:szCs w:val="24"/>
        </w:rPr>
        <w:t>GWh/rok</w:t>
      </w:r>
      <w:r w:rsidRPr="000745A8">
        <w:rPr>
          <w:rFonts w:ascii="Times New Roman" w:hAnsi="Times New Roman" w:cs="Times New Roman"/>
          <w:sz w:val="24"/>
          <w:szCs w:val="24"/>
        </w:rPr>
        <w:t xml:space="preserve">. </w:t>
      </w:r>
    </w:p>
    <w:p w14:paraId="64EC96D5" w14:textId="07BFCF1F" w:rsidR="00AA4C5B" w:rsidRPr="000745A8" w:rsidRDefault="00167FF2" w:rsidP="000578FE">
      <w:pPr>
        <w:jc w:val="both"/>
        <w:rPr>
          <w:rFonts w:ascii="Times New Roman" w:hAnsi="Times New Roman" w:cs="Times New Roman"/>
          <w:sz w:val="24"/>
          <w:szCs w:val="24"/>
        </w:rPr>
      </w:pPr>
      <w:r w:rsidRPr="00167FF2">
        <w:rPr>
          <w:rFonts w:ascii="Times New Roman" w:hAnsi="Times New Roman" w:cs="Times New Roman"/>
          <w:sz w:val="24"/>
          <w:szCs w:val="24"/>
        </w:rPr>
        <w:lastRenderedPageBreak/>
        <w:t xml:space="preserve">Tabuľka č. 10: </w:t>
      </w:r>
      <w:r w:rsidRPr="000578FE">
        <w:rPr>
          <w:rFonts w:ascii="Times New Roman" w:hAnsi="Times New Roman" w:cs="Times New Roman"/>
          <w:sz w:val="24"/>
          <w:szCs w:val="24"/>
        </w:rPr>
        <w:t>Stanovenie kumulatívneho cieľa pre účely článku 7 smernice 2012/27/EÚ</w:t>
      </w:r>
    </w:p>
    <w:tbl>
      <w:tblPr>
        <w:tblW w:w="5000" w:type="pct"/>
        <w:tblCellMar>
          <w:left w:w="70" w:type="dxa"/>
          <w:right w:w="70" w:type="dxa"/>
        </w:tblCellMar>
        <w:tblLook w:val="04A0" w:firstRow="1" w:lastRow="0" w:firstColumn="1" w:lastColumn="0" w:noHBand="0" w:noVBand="1"/>
      </w:tblPr>
      <w:tblGrid>
        <w:gridCol w:w="983"/>
        <w:gridCol w:w="989"/>
        <w:gridCol w:w="982"/>
        <w:gridCol w:w="982"/>
        <w:gridCol w:w="982"/>
        <w:gridCol w:w="982"/>
        <w:gridCol w:w="982"/>
        <w:gridCol w:w="982"/>
        <w:gridCol w:w="1198"/>
      </w:tblGrid>
      <w:tr w:rsidR="00631731" w:rsidRPr="009F2998" w14:paraId="10A142AB" w14:textId="77777777" w:rsidTr="000578FE">
        <w:trPr>
          <w:trHeight w:val="610"/>
          <w:tblHeader/>
        </w:trPr>
        <w:tc>
          <w:tcPr>
            <w:tcW w:w="542" w:type="pct"/>
            <w:vMerge w:val="restart"/>
            <w:tcBorders>
              <w:top w:val="single" w:sz="4" w:space="0" w:color="auto"/>
              <w:left w:val="single" w:sz="4" w:space="0" w:color="auto"/>
              <w:right w:val="single" w:sz="4" w:space="0" w:color="auto"/>
            </w:tcBorders>
            <w:shd w:val="pct10" w:color="auto" w:fill="auto"/>
            <w:noWrap/>
            <w:vAlign w:val="center"/>
          </w:tcPr>
          <w:p w14:paraId="14E74495" w14:textId="37730467" w:rsidR="00631731" w:rsidRPr="009F2998" w:rsidRDefault="00631731" w:rsidP="00631731">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Rok</w:t>
            </w:r>
          </w:p>
        </w:tc>
        <w:tc>
          <w:tcPr>
            <w:tcW w:w="3796" w:type="pct"/>
            <w:gridSpan w:val="7"/>
            <w:tcBorders>
              <w:top w:val="single" w:sz="4" w:space="0" w:color="auto"/>
              <w:left w:val="single" w:sz="4" w:space="0" w:color="auto"/>
              <w:right w:val="single" w:sz="4" w:space="0" w:color="auto"/>
            </w:tcBorders>
            <w:shd w:val="pct10" w:color="auto" w:fill="auto"/>
            <w:noWrap/>
            <w:vAlign w:val="center"/>
          </w:tcPr>
          <w:p w14:paraId="073ED6F5" w14:textId="77777777" w:rsidR="00631731" w:rsidRPr="009F2998" w:rsidRDefault="00631731" w:rsidP="00631731">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Kumulácia úspor energie v rokoch 2014-2020 (GWh)</w:t>
            </w:r>
          </w:p>
        </w:tc>
        <w:tc>
          <w:tcPr>
            <w:tcW w:w="662" w:type="pct"/>
            <w:vMerge w:val="restart"/>
            <w:tcBorders>
              <w:top w:val="single" w:sz="4" w:space="0" w:color="auto"/>
              <w:left w:val="single" w:sz="4" w:space="0" w:color="auto"/>
              <w:right w:val="single" w:sz="4" w:space="0" w:color="auto"/>
            </w:tcBorders>
            <w:shd w:val="pct10" w:color="auto" w:fill="auto"/>
            <w:noWrap/>
            <w:vAlign w:val="center"/>
          </w:tcPr>
          <w:p w14:paraId="10C92BC8" w14:textId="084BB6C8" w:rsidR="00631731" w:rsidRPr="009F2998" w:rsidRDefault="00631731" w:rsidP="00631731">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Spolu</w:t>
            </w:r>
          </w:p>
        </w:tc>
      </w:tr>
      <w:tr w:rsidR="00631731" w:rsidRPr="009F2998" w14:paraId="65A21829" w14:textId="77777777" w:rsidTr="000578FE">
        <w:trPr>
          <w:trHeight w:val="300"/>
          <w:tblHeader/>
        </w:trPr>
        <w:tc>
          <w:tcPr>
            <w:tcW w:w="542" w:type="pct"/>
            <w:vMerge/>
            <w:tcBorders>
              <w:left w:val="single" w:sz="4" w:space="0" w:color="auto"/>
              <w:bottom w:val="single" w:sz="4" w:space="0" w:color="auto"/>
              <w:right w:val="single" w:sz="4" w:space="0" w:color="auto"/>
            </w:tcBorders>
            <w:shd w:val="pct10" w:color="auto" w:fill="auto"/>
            <w:vAlign w:val="center"/>
          </w:tcPr>
          <w:p w14:paraId="158757A4" w14:textId="751B6808" w:rsidR="00631731" w:rsidRPr="009F2998" w:rsidRDefault="00631731" w:rsidP="00631731">
            <w:pPr>
              <w:spacing w:after="0" w:line="240" w:lineRule="auto"/>
              <w:jc w:val="center"/>
              <w:rPr>
                <w:rFonts w:ascii="Times New Roman" w:eastAsia="Times New Roman" w:hAnsi="Times New Roman" w:cs="Times New Roman"/>
                <w:color w:val="000000"/>
                <w:lang w:eastAsia="sk-SK"/>
              </w:rPr>
            </w:pPr>
          </w:p>
        </w:tc>
        <w:tc>
          <w:tcPr>
            <w:tcW w:w="545" w:type="pct"/>
            <w:tcBorders>
              <w:top w:val="single" w:sz="4" w:space="0" w:color="auto"/>
              <w:left w:val="single" w:sz="4" w:space="0" w:color="auto"/>
              <w:bottom w:val="single" w:sz="4" w:space="0" w:color="000000"/>
              <w:right w:val="single" w:sz="4" w:space="0" w:color="auto"/>
            </w:tcBorders>
            <w:shd w:val="pct10" w:color="auto" w:fill="auto"/>
            <w:vAlign w:val="center"/>
          </w:tcPr>
          <w:p w14:paraId="0439E6EE" w14:textId="77777777" w:rsidR="00631731" w:rsidRPr="009F2998" w:rsidRDefault="00631731" w:rsidP="00631731">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2014</w:t>
            </w:r>
          </w:p>
        </w:tc>
        <w:tc>
          <w:tcPr>
            <w:tcW w:w="542" w:type="pct"/>
            <w:tcBorders>
              <w:top w:val="single" w:sz="4" w:space="0" w:color="auto"/>
              <w:left w:val="single" w:sz="4" w:space="0" w:color="auto"/>
              <w:bottom w:val="single" w:sz="4" w:space="0" w:color="000000"/>
              <w:right w:val="single" w:sz="4" w:space="0" w:color="auto"/>
            </w:tcBorders>
            <w:shd w:val="pct10" w:color="auto" w:fill="auto"/>
            <w:vAlign w:val="center"/>
          </w:tcPr>
          <w:p w14:paraId="3C5CDC5A" w14:textId="77777777" w:rsidR="00631731" w:rsidRPr="009F2998" w:rsidRDefault="00631731" w:rsidP="00631731">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2015</w:t>
            </w:r>
          </w:p>
        </w:tc>
        <w:tc>
          <w:tcPr>
            <w:tcW w:w="542" w:type="pct"/>
            <w:tcBorders>
              <w:top w:val="single" w:sz="4" w:space="0" w:color="auto"/>
              <w:left w:val="single" w:sz="4" w:space="0" w:color="auto"/>
              <w:bottom w:val="single" w:sz="4" w:space="0" w:color="000000"/>
              <w:right w:val="single" w:sz="4" w:space="0" w:color="auto"/>
            </w:tcBorders>
            <w:shd w:val="pct10" w:color="auto" w:fill="auto"/>
            <w:vAlign w:val="center"/>
          </w:tcPr>
          <w:p w14:paraId="517E42C2" w14:textId="77777777" w:rsidR="00631731" w:rsidRPr="009F2998" w:rsidRDefault="00631731" w:rsidP="00631731">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2016</w:t>
            </w:r>
          </w:p>
        </w:tc>
        <w:tc>
          <w:tcPr>
            <w:tcW w:w="542" w:type="pct"/>
            <w:tcBorders>
              <w:top w:val="single" w:sz="4" w:space="0" w:color="auto"/>
              <w:left w:val="single" w:sz="4" w:space="0" w:color="auto"/>
              <w:bottom w:val="single" w:sz="4" w:space="0" w:color="000000"/>
              <w:right w:val="single" w:sz="4" w:space="0" w:color="auto"/>
            </w:tcBorders>
            <w:shd w:val="pct10" w:color="auto" w:fill="auto"/>
            <w:vAlign w:val="center"/>
          </w:tcPr>
          <w:p w14:paraId="73D3F30D" w14:textId="77777777" w:rsidR="00631731" w:rsidRPr="009F2998" w:rsidRDefault="00631731" w:rsidP="00631731">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2017</w:t>
            </w:r>
          </w:p>
        </w:tc>
        <w:tc>
          <w:tcPr>
            <w:tcW w:w="542" w:type="pct"/>
            <w:tcBorders>
              <w:top w:val="single" w:sz="4" w:space="0" w:color="auto"/>
              <w:left w:val="single" w:sz="4" w:space="0" w:color="auto"/>
              <w:bottom w:val="single" w:sz="4" w:space="0" w:color="000000"/>
              <w:right w:val="single" w:sz="4" w:space="0" w:color="auto"/>
            </w:tcBorders>
            <w:shd w:val="pct10" w:color="auto" w:fill="auto"/>
            <w:vAlign w:val="center"/>
          </w:tcPr>
          <w:p w14:paraId="25202D1D" w14:textId="77777777" w:rsidR="00631731" w:rsidRPr="009F2998" w:rsidRDefault="00631731" w:rsidP="00631731">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2018</w:t>
            </w:r>
          </w:p>
        </w:tc>
        <w:tc>
          <w:tcPr>
            <w:tcW w:w="542" w:type="pct"/>
            <w:tcBorders>
              <w:top w:val="single" w:sz="4" w:space="0" w:color="auto"/>
              <w:left w:val="single" w:sz="4" w:space="0" w:color="auto"/>
              <w:bottom w:val="single" w:sz="4" w:space="0" w:color="000000"/>
              <w:right w:val="single" w:sz="4" w:space="0" w:color="auto"/>
            </w:tcBorders>
            <w:shd w:val="pct10" w:color="auto" w:fill="auto"/>
            <w:vAlign w:val="center"/>
          </w:tcPr>
          <w:p w14:paraId="5E6F80E2" w14:textId="77777777" w:rsidR="00631731" w:rsidRPr="009F2998" w:rsidRDefault="00631731" w:rsidP="00631731">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2019</w:t>
            </w:r>
          </w:p>
        </w:tc>
        <w:tc>
          <w:tcPr>
            <w:tcW w:w="542" w:type="pct"/>
            <w:tcBorders>
              <w:top w:val="single" w:sz="4" w:space="0" w:color="auto"/>
              <w:left w:val="single" w:sz="4" w:space="0" w:color="auto"/>
              <w:bottom w:val="single" w:sz="4" w:space="0" w:color="000000"/>
              <w:right w:val="single" w:sz="4" w:space="0" w:color="auto"/>
            </w:tcBorders>
            <w:shd w:val="pct10" w:color="auto" w:fill="auto"/>
            <w:vAlign w:val="center"/>
          </w:tcPr>
          <w:p w14:paraId="76B045A6" w14:textId="77777777" w:rsidR="00631731" w:rsidRPr="009F2998" w:rsidRDefault="00631731" w:rsidP="00631731">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2020</w:t>
            </w:r>
          </w:p>
        </w:tc>
        <w:tc>
          <w:tcPr>
            <w:tcW w:w="662" w:type="pct"/>
            <w:vMerge/>
            <w:tcBorders>
              <w:left w:val="single" w:sz="4" w:space="0" w:color="auto"/>
              <w:bottom w:val="single" w:sz="4" w:space="0" w:color="000000"/>
              <w:right w:val="single" w:sz="4" w:space="0" w:color="auto"/>
            </w:tcBorders>
            <w:shd w:val="pct10" w:color="auto" w:fill="auto"/>
            <w:vAlign w:val="center"/>
          </w:tcPr>
          <w:p w14:paraId="636CF28E" w14:textId="428BCD31" w:rsidR="00631731" w:rsidRPr="009F2998" w:rsidRDefault="00631731" w:rsidP="00631731">
            <w:pPr>
              <w:spacing w:after="0" w:line="240" w:lineRule="auto"/>
              <w:jc w:val="center"/>
              <w:rPr>
                <w:rFonts w:ascii="Times New Roman" w:eastAsia="Times New Roman" w:hAnsi="Times New Roman" w:cs="Times New Roman"/>
                <w:color w:val="000000"/>
                <w:lang w:eastAsia="sk-SK"/>
              </w:rPr>
            </w:pPr>
          </w:p>
        </w:tc>
      </w:tr>
      <w:tr w:rsidR="007170F1" w:rsidRPr="009F2998" w14:paraId="1C0FDCDE" w14:textId="77777777" w:rsidTr="000578FE">
        <w:trPr>
          <w:trHeight w:val="3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14:paraId="1685D049" w14:textId="77777777" w:rsidR="007170F1" w:rsidRPr="009F2998" w:rsidRDefault="007170F1" w:rsidP="00631731">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2014</w:t>
            </w:r>
          </w:p>
        </w:tc>
        <w:tc>
          <w:tcPr>
            <w:tcW w:w="545" w:type="pct"/>
            <w:tcBorders>
              <w:top w:val="nil"/>
              <w:left w:val="nil"/>
              <w:bottom w:val="single" w:sz="4" w:space="0" w:color="auto"/>
              <w:right w:val="single" w:sz="4" w:space="0" w:color="auto"/>
            </w:tcBorders>
            <w:shd w:val="clear" w:color="auto" w:fill="auto"/>
            <w:noWrap/>
            <w:vAlign w:val="center"/>
            <w:hideMark/>
          </w:tcPr>
          <w:p w14:paraId="26944FDF"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22C8DF34"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542" w:type="pct"/>
            <w:tcBorders>
              <w:top w:val="nil"/>
              <w:left w:val="nil"/>
              <w:bottom w:val="single" w:sz="4" w:space="0" w:color="auto"/>
              <w:right w:val="single" w:sz="4" w:space="0" w:color="auto"/>
            </w:tcBorders>
            <w:shd w:val="clear" w:color="auto" w:fill="auto"/>
            <w:noWrap/>
            <w:vAlign w:val="center"/>
            <w:hideMark/>
          </w:tcPr>
          <w:p w14:paraId="0F27826B"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542" w:type="pct"/>
            <w:tcBorders>
              <w:top w:val="nil"/>
              <w:left w:val="nil"/>
              <w:bottom w:val="single" w:sz="4" w:space="0" w:color="auto"/>
              <w:right w:val="single" w:sz="4" w:space="0" w:color="auto"/>
            </w:tcBorders>
            <w:shd w:val="clear" w:color="auto" w:fill="auto"/>
            <w:noWrap/>
            <w:vAlign w:val="center"/>
            <w:hideMark/>
          </w:tcPr>
          <w:p w14:paraId="79C30302"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542" w:type="pct"/>
            <w:tcBorders>
              <w:top w:val="nil"/>
              <w:left w:val="nil"/>
              <w:bottom w:val="single" w:sz="4" w:space="0" w:color="auto"/>
              <w:right w:val="single" w:sz="4" w:space="0" w:color="auto"/>
            </w:tcBorders>
            <w:shd w:val="clear" w:color="auto" w:fill="auto"/>
            <w:noWrap/>
            <w:vAlign w:val="center"/>
            <w:hideMark/>
          </w:tcPr>
          <w:p w14:paraId="49575026"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542" w:type="pct"/>
            <w:tcBorders>
              <w:top w:val="nil"/>
              <w:left w:val="nil"/>
              <w:bottom w:val="single" w:sz="4" w:space="0" w:color="auto"/>
              <w:right w:val="single" w:sz="4" w:space="0" w:color="auto"/>
            </w:tcBorders>
            <w:shd w:val="clear" w:color="auto" w:fill="auto"/>
            <w:noWrap/>
            <w:vAlign w:val="center"/>
            <w:hideMark/>
          </w:tcPr>
          <w:p w14:paraId="35AA955A"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542" w:type="pct"/>
            <w:tcBorders>
              <w:top w:val="nil"/>
              <w:left w:val="nil"/>
              <w:bottom w:val="single" w:sz="4" w:space="0" w:color="auto"/>
              <w:right w:val="single" w:sz="4" w:space="0" w:color="auto"/>
            </w:tcBorders>
            <w:shd w:val="clear" w:color="auto" w:fill="auto"/>
            <w:noWrap/>
            <w:vAlign w:val="center"/>
            <w:hideMark/>
          </w:tcPr>
          <w:p w14:paraId="6C306579"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662" w:type="pct"/>
            <w:tcBorders>
              <w:top w:val="nil"/>
              <w:left w:val="nil"/>
              <w:bottom w:val="single" w:sz="4" w:space="0" w:color="auto"/>
              <w:right w:val="single" w:sz="4" w:space="0" w:color="auto"/>
            </w:tcBorders>
            <w:shd w:val="clear" w:color="auto" w:fill="auto"/>
            <w:noWrap/>
            <w:vAlign w:val="center"/>
            <w:hideMark/>
          </w:tcPr>
          <w:p w14:paraId="17B1D39D"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r>
      <w:tr w:rsidR="007170F1" w:rsidRPr="009F2998" w14:paraId="3670B3E0" w14:textId="77777777" w:rsidTr="000578FE">
        <w:trPr>
          <w:trHeight w:val="3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14:paraId="2798F848" w14:textId="77777777" w:rsidR="007170F1" w:rsidRPr="009F2998" w:rsidRDefault="007170F1" w:rsidP="00631731">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2015</w:t>
            </w:r>
          </w:p>
        </w:tc>
        <w:tc>
          <w:tcPr>
            <w:tcW w:w="545" w:type="pct"/>
            <w:tcBorders>
              <w:top w:val="nil"/>
              <w:left w:val="nil"/>
              <w:bottom w:val="single" w:sz="4" w:space="0" w:color="auto"/>
              <w:right w:val="single" w:sz="4" w:space="0" w:color="auto"/>
            </w:tcBorders>
            <w:shd w:val="clear" w:color="auto" w:fill="auto"/>
            <w:noWrap/>
            <w:vAlign w:val="center"/>
            <w:hideMark/>
          </w:tcPr>
          <w:p w14:paraId="3279AE82"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01288E97"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0BF2F6C6"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542" w:type="pct"/>
            <w:tcBorders>
              <w:top w:val="nil"/>
              <w:left w:val="nil"/>
              <w:bottom w:val="single" w:sz="4" w:space="0" w:color="auto"/>
              <w:right w:val="single" w:sz="4" w:space="0" w:color="auto"/>
            </w:tcBorders>
            <w:shd w:val="clear" w:color="auto" w:fill="auto"/>
            <w:noWrap/>
            <w:vAlign w:val="center"/>
            <w:hideMark/>
          </w:tcPr>
          <w:p w14:paraId="02F1BB16"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542" w:type="pct"/>
            <w:tcBorders>
              <w:top w:val="nil"/>
              <w:left w:val="nil"/>
              <w:bottom w:val="single" w:sz="4" w:space="0" w:color="auto"/>
              <w:right w:val="single" w:sz="4" w:space="0" w:color="auto"/>
            </w:tcBorders>
            <w:shd w:val="clear" w:color="auto" w:fill="auto"/>
            <w:noWrap/>
            <w:vAlign w:val="center"/>
            <w:hideMark/>
          </w:tcPr>
          <w:p w14:paraId="0EA2FFF8"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542" w:type="pct"/>
            <w:tcBorders>
              <w:top w:val="nil"/>
              <w:left w:val="nil"/>
              <w:bottom w:val="single" w:sz="4" w:space="0" w:color="auto"/>
              <w:right w:val="single" w:sz="4" w:space="0" w:color="auto"/>
            </w:tcBorders>
            <w:shd w:val="clear" w:color="auto" w:fill="auto"/>
            <w:noWrap/>
            <w:vAlign w:val="center"/>
            <w:hideMark/>
          </w:tcPr>
          <w:p w14:paraId="1E427513"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542" w:type="pct"/>
            <w:tcBorders>
              <w:top w:val="nil"/>
              <w:left w:val="nil"/>
              <w:bottom w:val="single" w:sz="4" w:space="0" w:color="auto"/>
              <w:right w:val="single" w:sz="4" w:space="0" w:color="auto"/>
            </w:tcBorders>
            <w:shd w:val="clear" w:color="auto" w:fill="auto"/>
            <w:noWrap/>
            <w:vAlign w:val="center"/>
            <w:hideMark/>
          </w:tcPr>
          <w:p w14:paraId="76920D90"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662" w:type="pct"/>
            <w:tcBorders>
              <w:top w:val="nil"/>
              <w:left w:val="nil"/>
              <w:bottom w:val="single" w:sz="4" w:space="0" w:color="auto"/>
              <w:right w:val="single" w:sz="4" w:space="0" w:color="auto"/>
            </w:tcBorders>
            <w:shd w:val="clear" w:color="auto" w:fill="auto"/>
            <w:noWrap/>
            <w:vAlign w:val="center"/>
            <w:hideMark/>
          </w:tcPr>
          <w:p w14:paraId="5C1F4396"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1 897,50</w:t>
            </w:r>
          </w:p>
        </w:tc>
      </w:tr>
      <w:tr w:rsidR="007170F1" w:rsidRPr="009F2998" w14:paraId="15D0E267" w14:textId="77777777" w:rsidTr="000578FE">
        <w:trPr>
          <w:trHeight w:val="3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14:paraId="1CB15ECF" w14:textId="77777777" w:rsidR="007170F1" w:rsidRPr="009F2998" w:rsidRDefault="007170F1" w:rsidP="00631731">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2016</w:t>
            </w:r>
          </w:p>
        </w:tc>
        <w:tc>
          <w:tcPr>
            <w:tcW w:w="545" w:type="pct"/>
            <w:tcBorders>
              <w:top w:val="nil"/>
              <w:left w:val="nil"/>
              <w:bottom w:val="single" w:sz="4" w:space="0" w:color="auto"/>
              <w:right w:val="single" w:sz="4" w:space="0" w:color="auto"/>
            </w:tcBorders>
            <w:shd w:val="clear" w:color="auto" w:fill="auto"/>
            <w:noWrap/>
            <w:vAlign w:val="center"/>
            <w:hideMark/>
          </w:tcPr>
          <w:p w14:paraId="5B8EFB25"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1745B361"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67FF4A28"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47CCCA08"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542" w:type="pct"/>
            <w:tcBorders>
              <w:top w:val="nil"/>
              <w:left w:val="nil"/>
              <w:bottom w:val="single" w:sz="4" w:space="0" w:color="auto"/>
              <w:right w:val="single" w:sz="4" w:space="0" w:color="auto"/>
            </w:tcBorders>
            <w:shd w:val="clear" w:color="auto" w:fill="auto"/>
            <w:noWrap/>
            <w:vAlign w:val="center"/>
            <w:hideMark/>
          </w:tcPr>
          <w:p w14:paraId="166F6528"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542" w:type="pct"/>
            <w:tcBorders>
              <w:top w:val="nil"/>
              <w:left w:val="nil"/>
              <w:bottom w:val="single" w:sz="4" w:space="0" w:color="auto"/>
              <w:right w:val="single" w:sz="4" w:space="0" w:color="auto"/>
            </w:tcBorders>
            <w:shd w:val="clear" w:color="auto" w:fill="auto"/>
            <w:noWrap/>
            <w:vAlign w:val="center"/>
            <w:hideMark/>
          </w:tcPr>
          <w:p w14:paraId="4A88779D"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542" w:type="pct"/>
            <w:tcBorders>
              <w:top w:val="nil"/>
              <w:left w:val="nil"/>
              <w:bottom w:val="single" w:sz="4" w:space="0" w:color="auto"/>
              <w:right w:val="single" w:sz="4" w:space="0" w:color="auto"/>
            </w:tcBorders>
            <w:shd w:val="clear" w:color="auto" w:fill="auto"/>
            <w:noWrap/>
            <w:vAlign w:val="center"/>
            <w:hideMark/>
          </w:tcPr>
          <w:p w14:paraId="706191D5"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662" w:type="pct"/>
            <w:tcBorders>
              <w:top w:val="nil"/>
              <w:left w:val="nil"/>
              <w:bottom w:val="single" w:sz="4" w:space="0" w:color="auto"/>
              <w:right w:val="single" w:sz="4" w:space="0" w:color="auto"/>
            </w:tcBorders>
            <w:shd w:val="clear" w:color="auto" w:fill="auto"/>
            <w:noWrap/>
            <w:vAlign w:val="center"/>
            <w:hideMark/>
          </w:tcPr>
          <w:p w14:paraId="6A248360"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2 846,25</w:t>
            </w:r>
          </w:p>
        </w:tc>
      </w:tr>
      <w:tr w:rsidR="007170F1" w:rsidRPr="009F2998" w14:paraId="1B12E4F6" w14:textId="77777777" w:rsidTr="000578FE">
        <w:trPr>
          <w:trHeight w:val="3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14:paraId="098A4BCF" w14:textId="77777777" w:rsidR="007170F1" w:rsidRPr="009F2998" w:rsidRDefault="007170F1" w:rsidP="00631731">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2017</w:t>
            </w:r>
          </w:p>
        </w:tc>
        <w:tc>
          <w:tcPr>
            <w:tcW w:w="545" w:type="pct"/>
            <w:tcBorders>
              <w:top w:val="nil"/>
              <w:left w:val="nil"/>
              <w:bottom w:val="single" w:sz="4" w:space="0" w:color="auto"/>
              <w:right w:val="single" w:sz="4" w:space="0" w:color="auto"/>
            </w:tcBorders>
            <w:shd w:val="clear" w:color="auto" w:fill="auto"/>
            <w:noWrap/>
            <w:vAlign w:val="center"/>
            <w:hideMark/>
          </w:tcPr>
          <w:p w14:paraId="198AF521"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02EABDEC"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0284AC6D"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36D79317"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07329A64"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542" w:type="pct"/>
            <w:tcBorders>
              <w:top w:val="nil"/>
              <w:left w:val="nil"/>
              <w:bottom w:val="single" w:sz="4" w:space="0" w:color="auto"/>
              <w:right w:val="single" w:sz="4" w:space="0" w:color="auto"/>
            </w:tcBorders>
            <w:shd w:val="clear" w:color="auto" w:fill="auto"/>
            <w:noWrap/>
            <w:vAlign w:val="center"/>
            <w:hideMark/>
          </w:tcPr>
          <w:p w14:paraId="3B59B3A3"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542" w:type="pct"/>
            <w:tcBorders>
              <w:top w:val="nil"/>
              <w:left w:val="nil"/>
              <w:bottom w:val="single" w:sz="4" w:space="0" w:color="auto"/>
              <w:right w:val="single" w:sz="4" w:space="0" w:color="auto"/>
            </w:tcBorders>
            <w:shd w:val="clear" w:color="auto" w:fill="auto"/>
            <w:noWrap/>
            <w:vAlign w:val="center"/>
            <w:hideMark/>
          </w:tcPr>
          <w:p w14:paraId="7B4D4EBA"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662" w:type="pct"/>
            <w:tcBorders>
              <w:top w:val="nil"/>
              <w:left w:val="nil"/>
              <w:bottom w:val="single" w:sz="4" w:space="0" w:color="auto"/>
              <w:right w:val="single" w:sz="4" w:space="0" w:color="auto"/>
            </w:tcBorders>
            <w:shd w:val="clear" w:color="auto" w:fill="auto"/>
            <w:noWrap/>
            <w:vAlign w:val="center"/>
            <w:hideMark/>
          </w:tcPr>
          <w:p w14:paraId="5FD21F98"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3 795,00</w:t>
            </w:r>
          </w:p>
        </w:tc>
      </w:tr>
      <w:tr w:rsidR="007170F1" w:rsidRPr="009F2998" w14:paraId="65047D67" w14:textId="77777777" w:rsidTr="000578FE">
        <w:trPr>
          <w:trHeight w:val="3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14:paraId="3EE66392" w14:textId="77777777" w:rsidR="007170F1" w:rsidRPr="009F2998" w:rsidRDefault="007170F1" w:rsidP="00631731">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2018</w:t>
            </w:r>
          </w:p>
        </w:tc>
        <w:tc>
          <w:tcPr>
            <w:tcW w:w="545" w:type="pct"/>
            <w:tcBorders>
              <w:top w:val="nil"/>
              <w:left w:val="nil"/>
              <w:bottom w:val="single" w:sz="4" w:space="0" w:color="auto"/>
              <w:right w:val="single" w:sz="4" w:space="0" w:color="auto"/>
            </w:tcBorders>
            <w:shd w:val="clear" w:color="auto" w:fill="auto"/>
            <w:noWrap/>
            <w:vAlign w:val="center"/>
            <w:hideMark/>
          </w:tcPr>
          <w:p w14:paraId="2786A657"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73A82A53"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156CA060"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03513DD9"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5EBE5F6F"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4860089B"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542" w:type="pct"/>
            <w:tcBorders>
              <w:top w:val="nil"/>
              <w:left w:val="nil"/>
              <w:bottom w:val="single" w:sz="4" w:space="0" w:color="auto"/>
              <w:right w:val="single" w:sz="4" w:space="0" w:color="auto"/>
            </w:tcBorders>
            <w:shd w:val="clear" w:color="auto" w:fill="auto"/>
            <w:noWrap/>
            <w:vAlign w:val="center"/>
            <w:hideMark/>
          </w:tcPr>
          <w:p w14:paraId="273706A4"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662" w:type="pct"/>
            <w:tcBorders>
              <w:top w:val="nil"/>
              <w:left w:val="nil"/>
              <w:bottom w:val="single" w:sz="4" w:space="0" w:color="auto"/>
              <w:right w:val="single" w:sz="4" w:space="0" w:color="auto"/>
            </w:tcBorders>
            <w:shd w:val="clear" w:color="auto" w:fill="auto"/>
            <w:noWrap/>
            <w:vAlign w:val="center"/>
            <w:hideMark/>
          </w:tcPr>
          <w:p w14:paraId="05067D60"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4 743,75</w:t>
            </w:r>
          </w:p>
        </w:tc>
      </w:tr>
      <w:tr w:rsidR="007170F1" w:rsidRPr="009F2998" w14:paraId="53A69783" w14:textId="77777777" w:rsidTr="000578FE">
        <w:trPr>
          <w:trHeight w:val="3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14:paraId="784BB4BA" w14:textId="77777777" w:rsidR="007170F1" w:rsidRPr="009F2998" w:rsidRDefault="007170F1" w:rsidP="00631731">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2019</w:t>
            </w:r>
          </w:p>
        </w:tc>
        <w:tc>
          <w:tcPr>
            <w:tcW w:w="545" w:type="pct"/>
            <w:tcBorders>
              <w:top w:val="nil"/>
              <w:left w:val="nil"/>
              <w:bottom w:val="single" w:sz="4" w:space="0" w:color="auto"/>
              <w:right w:val="single" w:sz="4" w:space="0" w:color="auto"/>
            </w:tcBorders>
            <w:shd w:val="clear" w:color="auto" w:fill="auto"/>
            <w:noWrap/>
            <w:vAlign w:val="center"/>
            <w:hideMark/>
          </w:tcPr>
          <w:p w14:paraId="0B613B62"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2C2FE32A"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442A7D74"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2D1B91A6"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15AF6439"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04A4AD29"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3C93B830"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w:t>
            </w:r>
          </w:p>
        </w:tc>
        <w:tc>
          <w:tcPr>
            <w:tcW w:w="662" w:type="pct"/>
            <w:tcBorders>
              <w:top w:val="nil"/>
              <w:left w:val="nil"/>
              <w:bottom w:val="single" w:sz="4" w:space="0" w:color="auto"/>
              <w:right w:val="single" w:sz="4" w:space="0" w:color="auto"/>
            </w:tcBorders>
            <w:shd w:val="clear" w:color="auto" w:fill="auto"/>
            <w:noWrap/>
            <w:vAlign w:val="center"/>
            <w:hideMark/>
          </w:tcPr>
          <w:p w14:paraId="0A0DEF6B"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5 692,50</w:t>
            </w:r>
          </w:p>
        </w:tc>
      </w:tr>
      <w:tr w:rsidR="007170F1" w:rsidRPr="009F2998" w14:paraId="27998F22" w14:textId="77777777" w:rsidTr="000578FE">
        <w:trPr>
          <w:trHeight w:val="3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14:paraId="390F6CE8" w14:textId="77777777" w:rsidR="007170F1" w:rsidRPr="009F2998" w:rsidRDefault="007170F1" w:rsidP="00631731">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2020</w:t>
            </w:r>
          </w:p>
        </w:tc>
        <w:tc>
          <w:tcPr>
            <w:tcW w:w="545" w:type="pct"/>
            <w:tcBorders>
              <w:top w:val="nil"/>
              <w:left w:val="nil"/>
              <w:bottom w:val="single" w:sz="4" w:space="0" w:color="auto"/>
              <w:right w:val="single" w:sz="4" w:space="0" w:color="auto"/>
            </w:tcBorders>
            <w:shd w:val="clear" w:color="auto" w:fill="auto"/>
            <w:noWrap/>
            <w:vAlign w:val="center"/>
            <w:hideMark/>
          </w:tcPr>
          <w:p w14:paraId="1FD1E4D6"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5244B670"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3117D894"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7ADC8333"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78A228C5"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0003077B"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542" w:type="pct"/>
            <w:tcBorders>
              <w:top w:val="nil"/>
              <w:left w:val="nil"/>
              <w:bottom w:val="single" w:sz="4" w:space="0" w:color="auto"/>
              <w:right w:val="single" w:sz="4" w:space="0" w:color="auto"/>
            </w:tcBorders>
            <w:shd w:val="clear" w:color="auto" w:fill="auto"/>
            <w:noWrap/>
            <w:vAlign w:val="center"/>
            <w:hideMark/>
          </w:tcPr>
          <w:p w14:paraId="0F429B2E"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662" w:type="pct"/>
            <w:tcBorders>
              <w:top w:val="nil"/>
              <w:left w:val="nil"/>
              <w:bottom w:val="single" w:sz="4" w:space="0" w:color="auto"/>
              <w:right w:val="single" w:sz="4" w:space="0" w:color="auto"/>
            </w:tcBorders>
            <w:shd w:val="clear" w:color="auto" w:fill="auto"/>
            <w:noWrap/>
            <w:vAlign w:val="center"/>
            <w:hideMark/>
          </w:tcPr>
          <w:p w14:paraId="0947EE9C"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6 641,25</w:t>
            </w:r>
          </w:p>
        </w:tc>
      </w:tr>
      <w:tr w:rsidR="007170F1" w:rsidRPr="009F2998" w14:paraId="55EA1F12" w14:textId="77777777" w:rsidTr="000578FE">
        <w:trPr>
          <w:trHeight w:val="300"/>
        </w:trPr>
        <w:tc>
          <w:tcPr>
            <w:tcW w:w="542" w:type="pct"/>
            <w:tcBorders>
              <w:top w:val="nil"/>
              <w:left w:val="single" w:sz="4" w:space="0" w:color="auto"/>
              <w:bottom w:val="single" w:sz="6" w:space="0" w:color="auto"/>
              <w:right w:val="single" w:sz="4" w:space="0" w:color="auto"/>
            </w:tcBorders>
            <w:shd w:val="clear" w:color="auto" w:fill="auto"/>
            <w:noWrap/>
            <w:vAlign w:val="center"/>
            <w:hideMark/>
          </w:tcPr>
          <w:p w14:paraId="4914CCE0" w14:textId="77777777" w:rsidR="007170F1" w:rsidRPr="009F2998" w:rsidRDefault="007170F1" w:rsidP="00631731">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Σ</w:t>
            </w:r>
          </w:p>
        </w:tc>
        <w:tc>
          <w:tcPr>
            <w:tcW w:w="545" w:type="pct"/>
            <w:tcBorders>
              <w:top w:val="nil"/>
              <w:left w:val="nil"/>
              <w:bottom w:val="single" w:sz="6" w:space="0" w:color="auto"/>
              <w:right w:val="single" w:sz="4" w:space="0" w:color="auto"/>
            </w:tcBorders>
            <w:shd w:val="clear" w:color="auto" w:fill="auto"/>
            <w:noWrap/>
            <w:vAlign w:val="center"/>
            <w:hideMark/>
          </w:tcPr>
          <w:p w14:paraId="3E049470"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6 641,25</w:t>
            </w:r>
          </w:p>
        </w:tc>
        <w:tc>
          <w:tcPr>
            <w:tcW w:w="542" w:type="pct"/>
            <w:tcBorders>
              <w:top w:val="nil"/>
              <w:left w:val="nil"/>
              <w:bottom w:val="single" w:sz="6" w:space="0" w:color="auto"/>
              <w:right w:val="single" w:sz="4" w:space="0" w:color="auto"/>
            </w:tcBorders>
            <w:shd w:val="clear" w:color="auto" w:fill="auto"/>
            <w:noWrap/>
            <w:vAlign w:val="center"/>
            <w:hideMark/>
          </w:tcPr>
          <w:p w14:paraId="50BF73CA"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5 692,50</w:t>
            </w:r>
          </w:p>
        </w:tc>
        <w:tc>
          <w:tcPr>
            <w:tcW w:w="542" w:type="pct"/>
            <w:tcBorders>
              <w:top w:val="nil"/>
              <w:left w:val="nil"/>
              <w:bottom w:val="single" w:sz="6" w:space="0" w:color="auto"/>
              <w:right w:val="single" w:sz="4" w:space="0" w:color="auto"/>
            </w:tcBorders>
            <w:shd w:val="clear" w:color="auto" w:fill="auto"/>
            <w:noWrap/>
            <w:vAlign w:val="center"/>
            <w:hideMark/>
          </w:tcPr>
          <w:p w14:paraId="5BC9E3D3"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4 743,75</w:t>
            </w:r>
          </w:p>
        </w:tc>
        <w:tc>
          <w:tcPr>
            <w:tcW w:w="542" w:type="pct"/>
            <w:tcBorders>
              <w:top w:val="nil"/>
              <w:left w:val="nil"/>
              <w:bottom w:val="single" w:sz="6" w:space="0" w:color="auto"/>
              <w:right w:val="single" w:sz="4" w:space="0" w:color="auto"/>
            </w:tcBorders>
            <w:shd w:val="clear" w:color="auto" w:fill="auto"/>
            <w:noWrap/>
            <w:vAlign w:val="center"/>
            <w:hideMark/>
          </w:tcPr>
          <w:p w14:paraId="6B35EE84"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3 795,00</w:t>
            </w:r>
          </w:p>
        </w:tc>
        <w:tc>
          <w:tcPr>
            <w:tcW w:w="542" w:type="pct"/>
            <w:tcBorders>
              <w:top w:val="nil"/>
              <w:left w:val="nil"/>
              <w:bottom w:val="single" w:sz="6" w:space="0" w:color="auto"/>
              <w:right w:val="single" w:sz="4" w:space="0" w:color="auto"/>
            </w:tcBorders>
            <w:shd w:val="clear" w:color="auto" w:fill="auto"/>
            <w:noWrap/>
            <w:vAlign w:val="center"/>
            <w:hideMark/>
          </w:tcPr>
          <w:p w14:paraId="0F0C2821"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2 846,25</w:t>
            </w:r>
          </w:p>
        </w:tc>
        <w:tc>
          <w:tcPr>
            <w:tcW w:w="542" w:type="pct"/>
            <w:tcBorders>
              <w:top w:val="nil"/>
              <w:left w:val="nil"/>
              <w:bottom w:val="single" w:sz="6" w:space="0" w:color="auto"/>
              <w:right w:val="single" w:sz="4" w:space="0" w:color="auto"/>
            </w:tcBorders>
            <w:shd w:val="clear" w:color="auto" w:fill="auto"/>
            <w:noWrap/>
            <w:vAlign w:val="center"/>
            <w:hideMark/>
          </w:tcPr>
          <w:p w14:paraId="606C3C4C"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1 897,50</w:t>
            </w:r>
          </w:p>
        </w:tc>
        <w:tc>
          <w:tcPr>
            <w:tcW w:w="542" w:type="pct"/>
            <w:tcBorders>
              <w:top w:val="nil"/>
              <w:left w:val="nil"/>
              <w:bottom w:val="single" w:sz="6" w:space="0" w:color="auto"/>
              <w:right w:val="single" w:sz="4" w:space="0" w:color="auto"/>
            </w:tcBorders>
            <w:shd w:val="clear" w:color="auto" w:fill="auto"/>
            <w:noWrap/>
            <w:vAlign w:val="center"/>
            <w:hideMark/>
          </w:tcPr>
          <w:p w14:paraId="3352264C"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948,75</w:t>
            </w:r>
          </w:p>
        </w:tc>
        <w:tc>
          <w:tcPr>
            <w:tcW w:w="662" w:type="pct"/>
            <w:tcBorders>
              <w:top w:val="nil"/>
              <w:left w:val="nil"/>
              <w:bottom w:val="single" w:sz="6" w:space="0" w:color="auto"/>
              <w:right w:val="single" w:sz="4" w:space="0" w:color="auto"/>
            </w:tcBorders>
            <w:shd w:val="clear" w:color="auto" w:fill="auto"/>
            <w:noWrap/>
            <w:vAlign w:val="center"/>
            <w:hideMark/>
          </w:tcPr>
          <w:p w14:paraId="719400A8" w14:textId="77777777" w:rsidR="007170F1" w:rsidRPr="009F2998" w:rsidRDefault="007170F1" w:rsidP="00631731">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26 565,00</w:t>
            </w:r>
          </w:p>
        </w:tc>
      </w:tr>
      <w:tr w:rsidR="00AA4C5B" w:rsidRPr="009F2998" w14:paraId="44DD4CAC" w14:textId="77777777" w:rsidTr="000578FE">
        <w:trPr>
          <w:trHeight w:val="300"/>
        </w:trPr>
        <w:tc>
          <w:tcPr>
            <w:tcW w:w="542" w:type="pct"/>
            <w:tcBorders>
              <w:top w:val="single" w:sz="6" w:space="0" w:color="auto"/>
              <w:bottom w:val="nil"/>
            </w:tcBorders>
            <w:shd w:val="clear" w:color="auto" w:fill="auto"/>
            <w:noWrap/>
            <w:vAlign w:val="bottom"/>
          </w:tcPr>
          <w:p w14:paraId="49720457" w14:textId="77777777" w:rsidR="00AA4C5B" w:rsidRPr="009F2998" w:rsidRDefault="00AA4C5B" w:rsidP="007170F1">
            <w:pPr>
              <w:spacing w:after="0" w:line="240" w:lineRule="auto"/>
              <w:jc w:val="center"/>
              <w:rPr>
                <w:rFonts w:ascii="Times New Roman" w:eastAsia="Times New Roman" w:hAnsi="Times New Roman" w:cs="Times New Roman"/>
                <w:color w:val="000000"/>
                <w:lang w:eastAsia="sk-SK"/>
              </w:rPr>
            </w:pPr>
          </w:p>
        </w:tc>
        <w:tc>
          <w:tcPr>
            <w:tcW w:w="545" w:type="pct"/>
            <w:tcBorders>
              <w:top w:val="single" w:sz="6" w:space="0" w:color="auto"/>
              <w:bottom w:val="nil"/>
            </w:tcBorders>
            <w:shd w:val="clear" w:color="auto" w:fill="auto"/>
            <w:noWrap/>
            <w:vAlign w:val="bottom"/>
          </w:tcPr>
          <w:p w14:paraId="361D6A41" w14:textId="77777777" w:rsidR="00AA4C5B" w:rsidRPr="009F2998" w:rsidRDefault="00AA4C5B" w:rsidP="007170F1">
            <w:pPr>
              <w:spacing w:after="0" w:line="240" w:lineRule="auto"/>
              <w:jc w:val="right"/>
              <w:rPr>
                <w:rFonts w:ascii="Times New Roman" w:eastAsia="Times New Roman" w:hAnsi="Times New Roman" w:cs="Times New Roman"/>
                <w:color w:val="000000"/>
                <w:lang w:eastAsia="sk-SK"/>
              </w:rPr>
            </w:pPr>
          </w:p>
        </w:tc>
        <w:tc>
          <w:tcPr>
            <w:tcW w:w="542" w:type="pct"/>
            <w:tcBorders>
              <w:top w:val="single" w:sz="6" w:space="0" w:color="auto"/>
              <w:bottom w:val="nil"/>
            </w:tcBorders>
            <w:shd w:val="clear" w:color="auto" w:fill="auto"/>
            <w:noWrap/>
            <w:vAlign w:val="bottom"/>
          </w:tcPr>
          <w:p w14:paraId="218201A1" w14:textId="77777777" w:rsidR="00AA4C5B" w:rsidRPr="009F2998" w:rsidRDefault="00AA4C5B" w:rsidP="007170F1">
            <w:pPr>
              <w:spacing w:after="0" w:line="240" w:lineRule="auto"/>
              <w:jc w:val="right"/>
              <w:rPr>
                <w:rFonts w:ascii="Times New Roman" w:eastAsia="Times New Roman" w:hAnsi="Times New Roman" w:cs="Times New Roman"/>
                <w:color w:val="000000"/>
                <w:lang w:eastAsia="sk-SK"/>
              </w:rPr>
            </w:pPr>
          </w:p>
        </w:tc>
        <w:tc>
          <w:tcPr>
            <w:tcW w:w="542" w:type="pct"/>
            <w:tcBorders>
              <w:top w:val="single" w:sz="6" w:space="0" w:color="auto"/>
              <w:bottom w:val="nil"/>
            </w:tcBorders>
            <w:shd w:val="clear" w:color="auto" w:fill="auto"/>
            <w:noWrap/>
            <w:vAlign w:val="bottom"/>
          </w:tcPr>
          <w:p w14:paraId="138531F1" w14:textId="77777777" w:rsidR="00AA4C5B" w:rsidRPr="009F2998" w:rsidRDefault="00AA4C5B" w:rsidP="007170F1">
            <w:pPr>
              <w:spacing w:after="0" w:line="240" w:lineRule="auto"/>
              <w:jc w:val="right"/>
              <w:rPr>
                <w:rFonts w:ascii="Times New Roman" w:eastAsia="Times New Roman" w:hAnsi="Times New Roman" w:cs="Times New Roman"/>
                <w:color w:val="000000"/>
                <w:lang w:eastAsia="sk-SK"/>
              </w:rPr>
            </w:pPr>
          </w:p>
        </w:tc>
        <w:tc>
          <w:tcPr>
            <w:tcW w:w="542" w:type="pct"/>
            <w:tcBorders>
              <w:top w:val="single" w:sz="6" w:space="0" w:color="auto"/>
              <w:bottom w:val="nil"/>
            </w:tcBorders>
            <w:shd w:val="clear" w:color="auto" w:fill="auto"/>
            <w:noWrap/>
            <w:vAlign w:val="bottom"/>
          </w:tcPr>
          <w:p w14:paraId="77D9A3B8" w14:textId="77777777" w:rsidR="00AA4C5B" w:rsidRPr="009F2998" w:rsidRDefault="00AA4C5B" w:rsidP="007170F1">
            <w:pPr>
              <w:spacing w:after="0" w:line="240" w:lineRule="auto"/>
              <w:jc w:val="right"/>
              <w:rPr>
                <w:rFonts w:ascii="Times New Roman" w:eastAsia="Times New Roman" w:hAnsi="Times New Roman" w:cs="Times New Roman"/>
                <w:color w:val="000000"/>
                <w:lang w:eastAsia="sk-SK"/>
              </w:rPr>
            </w:pPr>
          </w:p>
        </w:tc>
        <w:tc>
          <w:tcPr>
            <w:tcW w:w="542" w:type="pct"/>
            <w:tcBorders>
              <w:top w:val="single" w:sz="6" w:space="0" w:color="auto"/>
              <w:bottom w:val="nil"/>
            </w:tcBorders>
            <w:shd w:val="clear" w:color="auto" w:fill="auto"/>
            <w:noWrap/>
            <w:vAlign w:val="bottom"/>
          </w:tcPr>
          <w:p w14:paraId="736ABA62" w14:textId="77777777" w:rsidR="00AA4C5B" w:rsidRPr="009F2998" w:rsidRDefault="00AA4C5B" w:rsidP="007170F1">
            <w:pPr>
              <w:spacing w:after="0" w:line="240" w:lineRule="auto"/>
              <w:jc w:val="right"/>
              <w:rPr>
                <w:rFonts w:ascii="Times New Roman" w:eastAsia="Times New Roman" w:hAnsi="Times New Roman" w:cs="Times New Roman"/>
                <w:color w:val="000000"/>
                <w:lang w:eastAsia="sk-SK"/>
              </w:rPr>
            </w:pPr>
          </w:p>
        </w:tc>
        <w:tc>
          <w:tcPr>
            <w:tcW w:w="542" w:type="pct"/>
            <w:tcBorders>
              <w:top w:val="single" w:sz="6" w:space="0" w:color="auto"/>
              <w:bottom w:val="nil"/>
            </w:tcBorders>
            <w:shd w:val="clear" w:color="auto" w:fill="auto"/>
            <w:noWrap/>
            <w:vAlign w:val="bottom"/>
          </w:tcPr>
          <w:p w14:paraId="607D3B35" w14:textId="77777777" w:rsidR="00AA4C5B" w:rsidRPr="009F2998" w:rsidRDefault="00AA4C5B" w:rsidP="007170F1">
            <w:pPr>
              <w:spacing w:after="0" w:line="240" w:lineRule="auto"/>
              <w:jc w:val="right"/>
              <w:rPr>
                <w:rFonts w:ascii="Times New Roman" w:eastAsia="Times New Roman" w:hAnsi="Times New Roman" w:cs="Times New Roman"/>
                <w:color w:val="000000"/>
                <w:lang w:eastAsia="sk-SK"/>
              </w:rPr>
            </w:pPr>
          </w:p>
        </w:tc>
        <w:tc>
          <w:tcPr>
            <w:tcW w:w="542" w:type="pct"/>
            <w:tcBorders>
              <w:top w:val="single" w:sz="6" w:space="0" w:color="auto"/>
              <w:bottom w:val="nil"/>
            </w:tcBorders>
            <w:shd w:val="clear" w:color="auto" w:fill="auto"/>
            <w:noWrap/>
            <w:vAlign w:val="bottom"/>
          </w:tcPr>
          <w:p w14:paraId="3F5558F7" w14:textId="77777777" w:rsidR="00AA4C5B" w:rsidRPr="009F2998" w:rsidRDefault="00AA4C5B" w:rsidP="007170F1">
            <w:pPr>
              <w:spacing w:after="0" w:line="240" w:lineRule="auto"/>
              <w:jc w:val="right"/>
              <w:rPr>
                <w:rFonts w:ascii="Times New Roman" w:eastAsia="Times New Roman" w:hAnsi="Times New Roman" w:cs="Times New Roman"/>
                <w:color w:val="000000"/>
                <w:lang w:eastAsia="sk-SK"/>
              </w:rPr>
            </w:pPr>
          </w:p>
        </w:tc>
        <w:tc>
          <w:tcPr>
            <w:tcW w:w="662" w:type="pct"/>
            <w:tcBorders>
              <w:top w:val="single" w:sz="6" w:space="0" w:color="auto"/>
              <w:bottom w:val="nil"/>
            </w:tcBorders>
            <w:shd w:val="clear" w:color="auto" w:fill="auto"/>
            <w:noWrap/>
            <w:vAlign w:val="bottom"/>
          </w:tcPr>
          <w:p w14:paraId="4842C71C" w14:textId="77777777" w:rsidR="00AA4C5B" w:rsidRPr="009F2998" w:rsidRDefault="00AA4C5B" w:rsidP="007170F1">
            <w:pPr>
              <w:spacing w:after="0" w:line="240" w:lineRule="auto"/>
              <w:jc w:val="right"/>
              <w:rPr>
                <w:rFonts w:ascii="Times New Roman" w:eastAsia="Times New Roman" w:hAnsi="Times New Roman" w:cs="Times New Roman"/>
                <w:color w:val="000000"/>
                <w:lang w:eastAsia="sk-SK"/>
              </w:rPr>
            </w:pPr>
          </w:p>
        </w:tc>
      </w:tr>
    </w:tbl>
    <w:p w14:paraId="11B6E110" w14:textId="131900EA" w:rsidR="007170F1" w:rsidRPr="000745A8" w:rsidRDefault="007170F1" w:rsidP="007170F1">
      <w:pPr>
        <w:jc w:val="both"/>
        <w:rPr>
          <w:rFonts w:ascii="Times New Roman" w:hAnsi="Times New Roman" w:cs="Times New Roman"/>
          <w:i/>
          <w:sz w:val="24"/>
          <w:szCs w:val="24"/>
        </w:rPr>
      </w:pPr>
      <w:r w:rsidRPr="000745A8">
        <w:rPr>
          <w:rFonts w:ascii="Times New Roman" w:hAnsi="Times New Roman" w:cs="Times New Roman"/>
          <w:i/>
          <w:sz w:val="24"/>
          <w:szCs w:val="24"/>
        </w:rPr>
        <w:t>Zdroj: Informácia o uplatnení odseku 2 článku 7 smernice 2012/27/EÚ o energetickej efektívnosti v podmienkach Slovenskej republiky (MH SR, 2014).</w:t>
      </w:r>
    </w:p>
    <w:p w14:paraId="117BA741" w14:textId="77777777" w:rsidR="007170F1" w:rsidRPr="009F2998" w:rsidRDefault="007170F1" w:rsidP="00902157">
      <w:pPr>
        <w:rPr>
          <w:rFonts w:ascii="Times New Roman" w:hAnsi="Times New Roman" w:cs="Times New Roman"/>
          <w:lang w:eastAsia="sk-SK"/>
        </w:rPr>
      </w:pPr>
    </w:p>
    <w:p w14:paraId="1CB44DFD" w14:textId="2D3AE0CF" w:rsidR="00902157" w:rsidRPr="000578FE" w:rsidRDefault="00654604" w:rsidP="007157D7">
      <w:pPr>
        <w:pStyle w:val="Nadpis4"/>
        <w:numPr>
          <w:ilvl w:val="3"/>
          <w:numId w:val="16"/>
        </w:numPr>
        <w:rPr>
          <w:rFonts w:ascii="Times New Roman" w:eastAsia="Times New Roman" w:hAnsi="Times New Roman" w:cs="Times New Roman"/>
          <w:i w:val="0"/>
          <w:color w:val="auto"/>
          <w:lang w:eastAsia="sk-SK"/>
        </w:rPr>
      </w:pPr>
      <w:bookmarkStart w:id="71" w:name="_Toc477345366"/>
      <w:r w:rsidRPr="000578FE">
        <w:rPr>
          <w:rFonts w:ascii="Times New Roman" w:eastAsia="Times New Roman" w:hAnsi="Times New Roman" w:cs="Times New Roman"/>
          <w:i w:val="0"/>
          <w:color w:val="auto"/>
          <w:lang w:eastAsia="sk-SK"/>
        </w:rPr>
        <w:t>N</w:t>
      </w:r>
      <w:r w:rsidR="00902157" w:rsidRPr="000578FE">
        <w:rPr>
          <w:rFonts w:ascii="Times New Roman" w:eastAsia="Times New Roman" w:hAnsi="Times New Roman" w:cs="Times New Roman"/>
          <w:i w:val="0"/>
          <w:color w:val="auto"/>
          <w:lang w:eastAsia="sk-SK"/>
        </w:rPr>
        <w:t>árodn</w:t>
      </w:r>
      <w:r w:rsidRPr="000578FE">
        <w:rPr>
          <w:rFonts w:ascii="Times New Roman" w:eastAsia="Times New Roman" w:hAnsi="Times New Roman" w:cs="Times New Roman"/>
          <w:i w:val="0"/>
          <w:color w:val="auto"/>
          <w:lang w:eastAsia="sk-SK"/>
        </w:rPr>
        <w:t>á</w:t>
      </w:r>
      <w:r w:rsidR="00902157" w:rsidRPr="000578FE">
        <w:rPr>
          <w:rFonts w:ascii="Times New Roman" w:eastAsia="Times New Roman" w:hAnsi="Times New Roman" w:cs="Times New Roman"/>
          <w:i w:val="0"/>
          <w:color w:val="auto"/>
          <w:lang w:eastAsia="sk-SK"/>
        </w:rPr>
        <w:t xml:space="preserve"> povinn</w:t>
      </w:r>
      <w:r w:rsidRPr="000578FE">
        <w:rPr>
          <w:rFonts w:ascii="Times New Roman" w:eastAsia="Times New Roman" w:hAnsi="Times New Roman" w:cs="Times New Roman"/>
          <w:i w:val="0"/>
          <w:color w:val="auto"/>
          <w:lang w:eastAsia="sk-SK"/>
        </w:rPr>
        <w:t>á</w:t>
      </w:r>
      <w:r w:rsidR="00902157" w:rsidRPr="000578FE">
        <w:rPr>
          <w:rFonts w:ascii="Times New Roman" w:eastAsia="Times New Roman" w:hAnsi="Times New Roman" w:cs="Times New Roman"/>
          <w:i w:val="0"/>
          <w:color w:val="auto"/>
          <w:lang w:eastAsia="sk-SK"/>
        </w:rPr>
        <w:t xml:space="preserve"> schém</w:t>
      </w:r>
      <w:r w:rsidRPr="000578FE">
        <w:rPr>
          <w:rFonts w:ascii="Times New Roman" w:eastAsia="Times New Roman" w:hAnsi="Times New Roman" w:cs="Times New Roman"/>
          <w:i w:val="0"/>
          <w:color w:val="auto"/>
          <w:lang w:eastAsia="sk-SK"/>
        </w:rPr>
        <w:t>a</w:t>
      </w:r>
      <w:r w:rsidR="00902157" w:rsidRPr="000578FE">
        <w:rPr>
          <w:rFonts w:ascii="Times New Roman" w:eastAsia="Times New Roman" w:hAnsi="Times New Roman" w:cs="Times New Roman"/>
          <w:i w:val="0"/>
          <w:color w:val="auto"/>
          <w:lang w:eastAsia="sk-SK"/>
        </w:rPr>
        <w:t xml:space="preserve"> </w:t>
      </w:r>
      <w:r w:rsidR="002E09E2" w:rsidRPr="000578FE">
        <w:rPr>
          <w:rFonts w:ascii="Times New Roman" w:eastAsia="Times New Roman" w:hAnsi="Times New Roman" w:cs="Times New Roman"/>
          <w:i w:val="0"/>
          <w:color w:val="auto"/>
          <w:lang w:eastAsia="sk-SK"/>
        </w:rPr>
        <w:t xml:space="preserve">energetickej efektívnosti </w:t>
      </w:r>
      <w:r w:rsidR="00902157" w:rsidRPr="000578FE">
        <w:rPr>
          <w:rFonts w:ascii="Times New Roman" w:eastAsia="Times New Roman" w:hAnsi="Times New Roman" w:cs="Times New Roman"/>
          <w:i w:val="0"/>
          <w:color w:val="auto"/>
          <w:lang w:eastAsia="sk-SK"/>
        </w:rPr>
        <w:t>podľa článku 7 ods. 1</w:t>
      </w:r>
      <w:bookmarkEnd w:id="71"/>
    </w:p>
    <w:p w14:paraId="4C209184" w14:textId="77777777" w:rsidR="00902157" w:rsidRPr="000745A8" w:rsidRDefault="00902157" w:rsidP="00902157">
      <w:pPr>
        <w:rPr>
          <w:rFonts w:ascii="Times New Roman" w:hAnsi="Times New Roman" w:cs="Times New Roman"/>
          <w:sz w:val="24"/>
          <w:szCs w:val="24"/>
          <w:lang w:eastAsia="sk-SK"/>
        </w:rPr>
      </w:pPr>
    </w:p>
    <w:p w14:paraId="07BD87D5" w14:textId="0AC4B6D7" w:rsidR="00154BA0" w:rsidRPr="000745A8" w:rsidRDefault="00902157" w:rsidP="00154BA0">
      <w:pPr>
        <w:jc w:val="both"/>
        <w:rPr>
          <w:rFonts w:ascii="Times New Roman" w:hAnsi="Times New Roman" w:cs="Times New Roman"/>
          <w:sz w:val="24"/>
          <w:szCs w:val="24"/>
        </w:rPr>
      </w:pPr>
      <w:r w:rsidRPr="000745A8">
        <w:rPr>
          <w:rFonts w:ascii="Times New Roman" w:hAnsi="Times New Roman" w:cs="Times New Roman"/>
          <w:sz w:val="24"/>
          <w:szCs w:val="24"/>
          <w:lang w:eastAsia="sk-SK"/>
        </w:rPr>
        <w:t xml:space="preserve">Do konca roku 2016 Slovenská republika nezaviedla povinnú schému energetickej efektívnosti. </w:t>
      </w:r>
      <w:r w:rsidR="00154BA0" w:rsidRPr="000745A8">
        <w:rPr>
          <w:rFonts w:ascii="Times New Roman" w:hAnsi="Times New Roman" w:cs="Times New Roman"/>
          <w:sz w:val="24"/>
          <w:szCs w:val="24"/>
        </w:rPr>
        <w:t>Pri zohľadnení všetkých aspektov SR rozhodla realizovať úspory energie prostredníctvom politických opatrení (t. j. prostredníctvom alternatívneho prístupu podľa článku 7 ods. 9 smernice 2012/27/EÚ). Najvýznamnejší vplyv pri tomto rozhodovaní zohral predpokladaný nárast koncových cien energie, ktorý by v konečnom dôsledku znamenal negatívny dopad na podnikateľské prostredie, čo by následne znamenalo zníženie konkurencieschopnosti ekonomiky ako aj možné zvyšovanie nezamestnanosti. Tento efekt by sa tak prejavil aj vo zvýšení energetickej chudoby, čo by bolo v priamom rozpore s cieľmi samotnej smernice 2012/27/EÚ.</w:t>
      </w:r>
    </w:p>
    <w:p w14:paraId="187B4E0C" w14:textId="77777777" w:rsidR="00902157" w:rsidRPr="009F2998" w:rsidRDefault="00902157" w:rsidP="00902157">
      <w:pPr>
        <w:rPr>
          <w:rFonts w:ascii="Times New Roman" w:hAnsi="Times New Roman" w:cs="Times New Roman"/>
          <w:lang w:eastAsia="sk-SK"/>
        </w:rPr>
      </w:pPr>
    </w:p>
    <w:p w14:paraId="4D6DD4B6" w14:textId="500418F3" w:rsidR="00902157" w:rsidRPr="000578FE" w:rsidRDefault="00654604" w:rsidP="007157D7">
      <w:pPr>
        <w:pStyle w:val="Nadpis4"/>
        <w:numPr>
          <w:ilvl w:val="3"/>
          <w:numId w:val="16"/>
        </w:numPr>
        <w:rPr>
          <w:rFonts w:ascii="Times New Roman" w:eastAsia="Times New Roman" w:hAnsi="Times New Roman" w:cs="Times New Roman"/>
          <w:i w:val="0"/>
          <w:color w:val="auto"/>
          <w:lang w:eastAsia="sk-SK"/>
        </w:rPr>
      </w:pPr>
      <w:bookmarkStart w:id="72" w:name="_Toc477345367"/>
      <w:r w:rsidRPr="000578FE">
        <w:rPr>
          <w:rFonts w:ascii="Times New Roman" w:eastAsia="Times New Roman" w:hAnsi="Times New Roman" w:cs="Times New Roman"/>
          <w:i w:val="0"/>
          <w:color w:val="auto"/>
          <w:lang w:eastAsia="sk-SK"/>
        </w:rPr>
        <w:t>A</w:t>
      </w:r>
      <w:r w:rsidR="00902157" w:rsidRPr="000578FE">
        <w:rPr>
          <w:rFonts w:ascii="Times New Roman" w:eastAsia="Times New Roman" w:hAnsi="Times New Roman" w:cs="Times New Roman"/>
          <w:i w:val="0"/>
          <w:color w:val="auto"/>
          <w:lang w:eastAsia="sk-SK"/>
        </w:rPr>
        <w:t>lternatívn</w:t>
      </w:r>
      <w:r w:rsidRPr="000578FE">
        <w:rPr>
          <w:rFonts w:ascii="Times New Roman" w:eastAsia="Times New Roman" w:hAnsi="Times New Roman" w:cs="Times New Roman"/>
          <w:i w:val="0"/>
          <w:color w:val="auto"/>
          <w:lang w:eastAsia="sk-SK"/>
        </w:rPr>
        <w:t>e</w:t>
      </w:r>
      <w:r w:rsidR="00902157" w:rsidRPr="000578FE">
        <w:rPr>
          <w:rFonts w:ascii="Times New Roman" w:eastAsia="Times New Roman" w:hAnsi="Times New Roman" w:cs="Times New Roman"/>
          <w:i w:val="0"/>
          <w:color w:val="auto"/>
          <w:lang w:eastAsia="sk-SK"/>
        </w:rPr>
        <w:t xml:space="preserve"> politick</w:t>
      </w:r>
      <w:r w:rsidRPr="000578FE">
        <w:rPr>
          <w:rFonts w:ascii="Times New Roman" w:eastAsia="Times New Roman" w:hAnsi="Times New Roman" w:cs="Times New Roman"/>
          <w:i w:val="0"/>
          <w:color w:val="auto"/>
          <w:lang w:eastAsia="sk-SK"/>
        </w:rPr>
        <w:t>é</w:t>
      </w:r>
      <w:r w:rsidR="00902157" w:rsidRPr="000578FE">
        <w:rPr>
          <w:rFonts w:ascii="Times New Roman" w:eastAsia="Times New Roman" w:hAnsi="Times New Roman" w:cs="Times New Roman"/>
          <w:i w:val="0"/>
          <w:color w:val="auto"/>
          <w:lang w:eastAsia="sk-SK"/>
        </w:rPr>
        <w:t xml:space="preserve"> opatrenia prijat</w:t>
      </w:r>
      <w:r w:rsidRPr="000578FE">
        <w:rPr>
          <w:rFonts w:ascii="Times New Roman" w:eastAsia="Times New Roman" w:hAnsi="Times New Roman" w:cs="Times New Roman"/>
          <w:i w:val="0"/>
          <w:color w:val="auto"/>
          <w:lang w:eastAsia="sk-SK"/>
        </w:rPr>
        <w:t>é</w:t>
      </w:r>
      <w:r w:rsidR="00902157" w:rsidRPr="000578FE">
        <w:rPr>
          <w:rFonts w:ascii="Times New Roman" w:eastAsia="Times New Roman" w:hAnsi="Times New Roman" w:cs="Times New Roman"/>
          <w:i w:val="0"/>
          <w:color w:val="auto"/>
          <w:lang w:eastAsia="sk-SK"/>
        </w:rPr>
        <w:t xml:space="preserve"> na účely uplatňovania </w:t>
      </w:r>
      <w:r w:rsidR="00EA4F55">
        <w:rPr>
          <w:rFonts w:ascii="Times New Roman" w:eastAsia="Times New Roman" w:hAnsi="Times New Roman" w:cs="Times New Roman"/>
          <w:i w:val="0"/>
          <w:color w:val="auto"/>
          <w:lang w:eastAsia="sk-SK"/>
        </w:rPr>
        <w:t xml:space="preserve">čl. </w:t>
      </w:r>
      <w:r w:rsidR="00902157" w:rsidRPr="000578FE">
        <w:rPr>
          <w:rFonts w:ascii="Times New Roman" w:eastAsia="Times New Roman" w:hAnsi="Times New Roman" w:cs="Times New Roman"/>
          <w:i w:val="0"/>
          <w:color w:val="auto"/>
          <w:lang w:eastAsia="sk-SK"/>
        </w:rPr>
        <w:t>7 ods. 9 a</w:t>
      </w:r>
      <w:r w:rsidR="00EA4F55">
        <w:rPr>
          <w:rFonts w:ascii="Times New Roman" w:eastAsia="Times New Roman" w:hAnsi="Times New Roman" w:cs="Times New Roman"/>
          <w:i w:val="0"/>
          <w:color w:val="auto"/>
          <w:lang w:eastAsia="sk-SK"/>
        </w:rPr>
        <w:t> </w:t>
      </w:r>
      <w:r w:rsidR="00902157" w:rsidRPr="000578FE">
        <w:rPr>
          <w:rFonts w:ascii="Times New Roman" w:eastAsia="Times New Roman" w:hAnsi="Times New Roman" w:cs="Times New Roman"/>
          <w:i w:val="0"/>
          <w:color w:val="auto"/>
          <w:lang w:eastAsia="sk-SK"/>
        </w:rPr>
        <w:t>čl</w:t>
      </w:r>
      <w:r w:rsidR="00EA4F55">
        <w:rPr>
          <w:rFonts w:ascii="Times New Roman" w:eastAsia="Times New Roman" w:hAnsi="Times New Roman" w:cs="Times New Roman"/>
          <w:i w:val="0"/>
          <w:color w:val="auto"/>
          <w:lang w:eastAsia="sk-SK"/>
        </w:rPr>
        <w:t>.</w:t>
      </w:r>
      <w:r w:rsidR="00902157" w:rsidRPr="000578FE">
        <w:rPr>
          <w:rFonts w:ascii="Times New Roman" w:eastAsia="Times New Roman" w:hAnsi="Times New Roman" w:cs="Times New Roman"/>
          <w:i w:val="0"/>
          <w:color w:val="auto"/>
          <w:lang w:eastAsia="sk-SK"/>
        </w:rPr>
        <w:t xml:space="preserve"> 20 ods. 6</w:t>
      </w:r>
      <w:bookmarkEnd w:id="72"/>
    </w:p>
    <w:p w14:paraId="0D309D00" w14:textId="77777777" w:rsidR="00EA4F55" w:rsidRDefault="00EA4F55" w:rsidP="00902157">
      <w:pPr>
        <w:jc w:val="both"/>
        <w:rPr>
          <w:rFonts w:ascii="Times New Roman" w:hAnsi="Times New Roman" w:cs="Times New Roman"/>
          <w:sz w:val="24"/>
          <w:szCs w:val="24"/>
          <w:lang w:eastAsia="sk-SK"/>
        </w:rPr>
      </w:pPr>
    </w:p>
    <w:p w14:paraId="7FC7F5B5" w14:textId="46823B7A" w:rsidR="00154BA0" w:rsidRPr="000745A8" w:rsidRDefault="00154BA0" w:rsidP="00902157">
      <w:pPr>
        <w:jc w:val="both"/>
        <w:rPr>
          <w:rFonts w:ascii="Times New Roman" w:hAnsi="Times New Roman" w:cs="Times New Roman"/>
          <w:sz w:val="24"/>
          <w:szCs w:val="24"/>
          <w:lang w:eastAsia="sk-SK"/>
        </w:rPr>
      </w:pPr>
      <w:r w:rsidRPr="000745A8">
        <w:rPr>
          <w:rFonts w:ascii="Times New Roman" w:hAnsi="Times New Roman" w:cs="Times New Roman"/>
          <w:sz w:val="24"/>
          <w:szCs w:val="24"/>
          <w:lang w:eastAsia="sk-SK"/>
        </w:rPr>
        <w:t>Na účely dosahovania úspor energie podľa čl. 7 smernice sú aplikované alternatívne politické opatrenia.</w:t>
      </w:r>
    </w:p>
    <w:p w14:paraId="5438F79C" w14:textId="77777777" w:rsidR="00154BA0" w:rsidRPr="000745A8" w:rsidRDefault="00154BA0" w:rsidP="00154BA0">
      <w:pPr>
        <w:jc w:val="both"/>
        <w:rPr>
          <w:rFonts w:ascii="Times New Roman" w:hAnsi="Times New Roman" w:cs="Times New Roman"/>
          <w:sz w:val="24"/>
          <w:szCs w:val="24"/>
        </w:rPr>
      </w:pPr>
      <w:r w:rsidRPr="000745A8">
        <w:rPr>
          <w:rFonts w:ascii="Times New Roman" w:hAnsi="Times New Roman" w:cs="Times New Roman"/>
          <w:sz w:val="24"/>
          <w:szCs w:val="24"/>
        </w:rPr>
        <w:t xml:space="preserve">Uplatnenie politických opatrení bude prehodnotené v roku 2017 na základe vyhodnotenia uplatňovania opatrení zameraných na úsporu energie v rokoch 2014 až 2016, t. j. pri vyhodnotení opatrení tohto akčného plánu, a ich príspevku k cieľom úspor energie do roku 2020. </w:t>
      </w:r>
    </w:p>
    <w:p w14:paraId="5A5C5DF3" w14:textId="2949AE54" w:rsidR="00902157" w:rsidRPr="000745A8" w:rsidRDefault="00902157" w:rsidP="00902157">
      <w:pPr>
        <w:jc w:val="both"/>
        <w:rPr>
          <w:rFonts w:ascii="Times New Roman" w:hAnsi="Times New Roman" w:cs="Times New Roman"/>
          <w:sz w:val="24"/>
          <w:szCs w:val="24"/>
        </w:rPr>
      </w:pPr>
      <w:r w:rsidRPr="000745A8">
        <w:rPr>
          <w:rFonts w:ascii="Times New Roman" w:hAnsi="Times New Roman" w:cs="Times New Roman"/>
          <w:sz w:val="24"/>
          <w:szCs w:val="24"/>
        </w:rPr>
        <w:t>Opatrenia energetickej efektívnosti, ktoré prispievajú k plneniu cieľa vyplývajúceho z článku 7 predmetnej smernice (tzv. alternatívne opatrenia) sú pre jednotlivé sektory vyznačené v tabuľkách na roky 2014-2016 (</w:t>
      </w:r>
      <w:r w:rsidR="003A4236" w:rsidRPr="000745A8">
        <w:rPr>
          <w:rFonts w:ascii="Times New Roman" w:hAnsi="Times New Roman" w:cs="Times New Roman"/>
          <w:sz w:val="24"/>
          <w:szCs w:val="24"/>
        </w:rPr>
        <w:t>p</w:t>
      </w:r>
      <w:r w:rsidR="006816FD" w:rsidRPr="000745A8">
        <w:rPr>
          <w:rFonts w:ascii="Times New Roman" w:hAnsi="Times New Roman" w:cs="Times New Roman"/>
          <w:sz w:val="24"/>
          <w:szCs w:val="24"/>
        </w:rPr>
        <w:t xml:space="preserve">ríloha č. 1) a 2017-2020 </w:t>
      </w:r>
      <w:r w:rsidR="00654604" w:rsidRPr="000745A8">
        <w:rPr>
          <w:rFonts w:ascii="Times New Roman" w:hAnsi="Times New Roman" w:cs="Times New Roman"/>
          <w:sz w:val="24"/>
          <w:szCs w:val="24"/>
        </w:rPr>
        <w:t>(</w:t>
      </w:r>
      <w:r w:rsidR="003A4236" w:rsidRPr="000745A8">
        <w:rPr>
          <w:rFonts w:ascii="Times New Roman" w:hAnsi="Times New Roman" w:cs="Times New Roman"/>
          <w:sz w:val="24"/>
          <w:szCs w:val="24"/>
        </w:rPr>
        <w:t>p</w:t>
      </w:r>
      <w:r w:rsidR="00654604" w:rsidRPr="000745A8">
        <w:rPr>
          <w:rFonts w:ascii="Times New Roman" w:hAnsi="Times New Roman" w:cs="Times New Roman"/>
          <w:sz w:val="24"/>
          <w:szCs w:val="24"/>
        </w:rPr>
        <w:t>ríloha č. 2).</w:t>
      </w:r>
      <w:r w:rsidRPr="000745A8">
        <w:rPr>
          <w:rFonts w:ascii="Times New Roman" w:hAnsi="Times New Roman" w:cs="Times New Roman"/>
          <w:sz w:val="24"/>
          <w:szCs w:val="24"/>
        </w:rPr>
        <w:t xml:space="preserve"> </w:t>
      </w:r>
    </w:p>
    <w:p w14:paraId="248D0866" w14:textId="77777777" w:rsidR="00902157" w:rsidRPr="000745A8" w:rsidRDefault="00902157" w:rsidP="00902157">
      <w:pPr>
        <w:spacing w:after="60"/>
        <w:jc w:val="both"/>
        <w:rPr>
          <w:rFonts w:ascii="Times New Roman" w:hAnsi="Times New Roman" w:cs="Times New Roman"/>
          <w:sz w:val="24"/>
          <w:szCs w:val="24"/>
        </w:rPr>
      </w:pPr>
      <w:r w:rsidRPr="000745A8">
        <w:rPr>
          <w:rFonts w:ascii="Times New Roman" w:hAnsi="Times New Roman" w:cs="Times New Roman"/>
          <w:sz w:val="24"/>
          <w:szCs w:val="24"/>
        </w:rPr>
        <w:t xml:space="preserve">Medzi najvýznamnejšie politické opatrenia energetickej efektívnosti, ktoré prispievajú k plneniu cieľa podľa čl. 7 smernice 2012/27/EÚ patria: </w:t>
      </w:r>
    </w:p>
    <w:p w14:paraId="5187F1B8" w14:textId="77777777" w:rsidR="00902157" w:rsidRPr="000745A8" w:rsidRDefault="00902157" w:rsidP="008F19ED">
      <w:pPr>
        <w:pStyle w:val="Odsekzoznamu"/>
        <w:numPr>
          <w:ilvl w:val="0"/>
          <w:numId w:val="3"/>
        </w:numPr>
        <w:spacing w:after="200" w:line="276" w:lineRule="auto"/>
        <w:rPr>
          <w:rFonts w:ascii="Times New Roman" w:hAnsi="Times New Roman" w:cs="Times New Roman"/>
          <w:sz w:val="24"/>
          <w:szCs w:val="24"/>
        </w:rPr>
      </w:pPr>
      <w:r w:rsidRPr="000745A8">
        <w:rPr>
          <w:rFonts w:ascii="Times New Roman" w:hAnsi="Times New Roman" w:cs="Times New Roman"/>
          <w:sz w:val="24"/>
          <w:szCs w:val="24"/>
        </w:rPr>
        <w:lastRenderedPageBreak/>
        <w:t>Povinnosti v oblasti energetickej efektívnosti ustanovené všeobecne záväznými právnymi predpismi nad rámec povinností vyžadovaných EÚ predpismi</w:t>
      </w:r>
    </w:p>
    <w:p w14:paraId="6750F051" w14:textId="77777777" w:rsidR="00902157" w:rsidRPr="000745A8" w:rsidRDefault="00902157" w:rsidP="008F19ED">
      <w:pPr>
        <w:pStyle w:val="Odsekzoznamu"/>
        <w:numPr>
          <w:ilvl w:val="0"/>
          <w:numId w:val="3"/>
        </w:numPr>
        <w:spacing w:after="200" w:line="276" w:lineRule="auto"/>
        <w:rPr>
          <w:rFonts w:ascii="Times New Roman" w:hAnsi="Times New Roman" w:cs="Times New Roman"/>
          <w:sz w:val="24"/>
          <w:szCs w:val="24"/>
        </w:rPr>
      </w:pPr>
      <w:r w:rsidRPr="000745A8">
        <w:rPr>
          <w:rFonts w:ascii="Times New Roman" w:hAnsi="Times New Roman" w:cs="Times New Roman"/>
          <w:sz w:val="24"/>
          <w:szCs w:val="24"/>
        </w:rPr>
        <w:t>Operačný program Konkurencieschopnosť a hospodársky rast, ŠF 2007-2013</w:t>
      </w:r>
    </w:p>
    <w:p w14:paraId="2720306A" w14:textId="77777777" w:rsidR="00902157" w:rsidRPr="000745A8" w:rsidRDefault="00902157" w:rsidP="008F19ED">
      <w:pPr>
        <w:pStyle w:val="Odsekzoznamu"/>
        <w:numPr>
          <w:ilvl w:val="0"/>
          <w:numId w:val="3"/>
        </w:numPr>
        <w:spacing w:after="200" w:line="276" w:lineRule="auto"/>
        <w:rPr>
          <w:rFonts w:ascii="Times New Roman" w:hAnsi="Times New Roman" w:cs="Times New Roman"/>
          <w:sz w:val="24"/>
          <w:szCs w:val="24"/>
        </w:rPr>
      </w:pPr>
      <w:r w:rsidRPr="000745A8">
        <w:rPr>
          <w:rFonts w:ascii="Times New Roman" w:hAnsi="Times New Roman" w:cs="Times New Roman"/>
          <w:sz w:val="24"/>
          <w:szCs w:val="24"/>
        </w:rPr>
        <w:t>Operačný program zdravotníctvo, ŠF 2007-2013</w:t>
      </w:r>
    </w:p>
    <w:p w14:paraId="18EE15F2" w14:textId="77777777" w:rsidR="00902157" w:rsidRPr="000745A8" w:rsidRDefault="00902157" w:rsidP="008F19ED">
      <w:pPr>
        <w:pStyle w:val="Odsekzoznamu"/>
        <w:numPr>
          <w:ilvl w:val="0"/>
          <w:numId w:val="3"/>
        </w:numPr>
        <w:spacing w:after="200" w:line="276" w:lineRule="auto"/>
        <w:rPr>
          <w:rFonts w:ascii="Times New Roman" w:hAnsi="Times New Roman" w:cs="Times New Roman"/>
          <w:sz w:val="24"/>
          <w:szCs w:val="24"/>
        </w:rPr>
      </w:pPr>
      <w:r w:rsidRPr="000745A8">
        <w:rPr>
          <w:rFonts w:ascii="Times New Roman" w:hAnsi="Times New Roman" w:cs="Times New Roman"/>
          <w:sz w:val="24"/>
          <w:szCs w:val="24"/>
        </w:rPr>
        <w:t>Operačný program doprava, ŠF 2007-2013</w:t>
      </w:r>
    </w:p>
    <w:p w14:paraId="00CCAAAD" w14:textId="77777777" w:rsidR="00902157" w:rsidRPr="000745A8" w:rsidRDefault="00902157" w:rsidP="008F19ED">
      <w:pPr>
        <w:pStyle w:val="Odsekzoznamu"/>
        <w:numPr>
          <w:ilvl w:val="0"/>
          <w:numId w:val="3"/>
        </w:numPr>
        <w:spacing w:after="200" w:line="276" w:lineRule="auto"/>
        <w:rPr>
          <w:rFonts w:ascii="Times New Roman" w:hAnsi="Times New Roman" w:cs="Times New Roman"/>
          <w:sz w:val="24"/>
          <w:szCs w:val="24"/>
        </w:rPr>
      </w:pPr>
      <w:r w:rsidRPr="000745A8">
        <w:rPr>
          <w:rFonts w:ascii="Times New Roman" w:hAnsi="Times New Roman" w:cs="Times New Roman"/>
          <w:sz w:val="24"/>
          <w:szCs w:val="24"/>
        </w:rPr>
        <w:t>Regionálny operačný program, ŠF 2007-2013</w:t>
      </w:r>
    </w:p>
    <w:p w14:paraId="46BC6672" w14:textId="77777777" w:rsidR="00902157" w:rsidRPr="000745A8" w:rsidRDefault="00902157" w:rsidP="008F19ED">
      <w:pPr>
        <w:pStyle w:val="Odsekzoznamu"/>
        <w:numPr>
          <w:ilvl w:val="0"/>
          <w:numId w:val="3"/>
        </w:numPr>
        <w:spacing w:after="200" w:line="276" w:lineRule="auto"/>
        <w:rPr>
          <w:rFonts w:ascii="Times New Roman" w:hAnsi="Times New Roman" w:cs="Times New Roman"/>
          <w:sz w:val="24"/>
          <w:szCs w:val="24"/>
        </w:rPr>
      </w:pPr>
      <w:r w:rsidRPr="000745A8">
        <w:rPr>
          <w:rFonts w:ascii="Times New Roman" w:hAnsi="Times New Roman" w:cs="Times New Roman"/>
          <w:sz w:val="24"/>
          <w:szCs w:val="24"/>
        </w:rPr>
        <w:t>Operačný program výskum a vývoj, ŠF 2007-2013</w:t>
      </w:r>
    </w:p>
    <w:p w14:paraId="44B2F4B6" w14:textId="77777777" w:rsidR="00902157" w:rsidRPr="000745A8" w:rsidRDefault="00902157" w:rsidP="008F19ED">
      <w:pPr>
        <w:pStyle w:val="Odsekzoznamu"/>
        <w:numPr>
          <w:ilvl w:val="0"/>
          <w:numId w:val="3"/>
        </w:numPr>
        <w:spacing w:after="200" w:line="276" w:lineRule="auto"/>
        <w:rPr>
          <w:rFonts w:ascii="Times New Roman" w:hAnsi="Times New Roman" w:cs="Times New Roman"/>
          <w:sz w:val="24"/>
          <w:szCs w:val="24"/>
        </w:rPr>
      </w:pPr>
      <w:r w:rsidRPr="000745A8">
        <w:rPr>
          <w:rFonts w:ascii="Times New Roman" w:hAnsi="Times New Roman" w:cs="Times New Roman"/>
          <w:sz w:val="24"/>
          <w:szCs w:val="24"/>
        </w:rPr>
        <w:t xml:space="preserve">ŠFRB - Zatepľovanie bytovej budovy </w:t>
      </w:r>
    </w:p>
    <w:p w14:paraId="2062D27F" w14:textId="77777777" w:rsidR="00902157" w:rsidRPr="000745A8" w:rsidRDefault="00902157" w:rsidP="008F19ED">
      <w:pPr>
        <w:pStyle w:val="Odsekzoznamu"/>
        <w:numPr>
          <w:ilvl w:val="0"/>
          <w:numId w:val="3"/>
        </w:numPr>
        <w:spacing w:after="200" w:line="276" w:lineRule="auto"/>
        <w:rPr>
          <w:rFonts w:ascii="Times New Roman" w:hAnsi="Times New Roman" w:cs="Times New Roman"/>
          <w:sz w:val="24"/>
          <w:szCs w:val="24"/>
        </w:rPr>
      </w:pPr>
      <w:r w:rsidRPr="000745A8">
        <w:rPr>
          <w:rFonts w:ascii="Times New Roman" w:hAnsi="Times New Roman" w:cs="Times New Roman"/>
          <w:sz w:val="24"/>
          <w:szCs w:val="24"/>
        </w:rPr>
        <w:t>Operačný program Kvalita životného prostredia, EŠIF 2014-2020</w:t>
      </w:r>
    </w:p>
    <w:p w14:paraId="0A320697" w14:textId="77777777" w:rsidR="00902157" w:rsidRPr="000745A8" w:rsidRDefault="00902157" w:rsidP="008F19ED">
      <w:pPr>
        <w:pStyle w:val="Odsekzoznamu"/>
        <w:numPr>
          <w:ilvl w:val="0"/>
          <w:numId w:val="3"/>
        </w:numPr>
        <w:spacing w:after="200" w:line="276" w:lineRule="auto"/>
        <w:rPr>
          <w:rFonts w:ascii="Times New Roman" w:hAnsi="Times New Roman" w:cs="Times New Roman"/>
          <w:sz w:val="24"/>
          <w:szCs w:val="24"/>
        </w:rPr>
      </w:pPr>
      <w:r w:rsidRPr="000745A8">
        <w:rPr>
          <w:rFonts w:ascii="Times New Roman" w:hAnsi="Times New Roman" w:cs="Times New Roman"/>
          <w:sz w:val="24"/>
          <w:szCs w:val="24"/>
        </w:rPr>
        <w:t>ŠFRB - Zatepľovanie bytovej budovy z prostriedkov EÚ - Integrovaný operačný program EŠIF 2014-2020</w:t>
      </w:r>
    </w:p>
    <w:p w14:paraId="3C338807" w14:textId="77777777" w:rsidR="00902157" w:rsidRPr="000745A8" w:rsidRDefault="00902157" w:rsidP="008F19ED">
      <w:pPr>
        <w:pStyle w:val="Odsekzoznamu"/>
        <w:numPr>
          <w:ilvl w:val="0"/>
          <w:numId w:val="3"/>
        </w:numPr>
        <w:spacing w:after="200" w:line="276" w:lineRule="auto"/>
        <w:rPr>
          <w:rFonts w:ascii="Times New Roman" w:hAnsi="Times New Roman" w:cs="Times New Roman"/>
          <w:sz w:val="24"/>
          <w:szCs w:val="24"/>
        </w:rPr>
      </w:pPr>
      <w:r w:rsidRPr="000745A8">
        <w:rPr>
          <w:rFonts w:ascii="Times New Roman" w:hAnsi="Times New Roman" w:cs="Times New Roman"/>
          <w:sz w:val="24"/>
          <w:szCs w:val="24"/>
        </w:rPr>
        <w:t>Operačný program integrovaná infraštruktúra, EŠIF 2014-2020</w:t>
      </w:r>
    </w:p>
    <w:p w14:paraId="1FF63EB9" w14:textId="77777777" w:rsidR="00902157" w:rsidRPr="000745A8" w:rsidRDefault="00902157" w:rsidP="008F19ED">
      <w:pPr>
        <w:pStyle w:val="Odsekzoznamu"/>
        <w:numPr>
          <w:ilvl w:val="0"/>
          <w:numId w:val="3"/>
        </w:numPr>
        <w:spacing w:after="200" w:line="276" w:lineRule="auto"/>
        <w:rPr>
          <w:rFonts w:ascii="Times New Roman" w:hAnsi="Times New Roman" w:cs="Times New Roman"/>
          <w:sz w:val="24"/>
          <w:szCs w:val="24"/>
        </w:rPr>
      </w:pPr>
      <w:r w:rsidRPr="000745A8">
        <w:rPr>
          <w:rFonts w:ascii="Times New Roman" w:hAnsi="Times New Roman" w:cs="Times New Roman"/>
          <w:sz w:val="24"/>
          <w:szCs w:val="24"/>
        </w:rPr>
        <w:t>Integrovaný regionálny operačný program, EŠIF 2014 -2020</w:t>
      </w:r>
    </w:p>
    <w:p w14:paraId="44D1124D" w14:textId="046A254D" w:rsidR="00902157" w:rsidRPr="000745A8" w:rsidRDefault="00F70FE0" w:rsidP="008F19ED">
      <w:pPr>
        <w:pStyle w:val="Odsekzoznamu"/>
        <w:numPr>
          <w:ilvl w:val="0"/>
          <w:numId w:val="3"/>
        </w:numPr>
        <w:spacing w:after="200" w:line="276" w:lineRule="auto"/>
        <w:rPr>
          <w:rFonts w:ascii="Times New Roman" w:hAnsi="Times New Roman" w:cs="Times New Roman"/>
          <w:sz w:val="24"/>
          <w:szCs w:val="24"/>
        </w:rPr>
      </w:pPr>
      <w:r w:rsidRPr="000745A8">
        <w:rPr>
          <w:rFonts w:ascii="Times New Roman" w:hAnsi="Times New Roman" w:cs="Times New Roman"/>
          <w:sz w:val="24"/>
          <w:szCs w:val="24"/>
        </w:rPr>
        <w:t>Zelený program Slovseff III</w:t>
      </w:r>
      <w:r w:rsidR="00154BA0" w:rsidRPr="000745A8">
        <w:rPr>
          <w:rFonts w:ascii="Times New Roman" w:hAnsi="Times New Roman" w:cs="Times New Roman"/>
          <w:sz w:val="24"/>
          <w:szCs w:val="24"/>
        </w:rPr>
        <w:t>.</w:t>
      </w:r>
    </w:p>
    <w:p w14:paraId="3F896F89" w14:textId="63B4663C" w:rsidR="00AA4C5B" w:rsidRDefault="00F70FE0" w:rsidP="00AA4C5B">
      <w:pPr>
        <w:pStyle w:val="Odsekzoznamu"/>
        <w:numPr>
          <w:ilvl w:val="0"/>
          <w:numId w:val="3"/>
        </w:numPr>
        <w:spacing w:after="200" w:line="276" w:lineRule="auto"/>
        <w:rPr>
          <w:rFonts w:ascii="Times New Roman" w:hAnsi="Times New Roman" w:cs="Times New Roman"/>
          <w:sz w:val="24"/>
          <w:szCs w:val="24"/>
        </w:rPr>
      </w:pPr>
      <w:r w:rsidRPr="000745A8">
        <w:rPr>
          <w:rFonts w:ascii="Times New Roman" w:hAnsi="Times New Roman" w:cs="Times New Roman"/>
          <w:sz w:val="24"/>
          <w:szCs w:val="24"/>
        </w:rPr>
        <w:t>Dobrovoľná dohoda</w:t>
      </w:r>
      <w:r w:rsidR="00206BE1">
        <w:rPr>
          <w:rFonts w:ascii="Times New Roman" w:hAnsi="Times New Roman" w:cs="Times New Roman"/>
          <w:sz w:val="24"/>
          <w:szCs w:val="24"/>
        </w:rPr>
        <w:t>.</w:t>
      </w:r>
    </w:p>
    <w:p w14:paraId="3108C72D" w14:textId="3A6B0054" w:rsidR="00AA4C5B" w:rsidRPr="009F2998" w:rsidRDefault="00206BE1">
      <w:pPr>
        <w:rPr>
          <w:rFonts w:ascii="Times New Roman" w:hAnsi="Times New Roman" w:cs="Times New Roman"/>
        </w:rPr>
      </w:pPr>
      <w:r>
        <w:rPr>
          <w:rFonts w:ascii="Times New Roman" w:hAnsi="Times New Roman" w:cs="Times New Roman"/>
          <w:sz w:val="24"/>
          <w:szCs w:val="24"/>
        </w:rPr>
        <w:t xml:space="preserve">Tabuľka č. 11: </w:t>
      </w:r>
      <w:r w:rsidRPr="009F2998">
        <w:rPr>
          <w:rFonts w:ascii="Times New Roman" w:hAnsi="Times New Roman" w:cs="Times New Roman"/>
        </w:rPr>
        <w:t>Prehľad najvýznamnejších politických opatrení pre plnenie cieľa čl. 7 smernice 2012/27/EÚ</w:t>
      </w:r>
    </w:p>
    <w:tbl>
      <w:tblPr>
        <w:tblStyle w:val="Mriekatabuky"/>
        <w:tblW w:w="5000" w:type="pct"/>
        <w:tblLook w:val="04A0" w:firstRow="1" w:lastRow="0" w:firstColumn="1" w:lastColumn="0" w:noHBand="0" w:noVBand="1"/>
      </w:tblPr>
      <w:tblGrid>
        <w:gridCol w:w="2485"/>
        <w:gridCol w:w="6577"/>
      </w:tblGrid>
      <w:tr w:rsidR="00902157" w:rsidRPr="009F2998" w14:paraId="3C3FAA35" w14:textId="77777777" w:rsidTr="003E73B5">
        <w:trPr>
          <w:tblHeader/>
        </w:trPr>
        <w:tc>
          <w:tcPr>
            <w:tcW w:w="1371" w:type="pct"/>
            <w:shd w:val="pct20" w:color="auto" w:fill="auto"/>
            <w:vAlign w:val="center"/>
          </w:tcPr>
          <w:p w14:paraId="1688AC85" w14:textId="77777777" w:rsidR="00902157" w:rsidRPr="009F2998" w:rsidRDefault="00902157" w:rsidP="00EE18EC">
            <w:pPr>
              <w:ind w:left="360"/>
              <w:jc w:val="center"/>
              <w:rPr>
                <w:rFonts w:ascii="Times New Roman" w:hAnsi="Times New Roman" w:cs="Times New Roman"/>
                <w:b/>
                <w:sz w:val="18"/>
                <w:szCs w:val="18"/>
              </w:rPr>
            </w:pPr>
            <w:r w:rsidRPr="009F2998">
              <w:rPr>
                <w:rFonts w:ascii="Times New Roman" w:hAnsi="Times New Roman" w:cs="Times New Roman"/>
                <w:b/>
                <w:sz w:val="18"/>
                <w:szCs w:val="18"/>
              </w:rPr>
              <w:t>Zdroj financovania</w:t>
            </w:r>
          </w:p>
        </w:tc>
        <w:tc>
          <w:tcPr>
            <w:tcW w:w="3629" w:type="pct"/>
            <w:shd w:val="pct20" w:color="auto" w:fill="auto"/>
            <w:vAlign w:val="center"/>
          </w:tcPr>
          <w:p w14:paraId="144F2450" w14:textId="77777777" w:rsidR="00902157" w:rsidRPr="009F2998" w:rsidRDefault="00902157" w:rsidP="00EE18EC">
            <w:pPr>
              <w:jc w:val="center"/>
              <w:rPr>
                <w:rFonts w:ascii="Times New Roman" w:hAnsi="Times New Roman" w:cs="Times New Roman"/>
                <w:b/>
                <w:sz w:val="18"/>
                <w:szCs w:val="18"/>
              </w:rPr>
            </w:pPr>
          </w:p>
          <w:p w14:paraId="3B30DB2B" w14:textId="77777777" w:rsidR="00902157" w:rsidRPr="009F2998" w:rsidRDefault="00902157" w:rsidP="00EE18EC">
            <w:pPr>
              <w:jc w:val="center"/>
              <w:rPr>
                <w:rFonts w:ascii="Times New Roman" w:hAnsi="Times New Roman" w:cs="Times New Roman"/>
                <w:b/>
                <w:sz w:val="18"/>
                <w:szCs w:val="18"/>
              </w:rPr>
            </w:pPr>
            <w:r w:rsidRPr="009F2998">
              <w:rPr>
                <w:rFonts w:ascii="Times New Roman" w:hAnsi="Times New Roman" w:cs="Times New Roman"/>
                <w:b/>
                <w:sz w:val="18"/>
                <w:szCs w:val="18"/>
              </w:rPr>
              <w:t>Opatrenia</w:t>
            </w:r>
          </w:p>
          <w:p w14:paraId="5C54CCBF" w14:textId="77777777" w:rsidR="00902157" w:rsidRPr="009F2998" w:rsidRDefault="00902157" w:rsidP="00EE18EC">
            <w:pPr>
              <w:jc w:val="center"/>
              <w:rPr>
                <w:rFonts w:ascii="Times New Roman" w:hAnsi="Times New Roman" w:cs="Times New Roman"/>
                <w:b/>
                <w:sz w:val="18"/>
                <w:szCs w:val="18"/>
              </w:rPr>
            </w:pPr>
          </w:p>
        </w:tc>
      </w:tr>
      <w:tr w:rsidR="00902157" w:rsidRPr="009F2998" w14:paraId="02462E96" w14:textId="77777777" w:rsidTr="003E73B5">
        <w:tc>
          <w:tcPr>
            <w:tcW w:w="1371" w:type="pct"/>
          </w:tcPr>
          <w:p w14:paraId="71717F87" w14:textId="77777777" w:rsidR="00902157" w:rsidRPr="009F2998" w:rsidRDefault="00902157" w:rsidP="00EE18EC">
            <w:pPr>
              <w:rPr>
                <w:rFonts w:ascii="Times New Roman" w:hAnsi="Times New Roman" w:cs="Times New Roman"/>
                <w:sz w:val="18"/>
                <w:szCs w:val="18"/>
              </w:rPr>
            </w:pPr>
            <w:r w:rsidRPr="009F2998">
              <w:rPr>
                <w:rFonts w:ascii="Times New Roman" w:hAnsi="Times New Roman" w:cs="Times New Roman"/>
                <w:sz w:val="18"/>
                <w:szCs w:val="18"/>
              </w:rPr>
              <w:t>Vlastné zdroje povinných subjektov</w:t>
            </w:r>
          </w:p>
        </w:tc>
        <w:tc>
          <w:tcPr>
            <w:tcW w:w="3629" w:type="pct"/>
          </w:tcPr>
          <w:p w14:paraId="2A365ACD" w14:textId="77777777"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Povinné energetické audity pre priemyselné a poľnohospodárske podniky s ročnou  spotrebou energie viac ako 2500 (5000) MWh do 31.12.2011 (2013)</w:t>
            </w:r>
          </w:p>
        </w:tc>
      </w:tr>
      <w:tr w:rsidR="00902157" w:rsidRPr="009F2998" w14:paraId="18684D5E" w14:textId="77777777" w:rsidTr="003E73B5">
        <w:tc>
          <w:tcPr>
            <w:tcW w:w="1371" w:type="pct"/>
          </w:tcPr>
          <w:p w14:paraId="5975E83D" w14:textId="77777777" w:rsidR="00902157" w:rsidRPr="009F2998" w:rsidRDefault="00902157" w:rsidP="00EE18EC">
            <w:pPr>
              <w:rPr>
                <w:rFonts w:ascii="Times New Roman" w:hAnsi="Times New Roman" w:cs="Times New Roman"/>
                <w:sz w:val="18"/>
                <w:szCs w:val="18"/>
              </w:rPr>
            </w:pPr>
            <w:r w:rsidRPr="009F2998">
              <w:rPr>
                <w:rFonts w:ascii="Times New Roman" w:hAnsi="Times New Roman" w:cs="Times New Roman"/>
                <w:sz w:val="18"/>
                <w:szCs w:val="18"/>
              </w:rPr>
              <w:t>Vlastné zdroje povinných subjektov</w:t>
            </w:r>
          </w:p>
        </w:tc>
        <w:tc>
          <w:tcPr>
            <w:tcW w:w="3629" w:type="pct"/>
          </w:tcPr>
          <w:p w14:paraId="1B5B4B66" w14:textId="77777777"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Povinné hydraulické vyregulovanie rozvodov tepla a teplej vody vrátane opatrenia rozvodov teplej vody vhodnou tepelnou izoláciou pre budovy s celkovou podlahovou plochou väčšou ako 1000 m</w:t>
            </w:r>
            <w:r w:rsidRPr="009F2998">
              <w:rPr>
                <w:rFonts w:ascii="Times New Roman" w:hAnsi="Times New Roman" w:cs="Times New Roman"/>
                <w:sz w:val="18"/>
                <w:szCs w:val="18"/>
                <w:vertAlign w:val="superscript"/>
              </w:rPr>
              <w:t>2</w:t>
            </w:r>
            <w:r w:rsidRPr="009F2998">
              <w:rPr>
                <w:rFonts w:ascii="Times New Roman" w:hAnsi="Times New Roman" w:cs="Times New Roman"/>
                <w:sz w:val="18"/>
                <w:szCs w:val="18"/>
              </w:rPr>
              <w:t xml:space="preserve"> (zákon č. 476/2008 Z. z. a zákon č. 321/2014 Z. z. o energetickej efektívnosti)</w:t>
            </w:r>
          </w:p>
        </w:tc>
      </w:tr>
      <w:tr w:rsidR="00902157" w:rsidRPr="009F2998" w14:paraId="40C33597" w14:textId="77777777" w:rsidTr="003E73B5">
        <w:tc>
          <w:tcPr>
            <w:tcW w:w="1371" w:type="pct"/>
          </w:tcPr>
          <w:p w14:paraId="746CC34C" w14:textId="77777777" w:rsidR="00902157" w:rsidRPr="009F2998" w:rsidRDefault="00902157" w:rsidP="00EE18EC">
            <w:pPr>
              <w:rPr>
                <w:rFonts w:ascii="Times New Roman" w:hAnsi="Times New Roman" w:cs="Times New Roman"/>
                <w:sz w:val="18"/>
                <w:szCs w:val="18"/>
              </w:rPr>
            </w:pPr>
            <w:r w:rsidRPr="009F2998">
              <w:rPr>
                <w:rFonts w:ascii="Times New Roman" w:hAnsi="Times New Roman" w:cs="Times New Roman"/>
                <w:sz w:val="18"/>
                <w:szCs w:val="18"/>
              </w:rPr>
              <w:t>Vlastné zdroje povinných subjektov</w:t>
            </w:r>
          </w:p>
        </w:tc>
        <w:tc>
          <w:tcPr>
            <w:tcW w:w="3629" w:type="pct"/>
          </w:tcPr>
          <w:p w14:paraId="0B8D24A3" w14:textId="77777777" w:rsidR="00902157" w:rsidRPr="009F2998" w:rsidRDefault="00902157" w:rsidP="008F19ED">
            <w:pPr>
              <w:pStyle w:val="Odsekzoznamu"/>
              <w:numPr>
                <w:ilvl w:val="0"/>
                <w:numId w:val="4"/>
              </w:numPr>
              <w:autoSpaceDE w:val="0"/>
              <w:autoSpaceDN w:val="0"/>
              <w:adjustRightInd w:val="0"/>
              <w:ind w:left="176" w:hanging="127"/>
              <w:jc w:val="both"/>
              <w:rPr>
                <w:rFonts w:ascii="Times New Roman" w:hAnsi="Times New Roman" w:cs="Times New Roman"/>
                <w:color w:val="231F20"/>
                <w:sz w:val="19"/>
                <w:szCs w:val="19"/>
              </w:rPr>
            </w:pPr>
            <w:r w:rsidRPr="009F2998">
              <w:rPr>
                <w:rFonts w:ascii="Times New Roman" w:hAnsi="Times New Roman" w:cs="Times New Roman"/>
                <w:sz w:val="18"/>
                <w:szCs w:val="18"/>
              </w:rPr>
              <w:t>Povinnosť sledovať, vyhodnocovať a poskytovať údaje o spotrebe prevádzkovateľovi  monitorovacieho systému energetickej efektívnosti pre ústredné orgány štátnej správy, obce, vyššie územné celky, organizácie v ich zriaďovateľskej pôsobnosti a vlastníkov/správcov budov s celkovou podlahovou plochou väčšou ako 1000 m</w:t>
            </w:r>
            <w:r w:rsidRPr="009F2998">
              <w:rPr>
                <w:rFonts w:ascii="Times New Roman" w:hAnsi="Times New Roman" w:cs="Times New Roman"/>
                <w:sz w:val="18"/>
                <w:szCs w:val="18"/>
                <w:vertAlign w:val="superscript"/>
              </w:rPr>
              <w:t>2</w:t>
            </w:r>
            <w:r w:rsidRPr="009F2998">
              <w:rPr>
                <w:rFonts w:ascii="Times New Roman" w:hAnsi="Times New Roman" w:cs="Times New Roman"/>
                <w:sz w:val="18"/>
                <w:szCs w:val="18"/>
              </w:rPr>
              <w:t xml:space="preserve"> (zákon č. 476/2008 Z. z. a zákon č. 321/2014 Z. z. o energetickej efektívnosti)</w:t>
            </w:r>
          </w:p>
        </w:tc>
      </w:tr>
      <w:tr w:rsidR="00902157" w:rsidRPr="009F2998" w14:paraId="600FA2A1" w14:textId="77777777" w:rsidTr="003E73B5">
        <w:tc>
          <w:tcPr>
            <w:tcW w:w="1371" w:type="pct"/>
          </w:tcPr>
          <w:p w14:paraId="1BEBBA6C" w14:textId="77777777" w:rsidR="00902157" w:rsidRPr="009F2998" w:rsidRDefault="00902157" w:rsidP="00EE18EC">
            <w:pPr>
              <w:rPr>
                <w:rFonts w:ascii="Times New Roman" w:hAnsi="Times New Roman" w:cs="Times New Roman"/>
                <w:sz w:val="18"/>
                <w:szCs w:val="18"/>
              </w:rPr>
            </w:pPr>
            <w:r w:rsidRPr="009F2998">
              <w:rPr>
                <w:rFonts w:ascii="Times New Roman" w:hAnsi="Times New Roman" w:cs="Times New Roman"/>
                <w:sz w:val="18"/>
                <w:szCs w:val="18"/>
              </w:rPr>
              <w:t>Operačný program Konkurencieschopnosť a hospodársky rast, ŠF 2007-2013</w:t>
            </w:r>
          </w:p>
        </w:tc>
        <w:tc>
          <w:tcPr>
            <w:tcW w:w="3629" w:type="pct"/>
          </w:tcPr>
          <w:p w14:paraId="3D5B8F89" w14:textId="77777777"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Inovácie a technologické transfery v priemyselných podnikoch,</w:t>
            </w:r>
          </w:p>
          <w:p w14:paraId="7C9E4D7D" w14:textId="77777777"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Zvyšovanie energetickej efektívnosti priemyselnej výroby,</w:t>
            </w:r>
          </w:p>
        </w:tc>
      </w:tr>
      <w:tr w:rsidR="00902157" w:rsidRPr="009F2998" w14:paraId="0BB8A3E6" w14:textId="77777777" w:rsidTr="003E73B5">
        <w:tc>
          <w:tcPr>
            <w:tcW w:w="1371" w:type="pct"/>
          </w:tcPr>
          <w:p w14:paraId="52DEDBD2" w14:textId="77777777" w:rsidR="00902157" w:rsidRPr="009F2998" w:rsidRDefault="00902157" w:rsidP="00EE18EC">
            <w:pPr>
              <w:rPr>
                <w:rFonts w:ascii="Times New Roman" w:hAnsi="Times New Roman" w:cs="Times New Roman"/>
                <w:sz w:val="18"/>
                <w:szCs w:val="18"/>
              </w:rPr>
            </w:pPr>
            <w:r w:rsidRPr="009F2998">
              <w:rPr>
                <w:rFonts w:ascii="Times New Roman" w:hAnsi="Times New Roman" w:cs="Times New Roman"/>
                <w:sz w:val="18"/>
                <w:szCs w:val="18"/>
              </w:rPr>
              <w:t>Operačný program zdravotníctvo, ŠF 2007-2013</w:t>
            </w:r>
          </w:p>
        </w:tc>
        <w:tc>
          <w:tcPr>
            <w:tcW w:w="3629" w:type="pct"/>
          </w:tcPr>
          <w:p w14:paraId="4AA3DF41" w14:textId="6F5BE9B6"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Zlepšovanie tepelnotechnických vlastností budov nemocníc a zdravotníckych zariadení,</w:t>
            </w:r>
          </w:p>
        </w:tc>
      </w:tr>
      <w:tr w:rsidR="00902157" w:rsidRPr="009F2998" w14:paraId="23D913E5" w14:textId="77777777" w:rsidTr="003E73B5">
        <w:tc>
          <w:tcPr>
            <w:tcW w:w="1371" w:type="pct"/>
          </w:tcPr>
          <w:p w14:paraId="45745584" w14:textId="77777777" w:rsidR="00902157" w:rsidRPr="009F2998" w:rsidRDefault="00902157" w:rsidP="00EE18EC">
            <w:pPr>
              <w:rPr>
                <w:rFonts w:ascii="Times New Roman" w:hAnsi="Times New Roman" w:cs="Times New Roman"/>
                <w:sz w:val="18"/>
                <w:szCs w:val="18"/>
              </w:rPr>
            </w:pPr>
            <w:r w:rsidRPr="009F2998">
              <w:rPr>
                <w:rFonts w:ascii="Times New Roman" w:hAnsi="Times New Roman" w:cs="Times New Roman"/>
                <w:sz w:val="18"/>
                <w:szCs w:val="18"/>
              </w:rPr>
              <w:t>Operačný program doprava, ŠF 2007-2013</w:t>
            </w:r>
          </w:p>
        </w:tc>
        <w:tc>
          <w:tcPr>
            <w:tcW w:w="3629" w:type="pct"/>
          </w:tcPr>
          <w:p w14:paraId="1B01942E" w14:textId="77777777"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 xml:space="preserve">Obnova a modernizácia vozidlového parku, </w:t>
            </w:r>
          </w:p>
          <w:p w14:paraId="269E596B" w14:textId="77777777"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Budovanie a modernizácia dopravnej infraštruktúry,</w:t>
            </w:r>
          </w:p>
        </w:tc>
      </w:tr>
      <w:tr w:rsidR="00902157" w:rsidRPr="009F2998" w14:paraId="0775C13C" w14:textId="77777777" w:rsidTr="003E73B5">
        <w:tc>
          <w:tcPr>
            <w:tcW w:w="1371" w:type="pct"/>
          </w:tcPr>
          <w:p w14:paraId="59DD109B" w14:textId="77777777" w:rsidR="00902157" w:rsidRPr="009F2998" w:rsidRDefault="00902157" w:rsidP="00EE18EC">
            <w:pPr>
              <w:rPr>
                <w:rFonts w:ascii="Times New Roman" w:hAnsi="Times New Roman" w:cs="Times New Roman"/>
                <w:sz w:val="18"/>
                <w:szCs w:val="18"/>
              </w:rPr>
            </w:pPr>
            <w:r w:rsidRPr="009F2998">
              <w:rPr>
                <w:rFonts w:ascii="Times New Roman" w:hAnsi="Times New Roman" w:cs="Times New Roman"/>
                <w:sz w:val="18"/>
                <w:szCs w:val="18"/>
              </w:rPr>
              <w:t>Regionálny operačný program, ŠF 2007-2013</w:t>
            </w:r>
          </w:p>
        </w:tc>
        <w:tc>
          <w:tcPr>
            <w:tcW w:w="3629" w:type="pct"/>
          </w:tcPr>
          <w:p w14:paraId="10D2F10A" w14:textId="3421DEA8"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 xml:space="preserve">Zlepšovanie tepelnotechnických vlastností verejných budov - Školy a školské zariadenia, zariadenia sociálnych služieb, kultúrne zariadenia a i., </w:t>
            </w:r>
          </w:p>
        </w:tc>
      </w:tr>
      <w:tr w:rsidR="00902157" w:rsidRPr="009F2998" w14:paraId="521C8F30" w14:textId="77777777" w:rsidTr="003E73B5">
        <w:tc>
          <w:tcPr>
            <w:tcW w:w="1371" w:type="pct"/>
          </w:tcPr>
          <w:p w14:paraId="4B82E1E7" w14:textId="77777777" w:rsidR="00902157" w:rsidRPr="009F2998" w:rsidRDefault="00902157" w:rsidP="00EE18EC">
            <w:pPr>
              <w:rPr>
                <w:rFonts w:ascii="Times New Roman" w:hAnsi="Times New Roman" w:cs="Times New Roman"/>
                <w:sz w:val="18"/>
                <w:szCs w:val="18"/>
              </w:rPr>
            </w:pPr>
            <w:r w:rsidRPr="009F2998">
              <w:rPr>
                <w:rFonts w:ascii="Times New Roman" w:hAnsi="Times New Roman" w:cs="Times New Roman"/>
                <w:sz w:val="18"/>
                <w:szCs w:val="18"/>
              </w:rPr>
              <w:t>Operačný program výskum a vývoj, ŠF 2007-2013</w:t>
            </w:r>
          </w:p>
        </w:tc>
        <w:tc>
          <w:tcPr>
            <w:tcW w:w="3629" w:type="pct"/>
          </w:tcPr>
          <w:p w14:paraId="77214337" w14:textId="1267B078"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Zlepšovanie tepelnotechnických vlastností verejných budov - Školy a školské zariadenia,</w:t>
            </w:r>
          </w:p>
        </w:tc>
      </w:tr>
      <w:tr w:rsidR="00902157" w:rsidRPr="009F2998" w14:paraId="55733730" w14:textId="77777777" w:rsidTr="003E73B5">
        <w:tc>
          <w:tcPr>
            <w:tcW w:w="1371" w:type="pct"/>
          </w:tcPr>
          <w:p w14:paraId="2CAE082B" w14:textId="77777777" w:rsidR="00902157" w:rsidRPr="009F2998" w:rsidRDefault="00902157" w:rsidP="00EE18EC">
            <w:pPr>
              <w:rPr>
                <w:rFonts w:ascii="Times New Roman" w:hAnsi="Times New Roman" w:cs="Times New Roman"/>
                <w:sz w:val="18"/>
                <w:szCs w:val="18"/>
              </w:rPr>
            </w:pPr>
            <w:r w:rsidRPr="009F2998">
              <w:rPr>
                <w:rFonts w:ascii="Times New Roman" w:hAnsi="Times New Roman" w:cs="Times New Roman"/>
                <w:sz w:val="18"/>
                <w:szCs w:val="18"/>
              </w:rPr>
              <w:t xml:space="preserve">ŠFRB - Zatepľovanie bytovej budovy </w:t>
            </w:r>
          </w:p>
        </w:tc>
        <w:tc>
          <w:tcPr>
            <w:tcW w:w="3629" w:type="pct"/>
          </w:tcPr>
          <w:p w14:paraId="2B7C2A65" w14:textId="2EE9B27A"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Zlepšovanie tepelnotechnických vlastností bytových budov,</w:t>
            </w:r>
          </w:p>
        </w:tc>
      </w:tr>
      <w:tr w:rsidR="00902157" w:rsidRPr="009F2998" w14:paraId="31290063" w14:textId="77777777" w:rsidTr="003E73B5">
        <w:tc>
          <w:tcPr>
            <w:tcW w:w="1371" w:type="pct"/>
          </w:tcPr>
          <w:p w14:paraId="401905C1" w14:textId="77777777" w:rsidR="00902157" w:rsidRPr="009F2998" w:rsidRDefault="00902157" w:rsidP="00EE18EC">
            <w:pPr>
              <w:rPr>
                <w:rFonts w:ascii="Times New Roman" w:hAnsi="Times New Roman" w:cs="Times New Roman"/>
                <w:sz w:val="18"/>
                <w:szCs w:val="18"/>
              </w:rPr>
            </w:pPr>
            <w:r w:rsidRPr="009F2998">
              <w:rPr>
                <w:rFonts w:ascii="Times New Roman" w:hAnsi="Times New Roman" w:cs="Times New Roman"/>
                <w:sz w:val="18"/>
                <w:szCs w:val="18"/>
              </w:rPr>
              <w:t>ŠFRB - Zatepľovanie bytovej budovy z prostriedkov EÚ - Integrovaný operačný program, EŠIF 2014-2020</w:t>
            </w:r>
          </w:p>
        </w:tc>
        <w:tc>
          <w:tcPr>
            <w:tcW w:w="3629" w:type="pct"/>
          </w:tcPr>
          <w:p w14:paraId="1AFE845F" w14:textId="5670C5B7"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Zlepšovanie tepelnotechnických vlastností bytových budov,</w:t>
            </w:r>
          </w:p>
        </w:tc>
      </w:tr>
      <w:tr w:rsidR="00902157" w:rsidRPr="009F2998" w14:paraId="5FCD9183" w14:textId="77777777" w:rsidTr="003E73B5">
        <w:tc>
          <w:tcPr>
            <w:tcW w:w="1371" w:type="pct"/>
          </w:tcPr>
          <w:p w14:paraId="0D00A192" w14:textId="77777777" w:rsidR="00902157" w:rsidRPr="009F2998" w:rsidRDefault="00902157" w:rsidP="00EE18EC">
            <w:pPr>
              <w:rPr>
                <w:rFonts w:ascii="Times New Roman" w:hAnsi="Times New Roman" w:cs="Times New Roman"/>
                <w:sz w:val="18"/>
                <w:szCs w:val="18"/>
              </w:rPr>
            </w:pPr>
            <w:r w:rsidRPr="009F2998">
              <w:rPr>
                <w:rFonts w:ascii="Times New Roman" w:hAnsi="Times New Roman" w:cs="Times New Roman"/>
                <w:sz w:val="18"/>
                <w:szCs w:val="18"/>
              </w:rPr>
              <w:t>Operačný program Kvalita životného prostredia, EŠIF 2014-2020</w:t>
            </w:r>
          </w:p>
        </w:tc>
        <w:tc>
          <w:tcPr>
            <w:tcW w:w="3629" w:type="pct"/>
          </w:tcPr>
          <w:p w14:paraId="6C431C14" w14:textId="77777777"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Zabezpečenie energetických auditov v MSP a implementácia opatrení z energetických auditov,</w:t>
            </w:r>
          </w:p>
          <w:p w14:paraId="65991463" w14:textId="77777777"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 xml:space="preserve">Znižovanie energetickej náročnosti verejných budov, </w:t>
            </w:r>
          </w:p>
          <w:p w14:paraId="3CB0142C" w14:textId="77777777"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Vypracovanie, schválenie a implementácia plánov udržateľnej energie a znižovania emisií skleníkových plynov,</w:t>
            </w:r>
          </w:p>
          <w:p w14:paraId="4A02BFA4" w14:textId="77777777"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lastRenderedPageBreak/>
              <w:t>Zavádzanie systémov energetického manažérstva vrátane energetických auditov a environmentálneho manažérstva,</w:t>
            </w:r>
          </w:p>
          <w:p w14:paraId="667EC061" w14:textId="77777777"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 xml:space="preserve">Podpora rozvoja energetických služieb na regionálnej a miestnej úrovní, </w:t>
            </w:r>
          </w:p>
          <w:p w14:paraId="27A74638" w14:textId="77777777"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color w:val="000000"/>
                <w:sz w:val="18"/>
                <w:szCs w:val="18"/>
              </w:rPr>
              <w:t>Výstavba, rekonštrukcia a modernizácia rozvodov tepla,</w:t>
            </w:r>
          </w:p>
          <w:p w14:paraId="573DAB48" w14:textId="77777777"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color w:val="000000"/>
                <w:sz w:val="18"/>
                <w:szCs w:val="18"/>
              </w:rPr>
              <w:t>Výstavba, rekonštrukcia a modernizácia zariadení na výrobu elektriny a tepla vysoko účinnou kombinovanou výrobou s maximálnym tepelným príkonom 20 MW,</w:t>
            </w:r>
          </w:p>
          <w:p w14:paraId="73E0DA4C" w14:textId="77777777"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Zvyšovanie informovanosti detí a mládeže v oblasti energetickej efektívnosti</w:t>
            </w:r>
          </w:p>
          <w:p w14:paraId="14237A17" w14:textId="77777777"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Informačná kampaň so zameraním na energetickú efektívnosť,</w:t>
            </w:r>
          </w:p>
          <w:p w14:paraId="300F8E29" w14:textId="77777777"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Monitorovací a informačný systém – prepojenie na väčšinu podporných mechanizmov energetickej efektívnosti,</w:t>
            </w:r>
          </w:p>
        </w:tc>
      </w:tr>
      <w:tr w:rsidR="00902157" w:rsidRPr="009F2998" w14:paraId="328659F2" w14:textId="77777777" w:rsidTr="003E73B5">
        <w:tc>
          <w:tcPr>
            <w:tcW w:w="1371" w:type="pct"/>
          </w:tcPr>
          <w:p w14:paraId="6C542787" w14:textId="77777777" w:rsidR="00902157" w:rsidRPr="009F2998" w:rsidRDefault="00902157" w:rsidP="00EE18EC">
            <w:pPr>
              <w:rPr>
                <w:rFonts w:ascii="Times New Roman" w:hAnsi="Times New Roman" w:cs="Times New Roman"/>
                <w:sz w:val="18"/>
                <w:szCs w:val="18"/>
              </w:rPr>
            </w:pPr>
            <w:r w:rsidRPr="009F2998">
              <w:rPr>
                <w:rFonts w:ascii="Times New Roman" w:hAnsi="Times New Roman" w:cs="Times New Roman"/>
                <w:sz w:val="18"/>
                <w:szCs w:val="18"/>
              </w:rPr>
              <w:lastRenderedPageBreak/>
              <w:t>Operačný program Integrovaná infraštruktúra, EŠIF 2014-2020</w:t>
            </w:r>
          </w:p>
        </w:tc>
        <w:tc>
          <w:tcPr>
            <w:tcW w:w="3629" w:type="pct"/>
          </w:tcPr>
          <w:p w14:paraId="737D572F" w14:textId="77777777"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 xml:space="preserve">Obnova a modernizácia vozidlového parku, </w:t>
            </w:r>
          </w:p>
          <w:p w14:paraId="2A868A8E" w14:textId="77777777"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Budovanie a modernizácia dopravnej infraštruktúry,</w:t>
            </w:r>
          </w:p>
          <w:p w14:paraId="067E3365" w14:textId="77777777"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 xml:space="preserve">Podpora rozvoja a využívania verejnej osobnej dopravy vrátane podpory vytvárania integrovaných dopravných systémov, </w:t>
            </w:r>
          </w:p>
        </w:tc>
      </w:tr>
      <w:tr w:rsidR="00902157" w:rsidRPr="009F2998" w14:paraId="155E7EF0" w14:textId="77777777" w:rsidTr="003E73B5">
        <w:tc>
          <w:tcPr>
            <w:tcW w:w="1371" w:type="pct"/>
          </w:tcPr>
          <w:p w14:paraId="673571DA" w14:textId="77777777" w:rsidR="00902157" w:rsidRPr="009F2998" w:rsidRDefault="00902157" w:rsidP="00EE18EC">
            <w:pPr>
              <w:rPr>
                <w:rFonts w:ascii="Times New Roman" w:hAnsi="Times New Roman" w:cs="Times New Roman"/>
                <w:sz w:val="18"/>
                <w:szCs w:val="18"/>
              </w:rPr>
            </w:pPr>
            <w:r w:rsidRPr="009F2998">
              <w:rPr>
                <w:rFonts w:ascii="Times New Roman" w:hAnsi="Times New Roman" w:cs="Times New Roman"/>
                <w:sz w:val="18"/>
                <w:szCs w:val="18"/>
              </w:rPr>
              <w:t>Integrovaný regionálny operačný program, EŠIF 2014 -2020</w:t>
            </w:r>
          </w:p>
        </w:tc>
        <w:tc>
          <w:tcPr>
            <w:tcW w:w="3629" w:type="pct"/>
          </w:tcPr>
          <w:p w14:paraId="085DA957" w14:textId="77777777"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Podpora rozvoja nemotorovej, predovšetkým cyklistickej, dopravy,</w:t>
            </w:r>
          </w:p>
          <w:p w14:paraId="0C362CB9" w14:textId="5225A5D0" w:rsidR="00902157" w:rsidRPr="009F2998" w:rsidRDefault="00902157" w:rsidP="00A67637">
            <w:pPr>
              <w:pStyle w:val="Odsekzoznamu"/>
              <w:numPr>
                <w:ilvl w:val="0"/>
                <w:numId w:val="4"/>
              </w:numPr>
              <w:jc w:val="both"/>
              <w:rPr>
                <w:rFonts w:ascii="Times New Roman" w:hAnsi="Times New Roman" w:cs="Times New Roman"/>
                <w:sz w:val="18"/>
                <w:szCs w:val="18"/>
              </w:rPr>
            </w:pPr>
            <w:r w:rsidRPr="009F2998">
              <w:rPr>
                <w:rFonts w:ascii="Times New Roman" w:hAnsi="Times New Roman" w:cs="Times New Roman"/>
                <w:sz w:val="18"/>
                <w:szCs w:val="18"/>
              </w:rPr>
              <w:t>ŠFRB - Zatepľovanie bytovej budovy z prostriedkov EÚ (</w:t>
            </w:r>
            <w:r w:rsidR="00A67637" w:rsidRPr="009F2998">
              <w:rPr>
                <w:rFonts w:ascii="Times New Roman" w:hAnsi="Times New Roman" w:cs="Times New Roman"/>
                <w:sz w:val="18"/>
                <w:szCs w:val="18"/>
              </w:rPr>
              <w:t>pozri</w:t>
            </w:r>
            <w:r w:rsidRPr="009F2998">
              <w:rPr>
                <w:rFonts w:ascii="Times New Roman" w:hAnsi="Times New Roman" w:cs="Times New Roman"/>
                <w:sz w:val="18"/>
                <w:szCs w:val="18"/>
              </w:rPr>
              <w:t xml:space="preserve"> vyššie),</w:t>
            </w:r>
          </w:p>
        </w:tc>
      </w:tr>
      <w:tr w:rsidR="00902157" w:rsidRPr="009F2998" w14:paraId="14800B2A" w14:textId="77777777" w:rsidTr="003E73B5">
        <w:tc>
          <w:tcPr>
            <w:tcW w:w="1371" w:type="pct"/>
          </w:tcPr>
          <w:p w14:paraId="65388CD6" w14:textId="77777777" w:rsidR="00902157" w:rsidRPr="009F2998" w:rsidRDefault="00902157" w:rsidP="00EE18EC">
            <w:pPr>
              <w:rPr>
                <w:rFonts w:ascii="Times New Roman" w:hAnsi="Times New Roman" w:cs="Times New Roman"/>
                <w:sz w:val="18"/>
                <w:szCs w:val="18"/>
              </w:rPr>
            </w:pPr>
            <w:r w:rsidRPr="009F2998">
              <w:rPr>
                <w:rFonts w:ascii="Times New Roman" w:hAnsi="Times New Roman" w:cs="Times New Roman"/>
                <w:sz w:val="18"/>
                <w:szCs w:val="18"/>
              </w:rPr>
              <w:t>Zelený program Slovseff III.</w:t>
            </w:r>
          </w:p>
        </w:tc>
        <w:tc>
          <w:tcPr>
            <w:tcW w:w="3629" w:type="pct"/>
          </w:tcPr>
          <w:p w14:paraId="457FCACE" w14:textId="3F5DDDB0"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Zlepšovanie tepelnotechnických vlastností bytových domov,</w:t>
            </w:r>
          </w:p>
          <w:p w14:paraId="52940B3D" w14:textId="77777777" w:rsidR="00902157" w:rsidRPr="009F2998" w:rsidRDefault="00902157" w:rsidP="008F19ED">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Zlepšovanie energetickej efektívnosti v priemysle,</w:t>
            </w:r>
          </w:p>
        </w:tc>
      </w:tr>
      <w:tr w:rsidR="00902157" w:rsidRPr="009F2998" w14:paraId="30AC62ED" w14:textId="77777777" w:rsidTr="003E73B5">
        <w:tc>
          <w:tcPr>
            <w:tcW w:w="1371" w:type="pct"/>
            <w:tcBorders>
              <w:bottom w:val="single" w:sz="6" w:space="0" w:color="auto"/>
            </w:tcBorders>
          </w:tcPr>
          <w:p w14:paraId="0F39023C" w14:textId="77777777" w:rsidR="00902157" w:rsidRPr="009F2998" w:rsidRDefault="00902157" w:rsidP="00EE18EC">
            <w:pPr>
              <w:rPr>
                <w:rFonts w:ascii="Times New Roman" w:hAnsi="Times New Roman" w:cs="Times New Roman"/>
                <w:sz w:val="18"/>
                <w:szCs w:val="18"/>
              </w:rPr>
            </w:pPr>
            <w:r w:rsidRPr="009F2998">
              <w:rPr>
                <w:rFonts w:ascii="Times New Roman" w:hAnsi="Times New Roman" w:cs="Times New Roman"/>
                <w:sz w:val="18"/>
                <w:szCs w:val="18"/>
              </w:rPr>
              <w:t>Dobrovoľná dohoda</w:t>
            </w:r>
          </w:p>
        </w:tc>
        <w:tc>
          <w:tcPr>
            <w:tcW w:w="3629" w:type="pct"/>
            <w:tcBorders>
              <w:bottom w:val="single" w:sz="6" w:space="0" w:color="auto"/>
            </w:tcBorders>
          </w:tcPr>
          <w:p w14:paraId="19175F36" w14:textId="35E3C4EF" w:rsidR="00902157" w:rsidRPr="009F2998" w:rsidRDefault="00B60CF8" w:rsidP="00B60CF8">
            <w:pPr>
              <w:pStyle w:val="Odsekzoznamu"/>
              <w:numPr>
                <w:ilvl w:val="0"/>
                <w:numId w:val="4"/>
              </w:numPr>
              <w:ind w:left="176" w:hanging="127"/>
              <w:jc w:val="both"/>
              <w:rPr>
                <w:rFonts w:ascii="Times New Roman" w:hAnsi="Times New Roman" w:cs="Times New Roman"/>
                <w:sz w:val="18"/>
                <w:szCs w:val="18"/>
              </w:rPr>
            </w:pPr>
            <w:r w:rsidRPr="009F2998">
              <w:rPr>
                <w:rFonts w:ascii="Times New Roman" w:hAnsi="Times New Roman" w:cs="Times New Roman"/>
                <w:sz w:val="18"/>
                <w:szCs w:val="18"/>
              </w:rPr>
              <w:t xml:space="preserve">Realizácia opatrení energetickej efektívnosti u subjektov najmä v oblasti priemyslu a energetiky za účelom dosahovania dohodnutých úspor energie alebo poskytovania informácií. </w:t>
            </w:r>
          </w:p>
        </w:tc>
      </w:tr>
      <w:tr w:rsidR="00AA4C5B" w:rsidRPr="009F2998" w14:paraId="0A4A9F3E" w14:textId="77777777" w:rsidTr="003E73B5">
        <w:trPr>
          <w:trHeight w:val="57"/>
        </w:trPr>
        <w:tc>
          <w:tcPr>
            <w:tcW w:w="1371" w:type="pct"/>
            <w:tcBorders>
              <w:top w:val="single" w:sz="6" w:space="0" w:color="auto"/>
              <w:left w:val="nil"/>
              <w:bottom w:val="nil"/>
              <w:right w:val="nil"/>
            </w:tcBorders>
            <w:shd w:val="clear" w:color="auto" w:fill="auto"/>
          </w:tcPr>
          <w:p w14:paraId="4F2DAA58" w14:textId="77777777" w:rsidR="00AA4C5B" w:rsidRPr="009F2998" w:rsidRDefault="00AA4C5B" w:rsidP="00EE18EC">
            <w:pPr>
              <w:rPr>
                <w:rFonts w:ascii="Times New Roman" w:hAnsi="Times New Roman" w:cs="Times New Roman"/>
                <w:sz w:val="18"/>
                <w:szCs w:val="18"/>
              </w:rPr>
            </w:pPr>
          </w:p>
        </w:tc>
        <w:tc>
          <w:tcPr>
            <w:tcW w:w="3629" w:type="pct"/>
            <w:tcBorders>
              <w:top w:val="single" w:sz="6" w:space="0" w:color="auto"/>
              <w:left w:val="nil"/>
              <w:bottom w:val="nil"/>
              <w:right w:val="nil"/>
            </w:tcBorders>
            <w:shd w:val="clear" w:color="auto" w:fill="auto"/>
          </w:tcPr>
          <w:p w14:paraId="25ECD8EC" w14:textId="77777777" w:rsidR="00AA4C5B" w:rsidRPr="009F2998" w:rsidRDefault="00AA4C5B" w:rsidP="00AA4C5B">
            <w:pPr>
              <w:jc w:val="both"/>
              <w:rPr>
                <w:rFonts w:ascii="Times New Roman" w:hAnsi="Times New Roman" w:cs="Times New Roman"/>
                <w:sz w:val="18"/>
                <w:szCs w:val="18"/>
              </w:rPr>
            </w:pPr>
          </w:p>
        </w:tc>
      </w:tr>
    </w:tbl>
    <w:p w14:paraId="79349A6F" w14:textId="03BBDB85" w:rsidR="00902157" w:rsidRPr="000578FE" w:rsidRDefault="00437885" w:rsidP="009927E4">
      <w:pPr>
        <w:pStyle w:val="Nadpis4"/>
        <w:numPr>
          <w:ilvl w:val="3"/>
          <w:numId w:val="16"/>
        </w:numPr>
        <w:rPr>
          <w:rFonts w:ascii="Times New Roman" w:eastAsia="Times New Roman" w:hAnsi="Times New Roman" w:cs="Times New Roman"/>
          <w:i w:val="0"/>
          <w:color w:val="auto"/>
          <w:lang w:eastAsia="sk-SK"/>
        </w:rPr>
      </w:pPr>
      <w:bookmarkStart w:id="73" w:name="_Toc477345368"/>
      <w:r w:rsidRPr="000578FE">
        <w:rPr>
          <w:rFonts w:ascii="Times New Roman" w:eastAsia="Times New Roman" w:hAnsi="Times New Roman" w:cs="Times New Roman"/>
          <w:i w:val="0"/>
          <w:color w:val="auto"/>
          <w:lang w:eastAsia="sk-SK"/>
        </w:rPr>
        <w:t>Z</w:t>
      </w:r>
      <w:r w:rsidR="00902157" w:rsidRPr="000578FE">
        <w:rPr>
          <w:rFonts w:ascii="Times New Roman" w:eastAsia="Times New Roman" w:hAnsi="Times New Roman" w:cs="Times New Roman"/>
          <w:i w:val="0"/>
          <w:color w:val="auto"/>
          <w:lang w:eastAsia="sk-SK"/>
        </w:rPr>
        <w:t xml:space="preserve">verejnené úspory energie dosiahnuté v dôsledku vykonávania povinnej schémy </w:t>
      </w:r>
      <w:r w:rsidR="009927E4" w:rsidRPr="009927E4">
        <w:rPr>
          <w:rFonts w:ascii="Times New Roman" w:eastAsia="Times New Roman" w:hAnsi="Times New Roman" w:cs="Times New Roman"/>
          <w:i w:val="0"/>
          <w:color w:val="auto"/>
          <w:lang w:eastAsia="sk-SK"/>
        </w:rPr>
        <w:t>energetickej efektívnosti</w:t>
      </w:r>
      <w:bookmarkEnd w:id="73"/>
    </w:p>
    <w:p w14:paraId="721598DF" w14:textId="77777777" w:rsidR="00902157" w:rsidRPr="009F2998" w:rsidRDefault="00902157" w:rsidP="00902157">
      <w:pPr>
        <w:rPr>
          <w:rFonts w:ascii="Times New Roman" w:hAnsi="Times New Roman" w:cs="Times New Roman"/>
          <w:lang w:eastAsia="sk-SK"/>
        </w:rPr>
      </w:pPr>
      <w:r w:rsidRPr="009F2998">
        <w:rPr>
          <w:rFonts w:ascii="Times New Roman" w:hAnsi="Times New Roman" w:cs="Times New Roman"/>
          <w:lang w:eastAsia="sk-SK"/>
        </w:rPr>
        <w:t>Neuplatňuje sa.</w:t>
      </w:r>
    </w:p>
    <w:p w14:paraId="471DB379" w14:textId="4DFCE363" w:rsidR="00902157" w:rsidRPr="000578FE" w:rsidRDefault="00437885" w:rsidP="007157D7">
      <w:pPr>
        <w:pStyle w:val="Nadpis4"/>
        <w:numPr>
          <w:ilvl w:val="3"/>
          <w:numId w:val="16"/>
        </w:numPr>
        <w:rPr>
          <w:rFonts w:ascii="Times New Roman" w:eastAsia="Times New Roman" w:hAnsi="Times New Roman" w:cs="Times New Roman"/>
          <w:i w:val="0"/>
          <w:color w:val="auto"/>
          <w:lang w:eastAsia="sk-SK"/>
        </w:rPr>
      </w:pPr>
      <w:bookmarkStart w:id="74" w:name="_Toc477345369"/>
      <w:r w:rsidRPr="000578FE">
        <w:rPr>
          <w:rFonts w:ascii="Times New Roman" w:eastAsia="Times New Roman" w:hAnsi="Times New Roman" w:cs="Times New Roman"/>
          <w:i w:val="0"/>
          <w:color w:val="auto"/>
          <w:lang w:eastAsia="sk-SK"/>
        </w:rPr>
        <w:t>Z</w:t>
      </w:r>
      <w:r w:rsidR="00902157" w:rsidRPr="000578FE">
        <w:rPr>
          <w:rFonts w:ascii="Times New Roman" w:eastAsia="Times New Roman" w:hAnsi="Times New Roman" w:cs="Times New Roman"/>
          <w:i w:val="0"/>
          <w:color w:val="auto"/>
          <w:lang w:eastAsia="sk-SK"/>
        </w:rPr>
        <w:t>verejnené úspory energie dosiahnuté v dôsledku vykonávania alternatívnych politických opatrení</w:t>
      </w:r>
      <w:bookmarkEnd w:id="74"/>
    </w:p>
    <w:p w14:paraId="24E0DEA6" w14:textId="77777777" w:rsidR="003A0C07" w:rsidRPr="009F2998" w:rsidRDefault="003A0C07" w:rsidP="00902157">
      <w:pPr>
        <w:rPr>
          <w:rFonts w:ascii="Times New Roman" w:hAnsi="Times New Roman" w:cs="Times New Roman"/>
          <w:highlight w:val="yellow"/>
          <w:lang w:eastAsia="sk-SK"/>
        </w:rPr>
      </w:pPr>
    </w:p>
    <w:p w14:paraId="40D3DA68" w14:textId="4F88928C" w:rsidR="00B81032" w:rsidRDefault="00BF3E63" w:rsidP="00B81032">
      <w:pPr>
        <w:jc w:val="both"/>
        <w:rPr>
          <w:rFonts w:ascii="Times New Roman" w:hAnsi="Times New Roman" w:cs="Times New Roman"/>
          <w:sz w:val="24"/>
          <w:szCs w:val="24"/>
        </w:rPr>
      </w:pPr>
      <w:r>
        <w:rPr>
          <w:rFonts w:ascii="Times New Roman" w:hAnsi="Times New Roman" w:cs="Times New Roman"/>
          <w:sz w:val="24"/>
          <w:szCs w:val="24"/>
        </w:rPr>
        <w:t>Ú</w:t>
      </w:r>
      <w:r w:rsidR="00B81032" w:rsidRPr="000745A8">
        <w:rPr>
          <w:rFonts w:ascii="Times New Roman" w:hAnsi="Times New Roman" w:cs="Times New Roman"/>
          <w:sz w:val="24"/>
          <w:szCs w:val="24"/>
        </w:rPr>
        <w:t xml:space="preserve">spory energie u koncových odberateľov </w:t>
      </w:r>
      <w:r>
        <w:rPr>
          <w:rFonts w:ascii="Times New Roman" w:hAnsi="Times New Roman" w:cs="Times New Roman"/>
          <w:sz w:val="24"/>
          <w:szCs w:val="24"/>
        </w:rPr>
        <w:t>sú v členení podľa jednotlivých sektorov uvedené v tabuľke č. 12.</w:t>
      </w:r>
    </w:p>
    <w:p w14:paraId="261F7B0C" w14:textId="1BEA3607" w:rsidR="00BF3E63" w:rsidRPr="00BF3E63" w:rsidRDefault="00BF3E63" w:rsidP="00B81032">
      <w:pPr>
        <w:jc w:val="both"/>
        <w:rPr>
          <w:rFonts w:ascii="Times New Roman" w:hAnsi="Times New Roman" w:cs="Times New Roman"/>
          <w:sz w:val="24"/>
          <w:szCs w:val="24"/>
        </w:rPr>
      </w:pPr>
      <w:r w:rsidRPr="00BF3E63">
        <w:rPr>
          <w:rFonts w:ascii="Times New Roman" w:hAnsi="Times New Roman" w:cs="Times New Roman"/>
          <w:sz w:val="24"/>
          <w:szCs w:val="24"/>
        </w:rPr>
        <w:t xml:space="preserve">Tabuľka č. 12: </w:t>
      </w:r>
      <w:r w:rsidRPr="000578FE">
        <w:rPr>
          <w:rFonts w:ascii="Times New Roman" w:hAnsi="Times New Roman" w:cs="Times New Roman"/>
          <w:sz w:val="24"/>
          <w:szCs w:val="24"/>
        </w:rPr>
        <w:t>Úspory energie pre plnenie článku 7 smernice 2012/27/EÚ za rok 2014-2016</w:t>
      </w:r>
    </w:p>
    <w:tbl>
      <w:tblPr>
        <w:tblpPr w:leftFromText="141" w:rightFromText="141" w:vertAnchor="text" w:horzAnchor="margin" w:tblpY="1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8"/>
        <w:gridCol w:w="1063"/>
        <w:gridCol w:w="1256"/>
        <w:gridCol w:w="1256"/>
        <w:gridCol w:w="1258"/>
        <w:gridCol w:w="1256"/>
        <w:gridCol w:w="1345"/>
      </w:tblGrid>
      <w:tr w:rsidR="00486EFA" w:rsidRPr="009F2998" w14:paraId="2616AEF0" w14:textId="77777777" w:rsidTr="00951485">
        <w:trPr>
          <w:trHeight w:val="267"/>
        </w:trPr>
        <w:tc>
          <w:tcPr>
            <w:tcW w:w="893" w:type="pct"/>
            <w:vMerge w:val="restart"/>
            <w:tcBorders>
              <w:top w:val="single" w:sz="8" w:space="0" w:color="auto"/>
              <w:left w:val="single" w:sz="8" w:space="0" w:color="auto"/>
            </w:tcBorders>
            <w:shd w:val="clear" w:color="auto" w:fill="BFBFBF" w:themeFill="background1" w:themeFillShade="BF"/>
            <w:noWrap/>
            <w:vAlign w:val="center"/>
            <w:hideMark/>
          </w:tcPr>
          <w:p w14:paraId="20F54C41" w14:textId="07D38FB5" w:rsidR="00486EFA" w:rsidRPr="009F2998" w:rsidRDefault="00486EFA" w:rsidP="00980AF7">
            <w:pPr>
              <w:spacing w:after="0" w:line="240" w:lineRule="auto"/>
              <w:jc w:val="center"/>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Sektor:</w:t>
            </w:r>
          </w:p>
        </w:tc>
        <w:tc>
          <w:tcPr>
            <w:tcW w:w="4107" w:type="pct"/>
            <w:gridSpan w:val="6"/>
            <w:tcBorders>
              <w:top w:val="single" w:sz="8" w:space="0" w:color="auto"/>
              <w:right w:val="single" w:sz="8" w:space="0" w:color="auto"/>
            </w:tcBorders>
            <w:shd w:val="clear" w:color="auto" w:fill="BFBFBF" w:themeFill="background1" w:themeFillShade="BF"/>
          </w:tcPr>
          <w:p w14:paraId="763D3B3E" w14:textId="05AFCD06" w:rsidR="00486EFA" w:rsidRPr="009F2998" w:rsidRDefault="00486EFA" w:rsidP="006119A5">
            <w:pPr>
              <w:spacing w:after="0" w:line="240" w:lineRule="auto"/>
              <w:jc w:val="center"/>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Úspory pre plnenie cieľa čl. 7</w:t>
            </w:r>
          </w:p>
        </w:tc>
      </w:tr>
      <w:tr w:rsidR="00486EFA" w:rsidRPr="009F2998" w14:paraId="62B555D5" w14:textId="77777777" w:rsidTr="00951485">
        <w:trPr>
          <w:trHeight w:val="281"/>
        </w:trPr>
        <w:tc>
          <w:tcPr>
            <w:tcW w:w="893" w:type="pct"/>
            <w:vMerge/>
            <w:tcBorders>
              <w:left w:val="single" w:sz="8" w:space="0" w:color="auto"/>
            </w:tcBorders>
            <w:shd w:val="clear" w:color="auto" w:fill="BFBFBF" w:themeFill="background1" w:themeFillShade="BF"/>
            <w:noWrap/>
            <w:vAlign w:val="bottom"/>
            <w:hideMark/>
          </w:tcPr>
          <w:p w14:paraId="4F41F8F0" w14:textId="77777777" w:rsidR="00486EFA" w:rsidRPr="009F2998" w:rsidRDefault="00486EFA" w:rsidP="006119A5">
            <w:pPr>
              <w:spacing w:after="0" w:line="240" w:lineRule="auto"/>
              <w:rPr>
                <w:rFonts w:ascii="Times New Roman" w:eastAsia="Times New Roman" w:hAnsi="Times New Roman" w:cs="Times New Roman"/>
                <w:b/>
                <w:color w:val="000000"/>
                <w:lang w:eastAsia="sk-SK"/>
              </w:rPr>
            </w:pPr>
          </w:p>
        </w:tc>
        <w:tc>
          <w:tcPr>
            <w:tcW w:w="1281" w:type="pct"/>
            <w:gridSpan w:val="2"/>
            <w:tcBorders>
              <w:right w:val="single" w:sz="8" w:space="0" w:color="auto"/>
            </w:tcBorders>
            <w:shd w:val="clear" w:color="auto" w:fill="BFBFBF" w:themeFill="background1" w:themeFillShade="BF"/>
            <w:vAlign w:val="center"/>
          </w:tcPr>
          <w:p w14:paraId="30F80188" w14:textId="77777777" w:rsidR="00486EFA" w:rsidRPr="009F2998" w:rsidRDefault="00486EFA" w:rsidP="006119A5">
            <w:pPr>
              <w:spacing w:after="0" w:line="240" w:lineRule="auto"/>
              <w:jc w:val="center"/>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2014</w:t>
            </w:r>
          </w:p>
          <w:p w14:paraId="355F78ED" w14:textId="6D2A9805" w:rsidR="00486EFA" w:rsidRPr="0016099E" w:rsidRDefault="00486EFA" w:rsidP="0016099E">
            <w:pPr>
              <w:spacing w:after="0" w:line="240" w:lineRule="auto"/>
              <w:jc w:val="center"/>
              <w:rPr>
                <w:rFonts w:ascii="Times New Roman" w:eastAsia="Times New Roman" w:hAnsi="Times New Roman" w:cs="Times New Roman"/>
                <w:color w:val="000000"/>
                <w:sz w:val="16"/>
                <w:szCs w:val="16"/>
                <w:lang w:eastAsia="sk-SK"/>
              </w:rPr>
            </w:pPr>
            <w:r w:rsidRPr="0016099E">
              <w:rPr>
                <w:rFonts w:ascii="Times New Roman" w:eastAsia="Times New Roman" w:hAnsi="Times New Roman" w:cs="Times New Roman"/>
                <w:color w:val="000000"/>
                <w:sz w:val="16"/>
                <w:szCs w:val="16"/>
                <w:lang w:eastAsia="sk-SK"/>
              </w:rPr>
              <w:t>(akt</w:t>
            </w:r>
            <w:r w:rsidR="0016099E">
              <w:rPr>
                <w:rFonts w:ascii="Times New Roman" w:eastAsia="Times New Roman" w:hAnsi="Times New Roman" w:cs="Times New Roman"/>
                <w:color w:val="000000"/>
                <w:sz w:val="16"/>
                <w:szCs w:val="16"/>
                <w:lang w:eastAsia="sk-SK"/>
              </w:rPr>
              <w:t>ualizované 04/</w:t>
            </w:r>
            <w:r w:rsidRPr="0016099E">
              <w:rPr>
                <w:rFonts w:ascii="Times New Roman" w:eastAsia="Times New Roman" w:hAnsi="Times New Roman" w:cs="Times New Roman"/>
                <w:color w:val="000000"/>
                <w:sz w:val="16"/>
                <w:szCs w:val="16"/>
                <w:lang w:eastAsia="sk-SK"/>
              </w:rPr>
              <w:t>2016)</w:t>
            </w:r>
          </w:p>
        </w:tc>
        <w:tc>
          <w:tcPr>
            <w:tcW w:w="1389" w:type="pct"/>
            <w:gridSpan w:val="2"/>
            <w:tcBorders>
              <w:left w:val="single" w:sz="8" w:space="0" w:color="auto"/>
              <w:right w:val="single" w:sz="8" w:space="0" w:color="auto"/>
            </w:tcBorders>
            <w:shd w:val="clear" w:color="auto" w:fill="BFBFBF" w:themeFill="background1" w:themeFillShade="BF"/>
            <w:vAlign w:val="center"/>
          </w:tcPr>
          <w:p w14:paraId="1451B30B" w14:textId="0FB0F44D" w:rsidR="00486EFA" w:rsidRPr="009F2998" w:rsidRDefault="00486EFA" w:rsidP="0016099E">
            <w:pPr>
              <w:spacing w:after="0" w:line="240" w:lineRule="auto"/>
              <w:jc w:val="center"/>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 xml:space="preserve">2015 </w:t>
            </w:r>
            <w:r w:rsidRPr="009F2998">
              <w:rPr>
                <w:rFonts w:ascii="Times New Roman" w:eastAsia="Times New Roman" w:hAnsi="Times New Roman" w:cs="Times New Roman"/>
                <w:b/>
                <w:color w:val="000000"/>
                <w:lang w:eastAsia="sk-SK"/>
              </w:rPr>
              <w:br/>
            </w:r>
            <w:r w:rsidR="0016099E" w:rsidRPr="0016099E">
              <w:rPr>
                <w:rFonts w:ascii="Times New Roman" w:eastAsia="Times New Roman" w:hAnsi="Times New Roman" w:cs="Times New Roman"/>
                <w:color w:val="000000"/>
                <w:sz w:val="16"/>
                <w:szCs w:val="16"/>
                <w:lang w:eastAsia="sk-SK"/>
              </w:rPr>
              <w:t>(akt</w:t>
            </w:r>
            <w:r w:rsidR="0016099E">
              <w:rPr>
                <w:rFonts w:ascii="Times New Roman" w:eastAsia="Times New Roman" w:hAnsi="Times New Roman" w:cs="Times New Roman"/>
                <w:color w:val="000000"/>
                <w:sz w:val="16"/>
                <w:szCs w:val="16"/>
                <w:lang w:eastAsia="sk-SK"/>
              </w:rPr>
              <w:t>ualizované 01/</w:t>
            </w:r>
            <w:r w:rsidR="0016099E" w:rsidRPr="0016099E">
              <w:rPr>
                <w:rFonts w:ascii="Times New Roman" w:eastAsia="Times New Roman" w:hAnsi="Times New Roman" w:cs="Times New Roman"/>
                <w:color w:val="000000"/>
                <w:sz w:val="16"/>
                <w:szCs w:val="16"/>
                <w:lang w:eastAsia="sk-SK"/>
              </w:rPr>
              <w:t>201</w:t>
            </w:r>
            <w:r w:rsidR="0016099E">
              <w:rPr>
                <w:rFonts w:ascii="Times New Roman" w:eastAsia="Times New Roman" w:hAnsi="Times New Roman" w:cs="Times New Roman"/>
                <w:color w:val="000000"/>
                <w:sz w:val="16"/>
                <w:szCs w:val="16"/>
                <w:lang w:eastAsia="sk-SK"/>
              </w:rPr>
              <w:t>7</w:t>
            </w:r>
            <w:r w:rsidR="0016099E" w:rsidRPr="0016099E">
              <w:rPr>
                <w:rFonts w:ascii="Times New Roman" w:eastAsia="Times New Roman" w:hAnsi="Times New Roman" w:cs="Times New Roman"/>
                <w:color w:val="000000"/>
                <w:sz w:val="16"/>
                <w:szCs w:val="16"/>
                <w:lang w:eastAsia="sk-SK"/>
              </w:rPr>
              <w:t>)</w:t>
            </w:r>
          </w:p>
        </w:tc>
        <w:tc>
          <w:tcPr>
            <w:tcW w:w="1438" w:type="pct"/>
            <w:gridSpan w:val="2"/>
            <w:tcBorders>
              <w:left w:val="single" w:sz="8" w:space="0" w:color="auto"/>
              <w:right w:val="single" w:sz="8" w:space="0" w:color="auto"/>
            </w:tcBorders>
            <w:shd w:val="clear" w:color="auto" w:fill="BFBFBF" w:themeFill="background1" w:themeFillShade="BF"/>
            <w:noWrap/>
            <w:vAlign w:val="center"/>
          </w:tcPr>
          <w:p w14:paraId="06777E68" w14:textId="4D843871" w:rsidR="00486EFA" w:rsidRPr="009F2998" w:rsidRDefault="00486EFA" w:rsidP="006119A5">
            <w:pPr>
              <w:spacing w:after="0" w:line="240" w:lineRule="auto"/>
              <w:jc w:val="center"/>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2016</w:t>
            </w:r>
            <w:r w:rsidR="00F61485" w:rsidRPr="009F2998">
              <w:rPr>
                <w:rStyle w:val="Odkaznapoznmkupodiarou"/>
                <w:rFonts w:ascii="Times New Roman" w:eastAsia="Times New Roman" w:hAnsi="Times New Roman" w:cs="Times New Roman"/>
                <w:b/>
                <w:color w:val="000000"/>
                <w:lang w:eastAsia="sk-SK"/>
              </w:rPr>
              <w:footnoteReference w:id="27"/>
            </w:r>
          </w:p>
          <w:p w14:paraId="3D82EC70" w14:textId="06E8DD1B" w:rsidR="00486EFA" w:rsidRPr="009F2998" w:rsidRDefault="00B94F9B" w:rsidP="006119A5">
            <w:pPr>
              <w:spacing w:after="0" w:line="240" w:lineRule="auto"/>
              <w:jc w:val="center"/>
              <w:rPr>
                <w:rFonts w:ascii="Times New Roman" w:eastAsia="Times New Roman" w:hAnsi="Times New Roman" w:cs="Times New Roman"/>
                <w:b/>
                <w:color w:val="000000"/>
                <w:lang w:eastAsia="sk-SK"/>
              </w:rPr>
            </w:pPr>
            <w:r>
              <w:rPr>
                <w:rFonts w:ascii="Times New Roman" w:eastAsia="Times New Roman" w:hAnsi="Times New Roman" w:cs="Times New Roman"/>
                <w:color w:val="000000"/>
                <w:sz w:val="16"/>
                <w:szCs w:val="16"/>
                <w:lang w:eastAsia="sk-SK"/>
              </w:rPr>
              <w:t>(01/</w:t>
            </w:r>
            <w:r w:rsidRPr="0016099E">
              <w:rPr>
                <w:rFonts w:ascii="Times New Roman" w:eastAsia="Times New Roman" w:hAnsi="Times New Roman" w:cs="Times New Roman"/>
                <w:color w:val="000000"/>
                <w:sz w:val="16"/>
                <w:szCs w:val="16"/>
                <w:lang w:eastAsia="sk-SK"/>
              </w:rPr>
              <w:t>201</w:t>
            </w:r>
            <w:r>
              <w:rPr>
                <w:rFonts w:ascii="Times New Roman" w:eastAsia="Times New Roman" w:hAnsi="Times New Roman" w:cs="Times New Roman"/>
                <w:color w:val="000000"/>
                <w:sz w:val="16"/>
                <w:szCs w:val="16"/>
                <w:lang w:eastAsia="sk-SK"/>
              </w:rPr>
              <w:t>7</w:t>
            </w:r>
            <w:r w:rsidRPr="0016099E">
              <w:rPr>
                <w:rFonts w:ascii="Times New Roman" w:eastAsia="Times New Roman" w:hAnsi="Times New Roman" w:cs="Times New Roman"/>
                <w:color w:val="000000"/>
                <w:sz w:val="16"/>
                <w:szCs w:val="16"/>
                <w:lang w:eastAsia="sk-SK"/>
              </w:rPr>
              <w:t>)</w:t>
            </w:r>
          </w:p>
        </w:tc>
      </w:tr>
      <w:tr w:rsidR="004E746F" w:rsidRPr="009F2998" w14:paraId="1240D290" w14:textId="77777777" w:rsidTr="00951485">
        <w:trPr>
          <w:trHeight w:val="267"/>
        </w:trPr>
        <w:tc>
          <w:tcPr>
            <w:tcW w:w="893" w:type="pct"/>
            <w:vMerge/>
            <w:tcBorders>
              <w:left w:val="single" w:sz="8" w:space="0" w:color="auto"/>
              <w:bottom w:val="single" w:sz="8" w:space="0" w:color="auto"/>
            </w:tcBorders>
            <w:shd w:val="clear" w:color="auto" w:fill="auto"/>
            <w:noWrap/>
            <w:vAlign w:val="bottom"/>
            <w:hideMark/>
          </w:tcPr>
          <w:p w14:paraId="61AAC1B7" w14:textId="77777777" w:rsidR="00486EFA" w:rsidRPr="009F2998" w:rsidRDefault="00486EFA" w:rsidP="00486EFA">
            <w:pPr>
              <w:spacing w:after="0" w:line="240" w:lineRule="auto"/>
              <w:rPr>
                <w:rFonts w:ascii="Times New Roman" w:eastAsia="Times New Roman" w:hAnsi="Times New Roman" w:cs="Times New Roman"/>
                <w:b/>
                <w:color w:val="000000"/>
                <w:lang w:eastAsia="sk-SK"/>
              </w:rPr>
            </w:pPr>
          </w:p>
        </w:tc>
        <w:tc>
          <w:tcPr>
            <w:tcW w:w="587" w:type="pct"/>
            <w:tcBorders>
              <w:bottom w:val="single" w:sz="8" w:space="0" w:color="auto"/>
            </w:tcBorders>
            <w:shd w:val="clear" w:color="auto" w:fill="BFBFBF" w:themeFill="background1" w:themeFillShade="BF"/>
            <w:vAlign w:val="center"/>
          </w:tcPr>
          <w:p w14:paraId="6ED6748D" w14:textId="77777777" w:rsidR="00486EFA" w:rsidRPr="009F2998" w:rsidRDefault="00486EFA" w:rsidP="00486EFA">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TJ/rok</w:t>
            </w:r>
          </w:p>
        </w:tc>
        <w:tc>
          <w:tcPr>
            <w:tcW w:w="694" w:type="pct"/>
            <w:tcBorders>
              <w:bottom w:val="single" w:sz="8" w:space="0" w:color="auto"/>
              <w:right w:val="single" w:sz="8" w:space="0" w:color="auto"/>
            </w:tcBorders>
            <w:shd w:val="clear" w:color="auto" w:fill="BFBFBF" w:themeFill="background1" w:themeFillShade="BF"/>
          </w:tcPr>
          <w:p w14:paraId="344234B8" w14:textId="77777777" w:rsidR="00486EFA" w:rsidRPr="009F2998" w:rsidRDefault="00486EFA" w:rsidP="00486EFA">
            <w:pPr>
              <w:spacing w:after="0" w:line="240" w:lineRule="auto"/>
              <w:jc w:val="right"/>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GWh/rok</w:t>
            </w:r>
          </w:p>
        </w:tc>
        <w:tc>
          <w:tcPr>
            <w:tcW w:w="694" w:type="pct"/>
            <w:tcBorders>
              <w:left w:val="single" w:sz="8" w:space="0" w:color="auto"/>
              <w:bottom w:val="single" w:sz="8" w:space="0" w:color="auto"/>
            </w:tcBorders>
            <w:shd w:val="clear" w:color="auto" w:fill="BFBFBF" w:themeFill="background1" w:themeFillShade="BF"/>
            <w:vAlign w:val="center"/>
          </w:tcPr>
          <w:p w14:paraId="6AED351B" w14:textId="55C6F6EA" w:rsidR="00486EFA" w:rsidRPr="009F2998" w:rsidRDefault="00486EFA" w:rsidP="00486EFA">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TJ/rok</w:t>
            </w:r>
          </w:p>
        </w:tc>
        <w:tc>
          <w:tcPr>
            <w:tcW w:w="695" w:type="pct"/>
            <w:tcBorders>
              <w:bottom w:val="single" w:sz="8" w:space="0" w:color="auto"/>
              <w:right w:val="single" w:sz="8" w:space="0" w:color="auto"/>
            </w:tcBorders>
            <w:shd w:val="clear" w:color="auto" w:fill="BFBFBF" w:themeFill="background1" w:themeFillShade="BF"/>
          </w:tcPr>
          <w:p w14:paraId="291B4AD7" w14:textId="4CFB44F3" w:rsidR="00486EFA" w:rsidRPr="009F2998" w:rsidRDefault="00486EFA" w:rsidP="00486EFA">
            <w:pPr>
              <w:spacing w:after="0" w:line="240" w:lineRule="auto"/>
              <w:jc w:val="right"/>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GWh/rok</w:t>
            </w:r>
          </w:p>
        </w:tc>
        <w:tc>
          <w:tcPr>
            <w:tcW w:w="694" w:type="pct"/>
            <w:tcBorders>
              <w:left w:val="single" w:sz="8" w:space="0" w:color="auto"/>
              <w:bottom w:val="single" w:sz="8" w:space="0" w:color="auto"/>
            </w:tcBorders>
            <w:shd w:val="clear" w:color="auto" w:fill="BFBFBF" w:themeFill="background1" w:themeFillShade="BF"/>
            <w:noWrap/>
            <w:vAlign w:val="center"/>
          </w:tcPr>
          <w:p w14:paraId="1712E1AA" w14:textId="46DD6D46" w:rsidR="00486EFA" w:rsidRPr="009F2998" w:rsidRDefault="00486EFA" w:rsidP="00486EFA">
            <w:pPr>
              <w:spacing w:after="0" w:line="240" w:lineRule="auto"/>
              <w:jc w:val="right"/>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TJ/rok</w:t>
            </w:r>
          </w:p>
        </w:tc>
        <w:tc>
          <w:tcPr>
            <w:tcW w:w="744" w:type="pct"/>
            <w:tcBorders>
              <w:bottom w:val="single" w:sz="8" w:space="0" w:color="auto"/>
              <w:right w:val="single" w:sz="8" w:space="0" w:color="auto"/>
            </w:tcBorders>
            <w:shd w:val="clear" w:color="auto" w:fill="BFBFBF" w:themeFill="background1" w:themeFillShade="BF"/>
          </w:tcPr>
          <w:p w14:paraId="4A67FC24" w14:textId="37B5E81A" w:rsidR="00486EFA" w:rsidRPr="009F2998" w:rsidRDefault="00486EFA" w:rsidP="00486EFA">
            <w:pPr>
              <w:spacing w:after="0" w:line="240" w:lineRule="auto"/>
              <w:jc w:val="right"/>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GWh/rok</w:t>
            </w:r>
          </w:p>
        </w:tc>
      </w:tr>
      <w:tr w:rsidR="00951485" w:rsidRPr="009F2998" w14:paraId="56F8E855" w14:textId="77777777" w:rsidTr="00AF5415">
        <w:trPr>
          <w:trHeight w:val="267"/>
        </w:trPr>
        <w:tc>
          <w:tcPr>
            <w:tcW w:w="893" w:type="pct"/>
            <w:tcBorders>
              <w:top w:val="single" w:sz="8" w:space="0" w:color="auto"/>
              <w:left w:val="single" w:sz="8" w:space="0" w:color="auto"/>
              <w:bottom w:val="single" w:sz="4" w:space="0" w:color="auto"/>
              <w:right w:val="single" w:sz="4" w:space="0" w:color="auto"/>
            </w:tcBorders>
            <w:shd w:val="clear" w:color="auto" w:fill="auto"/>
            <w:noWrap/>
            <w:vAlign w:val="center"/>
          </w:tcPr>
          <w:p w14:paraId="5BDA9DDA" w14:textId="77777777" w:rsidR="00951485" w:rsidRPr="009F2998" w:rsidRDefault="00951485" w:rsidP="00951485">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Budovy</w:t>
            </w:r>
          </w:p>
        </w:tc>
        <w:tc>
          <w:tcPr>
            <w:tcW w:w="587" w:type="pct"/>
            <w:tcBorders>
              <w:top w:val="single" w:sz="8" w:space="0" w:color="auto"/>
              <w:left w:val="single" w:sz="4" w:space="0" w:color="auto"/>
              <w:bottom w:val="single" w:sz="4" w:space="0" w:color="auto"/>
              <w:right w:val="single" w:sz="4" w:space="0" w:color="auto"/>
            </w:tcBorders>
            <w:vAlign w:val="center"/>
          </w:tcPr>
          <w:p w14:paraId="6CE68F3B" w14:textId="5438B424" w:rsidR="00951485" w:rsidRPr="00951485" w:rsidRDefault="00951485" w:rsidP="00FC1022">
            <w:pPr>
              <w:spacing w:after="0" w:line="240" w:lineRule="auto"/>
              <w:jc w:val="right"/>
              <w:rPr>
                <w:rFonts w:ascii="Times New Roman" w:hAnsi="Times New Roman" w:cs="Times New Roman"/>
                <w:color w:val="000000"/>
              </w:rPr>
            </w:pPr>
            <w:r w:rsidRPr="00AF5415">
              <w:rPr>
                <w:rFonts w:ascii="Times New Roman" w:hAnsi="Times New Roman" w:cs="Times New Roman"/>
              </w:rPr>
              <w:t>1 617</w:t>
            </w:r>
          </w:p>
        </w:tc>
        <w:tc>
          <w:tcPr>
            <w:tcW w:w="694" w:type="pct"/>
            <w:tcBorders>
              <w:top w:val="single" w:sz="8" w:space="0" w:color="auto"/>
              <w:left w:val="single" w:sz="4" w:space="0" w:color="auto"/>
              <w:bottom w:val="single" w:sz="4" w:space="0" w:color="auto"/>
              <w:right w:val="single" w:sz="8" w:space="0" w:color="auto"/>
            </w:tcBorders>
            <w:shd w:val="clear" w:color="auto" w:fill="auto"/>
            <w:vAlign w:val="center"/>
          </w:tcPr>
          <w:p w14:paraId="6411BEDF" w14:textId="5EA4DE64" w:rsidR="00951485" w:rsidRPr="00951485" w:rsidRDefault="00951485" w:rsidP="00FC1022">
            <w:pPr>
              <w:spacing w:after="0" w:line="240" w:lineRule="auto"/>
              <w:jc w:val="right"/>
              <w:rPr>
                <w:rFonts w:ascii="Times New Roman" w:hAnsi="Times New Roman" w:cs="Times New Roman"/>
                <w:b/>
                <w:color w:val="000000"/>
              </w:rPr>
            </w:pPr>
            <w:r w:rsidRPr="00AF5415">
              <w:rPr>
                <w:rFonts w:ascii="Times New Roman" w:hAnsi="Times New Roman" w:cs="Times New Roman"/>
                <w:b/>
              </w:rPr>
              <w:t>449,10</w:t>
            </w:r>
          </w:p>
        </w:tc>
        <w:tc>
          <w:tcPr>
            <w:tcW w:w="694" w:type="pct"/>
            <w:tcBorders>
              <w:top w:val="single" w:sz="8" w:space="0" w:color="auto"/>
              <w:left w:val="single" w:sz="8" w:space="0" w:color="auto"/>
              <w:bottom w:val="single" w:sz="4" w:space="0" w:color="auto"/>
              <w:right w:val="single" w:sz="4" w:space="0" w:color="auto"/>
            </w:tcBorders>
            <w:vAlign w:val="center"/>
          </w:tcPr>
          <w:p w14:paraId="17D45558" w14:textId="087B68C4" w:rsidR="00951485" w:rsidRPr="00951485" w:rsidRDefault="00951485" w:rsidP="00AE42A2">
            <w:pPr>
              <w:spacing w:after="0" w:line="240" w:lineRule="auto"/>
              <w:jc w:val="right"/>
              <w:rPr>
                <w:rFonts w:ascii="Times New Roman" w:hAnsi="Times New Roman" w:cs="Times New Roman"/>
                <w:color w:val="000000"/>
              </w:rPr>
            </w:pPr>
            <w:r w:rsidRPr="00AF5415">
              <w:rPr>
                <w:rFonts w:ascii="Times New Roman" w:hAnsi="Times New Roman" w:cs="Times New Roman"/>
              </w:rPr>
              <w:t>1 773</w:t>
            </w:r>
          </w:p>
        </w:tc>
        <w:tc>
          <w:tcPr>
            <w:tcW w:w="695" w:type="pct"/>
            <w:tcBorders>
              <w:top w:val="single" w:sz="8" w:space="0" w:color="auto"/>
              <w:left w:val="single" w:sz="4" w:space="0" w:color="auto"/>
              <w:bottom w:val="single" w:sz="4" w:space="0" w:color="auto"/>
              <w:right w:val="single" w:sz="8" w:space="0" w:color="auto"/>
            </w:tcBorders>
            <w:shd w:val="clear" w:color="auto" w:fill="auto"/>
            <w:vAlign w:val="center"/>
          </w:tcPr>
          <w:p w14:paraId="47DACCC3" w14:textId="016ECF98" w:rsidR="00951485" w:rsidRPr="00951485" w:rsidRDefault="00951485" w:rsidP="00AE42A2">
            <w:pPr>
              <w:spacing w:after="0" w:line="240" w:lineRule="auto"/>
              <w:jc w:val="right"/>
              <w:rPr>
                <w:rFonts w:ascii="Times New Roman" w:hAnsi="Times New Roman" w:cs="Times New Roman"/>
                <w:b/>
                <w:color w:val="000000"/>
              </w:rPr>
            </w:pPr>
            <w:r w:rsidRPr="00AF5415">
              <w:rPr>
                <w:rFonts w:ascii="Times New Roman" w:hAnsi="Times New Roman" w:cs="Times New Roman"/>
                <w:b/>
              </w:rPr>
              <w:t>492,58</w:t>
            </w:r>
          </w:p>
        </w:tc>
        <w:tc>
          <w:tcPr>
            <w:tcW w:w="694" w:type="pct"/>
            <w:tcBorders>
              <w:top w:val="single" w:sz="8" w:space="0" w:color="auto"/>
              <w:left w:val="single" w:sz="8" w:space="0" w:color="auto"/>
              <w:bottom w:val="single" w:sz="4" w:space="0" w:color="auto"/>
              <w:right w:val="single" w:sz="4" w:space="0" w:color="auto"/>
            </w:tcBorders>
            <w:shd w:val="clear" w:color="auto" w:fill="auto"/>
            <w:noWrap/>
            <w:vAlign w:val="center"/>
          </w:tcPr>
          <w:p w14:paraId="2FEE2CBB" w14:textId="131EAA07" w:rsidR="00951485" w:rsidRPr="00951485" w:rsidRDefault="00951485" w:rsidP="00AE42A2">
            <w:pPr>
              <w:spacing w:after="0" w:line="240" w:lineRule="auto"/>
              <w:jc w:val="right"/>
              <w:rPr>
                <w:rFonts w:ascii="Times New Roman" w:hAnsi="Times New Roman" w:cs="Times New Roman"/>
                <w:color w:val="000000"/>
              </w:rPr>
            </w:pPr>
            <w:r w:rsidRPr="00AF5415">
              <w:rPr>
                <w:rFonts w:ascii="Times New Roman" w:hAnsi="Times New Roman" w:cs="Times New Roman"/>
              </w:rPr>
              <w:t>1 661</w:t>
            </w:r>
          </w:p>
        </w:tc>
        <w:tc>
          <w:tcPr>
            <w:tcW w:w="744" w:type="pct"/>
            <w:tcBorders>
              <w:top w:val="single" w:sz="8" w:space="0" w:color="auto"/>
              <w:left w:val="single" w:sz="4" w:space="0" w:color="auto"/>
              <w:bottom w:val="single" w:sz="4" w:space="0" w:color="auto"/>
              <w:right w:val="single" w:sz="8" w:space="0" w:color="auto"/>
            </w:tcBorders>
            <w:shd w:val="clear" w:color="auto" w:fill="auto"/>
            <w:vAlign w:val="center"/>
          </w:tcPr>
          <w:p w14:paraId="5F36DE3E" w14:textId="1A6D7DAD" w:rsidR="00951485" w:rsidRPr="00951485" w:rsidRDefault="00951485" w:rsidP="00AE42A2">
            <w:pPr>
              <w:spacing w:after="0" w:line="240" w:lineRule="auto"/>
              <w:jc w:val="right"/>
              <w:rPr>
                <w:rFonts w:ascii="Times New Roman" w:hAnsi="Times New Roman" w:cs="Times New Roman"/>
                <w:b/>
                <w:color w:val="000000"/>
              </w:rPr>
            </w:pPr>
            <w:r w:rsidRPr="00AF5415">
              <w:rPr>
                <w:rFonts w:ascii="Times New Roman" w:hAnsi="Times New Roman" w:cs="Times New Roman"/>
                <w:b/>
              </w:rPr>
              <w:t>461,32</w:t>
            </w:r>
          </w:p>
        </w:tc>
      </w:tr>
      <w:tr w:rsidR="00951485" w:rsidRPr="009F2998" w14:paraId="39BC900B" w14:textId="77777777" w:rsidTr="00AF5415">
        <w:trPr>
          <w:trHeight w:val="267"/>
        </w:trPr>
        <w:tc>
          <w:tcPr>
            <w:tcW w:w="89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F5EFBB" w14:textId="77777777" w:rsidR="00951485" w:rsidRPr="009F2998" w:rsidRDefault="00951485" w:rsidP="00951485">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Priemysel</w:t>
            </w:r>
          </w:p>
        </w:tc>
        <w:tc>
          <w:tcPr>
            <w:tcW w:w="587" w:type="pct"/>
            <w:tcBorders>
              <w:top w:val="single" w:sz="4" w:space="0" w:color="auto"/>
              <w:left w:val="single" w:sz="4" w:space="0" w:color="auto"/>
              <w:bottom w:val="single" w:sz="4" w:space="0" w:color="auto"/>
              <w:right w:val="single" w:sz="4" w:space="0" w:color="auto"/>
            </w:tcBorders>
            <w:vAlign w:val="center"/>
          </w:tcPr>
          <w:p w14:paraId="66FA8D28" w14:textId="757B1E7D" w:rsidR="00951485" w:rsidRPr="00951485" w:rsidRDefault="00951485" w:rsidP="00FC1022">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1 015</w:t>
            </w:r>
          </w:p>
        </w:tc>
        <w:tc>
          <w:tcPr>
            <w:tcW w:w="694" w:type="pct"/>
            <w:tcBorders>
              <w:top w:val="single" w:sz="4" w:space="0" w:color="auto"/>
              <w:left w:val="single" w:sz="4" w:space="0" w:color="auto"/>
              <w:bottom w:val="single" w:sz="4" w:space="0" w:color="auto"/>
              <w:right w:val="single" w:sz="8" w:space="0" w:color="auto"/>
            </w:tcBorders>
            <w:shd w:val="clear" w:color="auto" w:fill="auto"/>
            <w:vAlign w:val="center"/>
          </w:tcPr>
          <w:p w14:paraId="35062886" w14:textId="0F4D924B" w:rsidR="00951485" w:rsidRPr="00951485" w:rsidRDefault="00951485" w:rsidP="00FC1022">
            <w:pPr>
              <w:spacing w:after="0" w:line="240" w:lineRule="auto"/>
              <w:jc w:val="right"/>
              <w:rPr>
                <w:rFonts w:ascii="Times New Roman" w:hAnsi="Times New Roman" w:cs="Times New Roman"/>
                <w:b/>
                <w:color w:val="000000"/>
              </w:rPr>
            </w:pPr>
            <w:r w:rsidRPr="00AF5415">
              <w:rPr>
                <w:rFonts w:ascii="Times New Roman" w:hAnsi="Times New Roman" w:cs="Times New Roman"/>
                <w:b/>
              </w:rPr>
              <w:t>281,97</w:t>
            </w:r>
          </w:p>
        </w:tc>
        <w:tc>
          <w:tcPr>
            <w:tcW w:w="694" w:type="pct"/>
            <w:tcBorders>
              <w:top w:val="single" w:sz="4" w:space="0" w:color="auto"/>
              <w:left w:val="single" w:sz="8" w:space="0" w:color="auto"/>
              <w:bottom w:val="single" w:sz="4" w:space="0" w:color="auto"/>
              <w:right w:val="single" w:sz="4" w:space="0" w:color="auto"/>
            </w:tcBorders>
            <w:vAlign w:val="center"/>
          </w:tcPr>
          <w:p w14:paraId="484D7339" w14:textId="2DF20045" w:rsidR="00951485" w:rsidRPr="00951485" w:rsidRDefault="00951485" w:rsidP="00AE42A2">
            <w:pPr>
              <w:spacing w:after="0" w:line="240" w:lineRule="auto"/>
              <w:jc w:val="right"/>
              <w:rPr>
                <w:rFonts w:ascii="Times New Roman" w:hAnsi="Times New Roman" w:cs="Times New Roman"/>
                <w:color w:val="000000"/>
              </w:rPr>
            </w:pPr>
            <w:r w:rsidRPr="00AF5415">
              <w:rPr>
                <w:rFonts w:ascii="Times New Roman" w:hAnsi="Times New Roman" w:cs="Times New Roman"/>
              </w:rPr>
              <w:t>1 633</w:t>
            </w:r>
          </w:p>
        </w:tc>
        <w:tc>
          <w:tcPr>
            <w:tcW w:w="695" w:type="pct"/>
            <w:tcBorders>
              <w:top w:val="single" w:sz="4" w:space="0" w:color="auto"/>
              <w:left w:val="single" w:sz="4" w:space="0" w:color="auto"/>
              <w:bottom w:val="single" w:sz="4" w:space="0" w:color="auto"/>
              <w:right w:val="single" w:sz="8" w:space="0" w:color="auto"/>
            </w:tcBorders>
            <w:shd w:val="clear" w:color="auto" w:fill="auto"/>
            <w:vAlign w:val="center"/>
          </w:tcPr>
          <w:p w14:paraId="5E4A23AD" w14:textId="3801134F" w:rsidR="00951485" w:rsidRPr="00951485" w:rsidRDefault="00951485" w:rsidP="00AE42A2">
            <w:pPr>
              <w:spacing w:after="0" w:line="240" w:lineRule="auto"/>
              <w:jc w:val="right"/>
              <w:rPr>
                <w:rFonts w:ascii="Times New Roman" w:hAnsi="Times New Roman" w:cs="Times New Roman"/>
                <w:b/>
                <w:color w:val="000000"/>
              </w:rPr>
            </w:pPr>
            <w:r w:rsidRPr="00AF5415">
              <w:rPr>
                <w:rFonts w:ascii="Times New Roman" w:hAnsi="Times New Roman" w:cs="Times New Roman"/>
                <w:b/>
              </w:rPr>
              <w:t>453,62</w:t>
            </w:r>
          </w:p>
        </w:tc>
        <w:tc>
          <w:tcPr>
            <w:tcW w:w="694" w:type="pct"/>
            <w:tcBorders>
              <w:top w:val="single" w:sz="4" w:space="0" w:color="auto"/>
              <w:left w:val="single" w:sz="8" w:space="0" w:color="auto"/>
              <w:bottom w:val="single" w:sz="4" w:space="0" w:color="auto"/>
              <w:right w:val="single" w:sz="4" w:space="0" w:color="auto"/>
            </w:tcBorders>
            <w:shd w:val="clear" w:color="auto" w:fill="auto"/>
            <w:noWrap/>
            <w:vAlign w:val="center"/>
          </w:tcPr>
          <w:p w14:paraId="5D47991C" w14:textId="1C4E990A" w:rsidR="00951485" w:rsidRPr="00951485" w:rsidRDefault="00951485" w:rsidP="00AE42A2">
            <w:pPr>
              <w:spacing w:after="0" w:line="240" w:lineRule="auto"/>
              <w:jc w:val="right"/>
              <w:rPr>
                <w:rFonts w:ascii="Times New Roman" w:hAnsi="Times New Roman" w:cs="Times New Roman"/>
                <w:color w:val="000000"/>
              </w:rPr>
            </w:pPr>
            <w:r w:rsidRPr="00AF5415">
              <w:rPr>
                <w:rFonts w:ascii="Times New Roman" w:hAnsi="Times New Roman" w:cs="Times New Roman"/>
              </w:rPr>
              <w:t>124</w:t>
            </w:r>
          </w:p>
        </w:tc>
        <w:tc>
          <w:tcPr>
            <w:tcW w:w="744" w:type="pct"/>
            <w:tcBorders>
              <w:top w:val="single" w:sz="4" w:space="0" w:color="auto"/>
              <w:left w:val="single" w:sz="4" w:space="0" w:color="auto"/>
              <w:bottom w:val="single" w:sz="4" w:space="0" w:color="auto"/>
              <w:right w:val="single" w:sz="8" w:space="0" w:color="auto"/>
            </w:tcBorders>
            <w:shd w:val="clear" w:color="auto" w:fill="auto"/>
            <w:vAlign w:val="center"/>
          </w:tcPr>
          <w:p w14:paraId="1EC9AB47" w14:textId="0E51D839" w:rsidR="00951485" w:rsidRPr="00951485" w:rsidRDefault="00951485" w:rsidP="00AE42A2">
            <w:pPr>
              <w:spacing w:after="0" w:line="240" w:lineRule="auto"/>
              <w:jc w:val="right"/>
              <w:rPr>
                <w:rFonts w:ascii="Times New Roman" w:hAnsi="Times New Roman" w:cs="Times New Roman"/>
                <w:b/>
                <w:color w:val="000000"/>
              </w:rPr>
            </w:pPr>
            <w:r w:rsidRPr="00AF5415">
              <w:rPr>
                <w:rFonts w:ascii="Times New Roman" w:hAnsi="Times New Roman" w:cs="Times New Roman"/>
                <w:b/>
              </w:rPr>
              <w:t>34,43</w:t>
            </w:r>
          </w:p>
        </w:tc>
      </w:tr>
      <w:tr w:rsidR="00951485" w:rsidRPr="009F2998" w14:paraId="772D2845" w14:textId="77777777" w:rsidTr="00AF5415">
        <w:trPr>
          <w:trHeight w:val="281"/>
        </w:trPr>
        <w:tc>
          <w:tcPr>
            <w:tcW w:w="89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EEDA41" w14:textId="77777777" w:rsidR="00951485" w:rsidRPr="009F2998" w:rsidRDefault="00951485" w:rsidP="00951485">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Verejný sektor</w:t>
            </w:r>
          </w:p>
        </w:tc>
        <w:tc>
          <w:tcPr>
            <w:tcW w:w="587" w:type="pct"/>
            <w:tcBorders>
              <w:top w:val="single" w:sz="4" w:space="0" w:color="auto"/>
              <w:left w:val="single" w:sz="4" w:space="0" w:color="auto"/>
              <w:bottom w:val="single" w:sz="4" w:space="0" w:color="auto"/>
              <w:right w:val="single" w:sz="4" w:space="0" w:color="auto"/>
            </w:tcBorders>
            <w:vAlign w:val="center"/>
          </w:tcPr>
          <w:p w14:paraId="1337A471" w14:textId="74E0B009" w:rsidR="00951485" w:rsidRPr="00951485" w:rsidRDefault="00951485" w:rsidP="00FC1022">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163</w:t>
            </w:r>
          </w:p>
        </w:tc>
        <w:tc>
          <w:tcPr>
            <w:tcW w:w="694" w:type="pct"/>
            <w:tcBorders>
              <w:top w:val="single" w:sz="4" w:space="0" w:color="auto"/>
              <w:left w:val="single" w:sz="4" w:space="0" w:color="auto"/>
              <w:bottom w:val="single" w:sz="4" w:space="0" w:color="auto"/>
              <w:right w:val="single" w:sz="8" w:space="0" w:color="auto"/>
            </w:tcBorders>
            <w:shd w:val="clear" w:color="auto" w:fill="auto"/>
            <w:vAlign w:val="center"/>
          </w:tcPr>
          <w:p w14:paraId="58AC38B3" w14:textId="6ACE4559" w:rsidR="00951485" w:rsidRPr="00951485" w:rsidRDefault="00951485" w:rsidP="00FC1022">
            <w:pPr>
              <w:spacing w:after="0" w:line="240" w:lineRule="auto"/>
              <w:jc w:val="right"/>
              <w:rPr>
                <w:rFonts w:ascii="Times New Roman" w:hAnsi="Times New Roman" w:cs="Times New Roman"/>
                <w:b/>
                <w:color w:val="000000"/>
              </w:rPr>
            </w:pPr>
            <w:r w:rsidRPr="00AF5415">
              <w:rPr>
                <w:rFonts w:ascii="Times New Roman" w:hAnsi="Times New Roman" w:cs="Times New Roman"/>
                <w:b/>
              </w:rPr>
              <w:t>45,22</w:t>
            </w:r>
          </w:p>
        </w:tc>
        <w:tc>
          <w:tcPr>
            <w:tcW w:w="694" w:type="pct"/>
            <w:tcBorders>
              <w:top w:val="single" w:sz="4" w:space="0" w:color="auto"/>
              <w:left w:val="single" w:sz="8" w:space="0" w:color="auto"/>
              <w:bottom w:val="single" w:sz="4" w:space="0" w:color="auto"/>
              <w:right w:val="single" w:sz="4" w:space="0" w:color="auto"/>
            </w:tcBorders>
            <w:vAlign w:val="center"/>
          </w:tcPr>
          <w:p w14:paraId="620806F6" w14:textId="06475FBF" w:rsidR="00951485" w:rsidRPr="00951485" w:rsidRDefault="00951485" w:rsidP="00AE42A2">
            <w:pPr>
              <w:spacing w:after="0" w:line="240" w:lineRule="auto"/>
              <w:jc w:val="right"/>
              <w:rPr>
                <w:rFonts w:ascii="Times New Roman" w:hAnsi="Times New Roman" w:cs="Times New Roman"/>
                <w:color w:val="000000"/>
              </w:rPr>
            </w:pPr>
            <w:r w:rsidRPr="00AF5415">
              <w:rPr>
                <w:rFonts w:ascii="Times New Roman" w:hAnsi="Times New Roman" w:cs="Times New Roman"/>
              </w:rPr>
              <w:t>402</w:t>
            </w:r>
          </w:p>
        </w:tc>
        <w:tc>
          <w:tcPr>
            <w:tcW w:w="695" w:type="pct"/>
            <w:tcBorders>
              <w:top w:val="single" w:sz="4" w:space="0" w:color="auto"/>
              <w:left w:val="single" w:sz="4" w:space="0" w:color="auto"/>
              <w:bottom w:val="single" w:sz="4" w:space="0" w:color="auto"/>
              <w:right w:val="single" w:sz="8" w:space="0" w:color="auto"/>
            </w:tcBorders>
            <w:shd w:val="clear" w:color="auto" w:fill="auto"/>
            <w:vAlign w:val="center"/>
          </w:tcPr>
          <w:p w14:paraId="690006B2" w14:textId="7B30D1F7" w:rsidR="00951485" w:rsidRPr="00951485" w:rsidRDefault="00951485" w:rsidP="00AE42A2">
            <w:pPr>
              <w:spacing w:after="0" w:line="240" w:lineRule="auto"/>
              <w:jc w:val="right"/>
              <w:rPr>
                <w:rFonts w:ascii="Times New Roman" w:hAnsi="Times New Roman" w:cs="Times New Roman"/>
                <w:b/>
                <w:color w:val="000000"/>
              </w:rPr>
            </w:pPr>
            <w:r w:rsidRPr="00AF5415">
              <w:rPr>
                <w:rFonts w:ascii="Times New Roman" w:hAnsi="Times New Roman" w:cs="Times New Roman"/>
                <w:b/>
              </w:rPr>
              <w:t>111,67</w:t>
            </w:r>
          </w:p>
        </w:tc>
        <w:tc>
          <w:tcPr>
            <w:tcW w:w="694" w:type="pct"/>
            <w:tcBorders>
              <w:top w:val="single" w:sz="4" w:space="0" w:color="auto"/>
              <w:left w:val="single" w:sz="8" w:space="0" w:color="auto"/>
              <w:bottom w:val="single" w:sz="4" w:space="0" w:color="auto"/>
              <w:right w:val="single" w:sz="4" w:space="0" w:color="auto"/>
            </w:tcBorders>
            <w:shd w:val="clear" w:color="auto" w:fill="auto"/>
            <w:noWrap/>
            <w:vAlign w:val="center"/>
          </w:tcPr>
          <w:p w14:paraId="410DDA1E" w14:textId="1AF3D7AF" w:rsidR="00951485" w:rsidRPr="00951485" w:rsidRDefault="00951485" w:rsidP="00AE42A2">
            <w:pPr>
              <w:spacing w:after="0" w:line="240" w:lineRule="auto"/>
              <w:jc w:val="right"/>
              <w:rPr>
                <w:rFonts w:ascii="Times New Roman" w:hAnsi="Times New Roman" w:cs="Times New Roman"/>
                <w:color w:val="000000"/>
              </w:rPr>
            </w:pPr>
            <w:r w:rsidRPr="00AF5415">
              <w:rPr>
                <w:rFonts w:ascii="Times New Roman" w:hAnsi="Times New Roman" w:cs="Times New Roman"/>
              </w:rPr>
              <w:t>207</w:t>
            </w:r>
          </w:p>
        </w:tc>
        <w:tc>
          <w:tcPr>
            <w:tcW w:w="744" w:type="pct"/>
            <w:tcBorders>
              <w:top w:val="single" w:sz="4" w:space="0" w:color="auto"/>
              <w:left w:val="single" w:sz="4" w:space="0" w:color="auto"/>
              <w:bottom w:val="single" w:sz="4" w:space="0" w:color="auto"/>
              <w:right w:val="single" w:sz="8" w:space="0" w:color="auto"/>
            </w:tcBorders>
            <w:shd w:val="clear" w:color="auto" w:fill="auto"/>
            <w:vAlign w:val="center"/>
          </w:tcPr>
          <w:p w14:paraId="4B75899D" w14:textId="17A61E3B" w:rsidR="00951485" w:rsidRPr="00951485" w:rsidRDefault="00951485" w:rsidP="00AE42A2">
            <w:pPr>
              <w:spacing w:after="0" w:line="240" w:lineRule="auto"/>
              <w:jc w:val="right"/>
              <w:rPr>
                <w:rFonts w:ascii="Times New Roman" w:hAnsi="Times New Roman" w:cs="Times New Roman"/>
                <w:b/>
                <w:color w:val="000000"/>
              </w:rPr>
            </w:pPr>
            <w:r w:rsidRPr="00AF5415">
              <w:rPr>
                <w:rFonts w:ascii="Times New Roman" w:hAnsi="Times New Roman" w:cs="Times New Roman"/>
                <w:b/>
              </w:rPr>
              <w:t>57,47</w:t>
            </w:r>
          </w:p>
        </w:tc>
      </w:tr>
      <w:tr w:rsidR="00951485" w:rsidRPr="009F2998" w14:paraId="460AD024" w14:textId="77777777" w:rsidTr="00AF5415">
        <w:trPr>
          <w:trHeight w:val="267"/>
        </w:trPr>
        <w:tc>
          <w:tcPr>
            <w:tcW w:w="89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6ECFE9" w14:textId="77777777" w:rsidR="00951485" w:rsidRPr="009F2998" w:rsidRDefault="00951485" w:rsidP="00951485">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 xml:space="preserve">Doprava </w:t>
            </w:r>
          </w:p>
        </w:tc>
        <w:tc>
          <w:tcPr>
            <w:tcW w:w="587" w:type="pct"/>
            <w:tcBorders>
              <w:top w:val="single" w:sz="4" w:space="0" w:color="auto"/>
              <w:left w:val="single" w:sz="4" w:space="0" w:color="auto"/>
              <w:bottom w:val="single" w:sz="4" w:space="0" w:color="auto"/>
              <w:right w:val="single" w:sz="4" w:space="0" w:color="auto"/>
            </w:tcBorders>
            <w:vAlign w:val="center"/>
          </w:tcPr>
          <w:p w14:paraId="282AE667" w14:textId="5AE2861D" w:rsidR="00951485" w:rsidRPr="00951485" w:rsidRDefault="00951485" w:rsidP="00FC1022">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77</w:t>
            </w:r>
          </w:p>
        </w:tc>
        <w:tc>
          <w:tcPr>
            <w:tcW w:w="694" w:type="pct"/>
            <w:tcBorders>
              <w:top w:val="single" w:sz="4" w:space="0" w:color="auto"/>
              <w:left w:val="single" w:sz="4" w:space="0" w:color="auto"/>
              <w:bottom w:val="single" w:sz="4" w:space="0" w:color="auto"/>
              <w:right w:val="single" w:sz="8" w:space="0" w:color="auto"/>
            </w:tcBorders>
            <w:shd w:val="clear" w:color="auto" w:fill="auto"/>
            <w:vAlign w:val="center"/>
          </w:tcPr>
          <w:p w14:paraId="10D5BF35" w14:textId="3F3FE7B8" w:rsidR="00951485" w:rsidRPr="00951485" w:rsidRDefault="00951485" w:rsidP="00FC1022">
            <w:pPr>
              <w:spacing w:after="0" w:line="240" w:lineRule="auto"/>
              <w:jc w:val="right"/>
              <w:rPr>
                <w:rFonts w:ascii="Times New Roman" w:hAnsi="Times New Roman" w:cs="Times New Roman"/>
                <w:b/>
                <w:color w:val="000000"/>
              </w:rPr>
            </w:pPr>
            <w:r w:rsidRPr="00AF5415">
              <w:rPr>
                <w:rFonts w:ascii="Times New Roman" w:hAnsi="Times New Roman" w:cs="Times New Roman"/>
                <w:b/>
              </w:rPr>
              <w:t>21,39</w:t>
            </w:r>
          </w:p>
        </w:tc>
        <w:tc>
          <w:tcPr>
            <w:tcW w:w="694" w:type="pct"/>
            <w:tcBorders>
              <w:top w:val="single" w:sz="4" w:space="0" w:color="auto"/>
              <w:left w:val="single" w:sz="8" w:space="0" w:color="auto"/>
              <w:bottom w:val="single" w:sz="4" w:space="0" w:color="auto"/>
              <w:right w:val="single" w:sz="4" w:space="0" w:color="auto"/>
            </w:tcBorders>
            <w:vAlign w:val="center"/>
          </w:tcPr>
          <w:p w14:paraId="73151A29" w14:textId="11A947E0" w:rsidR="00951485" w:rsidRPr="00951485" w:rsidRDefault="00951485" w:rsidP="00AE42A2">
            <w:pPr>
              <w:spacing w:after="0" w:line="240" w:lineRule="auto"/>
              <w:jc w:val="right"/>
              <w:rPr>
                <w:rFonts w:ascii="Times New Roman" w:hAnsi="Times New Roman" w:cs="Times New Roman"/>
                <w:color w:val="000000"/>
              </w:rPr>
            </w:pPr>
            <w:r w:rsidRPr="00AF5415">
              <w:rPr>
                <w:rFonts w:ascii="Times New Roman" w:hAnsi="Times New Roman" w:cs="Times New Roman"/>
              </w:rPr>
              <w:t>706</w:t>
            </w:r>
          </w:p>
        </w:tc>
        <w:tc>
          <w:tcPr>
            <w:tcW w:w="695" w:type="pct"/>
            <w:tcBorders>
              <w:top w:val="single" w:sz="4" w:space="0" w:color="auto"/>
              <w:left w:val="single" w:sz="4" w:space="0" w:color="auto"/>
              <w:bottom w:val="single" w:sz="4" w:space="0" w:color="auto"/>
              <w:right w:val="single" w:sz="8" w:space="0" w:color="auto"/>
            </w:tcBorders>
            <w:shd w:val="clear" w:color="auto" w:fill="auto"/>
            <w:vAlign w:val="center"/>
          </w:tcPr>
          <w:p w14:paraId="0B9982CB" w14:textId="26372189" w:rsidR="00951485" w:rsidRPr="00951485" w:rsidRDefault="00951485" w:rsidP="00AE42A2">
            <w:pPr>
              <w:spacing w:after="0" w:line="240" w:lineRule="auto"/>
              <w:jc w:val="right"/>
              <w:rPr>
                <w:rFonts w:ascii="Times New Roman" w:hAnsi="Times New Roman" w:cs="Times New Roman"/>
                <w:b/>
                <w:color w:val="000000"/>
              </w:rPr>
            </w:pPr>
            <w:r w:rsidRPr="00AF5415">
              <w:rPr>
                <w:rFonts w:ascii="Times New Roman" w:hAnsi="Times New Roman" w:cs="Times New Roman"/>
                <w:b/>
              </w:rPr>
              <w:t>196,16</w:t>
            </w:r>
          </w:p>
        </w:tc>
        <w:tc>
          <w:tcPr>
            <w:tcW w:w="694" w:type="pct"/>
            <w:tcBorders>
              <w:top w:val="single" w:sz="4" w:space="0" w:color="auto"/>
              <w:left w:val="single" w:sz="8" w:space="0" w:color="auto"/>
              <w:bottom w:val="single" w:sz="4" w:space="0" w:color="auto"/>
              <w:right w:val="single" w:sz="4" w:space="0" w:color="auto"/>
            </w:tcBorders>
            <w:shd w:val="clear" w:color="auto" w:fill="auto"/>
            <w:noWrap/>
            <w:vAlign w:val="center"/>
          </w:tcPr>
          <w:p w14:paraId="1B3B6ECE" w14:textId="2C0E5159" w:rsidR="00951485" w:rsidRPr="00951485" w:rsidRDefault="00951485" w:rsidP="00AE42A2">
            <w:pPr>
              <w:spacing w:after="0" w:line="240" w:lineRule="auto"/>
              <w:jc w:val="right"/>
              <w:rPr>
                <w:rFonts w:ascii="Times New Roman" w:hAnsi="Times New Roman" w:cs="Times New Roman"/>
                <w:color w:val="000000"/>
              </w:rPr>
            </w:pPr>
            <w:r w:rsidRPr="00AF5415">
              <w:rPr>
                <w:rFonts w:ascii="Times New Roman" w:hAnsi="Times New Roman" w:cs="Times New Roman"/>
              </w:rPr>
              <w:t>113</w:t>
            </w:r>
          </w:p>
        </w:tc>
        <w:tc>
          <w:tcPr>
            <w:tcW w:w="744" w:type="pct"/>
            <w:tcBorders>
              <w:top w:val="single" w:sz="4" w:space="0" w:color="auto"/>
              <w:left w:val="single" w:sz="4" w:space="0" w:color="auto"/>
              <w:bottom w:val="single" w:sz="4" w:space="0" w:color="auto"/>
              <w:right w:val="single" w:sz="8" w:space="0" w:color="auto"/>
            </w:tcBorders>
            <w:shd w:val="clear" w:color="auto" w:fill="auto"/>
            <w:vAlign w:val="center"/>
          </w:tcPr>
          <w:p w14:paraId="52168C22" w14:textId="3C538F3C" w:rsidR="00951485" w:rsidRPr="00951485" w:rsidRDefault="00951485" w:rsidP="00AE42A2">
            <w:pPr>
              <w:spacing w:after="0" w:line="240" w:lineRule="auto"/>
              <w:jc w:val="right"/>
              <w:rPr>
                <w:rFonts w:ascii="Times New Roman" w:hAnsi="Times New Roman" w:cs="Times New Roman"/>
                <w:b/>
                <w:color w:val="000000"/>
              </w:rPr>
            </w:pPr>
            <w:r w:rsidRPr="00AF5415">
              <w:rPr>
                <w:rFonts w:ascii="Times New Roman" w:hAnsi="Times New Roman" w:cs="Times New Roman"/>
                <w:b/>
              </w:rPr>
              <w:t>31,48</w:t>
            </w:r>
          </w:p>
        </w:tc>
      </w:tr>
      <w:tr w:rsidR="00951485" w:rsidRPr="009F2998" w14:paraId="30482023" w14:textId="77777777" w:rsidTr="00AF5415">
        <w:trPr>
          <w:trHeight w:val="267"/>
        </w:trPr>
        <w:tc>
          <w:tcPr>
            <w:tcW w:w="893"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7DFBC1D" w14:textId="77777777" w:rsidR="00951485" w:rsidRPr="009F2998" w:rsidRDefault="00951485" w:rsidP="00951485">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Spotrebiče</w:t>
            </w:r>
          </w:p>
        </w:tc>
        <w:tc>
          <w:tcPr>
            <w:tcW w:w="587" w:type="pct"/>
            <w:tcBorders>
              <w:top w:val="single" w:sz="4" w:space="0" w:color="auto"/>
              <w:left w:val="single" w:sz="4" w:space="0" w:color="auto"/>
              <w:bottom w:val="single" w:sz="8" w:space="0" w:color="auto"/>
              <w:right w:val="single" w:sz="4" w:space="0" w:color="auto"/>
            </w:tcBorders>
            <w:vAlign w:val="center"/>
          </w:tcPr>
          <w:p w14:paraId="4D405F81" w14:textId="6CAACAB5" w:rsidR="00951485" w:rsidRPr="00951485" w:rsidRDefault="00951485" w:rsidP="00FC1022">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141</w:t>
            </w:r>
          </w:p>
        </w:tc>
        <w:tc>
          <w:tcPr>
            <w:tcW w:w="694" w:type="pct"/>
            <w:tcBorders>
              <w:top w:val="single" w:sz="4" w:space="0" w:color="auto"/>
              <w:left w:val="single" w:sz="4" w:space="0" w:color="auto"/>
              <w:bottom w:val="single" w:sz="8" w:space="0" w:color="auto"/>
              <w:right w:val="single" w:sz="8" w:space="0" w:color="auto"/>
            </w:tcBorders>
            <w:shd w:val="clear" w:color="auto" w:fill="auto"/>
            <w:vAlign w:val="center"/>
          </w:tcPr>
          <w:p w14:paraId="399CAFD4" w14:textId="6F2F80C1" w:rsidR="00951485" w:rsidRPr="00951485" w:rsidRDefault="00951485" w:rsidP="00FC1022">
            <w:pPr>
              <w:spacing w:after="0" w:line="240" w:lineRule="auto"/>
              <w:jc w:val="right"/>
              <w:rPr>
                <w:rFonts w:ascii="Times New Roman" w:hAnsi="Times New Roman" w:cs="Times New Roman"/>
                <w:b/>
                <w:color w:val="000000"/>
              </w:rPr>
            </w:pPr>
            <w:r w:rsidRPr="00AF5415">
              <w:rPr>
                <w:rFonts w:ascii="Times New Roman" w:hAnsi="Times New Roman" w:cs="Times New Roman"/>
                <w:b/>
              </w:rPr>
              <w:t>39,29</w:t>
            </w:r>
          </w:p>
        </w:tc>
        <w:tc>
          <w:tcPr>
            <w:tcW w:w="694" w:type="pct"/>
            <w:tcBorders>
              <w:top w:val="single" w:sz="4" w:space="0" w:color="auto"/>
              <w:left w:val="single" w:sz="8" w:space="0" w:color="auto"/>
              <w:bottom w:val="single" w:sz="8" w:space="0" w:color="auto"/>
              <w:right w:val="single" w:sz="4" w:space="0" w:color="auto"/>
            </w:tcBorders>
            <w:vAlign w:val="center"/>
          </w:tcPr>
          <w:p w14:paraId="4B123B4C" w14:textId="0C6B67D3" w:rsidR="00951485" w:rsidRPr="00951485" w:rsidRDefault="00951485" w:rsidP="00AE42A2">
            <w:pPr>
              <w:spacing w:after="0" w:line="240" w:lineRule="auto"/>
              <w:jc w:val="right"/>
              <w:rPr>
                <w:rFonts w:ascii="Times New Roman" w:hAnsi="Times New Roman" w:cs="Times New Roman"/>
                <w:color w:val="000000"/>
              </w:rPr>
            </w:pPr>
            <w:r w:rsidRPr="00AF5415">
              <w:rPr>
                <w:rFonts w:ascii="Times New Roman" w:hAnsi="Times New Roman" w:cs="Times New Roman"/>
              </w:rPr>
              <w:t>190</w:t>
            </w:r>
          </w:p>
        </w:tc>
        <w:tc>
          <w:tcPr>
            <w:tcW w:w="695" w:type="pct"/>
            <w:tcBorders>
              <w:top w:val="single" w:sz="4" w:space="0" w:color="auto"/>
              <w:left w:val="single" w:sz="4" w:space="0" w:color="auto"/>
              <w:bottom w:val="single" w:sz="8" w:space="0" w:color="auto"/>
              <w:right w:val="single" w:sz="8" w:space="0" w:color="auto"/>
            </w:tcBorders>
            <w:shd w:val="clear" w:color="auto" w:fill="auto"/>
            <w:vAlign w:val="center"/>
          </w:tcPr>
          <w:p w14:paraId="15799FF0" w14:textId="0F7AB8EF" w:rsidR="00951485" w:rsidRPr="00951485" w:rsidRDefault="00951485" w:rsidP="00AE42A2">
            <w:pPr>
              <w:spacing w:after="0" w:line="240" w:lineRule="auto"/>
              <w:jc w:val="right"/>
              <w:rPr>
                <w:rFonts w:ascii="Times New Roman" w:hAnsi="Times New Roman" w:cs="Times New Roman"/>
                <w:b/>
                <w:color w:val="000000"/>
              </w:rPr>
            </w:pPr>
            <w:r w:rsidRPr="00AF5415">
              <w:rPr>
                <w:rFonts w:ascii="Times New Roman" w:hAnsi="Times New Roman" w:cs="Times New Roman"/>
                <w:b/>
              </w:rPr>
              <w:t>52,77</w:t>
            </w:r>
          </w:p>
        </w:tc>
        <w:tc>
          <w:tcPr>
            <w:tcW w:w="694" w:type="pct"/>
            <w:tcBorders>
              <w:top w:val="single" w:sz="4" w:space="0" w:color="auto"/>
              <w:left w:val="single" w:sz="8" w:space="0" w:color="auto"/>
              <w:bottom w:val="single" w:sz="8" w:space="0" w:color="auto"/>
              <w:right w:val="single" w:sz="4" w:space="0" w:color="auto"/>
            </w:tcBorders>
            <w:shd w:val="clear" w:color="auto" w:fill="auto"/>
            <w:noWrap/>
            <w:vAlign w:val="center"/>
          </w:tcPr>
          <w:p w14:paraId="75F97F0B" w14:textId="721573E6" w:rsidR="00951485" w:rsidRPr="00951485" w:rsidRDefault="00951485" w:rsidP="00AE42A2">
            <w:pPr>
              <w:spacing w:after="0" w:line="240" w:lineRule="auto"/>
              <w:jc w:val="right"/>
              <w:rPr>
                <w:rFonts w:ascii="Times New Roman" w:hAnsi="Times New Roman" w:cs="Times New Roman"/>
                <w:color w:val="000000"/>
              </w:rPr>
            </w:pPr>
            <w:r w:rsidRPr="00AF5415">
              <w:rPr>
                <w:rFonts w:ascii="Times New Roman" w:hAnsi="Times New Roman" w:cs="Times New Roman"/>
              </w:rPr>
              <w:t>234</w:t>
            </w:r>
          </w:p>
        </w:tc>
        <w:tc>
          <w:tcPr>
            <w:tcW w:w="744" w:type="pct"/>
            <w:tcBorders>
              <w:top w:val="single" w:sz="4" w:space="0" w:color="auto"/>
              <w:left w:val="single" w:sz="4" w:space="0" w:color="auto"/>
              <w:bottom w:val="single" w:sz="8" w:space="0" w:color="auto"/>
              <w:right w:val="single" w:sz="8" w:space="0" w:color="auto"/>
            </w:tcBorders>
            <w:shd w:val="clear" w:color="auto" w:fill="auto"/>
            <w:vAlign w:val="center"/>
          </w:tcPr>
          <w:p w14:paraId="7F8BC66C" w14:textId="3C0C3EE8" w:rsidR="00951485" w:rsidRPr="00951485" w:rsidRDefault="00951485" w:rsidP="00AE42A2">
            <w:pPr>
              <w:spacing w:after="0" w:line="240" w:lineRule="auto"/>
              <w:jc w:val="right"/>
              <w:rPr>
                <w:rFonts w:ascii="Times New Roman" w:hAnsi="Times New Roman" w:cs="Times New Roman"/>
                <w:b/>
                <w:color w:val="000000"/>
              </w:rPr>
            </w:pPr>
            <w:r w:rsidRPr="00AF5415">
              <w:rPr>
                <w:rFonts w:ascii="Times New Roman" w:hAnsi="Times New Roman" w:cs="Times New Roman"/>
                <w:b/>
              </w:rPr>
              <w:t>64,99</w:t>
            </w:r>
          </w:p>
        </w:tc>
      </w:tr>
      <w:tr w:rsidR="00951485" w:rsidRPr="009F2998" w14:paraId="284BC582" w14:textId="77777777" w:rsidTr="00AF5415">
        <w:trPr>
          <w:trHeight w:val="281"/>
        </w:trPr>
        <w:tc>
          <w:tcPr>
            <w:tcW w:w="893"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A059EC7" w14:textId="77777777" w:rsidR="00951485" w:rsidRPr="009F2998" w:rsidRDefault="00951485" w:rsidP="00951485">
            <w:pPr>
              <w:spacing w:after="0" w:line="240" w:lineRule="auto"/>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SPOLU</w:t>
            </w:r>
          </w:p>
        </w:tc>
        <w:tc>
          <w:tcPr>
            <w:tcW w:w="587" w:type="pct"/>
            <w:tcBorders>
              <w:top w:val="single" w:sz="8" w:space="0" w:color="auto"/>
              <w:left w:val="single" w:sz="4" w:space="0" w:color="auto"/>
              <w:bottom w:val="single" w:sz="4" w:space="0" w:color="auto"/>
              <w:right w:val="single" w:sz="4" w:space="0" w:color="auto"/>
            </w:tcBorders>
            <w:vAlign w:val="center"/>
          </w:tcPr>
          <w:p w14:paraId="24A91DBF" w14:textId="3CD629F7" w:rsidR="00951485" w:rsidRPr="00951485" w:rsidRDefault="00951485" w:rsidP="00FC1022">
            <w:pPr>
              <w:spacing w:after="0" w:line="240" w:lineRule="auto"/>
              <w:jc w:val="right"/>
              <w:rPr>
                <w:rFonts w:ascii="Times New Roman" w:hAnsi="Times New Roman" w:cs="Times New Roman"/>
                <w:color w:val="000000"/>
              </w:rPr>
            </w:pPr>
            <w:r w:rsidRPr="00AF5415">
              <w:rPr>
                <w:rFonts w:ascii="Times New Roman" w:hAnsi="Times New Roman" w:cs="Times New Roman"/>
              </w:rPr>
              <w:t>3 013</w:t>
            </w:r>
          </w:p>
        </w:tc>
        <w:tc>
          <w:tcPr>
            <w:tcW w:w="694" w:type="pct"/>
            <w:tcBorders>
              <w:top w:val="single" w:sz="8" w:space="0" w:color="auto"/>
              <w:left w:val="single" w:sz="4" w:space="0" w:color="auto"/>
              <w:bottom w:val="single" w:sz="4" w:space="0" w:color="auto"/>
              <w:right w:val="single" w:sz="8" w:space="0" w:color="auto"/>
            </w:tcBorders>
            <w:shd w:val="clear" w:color="auto" w:fill="auto"/>
            <w:vAlign w:val="center"/>
          </w:tcPr>
          <w:p w14:paraId="06E6FFFB" w14:textId="7F14C0D8" w:rsidR="00951485" w:rsidRPr="00951485" w:rsidRDefault="00951485" w:rsidP="00FC1022">
            <w:pPr>
              <w:spacing w:after="0" w:line="240" w:lineRule="auto"/>
              <w:jc w:val="right"/>
              <w:rPr>
                <w:rFonts w:ascii="Times New Roman" w:hAnsi="Times New Roman" w:cs="Times New Roman"/>
                <w:b/>
                <w:color w:val="000000"/>
              </w:rPr>
            </w:pPr>
            <w:r w:rsidRPr="00AF5415">
              <w:rPr>
                <w:rFonts w:ascii="Times New Roman" w:hAnsi="Times New Roman" w:cs="Times New Roman"/>
                <w:b/>
              </w:rPr>
              <w:t>836,98</w:t>
            </w:r>
          </w:p>
        </w:tc>
        <w:tc>
          <w:tcPr>
            <w:tcW w:w="694" w:type="pct"/>
            <w:tcBorders>
              <w:top w:val="single" w:sz="8" w:space="0" w:color="auto"/>
              <w:left w:val="single" w:sz="8" w:space="0" w:color="auto"/>
              <w:bottom w:val="single" w:sz="4" w:space="0" w:color="auto"/>
              <w:right w:val="single" w:sz="4" w:space="0" w:color="auto"/>
            </w:tcBorders>
            <w:vAlign w:val="center"/>
          </w:tcPr>
          <w:p w14:paraId="66F7009F" w14:textId="5A370FAF" w:rsidR="00951485" w:rsidRPr="00951485" w:rsidRDefault="00951485" w:rsidP="00AE42A2">
            <w:pPr>
              <w:spacing w:after="0" w:line="240" w:lineRule="auto"/>
              <w:jc w:val="right"/>
              <w:rPr>
                <w:rFonts w:ascii="Times New Roman" w:hAnsi="Times New Roman" w:cs="Times New Roman"/>
                <w:color w:val="000000"/>
              </w:rPr>
            </w:pPr>
            <w:r w:rsidRPr="00AF5415">
              <w:rPr>
                <w:rFonts w:ascii="Times New Roman" w:hAnsi="Times New Roman" w:cs="Times New Roman"/>
              </w:rPr>
              <w:t>4 704</w:t>
            </w:r>
          </w:p>
        </w:tc>
        <w:tc>
          <w:tcPr>
            <w:tcW w:w="695" w:type="pct"/>
            <w:tcBorders>
              <w:top w:val="single" w:sz="8" w:space="0" w:color="auto"/>
              <w:left w:val="single" w:sz="4" w:space="0" w:color="auto"/>
              <w:bottom w:val="single" w:sz="4" w:space="0" w:color="auto"/>
              <w:right w:val="single" w:sz="8" w:space="0" w:color="auto"/>
            </w:tcBorders>
            <w:shd w:val="clear" w:color="auto" w:fill="auto"/>
            <w:vAlign w:val="center"/>
          </w:tcPr>
          <w:p w14:paraId="2CDFB5B2" w14:textId="0D61981A" w:rsidR="00951485" w:rsidRPr="00951485" w:rsidRDefault="00951485" w:rsidP="00AE42A2">
            <w:pPr>
              <w:spacing w:after="0" w:line="240" w:lineRule="auto"/>
              <w:jc w:val="right"/>
              <w:rPr>
                <w:rFonts w:ascii="Times New Roman" w:hAnsi="Times New Roman" w:cs="Times New Roman"/>
                <w:b/>
                <w:color w:val="000000"/>
              </w:rPr>
            </w:pPr>
            <w:r w:rsidRPr="00AF5415">
              <w:rPr>
                <w:rFonts w:ascii="Times New Roman" w:hAnsi="Times New Roman" w:cs="Times New Roman"/>
                <w:b/>
              </w:rPr>
              <w:t>1 306,80</w:t>
            </w:r>
          </w:p>
        </w:tc>
        <w:tc>
          <w:tcPr>
            <w:tcW w:w="694" w:type="pct"/>
            <w:tcBorders>
              <w:top w:val="single" w:sz="8" w:space="0" w:color="auto"/>
              <w:left w:val="single" w:sz="8" w:space="0" w:color="auto"/>
              <w:bottom w:val="single" w:sz="4" w:space="0" w:color="auto"/>
              <w:right w:val="single" w:sz="4" w:space="0" w:color="auto"/>
            </w:tcBorders>
            <w:shd w:val="clear" w:color="auto" w:fill="auto"/>
            <w:noWrap/>
            <w:vAlign w:val="center"/>
          </w:tcPr>
          <w:p w14:paraId="1D4A30A7" w14:textId="7414C3A8" w:rsidR="00951485" w:rsidRPr="00951485" w:rsidRDefault="00951485" w:rsidP="00AE42A2">
            <w:pPr>
              <w:spacing w:after="0" w:line="240" w:lineRule="auto"/>
              <w:jc w:val="right"/>
              <w:rPr>
                <w:rFonts w:ascii="Times New Roman" w:hAnsi="Times New Roman" w:cs="Times New Roman"/>
                <w:color w:val="000000"/>
              </w:rPr>
            </w:pPr>
            <w:r w:rsidRPr="00AF5415">
              <w:rPr>
                <w:rFonts w:ascii="Times New Roman" w:hAnsi="Times New Roman" w:cs="Times New Roman"/>
              </w:rPr>
              <w:t>2 339</w:t>
            </w:r>
          </w:p>
        </w:tc>
        <w:tc>
          <w:tcPr>
            <w:tcW w:w="744" w:type="pct"/>
            <w:tcBorders>
              <w:top w:val="single" w:sz="8" w:space="0" w:color="auto"/>
              <w:left w:val="single" w:sz="4" w:space="0" w:color="auto"/>
              <w:bottom w:val="single" w:sz="4" w:space="0" w:color="auto"/>
              <w:right w:val="single" w:sz="8" w:space="0" w:color="auto"/>
            </w:tcBorders>
            <w:shd w:val="clear" w:color="auto" w:fill="auto"/>
            <w:vAlign w:val="center"/>
          </w:tcPr>
          <w:p w14:paraId="423938FB" w14:textId="5BA2F64C" w:rsidR="00951485" w:rsidRPr="00951485" w:rsidRDefault="00951485" w:rsidP="00AE42A2">
            <w:pPr>
              <w:spacing w:after="0" w:line="240" w:lineRule="auto"/>
              <w:jc w:val="right"/>
              <w:rPr>
                <w:rFonts w:ascii="Times New Roman" w:hAnsi="Times New Roman" w:cs="Times New Roman"/>
                <w:b/>
                <w:color w:val="000000"/>
              </w:rPr>
            </w:pPr>
            <w:r w:rsidRPr="00AF5415">
              <w:rPr>
                <w:rFonts w:ascii="Times New Roman" w:hAnsi="Times New Roman" w:cs="Times New Roman"/>
                <w:b/>
              </w:rPr>
              <w:t>649,68</w:t>
            </w:r>
          </w:p>
        </w:tc>
      </w:tr>
    </w:tbl>
    <w:p w14:paraId="4C8723E6" w14:textId="77777777" w:rsidR="0078371A" w:rsidRDefault="0078371A" w:rsidP="00B81032">
      <w:pPr>
        <w:jc w:val="both"/>
        <w:rPr>
          <w:rFonts w:ascii="Times New Roman" w:hAnsi="Times New Roman" w:cs="Times New Roman"/>
          <w:sz w:val="24"/>
          <w:szCs w:val="24"/>
        </w:rPr>
      </w:pPr>
    </w:p>
    <w:p w14:paraId="623F2097" w14:textId="606FD0B2" w:rsidR="00B81032" w:rsidRDefault="00B81032" w:rsidP="00B81032">
      <w:pPr>
        <w:jc w:val="both"/>
        <w:rPr>
          <w:rFonts w:ascii="Times New Roman" w:hAnsi="Times New Roman" w:cs="Times New Roman"/>
          <w:sz w:val="24"/>
          <w:szCs w:val="24"/>
        </w:rPr>
      </w:pPr>
      <w:r w:rsidRPr="000745A8">
        <w:rPr>
          <w:rFonts w:ascii="Times New Roman" w:hAnsi="Times New Roman" w:cs="Times New Roman"/>
          <w:sz w:val="24"/>
          <w:szCs w:val="24"/>
        </w:rPr>
        <w:t>Na základe týchto predbežných výsledkov pristúpila SR k prehodnoteniu výšky cieľa pre plánované obdobie rokov 2017 až 2020, a to tak, aby bola dosiahnutá celková kumul</w:t>
      </w:r>
      <w:r w:rsidR="00BF3E63">
        <w:rPr>
          <w:rFonts w:ascii="Times New Roman" w:hAnsi="Times New Roman" w:cs="Times New Roman"/>
          <w:sz w:val="24"/>
          <w:szCs w:val="24"/>
        </w:rPr>
        <w:t>atívna</w:t>
      </w:r>
      <w:r w:rsidRPr="000745A8">
        <w:rPr>
          <w:rFonts w:ascii="Times New Roman" w:hAnsi="Times New Roman" w:cs="Times New Roman"/>
          <w:sz w:val="24"/>
          <w:szCs w:val="24"/>
        </w:rPr>
        <w:t xml:space="preserve"> </w:t>
      </w:r>
      <w:r w:rsidRPr="000745A8">
        <w:rPr>
          <w:rFonts w:ascii="Times New Roman" w:hAnsi="Times New Roman" w:cs="Times New Roman"/>
          <w:sz w:val="24"/>
          <w:szCs w:val="24"/>
        </w:rPr>
        <w:lastRenderedPageBreak/>
        <w:t xml:space="preserve">úspora energie v období rokov 2014 až 2020 vo výške 26 565 GWh. Trend úspor energie je uvedený v tabuľke č. </w:t>
      </w:r>
      <w:r w:rsidR="00BF3E63">
        <w:rPr>
          <w:rFonts w:ascii="Times New Roman" w:hAnsi="Times New Roman" w:cs="Times New Roman"/>
          <w:sz w:val="24"/>
          <w:szCs w:val="24"/>
        </w:rPr>
        <w:t>13</w:t>
      </w:r>
      <w:r w:rsidRPr="000745A8">
        <w:rPr>
          <w:rFonts w:ascii="Times New Roman" w:hAnsi="Times New Roman" w:cs="Times New Roman"/>
          <w:sz w:val="24"/>
          <w:szCs w:val="24"/>
        </w:rPr>
        <w:t>.</w:t>
      </w:r>
    </w:p>
    <w:tbl>
      <w:tblPr>
        <w:tblpPr w:leftFromText="141" w:rightFromText="141" w:vertAnchor="text" w:tblpY="364"/>
        <w:tblW w:w="5000" w:type="pct"/>
        <w:tblLayout w:type="fixed"/>
        <w:tblCellMar>
          <w:left w:w="70" w:type="dxa"/>
          <w:right w:w="70" w:type="dxa"/>
        </w:tblCellMar>
        <w:tblLook w:val="04A0" w:firstRow="1" w:lastRow="0" w:firstColumn="1" w:lastColumn="0" w:noHBand="0" w:noVBand="1"/>
      </w:tblPr>
      <w:tblGrid>
        <w:gridCol w:w="2686"/>
        <w:gridCol w:w="783"/>
        <w:gridCol w:w="930"/>
        <w:gridCol w:w="931"/>
        <w:gridCol w:w="929"/>
        <w:gridCol w:w="931"/>
        <w:gridCol w:w="931"/>
        <w:gridCol w:w="931"/>
      </w:tblGrid>
      <w:tr w:rsidR="00D555FE" w:rsidRPr="009F2998" w14:paraId="30BAF859" w14:textId="77777777" w:rsidTr="00D555FE">
        <w:trPr>
          <w:trHeight w:val="130"/>
        </w:trPr>
        <w:tc>
          <w:tcPr>
            <w:tcW w:w="1484"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bottom"/>
          </w:tcPr>
          <w:p w14:paraId="2E340F7A" w14:textId="77777777" w:rsidR="00D555FE" w:rsidRDefault="00D555FE" w:rsidP="00D555FE">
            <w:pPr>
              <w:spacing w:after="0" w:line="240" w:lineRule="auto"/>
              <w:rPr>
                <w:rFonts w:ascii="Times New Roman" w:eastAsia="Times New Roman" w:hAnsi="Times New Roman" w:cs="Times New Roman"/>
                <w:b/>
                <w:lang w:eastAsia="sk-SK"/>
              </w:rPr>
            </w:pPr>
            <w:r w:rsidRPr="009F2998">
              <w:rPr>
                <w:rFonts w:ascii="Times New Roman" w:eastAsia="Times New Roman" w:hAnsi="Times New Roman" w:cs="Times New Roman"/>
                <w:b/>
                <w:lang w:eastAsia="sk-SK"/>
              </w:rPr>
              <w:t>Cieľ úspor energie</w:t>
            </w:r>
          </w:p>
          <w:p w14:paraId="1E428534" w14:textId="77777777" w:rsidR="00D555FE" w:rsidRPr="000745A8" w:rsidRDefault="00D555FE" w:rsidP="00D555FE">
            <w:pPr>
              <w:spacing w:after="0" w:line="240" w:lineRule="auto"/>
              <w:rPr>
                <w:rFonts w:ascii="Times New Roman" w:eastAsia="Times New Roman" w:hAnsi="Times New Roman" w:cs="Times New Roman"/>
                <w:b/>
                <w:lang w:eastAsia="sk-SK"/>
              </w:rPr>
            </w:pPr>
            <w:r w:rsidRPr="009F2998">
              <w:rPr>
                <w:rFonts w:ascii="Times New Roman" w:eastAsia="Times New Roman" w:hAnsi="Times New Roman" w:cs="Times New Roman"/>
                <w:b/>
                <w:lang w:eastAsia="sk-SK"/>
              </w:rPr>
              <w:t xml:space="preserve"> (GWh)</w:t>
            </w:r>
          </w:p>
        </w:tc>
        <w:tc>
          <w:tcPr>
            <w:tcW w:w="433" w:type="pct"/>
            <w:tcBorders>
              <w:top w:val="single" w:sz="8" w:space="0" w:color="auto"/>
              <w:left w:val="single" w:sz="4" w:space="0" w:color="auto"/>
              <w:bottom w:val="single" w:sz="8" w:space="0" w:color="auto"/>
              <w:right w:val="single" w:sz="4" w:space="0" w:color="auto"/>
            </w:tcBorders>
            <w:shd w:val="clear" w:color="auto" w:fill="BFBFBF" w:themeFill="background1" w:themeFillShade="BF"/>
            <w:noWrap/>
            <w:vAlign w:val="center"/>
          </w:tcPr>
          <w:p w14:paraId="78FCD31C" w14:textId="77777777" w:rsidR="00D555FE" w:rsidRPr="009F2998" w:rsidRDefault="00D555FE" w:rsidP="00D555FE">
            <w:pPr>
              <w:spacing w:after="0" w:line="240" w:lineRule="auto"/>
              <w:jc w:val="center"/>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2014</w:t>
            </w:r>
          </w:p>
        </w:tc>
        <w:tc>
          <w:tcPr>
            <w:tcW w:w="514" w:type="pct"/>
            <w:tcBorders>
              <w:top w:val="single" w:sz="8" w:space="0" w:color="auto"/>
              <w:left w:val="single" w:sz="4" w:space="0" w:color="auto"/>
              <w:bottom w:val="single" w:sz="8" w:space="0" w:color="auto"/>
              <w:right w:val="single" w:sz="4" w:space="0" w:color="auto"/>
            </w:tcBorders>
            <w:shd w:val="clear" w:color="auto" w:fill="BFBFBF" w:themeFill="background1" w:themeFillShade="BF"/>
            <w:noWrap/>
            <w:vAlign w:val="center"/>
          </w:tcPr>
          <w:p w14:paraId="163BD45B" w14:textId="77777777" w:rsidR="00D555FE" w:rsidRPr="009F2998" w:rsidRDefault="00D555FE" w:rsidP="00D555FE">
            <w:pPr>
              <w:spacing w:after="0" w:line="240" w:lineRule="auto"/>
              <w:jc w:val="center"/>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2015</w:t>
            </w:r>
          </w:p>
        </w:tc>
        <w:tc>
          <w:tcPr>
            <w:tcW w:w="514" w:type="pct"/>
            <w:tcBorders>
              <w:top w:val="single" w:sz="8" w:space="0" w:color="auto"/>
              <w:left w:val="single" w:sz="4" w:space="0" w:color="auto"/>
              <w:bottom w:val="single" w:sz="8" w:space="0" w:color="auto"/>
              <w:right w:val="single" w:sz="4" w:space="0" w:color="auto"/>
            </w:tcBorders>
            <w:shd w:val="clear" w:color="auto" w:fill="BFBFBF" w:themeFill="background1" w:themeFillShade="BF"/>
            <w:noWrap/>
            <w:vAlign w:val="center"/>
          </w:tcPr>
          <w:p w14:paraId="104E7237" w14:textId="77777777" w:rsidR="00D555FE" w:rsidRPr="009F2998" w:rsidRDefault="00D555FE" w:rsidP="00D555FE">
            <w:pPr>
              <w:spacing w:after="0" w:line="240" w:lineRule="auto"/>
              <w:jc w:val="center"/>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2016</w:t>
            </w:r>
          </w:p>
        </w:tc>
        <w:tc>
          <w:tcPr>
            <w:tcW w:w="513" w:type="pct"/>
            <w:tcBorders>
              <w:top w:val="single" w:sz="8" w:space="0" w:color="auto"/>
              <w:left w:val="single" w:sz="4" w:space="0" w:color="auto"/>
              <w:bottom w:val="single" w:sz="8" w:space="0" w:color="auto"/>
              <w:right w:val="single" w:sz="4" w:space="0" w:color="auto"/>
            </w:tcBorders>
            <w:shd w:val="clear" w:color="auto" w:fill="BFBFBF" w:themeFill="background1" w:themeFillShade="BF"/>
            <w:noWrap/>
            <w:vAlign w:val="center"/>
          </w:tcPr>
          <w:p w14:paraId="2C806293" w14:textId="77777777" w:rsidR="00D555FE" w:rsidRPr="009F2998" w:rsidRDefault="00D555FE" w:rsidP="00D555FE">
            <w:pPr>
              <w:spacing w:after="0" w:line="240" w:lineRule="auto"/>
              <w:jc w:val="center"/>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2017</w:t>
            </w:r>
          </w:p>
        </w:tc>
        <w:tc>
          <w:tcPr>
            <w:tcW w:w="514" w:type="pct"/>
            <w:tcBorders>
              <w:top w:val="single" w:sz="8" w:space="0" w:color="auto"/>
              <w:left w:val="single" w:sz="4" w:space="0" w:color="auto"/>
              <w:bottom w:val="single" w:sz="8" w:space="0" w:color="auto"/>
              <w:right w:val="single" w:sz="4" w:space="0" w:color="auto"/>
            </w:tcBorders>
            <w:shd w:val="clear" w:color="auto" w:fill="BFBFBF" w:themeFill="background1" w:themeFillShade="BF"/>
            <w:noWrap/>
            <w:vAlign w:val="center"/>
          </w:tcPr>
          <w:p w14:paraId="54527CE4" w14:textId="77777777" w:rsidR="00D555FE" w:rsidRPr="009F2998" w:rsidRDefault="00D555FE" w:rsidP="00D555FE">
            <w:pPr>
              <w:spacing w:after="0" w:line="240" w:lineRule="auto"/>
              <w:jc w:val="center"/>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2018</w:t>
            </w:r>
          </w:p>
        </w:tc>
        <w:tc>
          <w:tcPr>
            <w:tcW w:w="514" w:type="pct"/>
            <w:tcBorders>
              <w:top w:val="single" w:sz="8" w:space="0" w:color="auto"/>
              <w:left w:val="single" w:sz="4" w:space="0" w:color="auto"/>
              <w:bottom w:val="single" w:sz="8" w:space="0" w:color="auto"/>
              <w:right w:val="single" w:sz="4" w:space="0" w:color="auto"/>
            </w:tcBorders>
            <w:shd w:val="clear" w:color="auto" w:fill="BFBFBF" w:themeFill="background1" w:themeFillShade="BF"/>
            <w:noWrap/>
            <w:vAlign w:val="center"/>
          </w:tcPr>
          <w:p w14:paraId="7B8E0859" w14:textId="77777777" w:rsidR="00D555FE" w:rsidRPr="009F2998" w:rsidRDefault="00D555FE" w:rsidP="00D555FE">
            <w:pPr>
              <w:spacing w:after="0" w:line="240" w:lineRule="auto"/>
              <w:jc w:val="center"/>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2019</w:t>
            </w:r>
          </w:p>
        </w:tc>
        <w:tc>
          <w:tcPr>
            <w:tcW w:w="514" w:type="pct"/>
            <w:tcBorders>
              <w:top w:val="single" w:sz="8" w:space="0" w:color="auto"/>
              <w:left w:val="single" w:sz="4" w:space="0" w:color="auto"/>
              <w:bottom w:val="single" w:sz="8" w:space="0" w:color="auto"/>
              <w:right w:val="single" w:sz="8" w:space="0" w:color="auto"/>
            </w:tcBorders>
            <w:shd w:val="clear" w:color="auto" w:fill="BFBFBF" w:themeFill="background1" w:themeFillShade="BF"/>
            <w:noWrap/>
            <w:vAlign w:val="center"/>
          </w:tcPr>
          <w:p w14:paraId="12E33027" w14:textId="77777777" w:rsidR="00D555FE" w:rsidRPr="009F2998" w:rsidRDefault="00D555FE" w:rsidP="00D555FE">
            <w:pPr>
              <w:spacing w:after="0" w:line="240" w:lineRule="auto"/>
              <w:jc w:val="center"/>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2020</w:t>
            </w:r>
          </w:p>
        </w:tc>
      </w:tr>
      <w:tr w:rsidR="00951485" w:rsidRPr="009F2998" w14:paraId="2488BE91" w14:textId="77777777" w:rsidTr="00AF5415">
        <w:trPr>
          <w:trHeight w:val="130"/>
        </w:trPr>
        <w:tc>
          <w:tcPr>
            <w:tcW w:w="1484" w:type="pct"/>
            <w:tcBorders>
              <w:top w:val="single" w:sz="8" w:space="0" w:color="auto"/>
              <w:left w:val="single" w:sz="8" w:space="0" w:color="auto"/>
              <w:bottom w:val="single" w:sz="4" w:space="0" w:color="auto"/>
              <w:right w:val="single" w:sz="4" w:space="0" w:color="auto"/>
            </w:tcBorders>
            <w:shd w:val="clear" w:color="auto" w:fill="auto"/>
            <w:noWrap/>
            <w:vAlign w:val="center"/>
          </w:tcPr>
          <w:p w14:paraId="0FD6404F" w14:textId="77777777" w:rsidR="00951485" w:rsidRPr="009F2998" w:rsidRDefault="00951485" w:rsidP="00951485">
            <w:pPr>
              <w:spacing w:after="0" w:line="240" w:lineRule="auto"/>
              <w:rPr>
                <w:rFonts w:ascii="Times New Roman" w:eastAsia="Times New Roman" w:hAnsi="Times New Roman" w:cs="Times New Roman"/>
                <w:b/>
                <w:lang w:eastAsia="sk-SK"/>
              </w:rPr>
            </w:pPr>
            <w:r w:rsidRPr="009F2998">
              <w:rPr>
                <w:rFonts w:ascii="Times New Roman" w:hAnsi="Times New Roman" w:cs="Times New Roman"/>
              </w:rPr>
              <w:t>Pôvodný cieľ pre čl. 7</w:t>
            </w:r>
          </w:p>
        </w:tc>
        <w:tc>
          <w:tcPr>
            <w:tcW w:w="433" w:type="pct"/>
            <w:tcBorders>
              <w:top w:val="single" w:sz="8" w:space="0" w:color="auto"/>
              <w:left w:val="single" w:sz="4" w:space="0" w:color="auto"/>
              <w:bottom w:val="single" w:sz="4" w:space="0" w:color="auto"/>
              <w:right w:val="single" w:sz="4" w:space="0" w:color="auto"/>
            </w:tcBorders>
            <w:shd w:val="clear" w:color="auto" w:fill="auto"/>
            <w:noWrap/>
            <w:vAlign w:val="center"/>
          </w:tcPr>
          <w:p w14:paraId="296DBF3D" w14:textId="64CC213F" w:rsidR="00951485" w:rsidRPr="00951485" w:rsidRDefault="00951485" w:rsidP="00FC1022">
            <w:pPr>
              <w:spacing w:after="0" w:line="240" w:lineRule="auto"/>
              <w:jc w:val="right"/>
              <w:rPr>
                <w:rFonts w:ascii="Times New Roman" w:eastAsia="Times New Roman" w:hAnsi="Times New Roman" w:cs="Times New Roman"/>
                <w:b/>
                <w:color w:val="000000"/>
                <w:lang w:eastAsia="sk-SK"/>
              </w:rPr>
            </w:pPr>
            <w:r w:rsidRPr="00AF5415">
              <w:rPr>
                <w:rFonts w:ascii="Times New Roman" w:hAnsi="Times New Roman" w:cs="Times New Roman"/>
              </w:rPr>
              <w:t>948,75</w:t>
            </w:r>
          </w:p>
        </w:tc>
        <w:tc>
          <w:tcPr>
            <w:tcW w:w="514" w:type="pct"/>
            <w:tcBorders>
              <w:top w:val="single" w:sz="8" w:space="0" w:color="auto"/>
              <w:left w:val="single" w:sz="4" w:space="0" w:color="auto"/>
              <w:bottom w:val="single" w:sz="4" w:space="0" w:color="auto"/>
              <w:right w:val="single" w:sz="4" w:space="0" w:color="auto"/>
            </w:tcBorders>
            <w:shd w:val="clear" w:color="auto" w:fill="auto"/>
            <w:noWrap/>
            <w:vAlign w:val="center"/>
          </w:tcPr>
          <w:p w14:paraId="724E44E6" w14:textId="06246613" w:rsidR="00951485" w:rsidRPr="00951485" w:rsidRDefault="00951485" w:rsidP="00AE42A2">
            <w:pPr>
              <w:spacing w:after="0" w:line="240" w:lineRule="auto"/>
              <w:jc w:val="right"/>
              <w:rPr>
                <w:rFonts w:ascii="Times New Roman" w:eastAsia="Times New Roman" w:hAnsi="Times New Roman" w:cs="Times New Roman"/>
                <w:b/>
                <w:color w:val="000000"/>
                <w:lang w:eastAsia="sk-SK"/>
              </w:rPr>
            </w:pPr>
            <w:r w:rsidRPr="00AF5415">
              <w:rPr>
                <w:rFonts w:ascii="Times New Roman" w:hAnsi="Times New Roman" w:cs="Times New Roman"/>
              </w:rPr>
              <w:t>948,75</w:t>
            </w:r>
          </w:p>
        </w:tc>
        <w:tc>
          <w:tcPr>
            <w:tcW w:w="514" w:type="pct"/>
            <w:tcBorders>
              <w:top w:val="single" w:sz="8" w:space="0" w:color="auto"/>
              <w:left w:val="single" w:sz="4" w:space="0" w:color="auto"/>
              <w:bottom w:val="single" w:sz="4" w:space="0" w:color="auto"/>
              <w:right w:val="single" w:sz="4" w:space="0" w:color="auto"/>
            </w:tcBorders>
            <w:shd w:val="clear" w:color="auto" w:fill="auto"/>
            <w:noWrap/>
            <w:vAlign w:val="center"/>
          </w:tcPr>
          <w:p w14:paraId="3FB61F2B" w14:textId="3D6CA7DE" w:rsidR="00951485" w:rsidRPr="00951485" w:rsidRDefault="00951485" w:rsidP="00AE42A2">
            <w:pPr>
              <w:spacing w:after="0" w:line="240" w:lineRule="auto"/>
              <w:jc w:val="right"/>
              <w:rPr>
                <w:rFonts w:ascii="Times New Roman" w:eastAsia="Times New Roman" w:hAnsi="Times New Roman" w:cs="Times New Roman"/>
                <w:b/>
                <w:color w:val="000000"/>
                <w:lang w:eastAsia="sk-SK"/>
              </w:rPr>
            </w:pPr>
            <w:r w:rsidRPr="00AF5415">
              <w:rPr>
                <w:rFonts w:ascii="Times New Roman" w:hAnsi="Times New Roman" w:cs="Times New Roman"/>
              </w:rPr>
              <w:t>948,75</w:t>
            </w:r>
          </w:p>
        </w:tc>
        <w:tc>
          <w:tcPr>
            <w:tcW w:w="513" w:type="pct"/>
            <w:tcBorders>
              <w:top w:val="single" w:sz="8" w:space="0" w:color="auto"/>
              <w:left w:val="single" w:sz="4" w:space="0" w:color="auto"/>
              <w:bottom w:val="single" w:sz="4" w:space="0" w:color="auto"/>
              <w:right w:val="single" w:sz="4" w:space="0" w:color="auto"/>
            </w:tcBorders>
            <w:shd w:val="clear" w:color="auto" w:fill="auto"/>
            <w:noWrap/>
            <w:vAlign w:val="center"/>
          </w:tcPr>
          <w:p w14:paraId="48D698F3" w14:textId="0C70B5A3" w:rsidR="00951485" w:rsidRPr="00951485" w:rsidRDefault="00951485" w:rsidP="00AE42A2">
            <w:pPr>
              <w:spacing w:after="0" w:line="240" w:lineRule="auto"/>
              <w:jc w:val="right"/>
              <w:rPr>
                <w:rFonts w:ascii="Times New Roman" w:eastAsia="Times New Roman" w:hAnsi="Times New Roman" w:cs="Times New Roman"/>
                <w:b/>
                <w:color w:val="000000"/>
                <w:lang w:eastAsia="sk-SK"/>
              </w:rPr>
            </w:pPr>
            <w:r w:rsidRPr="00AF5415">
              <w:rPr>
                <w:rFonts w:ascii="Times New Roman" w:hAnsi="Times New Roman" w:cs="Times New Roman"/>
              </w:rPr>
              <w:t>948,75</w:t>
            </w:r>
          </w:p>
        </w:tc>
        <w:tc>
          <w:tcPr>
            <w:tcW w:w="514" w:type="pct"/>
            <w:tcBorders>
              <w:top w:val="single" w:sz="8" w:space="0" w:color="auto"/>
              <w:left w:val="single" w:sz="4" w:space="0" w:color="auto"/>
              <w:bottom w:val="single" w:sz="4" w:space="0" w:color="auto"/>
              <w:right w:val="single" w:sz="4" w:space="0" w:color="auto"/>
            </w:tcBorders>
            <w:shd w:val="clear" w:color="auto" w:fill="auto"/>
            <w:noWrap/>
            <w:vAlign w:val="center"/>
          </w:tcPr>
          <w:p w14:paraId="6BB6846E" w14:textId="5AF4D45A" w:rsidR="00951485" w:rsidRPr="00951485" w:rsidRDefault="00951485" w:rsidP="00AE42A2">
            <w:pPr>
              <w:spacing w:after="0" w:line="240" w:lineRule="auto"/>
              <w:jc w:val="right"/>
              <w:rPr>
                <w:rFonts w:ascii="Times New Roman" w:eastAsia="Times New Roman" w:hAnsi="Times New Roman" w:cs="Times New Roman"/>
                <w:b/>
                <w:color w:val="000000"/>
                <w:lang w:eastAsia="sk-SK"/>
              </w:rPr>
            </w:pPr>
            <w:r w:rsidRPr="00AF5415">
              <w:rPr>
                <w:rFonts w:ascii="Times New Roman" w:hAnsi="Times New Roman" w:cs="Times New Roman"/>
              </w:rPr>
              <w:t>948,75</w:t>
            </w:r>
          </w:p>
        </w:tc>
        <w:tc>
          <w:tcPr>
            <w:tcW w:w="514" w:type="pct"/>
            <w:tcBorders>
              <w:top w:val="single" w:sz="8" w:space="0" w:color="auto"/>
              <w:left w:val="single" w:sz="4" w:space="0" w:color="auto"/>
              <w:bottom w:val="single" w:sz="4" w:space="0" w:color="auto"/>
              <w:right w:val="single" w:sz="4" w:space="0" w:color="auto"/>
            </w:tcBorders>
            <w:shd w:val="clear" w:color="auto" w:fill="auto"/>
            <w:noWrap/>
            <w:vAlign w:val="center"/>
          </w:tcPr>
          <w:p w14:paraId="54036E37" w14:textId="7D836BFD" w:rsidR="00951485" w:rsidRPr="00951485" w:rsidRDefault="00951485" w:rsidP="00AF5415">
            <w:pPr>
              <w:spacing w:after="0" w:line="240" w:lineRule="auto"/>
              <w:jc w:val="right"/>
              <w:rPr>
                <w:rFonts w:ascii="Times New Roman" w:eastAsia="Times New Roman" w:hAnsi="Times New Roman" w:cs="Times New Roman"/>
                <w:b/>
                <w:color w:val="000000"/>
                <w:lang w:eastAsia="sk-SK"/>
              </w:rPr>
            </w:pPr>
            <w:r w:rsidRPr="00AF5415">
              <w:rPr>
                <w:rFonts w:ascii="Times New Roman" w:hAnsi="Times New Roman" w:cs="Times New Roman"/>
              </w:rPr>
              <w:t>948,75</w:t>
            </w:r>
          </w:p>
        </w:tc>
        <w:tc>
          <w:tcPr>
            <w:tcW w:w="514" w:type="pct"/>
            <w:tcBorders>
              <w:top w:val="single" w:sz="8" w:space="0" w:color="auto"/>
              <w:left w:val="single" w:sz="4" w:space="0" w:color="auto"/>
              <w:bottom w:val="single" w:sz="4" w:space="0" w:color="auto"/>
              <w:right w:val="single" w:sz="8" w:space="0" w:color="auto"/>
            </w:tcBorders>
            <w:shd w:val="clear" w:color="auto" w:fill="auto"/>
            <w:noWrap/>
            <w:vAlign w:val="center"/>
          </w:tcPr>
          <w:p w14:paraId="22A8105F" w14:textId="35D2CD4F" w:rsidR="00951485" w:rsidRPr="00951485" w:rsidRDefault="00951485" w:rsidP="00AF5415">
            <w:pPr>
              <w:spacing w:after="0" w:line="240" w:lineRule="auto"/>
              <w:jc w:val="right"/>
              <w:rPr>
                <w:rFonts w:ascii="Times New Roman" w:eastAsia="Times New Roman" w:hAnsi="Times New Roman" w:cs="Times New Roman"/>
                <w:b/>
                <w:color w:val="000000"/>
                <w:lang w:eastAsia="sk-SK"/>
              </w:rPr>
            </w:pPr>
            <w:r w:rsidRPr="00AF5415">
              <w:rPr>
                <w:rFonts w:ascii="Times New Roman" w:hAnsi="Times New Roman" w:cs="Times New Roman"/>
              </w:rPr>
              <w:t>948,75</w:t>
            </w:r>
          </w:p>
        </w:tc>
      </w:tr>
      <w:tr w:rsidR="00951485" w:rsidRPr="009F2998" w14:paraId="56E0AAD9" w14:textId="77777777" w:rsidTr="00AF5415">
        <w:trPr>
          <w:trHeight w:val="130"/>
        </w:trPr>
        <w:tc>
          <w:tcPr>
            <w:tcW w:w="1484" w:type="pct"/>
            <w:tcBorders>
              <w:top w:val="single" w:sz="4" w:space="0" w:color="auto"/>
              <w:left w:val="single" w:sz="8" w:space="0" w:color="auto"/>
              <w:bottom w:val="single" w:sz="4" w:space="0" w:color="auto"/>
              <w:right w:val="single" w:sz="4" w:space="0" w:color="auto"/>
            </w:tcBorders>
            <w:shd w:val="clear" w:color="auto" w:fill="auto"/>
            <w:noWrap/>
            <w:vAlign w:val="center"/>
          </w:tcPr>
          <w:p w14:paraId="2D03810A" w14:textId="77777777" w:rsidR="00951485" w:rsidRPr="009F2998" w:rsidRDefault="00951485" w:rsidP="00951485">
            <w:pPr>
              <w:spacing w:after="0" w:line="240" w:lineRule="auto"/>
              <w:rPr>
                <w:rFonts w:ascii="Times New Roman" w:hAnsi="Times New Roman" w:cs="Times New Roman"/>
              </w:rPr>
            </w:pPr>
            <w:r w:rsidRPr="009F2998">
              <w:rPr>
                <w:rFonts w:ascii="Times New Roman" w:hAnsi="Times New Roman" w:cs="Times New Roman"/>
              </w:rPr>
              <w:t>Aktualizovaný cieľ v r. 2016</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A3798" w14:textId="77777777" w:rsidR="00951485" w:rsidRPr="00951485" w:rsidRDefault="00951485" w:rsidP="00FC1022">
            <w:pPr>
              <w:spacing w:after="0" w:line="240" w:lineRule="auto"/>
              <w:jc w:val="right"/>
              <w:rPr>
                <w:rFonts w:ascii="Times New Roman" w:eastAsia="Times New Roman" w:hAnsi="Times New Roman" w:cs="Times New Roman"/>
                <w:color w:val="000000"/>
                <w:lang w:eastAsia="sk-SK"/>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B3AFB1" w14:textId="77777777" w:rsidR="00951485" w:rsidRPr="00951485" w:rsidRDefault="00951485" w:rsidP="00AE42A2">
            <w:pPr>
              <w:spacing w:after="0" w:line="240" w:lineRule="auto"/>
              <w:jc w:val="right"/>
              <w:rPr>
                <w:rFonts w:ascii="Times New Roman" w:eastAsia="Times New Roman" w:hAnsi="Times New Roman" w:cs="Times New Roman"/>
                <w:color w:val="000000"/>
                <w:lang w:eastAsia="sk-SK"/>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7DB50" w14:textId="64EA7020" w:rsidR="00951485" w:rsidRPr="00951485" w:rsidRDefault="00951485" w:rsidP="00AE42A2">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959,84</w:t>
            </w: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566DF" w14:textId="731B2809" w:rsidR="00951485" w:rsidRPr="00951485" w:rsidRDefault="00951485" w:rsidP="00AE42A2">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959,84</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587EE8" w14:textId="73DBE763" w:rsidR="00951485" w:rsidRPr="00951485" w:rsidRDefault="00951485" w:rsidP="00AE42A2">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959,84</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97AE7" w14:textId="5648C690" w:rsidR="00951485" w:rsidRPr="00951485" w:rsidRDefault="00951485" w:rsidP="00AF5415">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959,84</w:t>
            </w:r>
          </w:p>
        </w:tc>
        <w:tc>
          <w:tcPr>
            <w:tcW w:w="514" w:type="pct"/>
            <w:tcBorders>
              <w:top w:val="single" w:sz="4" w:space="0" w:color="auto"/>
              <w:left w:val="single" w:sz="4" w:space="0" w:color="auto"/>
              <w:bottom w:val="single" w:sz="4" w:space="0" w:color="auto"/>
              <w:right w:val="single" w:sz="8" w:space="0" w:color="auto"/>
            </w:tcBorders>
            <w:shd w:val="clear" w:color="auto" w:fill="auto"/>
            <w:noWrap/>
            <w:vAlign w:val="center"/>
          </w:tcPr>
          <w:p w14:paraId="63BCA3B1" w14:textId="40F6570F" w:rsidR="00951485" w:rsidRPr="00951485" w:rsidRDefault="00951485" w:rsidP="00AF5415">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959,79</w:t>
            </w:r>
          </w:p>
        </w:tc>
      </w:tr>
      <w:tr w:rsidR="00951485" w:rsidRPr="009F2998" w14:paraId="25AC533F" w14:textId="77777777" w:rsidTr="00AF5415">
        <w:trPr>
          <w:trHeight w:val="130"/>
        </w:trPr>
        <w:tc>
          <w:tcPr>
            <w:tcW w:w="1484" w:type="pct"/>
            <w:tcBorders>
              <w:top w:val="single" w:sz="4" w:space="0" w:color="auto"/>
              <w:left w:val="single" w:sz="8" w:space="0" w:color="auto"/>
              <w:bottom w:val="single" w:sz="4" w:space="0" w:color="auto"/>
              <w:right w:val="single" w:sz="4" w:space="0" w:color="auto"/>
            </w:tcBorders>
            <w:shd w:val="clear" w:color="auto" w:fill="auto"/>
            <w:noWrap/>
            <w:vAlign w:val="center"/>
          </w:tcPr>
          <w:p w14:paraId="04071B35" w14:textId="77777777" w:rsidR="00951485" w:rsidRPr="009F2998" w:rsidRDefault="00951485" w:rsidP="00951485">
            <w:pPr>
              <w:spacing w:after="0" w:line="240" w:lineRule="auto"/>
              <w:rPr>
                <w:rFonts w:ascii="Times New Roman" w:eastAsia="Times New Roman" w:hAnsi="Times New Roman" w:cs="Times New Roman"/>
                <w:b/>
                <w:lang w:eastAsia="sk-SK"/>
              </w:rPr>
            </w:pPr>
            <w:r w:rsidRPr="009F2998">
              <w:rPr>
                <w:rFonts w:ascii="Times New Roman" w:hAnsi="Times New Roman" w:cs="Times New Roman"/>
              </w:rPr>
              <w:t>Aktuálne plnenie cieľa (</w:t>
            </w:r>
            <w:r>
              <w:rPr>
                <w:rFonts w:ascii="Times New Roman" w:hAnsi="Times New Roman" w:cs="Times New Roman"/>
              </w:rPr>
              <w:t>01/</w:t>
            </w:r>
            <w:r w:rsidRPr="009F2998">
              <w:rPr>
                <w:rFonts w:ascii="Times New Roman" w:hAnsi="Times New Roman" w:cs="Times New Roman"/>
              </w:rPr>
              <w:t>2017)</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AB6199" w14:textId="45769EA2" w:rsidR="00951485" w:rsidRPr="00951485" w:rsidRDefault="00951485" w:rsidP="00FC1022">
            <w:pPr>
              <w:spacing w:after="0" w:line="240" w:lineRule="auto"/>
              <w:jc w:val="right"/>
              <w:rPr>
                <w:rFonts w:ascii="Times New Roman" w:eastAsia="Times New Roman" w:hAnsi="Times New Roman" w:cs="Times New Roman"/>
                <w:b/>
                <w:color w:val="000000"/>
                <w:lang w:eastAsia="sk-SK"/>
              </w:rPr>
            </w:pPr>
            <w:r w:rsidRPr="00AF5415">
              <w:rPr>
                <w:rFonts w:ascii="Times New Roman" w:hAnsi="Times New Roman" w:cs="Times New Roman"/>
              </w:rPr>
              <w:t>837,67</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BFDE8" w14:textId="72B091ED" w:rsidR="00951485" w:rsidRPr="00951485" w:rsidRDefault="00951485" w:rsidP="00AE42A2">
            <w:pPr>
              <w:spacing w:after="0" w:line="240" w:lineRule="auto"/>
              <w:jc w:val="right"/>
              <w:rPr>
                <w:rFonts w:ascii="Times New Roman" w:eastAsia="Times New Roman" w:hAnsi="Times New Roman" w:cs="Times New Roman"/>
                <w:b/>
                <w:color w:val="000000"/>
                <w:lang w:eastAsia="sk-SK"/>
              </w:rPr>
            </w:pPr>
            <w:r w:rsidRPr="00AF5415">
              <w:rPr>
                <w:rFonts w:ascii="Times New Roman" w:hAnsi="Times New Roman" w:cs="Times New Roman"/>
              </w:rPr>
              <w:t>1 306,80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D86029" w14:textId="7ADB3292" w:rsidR="00951485" w:rsidRPr="00951485" w:rsidRDefault="00951485" w:rsidP="00AE42A2">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649,68</w:t>
            </w: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DC52E" w14:textId="77777777" w:rsidR="00951485" w:rsidRPr="00951485" w:rsidRDefault="00951485" w:rsidP="00AF5415">
            <w:pPr>
              <w:spacing w:after="0" w:line="240" w:lineRule="auto"/>
              <w:jc w:val="right"/>
              <w:rPr>
                <w:rFonts w:ascii="Times New Roman" w:eastAsia="Times New Roman" w:hAnsi="Times New Roman" w:cs="Times New Roman"/>
                <w:color w:val="000000"/>
                <w:lang w:eastAsia="sk-SK"/>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B27012" w14:textId="77777777" w:rsidR="00951485" w:rsidRPr="00951485" w:rsidRDefault="00951485" w:rsidP="00AF5415">
            <w:pPr>
              <w:spacing w:after="0" w:line="240" w:lineRule="auto"/>
              <w:jc w:val="right"/>
              <w:rPr>
                <w:rFonts w:ascii="Times New Roman" w:eastAsia="Times New Roman" w:hAnsi="Times New Roman" w:cs="Times New Roman"/>
                <w:color w:val="000000"/>
                <w:lang w:eastAsia="sk-SK"/>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822DD7" w14:textId="77777777" w:rsidR="00951485" w:rsidRPr="00951485" w:rsidRDefault="00951485" w:rsidP="00AF5415">
            <w:pPr>
              <w:spacing w:after="0" w:line="240" w:lineRule="auto"/>
              <w:jc w:val="right"/>
              <w:rPr>
                <w:rFonts w:ascii="Times New Roman" w:eastAsia="Times New Roman" w:hAnsi="Times New Roman" w:cs="Times New Roman"/>
                <w:color w:val="000000"/>
                <w:lang w:eastAsia="sk-SK"/>
              </w:rPr>
            </w:pPr>
          </w:p>
        </w:tc>
        <w:tc>
          <w:tcPr>
            <w:tcW w:w="514" w:type="pct"/>
            <w:tcBorders>
              <w:top w:val="single" w:sz="4" w:space="0" w:color="auto"/>
              <w:left w:val="single" w:sz="4" w:space="0" w:color="auto"/>
              <w:bottom w:val="single" w:sz="4" w:space="0" w:color="auto"/>
              <w:right w:val="single" w:sz="8" w:space="0" w:color="auto"/>
            </w:tcBorders>
            <w:shd w:val="clear" w:color="auto" w:fill="auto"/>
            <w:noWrap/>
            <w:vAlign w:val="center"/>
          </w:tcPr>
          <w:p w14:paraId="5C257FFF" w14:textId="77777777" w:rsidR="00951485" w:rsidRPr="00951485" w:rsidRDefault="00951485" w:rsidP="00AF5415">
            <w:pPr>
              <w:spacing w:after="0" w:line="240" w:lineRule="auto"/>
              <w:jc w:val="right"/>
              <w:rPr>
                <w:rFonts w:ascii="Times New Roman" w:eastAsia="Times New Roman" w:hAnsi="Times New Roman" w:cs="Times New Roman"/>
                <w:color w:val="000000"/>
                <w:lang w:eastAsia="sk-SK"/>
              </w:rPr>
            </w:pPr>
          </w:p>
        </w:tc>
      </w:tr>
      <w:tr w:rsidR="00951485" w:rsidRPr="009F2998" w14:paraId="318C90D2" w14:textId="77777777" w:rsidTr="00AF5415">
        <w:trPr>
          <w:trHeight w:val="130"/>
        </w:trPr>
        <w:tc>
          <w:tcPr>
            <w:tcW w:w="1484" w:type="pct"/>
            <w:tcBorders>
              <w:top w:val="single" w:sz="4" w:space="0" w:color="auto"/>
              <w:left w:val="single" w:sz="8" w:space="0" w:color="auto"/>
              <w:bottom w:val="single" w:sz="8" w:space="0" w:color="auto"/>
              <w:right w:val="single" w:sz="4" w:space="0" w:color="auto"/>
            </w:tcBorders>
            <w:shd w:val="clear" w:color="auto" w:fill="auto"/>
            <w:noWrap/>
            <w:vAlign w:val="center"/>
          </w:tcPr>
          <w:p w14:paraId="5F026A28" w14:textId="77777777" w:rsidR="00951485" w:rsidRPr="009F2998" w:rsidRDefault="00951485" w:rsidP="00951485">
            <w:pPr>
              <w:spacing w:after="0" w:line="240" w:lineRule="auto"/>
              <w:rPr>
                <w:rFonts w:ascii="Times New Roman" w:eastAsia="Times New Roman" w:hAnsi="Times New Roman" w:cs="Times New Roman"/>
                <w:color w:val="000000"/>
                <w:lang w:eastAsia="sk-SK"/>
              </w:rPr>
            </w:pPr>
            <w:r w:rsidRPr="009F2998">
              <w:rPr>
                <w:rFonts w:ascii="Times New Roman" w:hAnsi="Times New Roman" w:cs="Times New Roman"/>
              </w:rPr>
              <w:t>Aktualizovaný cieľ v r. 2017</w:t>
            </w:r>
          </w:p>
        </w:tc>
        <w:tc>
          <w:tcPr>
            <w:tcW w:w="433" w:type="pct"/>
            <w:tcBorders>
              <w:top w:val="single" w:sz="4" w:space="0" w:color="auto"/>
              <w:left w:val="single" w:sz="4" w:space="0" w:color="auto"/>
              <w:bottom w:val="single" w:sz="8" w:space="0" w:color="auto"/>
              <w:right w:val="single" w:sz="4" w:space="0" w:color="auto"/>
            </w:tcBorders>
            <w:shd w:val="clear" w:color="auto" w:fill="auto"/>
            <w:noWrap/>
            <w:vAlign w:val="center"/>
          </w:tcPr>
          <w:p w14:paraId="7AAF6B4D" w14:textId="77777777" w:rsidR="00951485" w:rsidRPr="00951485" w:rsidRDefault="00951485" w:rsidP="00FC1022">
            <w:pPr>
              <w:spacing w:after="0" w:line="240" w:lineRule="auto"/>
              <w:jc w:val="right"/>
              <w:rPr>
                <w:rFonts w:ascii="Times New Roman" w:eastAsia="Times New Roman" w:hAnsi="Times New Roman" w:cs="Times New Roman"/>
                <w:b/>
                <w:color w:val="000000"/>
                <w:lang w:eastAsia="sk-SK"/>
              </w:rPr>
            </w:pPr>
          </w:p>
        </w:tc>
        <w:tc>
          <w:tcPr>
            <w:tcW w:w="514" w:type="pct"/>
            <w:tcBorders>
              <w:top w:val="single" w:sz="4" w:space="0" w:color="auto"/>
              <w:left w:val="single" w:sz="4" w:space="0" w:color="auto"/>
              <w:bottom w:val="single" w:sz="8" w:space="0" w:color="auto"/>
              <w:right w:val="single" w:sz="4" w:space="0" w:color="auto"/>
            </w:tcBorders>
            <w:shd w:val="clear" w:color="auto" w:fill="auto"/>
            <w:noWrap/>
            <w:vAlign w:val="center"/>
          </w:tcPr>
          <w:p w14:paraId="36B462F5" w14:textId="77777777" w:rsidR="00951485" w:rsidRPr="00951485" w:rsidRDefault="00951485" w:rsidP="00AE42A2">
            <w:pPr>
              <w:spacing w:after="0" w:line="240" w:lineRule="auto"/>
              <w:jc w:val="right"/>
              <w:rPr>
                <w:rFonts w:ascii="Times New Roman" w:eastAsia="Times New Roman" w:hAnsi="Times New Roman" w:cs="Times New Roman"/>
                <w:b/>
                <w:color w:val="000000"/>
                <w:lang w:eastAsia="sk-SK"/>
              </w:rPr>
            </w:pPr>
          </w:p>
        </w:tc>
        <w:tc>
          <w:tcPr>
            <w:tcW w:w="514" w:type="pct"/>
            <w:tcBorders>
              <w:top w:val="single" w:sz="4" w:space="0" w:color="auto"/>
              <w:left w:val="single" w:sz="4" w:space="0" w:color="auto"/>
              <w:bottom w:val="single" w:sz="8" w:space="0" w:color="auto"/>
              <w:right w:val="single" w:sz="4" w:space="0" w:color="auto"/>
            </w:tcBorders>
            <w:shd w:val="clear" w:color="auto" w:fill="auto"/>
            <w:noWrap/>
            <w:vAlign w:val="center"/>
          </w:tcPr>
          <w:p w14:paraId="41451FC1" w14:textId="77777777" w:rsidR="00951485" w:rsidRPr="00951485" w:rsidRDefault="00951485" w:rsidP="00AF5415">
            <w:pPr>
              <w:spacing w:after="0" w:line="240" w:lineRule="auto"/>
              <w:jc w:val="right"/>
              <w:rPr>
                <w:rFonts w:ascii="Times New Roman" w:eastAsia="Times New Roman" w:hAnsi="Times New Roman" w:cs="Times New Roman"/>
                <w:bCs/>
                <w:color w:val="000000"/>
                <w:lang w:eastAsia="sk-SK"/>
              </w:rPr>
            </w:pPr>
          </w:p>
        </w:tc>
        <w:tc>
          <w:tcPr>
            <w:tcW w:w="513" w:type="pct"/>
            <w:tcBorders>
              <w:top w:val="single" w:sz="4" w:space="0" w:color="auto"/>
              <w:left w:val="single" w:sz="4" w:space="0" w:color="auto"/>
              <w:bottom w:val="single" w:sz="8" w:space="0" w:color="auto"/>
              <w:right w:val="single" w:sz="4" w:space="0" w:color="auto"/>
            </w:tcBorders>
            <w:shd w:val="clear" w:color="auto" w:fill="auto"/>
            <w:noWrap/>
            <w:vAlign w:val="center"/>
          </w:tcPr>
          <w:p w14:paraId="13E00549" w14:textId="3B74238C" w:rsidR="00951485" w:rsidRPr="00951485" w:rsidRDefault="00951485" w:rsidP="00AF5415">
            <w:pPr>
              <w:jc w:val="right"/>
              <w:rPr>
                <w:rFonts w:ascii="Times New Roman" w:hAnsi="Times New Roman" w:cs="Times New Roman"/>
                <w:bCs/>
                <w:lang w:eastAsia="sk-SK"/>
              </w:rPr>
            </w:pPr>
            <w:r w:rsidRPr="00AF5415">
              <w:rPr>
                <w:rFonts w:ascii="Times New Roman" w:hAnsi="Times New Roman" w:cs="Times New Roman"/>
              </w:rPr>
              <w:t>1 022,45</w:t>
            </w:r>
          </w:p>
        </w:tc>
        <w:tc>
          <w:tcPr>
            <w:tcW w:w="514" w:type="pct"/>
            <w:tcBorders>
              <w:top w:val="single" w:sz="4" w:space="0" w:color="auto"/>
              <w:left w:val="single" w:sz="4" w:space="0" w:color="auto"/>
              <w:bottom w:val="single" w:sz="8" w:space="0" w:color="auto"/>
              <w:right w:val="single" w:sz="4" w:space="0" w:color="auto"/>
            </w:tcBorders>
            <w:shd w:val="clear" w:color="auto" w:fill="auto"/>
            <w:noWrap/>
            <w:vAlign w:val="center"/>
          </w:tcPr>
          <w:p w14:paraId="143770A7" w14:textId="71848D6B" w:rsidR="00951485" w:rsidRPr="00951485" w:rsidRDefault="00951485" w:rsidP="00AF5415">
            <w:pPr>
              <w:jc w:val="right"/>
              <w:rPr>
                <w:rFonts w:ascii="Times New Roman" w:hAnsi="Times New Roman" w:cs="Times New Roman"/>
                <w:bCs/>
                <w:lang w:eastAsia="sk-SK"/>
              </w:rPr>
            </w:pPr>
            <w:r w:rsidRPr="00AF5415">
              <w:rPr>
                <w:rFonts w:ascii="Times New Roman" w:hAnsi="Times New Roman" w:cs="Times New Roman"/>
              </w:rPr>
              <w:t>1 022,45</w:t>
            </w:r>
          </w:p>
        </w:tc>
        <w:tc>
          <w:tcPr>
            <w:tcW w:w="514" w:type="pct"/>
            <w:tcBorders>
              <w:top w:val="single" w:sz="4" w:space="0" w:color="auto"/>
              <w:left w:val="single" w:sz="4" w:space="0" w:color="auto"/>
              <w:bottom w:val="single" w:sz="8" w:space="0" w:color="auto"/>
              <w:right w:val="single" w:sz="4" w:space="0" w:color="auto"/>
            </w:tcBorders>
            <w:shd w:val="clear" w:color="auto" w:fill="auto"/>
            <w:noWrap/>
            <w:vAlign w:val="center"/>
          </w:tcPr>
          <w:p w14:paraId="2DE973D0" w14:textId="053240BB" w:rsidR="00951485" w:rsidRPr="00951485" w:rsidRDefault="00951485" w:rsidP="00AF5415">
            <w:pPr>
              <w:jc w:val="right"/>
              <w:rPr>
                <w:rFonts w:ascii="Times New Roman" w:hAnsi="Times New Roman" w:cs="Times New Roman"/>
                <w:bCs/>
                <w:lang w:eastAsia="sk-SK"/>
              </w:rPr>
            </w:pPr>
            <w:r w:rsidRPr="00AF5415">
              <w:rPr>
                <w:rFonts w:ascii="Times New Roman" w:hAnsi="Times New Roman" w:cs="Times New Roman"/>
              </w:rPr>
              <w:t>1 022,45</w:t>
            </w:r>
          </w:p>
        </w:tc>
        <w:tc>
          <w:tcPr>
            <w:tcW w:w="514" w:type="pct"/>
            <w:tcBorders>
              <w:top w:val="single" w:sz="4" w:space="0" w:color="auto"/>
              <w:left w:val="single" w:sz="4" w:space="0" w:color="auto"/>
              <w:bottom w:val="single" w:sz="8" w:space="0" w:color="auto"/>
              <w:right w:val="single" w:sz="8" w:space="0" w:color="auto"/>
            </w:tcBorders>
            <w:shd w:val="clear" w:color="auto" w:fill="auto"/>
            <w:noWrap/>
            <w:vAlign w:val="center"/>
          </w:tcPr>
          <w:p w14:paraId="700CAE6D" w14:textId="73E9E6F9" w:rsidR="00951485" w:rsidRPr="00951485" w:rsidRDefault="00951485" w:rsidP="00AF5415">
            <w:pPr>
              <w:jc w:val="right"/>
              <w:rPr>
                <w:rFonts w:ascii="Times New Roman" w:hAnsi="Times New Roman" w:cs="Times New Roman"/>
                <w:bCs/>
                <w:lang w:eastAsia="sk-SK"/>
              </w:rPr>
            </w:pPr>
            <w:r w:rsidRPr="00AF5415">
              <w:rPr>
                <w:rFonts w:ascii="Times New Roman" w:hAnsi="Times New Roman" w:cs="Times New Roman"/>
              </w:rPr>
              <w:t>1 022,37</w:t>
            </w:r>
          </w:p>
        </w:tc>
      </w:tr>
    </w:tbl>
    <w:p w14:paraId="562CF63F" w14:textId="4B9C4E7F" w:rsidR="007325B5" w:rsidRPr="000578FE" w:rsidRDefault="00D555FE">
      <w:pPr>
        <w:rPr>
          <w:rFonts w:ascii="Times New Roman" w:hAnsi="Times New Roman" w:cs="Times New Roman"/>
          <w:sz w:val="24"/>
          <w:szCs w:val="24"/>
        </w:rPr>
      </w:pPr>
      <w:r w:rsidRPr="00BF3E63">
        <w:rPr>
          <w:rFonts w:ascii="Times New Roman" w:hAnsi="Times New Roman" w:cs="Times New Roman"/>
          <w:sz w:val="24"/>
          <w:szCs w:val="24"/>
        </w:rPr>
        <w:t xml:space="preserve"> </w:t>
      </w:r>
      <w:r w:rsidR="00BF3E63" w:rsidRPr="00BF3E63">
        <w:rPr>
          <w:rFonts w:ascii="Times New Roman" w:hAnsi="Times New Roman" w:cs="Times New Roman"/>
          <w:sz w:val="24"/>
          <w:szCs w:val="24"/>
        </w:rPr>
        <w:t xml:space="preserve">Tabuľka č. 13: </w:t>
      </w:r>
      <w:r w:rsidR="00BF3E63" w:rsidRPr="000578FE">
        <w:rPr>
          <w:rFonts w:ascii="Times New Roman" w:hAnsi="Times New Roman" w:cs="Times New Roman"/>
          <w:sz w:val="24"/>
          <w:szCs w:val="24"/>
        </w:rPr>
        <w:t>Trend úspor energie</w:t>
      </w:r>
    </w:p>
    <w:p w14:paraId="18BD2C68" w14:textId="23D3542C" w:rsidR="00655038" w:rsidRDefault="00655038" w:rsidP="00933491">
      <w:pPr>
        <w:spacing w:after="200" w:line="276" w:lineRule="auto"/>
        <w:jc w:val="both"/>
        <w:rPr>
          <w:rFonts w:ascii="Times New Roman" w:eastAsia="Calibri" w:hAnsi="Times New Roman" w:cs="Times New Roman"/>
          <w:sz w:val="24"/>
          <w:szCs w:val="24"/>
        </w:rPr>
      </w:pPr>
    </w:p>
    <w:p w14:paraId="5CD24F63" w14:textId="62E4FF80" w:rsidR="00B81032" w:rsidRDefault="00B81032" w:rsidP="00933491">
      <w:pPr>
        <w:spacing w:after="200" w:line="276" w:lineRule="auto"/>
        <w:jc w:val="both"/>
        <w:rPr>
          <w:rFonts w:ascii="Times New Roman" w:eastAsia="Calibri" w:hAnsi="Times New Roman" w:cs="Times New Roman"/>
          <w:sz w:val="24"/>
          <w:szCs w:val="24"/>
        </w:rPr>
      </w:pPr>
      <w:r w:rsidRPr="000745A8">
        <w:rPr>
          <w:rFonts w:ascii="Times New Roman" w:eastAsia="Calibri" w:hAnsi="Times New Roman" w:cs="Times New Roman"/>
          <w:sz w:val="24"/>
          <w:szCs w:val="24"/>
        </w:rPr>
        <w:t>Vzhľadom na to, že cieľ pre účely čl. 7 smernice 2012/27/EÚ o energetickej efektívnosti sa vyjadruje v kumulovanej hodnote, údaje o úsporách energie, ktoré boli dosiahnuté v rokoch 2014 až 2016, sú uvedené vo forme matice s vývojom do roku 2020 (</w:t>
      </w:r>
      <w:r w:rsidR="00A67637" w:rsidRPr="000745A8">
        <w:rPr>
          <w:rFonts w:ascii="Times New Roman" w:eastAsia="Calibri" w:hAnsi="Times New Roman" w:cs="Times New Roman"/>
          <w:sz w:val="24"/>
          <w:szCs w:val="24"/>
        </w:rPr>
        <w:t>pozri</w:t>
      </w:r>
      <w:r w:rsidRPr="000745A8">
        <w:rPr>
          <w:rFonts w:ascii="Times New Roman" w:eastAsia="Calibri" w:hAnsi="Times New Roman" w:cs="Times New Roman"/>
          <w:sz w:val="24"/>
          <w:szCs w:val="24"/>
        </w:rPr>
        <w:t xml:space="preserve"> tabuľk</w:t>
      </w:r>
      <w:r w:rsidR="00A67637" w:rsidRPr="000745A8">
        <w:rPr>
          <w:rFonts w:ascii="Times New Roman" w:eastAsia="Calibri" w:hAnsi="Times New Roman" w:cs="Times New Roman"/>
          <w:sz w:val="24"/>
          <w:szCs w:val="24"/>
        </w:rPr>
        <w:t>u</w:t>
      </w:r>
      <w:r w:rsidRPr="000745A8">
        <w:rPr>
          <w:rFonts w:ascii="Times New Roman" w:eastAsia="Calibri" w:hAnsi="Times New Roman" w:cs="Times New Roman"/>
          <w:sz w:val="24"/>
          <w:szCs w:val="24"/>
        </w:rPr>
        <w:t xml:space="preserve"> č. </w:t>
      </w:r>
      <w:r w:rsidR="00BF3E63">
        <w:rPr>
          <w:rFonts w:ascii="Times New Roman" w:hAnsi="Times New Roman" w:cs="Times New Roman"/>
          <w:sz w:val="24"/>
          <w:szCs w:val="24"/>
        </w:rPr>
        <w:t>14</w:t>
      </w:r>
      <w:r w:rsidRPr="000745A8">
        <w:rPr>
          <w:rFonts w:ascii="Times New Roman" w:eastAsia="Calibri" w:hAnsi="Times New Roman" w:cs="Times New Roman"/>
          <w:sz w:val="24"/>
          <w:szCs w:val="24"/>
        </w:rPr>
        <w:t xml:space="preserve">). </w:t>
      </w:r>
      <w:r w:rsidRPr="007577DE">
        <w:rPr>
          <w:rFonts w:ascii="Times New Roman" w:eastAsia="Calibri" w:hAnsi="Times New Roman" w:cs="Times New Roman"/>
          <w:sz w:val="24"/>
          <w:szCs w:val="24"/>
        </w:rPr>
        <w:t>Zníženie úspor energie</w:t>
      </w:r>
      <w:r w:rsidRPr="000745A8">
        <w:rPr>
          <w:rFonts w:ascii="Times New Roman" w:eastAsia="Calibri" w:hAnsi="Times New Roman" w:cs="Times New Roman"/>
          <w:sz w:val="24"/>
          <w:szCs w:val="24"/>
        </w:rPr>
        <w:t xml:space="preserve"> v posledných rokov vychádza zo životnosti jednotlivých realizovaných aktivít v rámci opatrení. Celkovo sa za doterajšie obdobie platnosti čl. 7 smernice 2012/27/EÚ dosiah</w:t>
      </w:r>
      <w:r w:rsidR="00FF1C74" w:rsidRPr="000745A8">
        <w:rPr>
          <w:rFonts w:ascii="Times New Roman" w:eastAsia="Calibri" w:hAnsi="Times New Roman" w:cs="Times New Roman"/>
          <w:sz w:val="24"/>
          <w:szCs w:val="24"/>
        </w:rPr>
        <w:t>o</w:t>
      </w:r>
      <w:r w:rsidRPr="000745A8">
        <w:rPr>
          <w:rFonts w:ascii="Times New Roman" w:eastAsia="Calibri" w:hAnsi="Times New Roman" w:cs="Times New Roman"/>
          <w:sz w:val="24"/>
          <w:szCs w:val="24"/>
        </w:rPr>
        <w:t>l</w:t>
      </w:r>
      <w:r w:rsidR="00FF1C74" w:rsidRPr="000745A8">
        <w:rPr>
          <w:rFonts w:ascii="Times New Roman" w:eastAsia="Calibri" w:hAnsi="Times New Roman" w:cs="Times New Roman"/>
          <w:sz w:val="24"/>
          <w:szCs w:val="24"/>
        </w:rPr>
        <w:t xml:space="preserve"> príspevok </w:t>
      </w:r>
      <w:r w:rsidR="004E720D" w:rsidRPr="000745A8">
        <w:rPr>
          <w:rFonts w:ascii="Times New Roman" w:eastAsia="Calibri" w:hAnsi="Times New Roman" w:cs="Times New Roman"/>
          <w:sz w:val="24"/>
          <w:szCs w:val="24"/>
        </w:rPr>
        <w:t>ku</w:t>
      </w:r>
      <w:r w:rsidRPr="000745A8">
        <w:rPr>
          <w:rFonts w:ascii="Times New Roman" w:eastAsia="Calibri" w:hAnsi="Times New Roman" w:cs="Times New Roman"/>
          <w:sz w:val="24"/>
          <w:szCs w:val="24"/>
        </w:rPr>
        <w:t xml:space="preserve"> kumulatívn</w:t>
      </w:r>
      <w:r w:rsidR="00FF1C74" w:rsidRPr="000745A8">
        <w:rPr>
          <w:rFonts w:ascii="Times New Roman" w:eastAsia="Calibri" w:hAnsi="Times New Roman" w:cs="Times New Roman"/>
          <w:sz w:val="24"/>
          <w:szCs w:val="24"/>
        </w:rPr>
        <w:t>y</w:t>
      </w:r>
      <w:r w:rsidR="004E720D" w:rsidRPr="000745A8">
        <w:rPr>
          <w:rFonts w:ascii="Times New Roman" w:eastAsia="Calibri" w:hAnsi="Times New Roman" w:cs="Times New Roman"/>
          <w:sz w:val="24"/>
          <w:szCs w:val="24"/>
        </w:rPr>
        <w:t>m</w:t>
      </w:r>
      <w:r w:rsidRPr="000745A8">
        <w:rPr>
          <w:rFonts w:ascii="Times New Roman" w:eastAsia="Calibri" w:hAnsi="Times New Roman" w:cs="Times New Roman"/>
          <w:sz w:val="24"/>
          <w:szCs w:val="24"/>
        </w:rPr>
        <w:t xml:space="preserve"> úspor</w:t>
      </w:r>
      <w:r w:rsidR="004E720D" w:rsidRPr="000745A8">
        <w:rPr>
          <w:rFonts w:ascii="Times New Roman" w:eastAsia="Calibri" w:hAnsi="Times New Roman" w:cs="Times New Roman"/>
          <w:sz w:val="24"/>
          <w:szCs w:val="24"/>
        </w:rPr>
        <w:t>ám</w:t>
      </w:r>
      <w:r w:rsidR="00FF1C74" w:rsidRPr="000745A8">
        <w:rPr>
          <w:rFonts w:ascii="Times New Roman" w:eastAsia="Calibri" w:hAnsi="Times New Roman" w:cs="Times New Roman"/>
          <w:sz w:val="24"/>
          <w:szCs w:val="24"/>
        </w:rPr>
        <w:t xml:space="preserve"> </w:t>
      </w:r>
      <w:r w:rsidRPr="000745A8">
        <w:rPr>
          <w:rFonts w:ascii="Times New Roman" w:eastAsia="Calibri" w:hAnsi="Times New Roman" w:cs="Times New Roman"/>
          <w:sz w:val="24"/>
          <w:szCs w:val="24"/>
        </w:rPr>
        <w:t xml:space="preserve">energie </w:t>
      </w:r>
      <w:r w:rsidR="00FF1C74" w:rsidRPr="000745A8">
        <w:rPr>
          <w:rFonts w:ascii="Times New Roman" w:eastAsia="Calibri" w:hAnsi="Times New Roman" w:cs="Times New Roman"/>
          <w:sz w:val="24"/>
          <w:szCs w:val="24"/>
        </w:rPr>
        <w:t xml:space="preserve">vyčíslený </w:t>
      </w:r>
      <w:r w:rsidR="004E720D" w:rsidRPr="000745A8">
        <w:rPr>
          <w:rFonts w:ascii="Times New Roman" w:eastAsia="Calibri" w:hAnsi="Times New Roman" w:cs="Times New Roman"/>
          <w:sz w:val="24"/>
          <w:szCs w:val="24"/>
        </w:rPr>
        <w:t xml:space="preserve">do </w:t>
      </w:r>
      <w:r w:rsidR="00FF1C74" w:rsidRPr="000745A8">
        <w:rPr>
          <w:rFonts w:ascii="Times New Roman" w:eastAsia="Calibri" w:hAnsi="Times New Roman" w:cs="Times New Roman"/>
          <w:sz w:val="24"/>
          <w:szCs w:val="24"/>
        </w:rPr>
        <w:t xml:space="preserve">roku 2020 </w:t>
      </w:r>
      <w:r w:rsidR="005A1C5F">
        <w:rPr>
          <w:rFonts w:ascii="Times New Roman" w:eastAsia="Calibri" w:hAnsi="Times New Roman" w:cs="Times New Roman"/>
          <w:sz w:val="24"/>
          <w:szCs w:val="24"/>
        </w:rPr>
        <w:br/>
      </w:r>
      <w:r w:rsidRPr="000745A8">
        <w:rPr>
          <w:rFonts w:ascii="Times New Roman" w:eastAsia="Calibri" w:hAnsi="Times New Roman" w:cs="Times New Roman"/>
          <w:sz w:val="24"/>
          <w:szCs w:val="24"/>
        </w:rPr>
        <w:t xml:space="preserve">vo výške </w:t>
      </w:r>
      <w:r w:rsidR="005A1C5F" w:rsidRPr="00AF5415">
        <w:rPr>
          <w:rFonts w:ascii="Times New Roman" w:eastAsia="Calibri" w:hAnsi="Times New Roman" w:cs="Times New Roman"/>
          <w:b/>
          <w:sz w:val="24"/>
          <w:szCs w:val="24"/>
        </w:rPr>
        <w:t>16 336,42</w:t>
      </w:r>
      <w:r w:rsidRPr="000745A8">
        <w:rPr>
          <w:rFonts w:ascii="Times New Roman" w:eastAsia="Calibri" w:hAnsi="Times New Roman" w:cs="Times New Roman"/>
          <w:sz w:val="24"/>
          <w:szCs w:val="24"/>
        </w:rPr>
        <w:t xml:space="preserve"> </w:t>
      </w:r>
      <w:r w:rsidRPr="004E746F">
        <w:rPr>
          <w:rFonts w:ascii="Times New Roman" w:eastAsia="Calibri" w:hAnsi="Times New Roman" w:cs="Times New Roman"/>
          <w:b/>
          <w:sz w:val="24"/>
          <w:szCs w:val="24"/>
        </w:rPr>
        <w:t>GWh</w:t>
      </w:r>
      <w:r w:rsidRPr="000745A8">
        <w:rPr>
          <w:rFonts w:ascii="Times New Roman" w:eastAsia="Calibri" w:hAnsi="Times New Roman" w:cs="Times New Roman"/>
          <w:sz w:val="24"/>
          <w:szCs w:val="24"/>
        </w:rPr>
        <w:t xml:space="preserve">. </w:t>
      </w:r>
    </w:p>
    <w:p w14:paraId="1931BC0D" w14:textId="269AECCC" w:rsidR="00BF3E63" w:rsidRPr="00BF3E63" w:rsidRDefault="00BF3E63" w:rsidP="00933491">
      <w:pPr>
        <w:spacing w:after="200" w:line="276" w:lineRule="auto"/>
        <w:jc w:val="both"/>
        <w:rPr>
          <w:rFonts w:ascii="Times New Roman" w:eastAsia="Calibri" w:hAnsi="Times New Roman" w:cs="Times New Roman"/>
          <w:sz w:val="24"/>
          <w:szCs w:val="24"/>
        </w:rPr>
      </w:pPr>
      <w:r w:rsidRPr="00BF3E63">
        <w:rPr>
          <w:rFonts w:ascii="Times New Roman" w:eastAsia="Calibri" w:hAnsi="Times New Roman" w:cs="Times New Roman"/>
          <w:sz w:val="24"/>
          <w:szCs w:val="24"/>
        </w:rPr>
        <w:t xml:space="preserve">Tabuľka č. 14: </w:t>
      </w:r>
      <w:r w:rsidRPr="000578FE">
        <w:rPr>
          <w:rFonts w:ascii="Times New Roman" w:hAnsi="Times New Roman" w:cs="Times New Roman"/>
          <w:sz w:val="24"/>
          <w:szCs w:val="24"/>
        </w:rPr>
        <w:t>Úspory energie pre plnenie článku 7 smernice alternatívnymi opatreniami  za obdobie 2014 - 2016</w:t>
      </w:r>
    </w:p>
    <w:tbl>
      <w:tblPr>
        <w:tblW w:w="5000" w:type="pct"/>
        <w:tblCellMar>
          <w:left w:w="70" w:type="dxa"/>
          <w:right w:w="70" w:type="dxa"/>
        </w:tblCellMar>
        <w:tblLook w:val="04A0" w:firstRow="1" w:lastRow="0" w:firstColumn="1" w:lastColumn="0" w:noHBand="0" w:noVBand="1"/>
      </w:tblPr>
      <w:tblGrid>
        <w:gridCol w:w="2016"/>
        <w:gridCol w:w="1921"/>
        <w:gridCol w:w="1637"/>
        <w:gridCol w:w="1859"/>
        <w:gridCol w:w="1609"/>
      </w:tblGrid>
      <w:tr w:rsidR="00B81032" w:rsidRPr="00655038" w14:paraId="6A6C4B0A" w14:textId="77777777" w:rsidTr="008B4CAD">
        <w:trPr>
          <w:trHeight w:val="315"/>
          <w:tblHeader/>
        </w:trPr>
        <w:tc>
          <w:tcPr>
            <w:tcW w:w="1115" w:type="pct"/>
            <w:vMerge w:val="restart"/>
            <w:tcBorders>
              <w:top w:val="single" w:sz="12" w:space="0" w:color="auto"/>
              <w:left w:val="single" w:sz="12" w:space="0" w:color="auto"/>
              <w:bottom w:val="single" w:sz="6" w:space="0" w:color="auto"/>
              <w:right w:val="single" w:sz="6" w:space="0" w:color="auto"/>
            </w:tcBorders>
            <w:shd w:val="clear" w:color="auto" w:fill="BFBFBF"/>
            <w:noWrap/>
            <w:vAlign w:val="center"/>
            <w:hideMark/>
          </w:tcPr>
          <w:p w14:paraId="0B3C6355" w14:textId="77777777" w:rsidR="00B81032" w:rsidRPr="00655038" w:rsidRDefault="00B81032" w:rsidP="000745A8">
            <w:pPr>
              <w:spacing w:after="0" w:line="240" w:lineRule="auto"/>
              <w:jc w:val="center"/>
              <w:rPr>
                <w:rFonts w:ascii="Times New Roman" w:eastAsia="Times New Roman" w:hAnsi="Times New Roman" w:cs="Times New Roman"/>
                <w:color w:val="000000"/>
                <w:lang w:eastAsia="sk-SK"/>
              </w:rPr>
            </w:pPr>
            <w:r w:rsidRPr="00655038">
              <w:rPr>
                <w:rFonts w:ascii="Times New Roman" w:eastAsia="Times New Roman" w:hAnsi="Times New Roman" w:cs="Times New Roman"/>
                <w:color w:val="000000"/>
                <w:lang w:eastAsia="sk-SK"/>
              </w:rPr>
              <w:t>Rok</w:t>
            </w:r>
          </w:p>
        </w:tc>
        <w:tc>
          <w:tcPr>
            <w:tcW w:w="3885" w:type="pct"/>
            <w:gridSpan w:val="4"/>
            <w:tcBorders>
              <w:top w:val="single" w:sz="12" w:space="0" w:color="auto"/>
              <w:left w:val="single" w:sz="6" w:space="0" w:color="auto"/>
              <w:bottom w:val="single" w:sz="6" w:space="0" w:color="auto"/>
              <w:right w:val="single" w:sz="12" w:space="0" w:color="auto"/>
            </w:tcBorders>
            <w:shd w:val="clear" w:color="auto" w:fill="BFBFBF"/>
            <w:noWrap/>
            <w:vAlign w:val="center"/>
          </w:tcPr>
          <w:p w14:paraId="26BB699B" w14:textId="7533C8B0" w:rsidR="00B81032" w:rsidRPr="00655038" w:rsidRDefault="00B81032">
            <w:pPr>
              <w:spacing w:after="0" w:line="240" w:lineRule="auto"/>
              <w:jc w:val="center"/>
              <w:rPr>
                <w:rFonts w:ascii="Times New Roman" w:eastAsia="Times New Roman" w:hAnsi="Times New Roman" w:cs="Times New Roman"/>
                <w:b/>
                <w:color w:val="000000"/>
                <w:lang w:eastAsia="sk-SK"/>
              </w:rPr>
            </w:pPr>
            <w:r w:rsidRPr="00655038">
              <w:rPr>
                <w:rFonts w:ascii="Times New Roman" w:eastAsia="Times New Roman" w:hAnsi="Times New Roman" w:cs="Times New Roman"/>
                <w:b/>
                <w:color w:val="000000"/>
                <w:lang w:eastAsia="sk-SK"/>
              </w:rPr>
              <w:t>Kumulatívne úspory energie</w:t>
            </w:r>
            <w:r w:rsidR="004E720D" w:rsidRPr="00655038">
              <w:rPr>
                <w:rFonts w:ascii="Times New Roman" w:eastAsia="Times New Roman" w:hAnsi="Times New Roman" w:cs="Times New Roman"/>
                <w:b/>
                <w:color w:val="000000"/>
                <w:lang w:eastAsia="sk-SK"/>
              </w:rPr>
              <w:t xml:space="preserve"> do roku 2020</w:t>
            </w:r>
          </w:p>
          <w:p w14:paraId="7ECF1BD9" w14:textId="77777777" w:rsidR="00B81032" w:rsidRPr="00655038" w:rsidRDefault="00B81032">
            <w:pPr>
              <w:spacing w:after="0" w:line="240" w:lineRule="auto"/>
              <w:jc w:val="center"/>
              <w:rPr>
                <w:rFonts w:ascii="Times New Roman" w:eastAsia="Times New Roman" w:hAnsi="Times New Roman" w:cs="Times New Roman"/>
                <w:b/>
                <w:color w:val="000000"/>
                <w:lang w:eastAsia="sk-SK"/>
              </w:rPr>
            </w:pPr>
            <w:r w:rsidRPr="00655038">
              <w:rPr>
                <w:rFonts w:ascii="Times New Roman" w:eastAsia="Times New Roman" w:hAnsi="Times New Roman" w:cs="Times New Roman"/>
                <w:b/>
                <w:color w:val="000000"/>
                <w:lang w:val="en-GB" w:eastAsia="sk-SK"/>
              </w:rPr>
              <w:t>[GWh]</w:t>
            </w:r>
          </w:p>
        </w:tc>
      </w:tr>
      <w:tr w:rsidR="00B81032" w:rsidRPr="00655038" w14:paraId="0007BD80" w14:textId="77777777" w:rsidTr="008B4CAD">
        <w:trPr>
          <w:trHeight w:val="315"/>
          <w:tblHeader/>
        </w:trPr>
        <w:tc>
          <w:tcPr>
            <w:tcW w:w="1115" w:type="pct"/>
            <w:vMerge/>
            <w:tcBorders>
              <w:top w:val="single" w:sz="6" w:space="0" w:color="auto"/>
              <w:left w:val="single" w:sz="12" w:space="0" w:color="auto"/>
              <w:bottom w:val="single" w:sz="12" w:space="0" w:color="auto"/>
              <w:right w:val="single" w:sz="6" w:space="0" w:color="auto"/>
            </w:tcBorders>
            <w:shd w:val="clear" w:color="auto" w:fill="BFBFBF"/>
            <w:noWrap/>
            <w:vAlign w:val="center"/>
          </w:tcPr>
          <w:p w14:paraId="5787BE89" w14:textId="77777777" w:rsidR="00B81032" w:rsidRPr="00655038" w:rsidRDefault="00B81032">
            <w:pPr>
              <w:spacing w:after="0" w:line="240" w:lineRule="auto"/>
              <w:jc w:val="center"/>
              <w:rPr>
                <w:rFonts w:ascii="Times New Roman" w:eastAsia="Times New Roman" w:hAnsi="Times New Roman" w:cs="Times New Roman"/>
                <w:color w:val="000000"/>
                <w:lang w:eastAsia="sk-SK"/>
              </w:rPr>
            </w:pPr>
          </w:p>
        </w:tc>
        <w:tc>
          <w:tcPr>
            <w:tcW w:w="1062" w:type="pct"/>
            <w:tcBorders>
              <w:top w:val="single" w:sz="6" w:space="0" w:color="auto"/>
              <w:left w:val="single" w:sz="6" w:space="0" w:color="auto"/>
              <w:bottom w:val="single" w:sz="12" w:space="0" w:color="auto"/>
              <w:right w:val="single" w:sz="6" w:space="0" w:color="auto"/>
            </w:tcBorders>
            <w:shd w:val="clear" w:color="auto" w:fill="BFBFBF"/>
            <w:noWrap/>
            <w:vAlign w:val="center"/>
          </w:tcPr>
          <w:p w14:paraId="0DA569EF" w14:textId="676B7D6B" w:rsidR="00B81032" w:rsidRPr="00655038" w:rsidRDefault="00B81032">
            <w:pPr>
              <w:spacing w:after="0" w:line="240" w:lineRule="auto"/>
              <w:jc w:val="center"/>
              <w:rPr>
                <w:rFonts w:ascii="Times New Roman" w:eastAsia="Times New Roman" w:hAnsi="Times New Roman" w:cs="Times New Roman"/>
                <w:color w:val="000000"/>
                <w:lang w:eastAsia="sk-SK"/>
              </w:rPr>
            </w:pPr>
            <w:r w:rsidRPr="00655038">
              <w:rPr>
                <w:rFonts w:ascii="Times New Roman" w:eastAsia="Times New Roman" w:hAnsi="Times New Roman" w:cs="Times New Roman"/>
                <w:color w:val="000000"/>
                <w:lang w:eastAsia="sk-SK"/>
              </w:rPr>
              <w:t>2014</w:t>
            </w:r>
            <w:r w:rsidR="00706F26" w:rsidRPr="00655038">
              <w:rPr>
                <w:rFonts w:ascii="Times New Roman" w:eastAsia="Times New Roman" w:hAnsi="Times New Roman" w:cs="Times New Roman"/>
                <w:color w:val="000000"/>
                <w:lang w:eastAsia="sk-SK"/>
              </w:rPr>
              <w:t xml:space="preserve"> (akt.)</w:t>
            </w:r>
          </w:p>
        </w:tc>
        <w:tc>
          <w:tcPr>
            <w:tcW w:w="905" w:type="pct"/>
            <w:tcBorders>
              <w:top w:val="single" w:sz="6" w:space="0" w:color="auto"/>
              <w:left w:val="single" w:sz="6" w:space="0" w:color="auto"/>
              <w:bottom w:val="single" w:sz="12" w:space="0" w:color="auto"/>
              <w:right w:val="single" w:sz="6" w:space="0" w:color="auto"/>
            </w:tcBorders>
            <w:shd w:val="clear" w:color="auto" w:fill="BFBFBF"/>
            <w:noWrap/>
            <w:vAlign w:val="center"/>
          </w:tcPr>
          <w:p w14:paraId="1DDDB956" w14:textId="6C9B5C65" w:rsidR="00B81032" w:rsidRPr="00655038" w:rsidRDefault="00B81032">
            <w:pPr>
              <w:spacing w:after="0" w:line="240" w:lineRule="auto"/>
              <w:jc w:val="center"/>
              <w:rPr>
                <w:rFonts w:ascii="Times New Roman" w:eastAsia="Times New Roman" w:hAnsi="Times New Roman" w:cs="Times New Roman"/>
                <w:color w:val="000000"/>
                <w:lang w:eastAsia="sk-SK"/>
              </w:rPr>
            </w:pPr>
            <w:r w:rsidRPr="00655038">
              <w:rPr>
                <w:rFonts w:ascii="Times New Roman" w:eastAsia="Times New Roman" w:hAnsi="Times New Roman" w:cs="Times New Roman"/>
                <w:color w:val="000000"/>
                <w:lang w:eastAsia="sk-SK"/>
              </w:rPr>
              <w:t>2015</w:t>
            </w:r>
            <w:r w:rsidR="00334CCC" w:rsidRPr="00655038">
              <w:rPr>
                <w:rFonts w:ascii="Times New Roman" w:eastAsia="Times New Roman" w:hAnsi="Times New Roman" w:cs="Times New Roman"/>
                <w:color w:val="000000"/>
                <w:lang w:eastAsia="sk-SK"/>
              </w:rPr>
              <w:t xml:space="preserve"> (akt.)</w:t>
            </w:r>
          </w:p>
        </w:tc>
        <w:tc>
          <w:tcPr>
            <w:tcW w:w="1028" w:type="pct"/>
            <w:tcBorders>
              <w:top w:val="single" w:sz="6" w:space="0" w:color="auto"/>
              <w:left w:val="single" w:sz="6" w:space="0" w:color="auto"/>
              <w:bottom w:val="single" w:sz="12" w:space="0" w:color="auto"/>
              <w:right w:val="single" w:sz="6" w:space="0" w:color="auto"/>
            </w:tcBorders>
            <w:shd w:val="clear" w:color="auto" w:fill="BFBFBF"/>
            <w:noWrap/>
            <w:vAlign w:val="center"/>
          </w:tcPr>
          <w:p w14:paraId="5E1BE4F8" w14:textId="77777777" w:rsidR="00B81032" w:rsidRPr="00655038" w:rsidRDefault="00B81032">
            <w:pPr>
              <w:spacing w:after="0" w:line="240" w:lineRule="auto"/>
              <w:jc w:val="center"/>
              <w:rPr>
                <w:rFonts w:ascii="Times New Roman" w:eastAsia="Times New Roman" w:hAnsi="Times New Roman" w:cs="Times New Roman"/>
                <w:color w:val="000000"/>
                <w:lang w:eastAsia="sk-SK"/>
              </w:rPr>
            </w:pPr>
            <w:r w:rsidRPr="00655038">
              <w:rPr>
                <w:rFonts w:ascii="Times New Roman" w:eastAsia="Times New Roman" w:hAnsi="Times New Roman" w:cs="Times New Roman"/>
                <w:color w:val="000000"/>
                <w:lang w:eastAsia="sk-SK"/>
              </w:rPr>
              <w:t>2016</w:t>
            </w:r>
          </w:p>
        </w:tc>
        <w:tc>
          <w:tcPr>
            <w:tcW w:w="889" w:type="pct"/>
            <w:tcBorders>
              <w:top w:val="single" w:sz="6" w:space="0" w:color="auto"/>
              <w:left w:val="single" w:sz="6" w:space="0" w:color="auto"/>
              <w:bottom w:val="single" w:sz="12" w:space="0" w:color="auto"/>
              <w:right w:val="single" w:sz="12" w:space="0" w:color="auto"/>
            </w:tcBorders>
            <w:shd w:val="clear" w:color="auto" w:fill="BFBFBF"/>
            <w:vAlign w:val="center"/>
          </w:tcPr>
          <w:p w14:paraId="6F2BD7EE" w14:textId="77777777" w:rsidR="00B81032" w:rsidRPr="00655038" w:rsidRDefault="00B81032">
            <w:pPr>
              <w:spacing w:after="0" w:line="240" w:lineRule="auto"/>
              <w:jc w:val="center"/>
              <w:rPr>
                <w:rFonts w:ascii="Times New Roman" w:eastAsia="Times New Roman" w:hAnsi="Times New Roman" w:cs="Times New Roman"/>
                <w:color w:val="000000"/>
                <w:lang w:eastAsia="sk-SK"/>
              </w:rPr>
            </w:pPr>
            <w:r w:rsidRPr="00655038">
              <w:rPr>
                <w:rFonts w:ascii="Times New Roman" w:eastAsia="Times New Roman" w:hAnsi="Times New Roman" w:cs="Times New Roman"/>
                <w:color w:val="000000"/>
                <w:lang w:eastAsia="sk-SK"/>
              </w:rPr>
              <w:t>Σ (2014-2016)</w:t>
            </w:r>
          </w:p>
        </w:tc>
      </w:tr>
      <w:tr w:rsidR="008B4CAD" w:rsidRPr="00655038" w14:paraId="15FF99C5" w14:textId="77777777" w:rsidTr="00AF5415">
        <w:trPr>
          <w:trHeight w:val="300"/>
        </w:trPr>
        <w:tc>
          <w:tcPr>
            <w:tcW w:w="1115"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3FD8AAD" w14:textId="77777777" w:rsidR="008B4CAD" w:rsidRPr="00655038" w:rsidRDefault="008B4CAD" w:rsidP="008B4CAD">
            <w:pPr>
              <w:spacing w:after="0" w:line="240" w:lineRule="auto"/>
              <w:jc w:val="center"/>
              <w:rPr>
                <w:rFonts w:ascii="Times New Roman" w:eastAsia="Times New Roman" w:hAnsi="Times New Roman" w:cs="Times New Roman"/>
                <w:color w:val="000000"/>
                <w:lang w:eastAsia="sk-SK"/>
              </w:rPr>
            </w:pPr>
            <w:r w:rsidRPr="00655038">
              <w:rPr>
                <w:rFonts w:ascii="Times New Roman" w:eastAsia="Times New Roman" w:hAnsi="Times New Roman" w:cs="Times New Roman"/>
                <w:color w:val="000000"/>
                <w:lang w:eastAsia="sk-SK"/>
              </w:rPr>
              <w:t>2014</w:t>
            </w:r>
          </w:p>
        </w:tc>
        <w:tc>
          <w:tcPr>
            <w:tcW w:w="106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0BDEB02" w14:textId="1529A8D3" w:rsidR="008B4CAD" w:rsidRPr="008B4CAD" w:rsidRDefault="008B4CAD">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837,67</w:t>
            </w:r>
          </w:p>
        </w:tc>
        <w:tc>
          <w:tcPr>
            <w:tcW w:w="9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0EDA33D" w14:textId="3AF5AFD3" w:rsidR="008B4CAD" w:rsidRPr="008B4CAD" w:rsidRDefault="008B4CAD">
            <w:pPr>
              <w:spacing w:after="0" w:line="240" w:lineRule="auto"/>
              <w:jc w:val="right"/>
              <w:rPr>
                <w:rFonts w:ascii="Times New Roman" w:eastAsia="Times New Roman" w:hAnsi="Times New Roman" w:cs="Times New Roman"/>
                <w:color w:val="000000"/>
                <w:lang w:eastAsia="sk-SK"/>
              </w:rPr>
            </w:pPr>
          </w:p>
        </w:tc>
        <w:tc>
          <w:tcPr>
            <w:tcW w:w="1028"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79C2A35" w14:textId="7E67026C" w:rsidR="008B4CAD" w:rsidRPr="008B4CAD" w:rsidRDefault="008B4CAD">
            <w:pPr>
              <w:spacing w:after="0" w:line="240" w:lineRule="auto"/>
              <w:jc w:val="right"/>
              <w:rPr>
                <w:rFonts w:ascii="Times New Roman" w:eastAsia="Times New Roman" w:hAnsi="Times New Roman" w:cs="Times New Roman"/>
                <w:color w:val="000000"/>
                <w:lang w:eastAsia="sk-SK"/>
              </w:rPr>
            </w:pPr>
          </w:p>
        </w:tc>
        <w:tc>
          <w:tcPr>
            <w:tcW w:w="889" w:type="pct"/>
            <w:tcBorders>
              <w:top w:val="single" w:sz="12" w:space="0" w:color="auto"/>
              <w:left w:val="single" w:sz="4" w:space="0" w:color="auto"/>
              <w:bottom w:val="single" w:sz="4" w:space="0" w:color="auto"/>
              <w:right w:val="single" w:sz="12" w:space="0" w:color="auto"/>
            </w:tcBorders>
            <w:shd w:val="clear" w:color="auto" w:fill="auto"/>
            <w:vAlign w:val="center"/>
          </w:tcPr>
          <w:p w14:paraId="3D0C254C" w14:textId="7A3E5E52" w:rsidR="008B4CAD" w:rsidRPr="008B4CAD" w:rsidRDefault="008B4CAD">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837,67</w:t>
            </w:r>
          </w:p>
        </w:tc>
      </w:tr>
      <w:tr w:rsidR="008B4CAD" w:rsidRPr="00655038" w14:paraId="22E856D9" w14:textId="77777777" w:rsidTr="00AF5415">
        <w:trPr>
          <w:trHeight w:val="300"/>
        </w:trPr>
        <w:tc>
          <w:tcPr>
            <w:tcW w:w="1115"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9BAE726" w14:textId="77777777" w:rsidR="008B4CAD" w:rsidRPr="00655038" w:rsidRDefault="008B4CAD" w:rsidP="008B4CAD">
            <w:pPr>
              <w:spacing w:after="0" w:line="240" w:lineRule="auto"/>
              <w:jc w:val="center"/>
              <w:rPr>
                <w:rFonts w:ascii="Times New Roman" w:eastAsia="Times New Roman" w:hAnsi="Times New Roman" w:cs="Times New Roman"/>
                <w:color w:val="000000"/>
                <w:lang w:eastAsia="sk-SK"/>
              </w:rPr>
            </w:pPr>
            <w:r w:rsidRPr="00655038">
              <w:rPr>
                <w:rFonts w:ascii="Times New Roman" w:eastAsia="Times New Roman" w:hAnsi="Times New Roman" w:cs="Times New Roman"/>
                <w:color w:val="000000"/>
                <w:lang w:eastAsia="sk-SK"/>
              </w:rPr>
              <w:t>2015</w:t>
            </w:r>
          </w:p>
        </w:tc>
        <w:tc>
          <w:tcPr>
            <w:tcW w:w="10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24258" w14:textId="45B56E6B" w:rsidR="008B4CAD" w:rsidRPr="008B4CAD" w:rsidRDefault="008B4CAD">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837,67</w:t>
            </w:r>
          </w:p>
        </w:tc>
        <w:tc>
          <w:tcPr>
            <w:tcW w:w="9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F803E3" w14:textId="5C59D7CF" w:rsidR="008B4CAD" w:rsidRPr="008B4CAD" w:rsidRDefault="008B4CAD">
            <w:pPr>
              <w:spacing w:after="0" w:line="240" w:lineRule="auto"/>
              <w:jc w:val="right"/>
              <w:rPr>
                <w:rFonts w:ascii="Times New Roman" w:eastAsia="Times New Roman" w:hAnsi="Times New Roman" w:cs="Times New Roman"/>
                <w:color w:val="000000"/>
                <w:highlight w:val="yellow"/>
                <w:lang w:eastAsia="sk-SK"/>
              </w:rPr>
            </w:pPr>
            <w:r w:rsidRPr="00AF5415">
              <w:rPr>
                <w:rFonts w:ascii="Times New Roman" w:hAnsi="Times New Roman" w:cs="Times New Roman"/>
              </w:rPr>
              <w:t>1 306,80</w:t>
            </w:r>
          </w:p>
        </w:tc>
        <w:tc>
          <w:tcPr>
            <w:tcW w:w="10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9CDBE" w14:textId="131500CF" w:rsidR="008B4CAD" w:rsidRPr="008B4CAD" w:rsidRDefault="008B4CAD">
            <w:pPr>
              <w:spacing w:after="0" w:line="240" w:lineRule="auto"/>
              <w:jc w:val="right"/>
              <w:rPr>
                <w:rFonts w:ascii="Times New Roman" w:eastAsia="Times New Roman" w:hAnsi="Times New Roman" w:cs="Times New Roman"/>
                <w:color w:val="000000"/>
                <w:lang w:eastAsia="sk-SK"/>
              </w:rPr>
            </w:pP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14:paraId="3616C74B" w14:textId="7DB91156" w:rsidR="008B4CAD" w:rsidRPr="008B4CAD" w:rsidRDefault="008B4CAD">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2 144,47</w:t>
            </w:r>
          </w:p>
        </w:tc>
      </w:tr>
      <w:tr w:rsidR="008B4CAD" w:rsidRPr="00655038" w14:paraId="437BFC3B" w14:textId="77777777" w:rsidTr="00AF5415">
        <w:trPr>
          <w:trHeight w:val="300"/>
        </w:trPr>
        <w:tc>
          <w:tcPr>
            <w:tcW w:w="1115"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6588B10" w14:textId="77777777" w:rsidR="008B4CAD" w:rsidRPr="00655038" w:rsidRDefault="008B4CAD" w:rsidP="008B4CAD">
            <w:pPr>
              <w:spacing w:after="0" w:line="240" w:lineRule="auto"/>
              <w:jc w:val="center"/>
              <w:rPr>
                <w:rFonts w:ascii="Times New Roman" w:eastAsia="Times New Roman" w:hAnsi="Times New Roman" w:cs="Times New Roman"/>
                <w:color w:val="000000"/>
                <w:lang w:eastAsia="sk-SK"/>
              </w:rPr>
            </w:pPr>
            <w:r w:rsidRPr="00655038">
              <w:rPr>
                <w:rFonts w:ascii="Times New Roman" w:eastAsia="Times New Roman" w:hAnsi="Times New Roman" w:cs="Times New Roman"/>
                <w:color w:val="000000"/>
                <w:lang w:eastAsia="sk-SK"/>
              </w:rPr>
              <w:t>2016</w:t>
            </w:r>
          </w:p>
        </w:tc>
        <w:tc>
          <w:tcPr>
            <w:tcW w:w="10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BC28C" w14:textId="3FDB1B16" w:rsidR="008B4CAD" w:rsidRPr="008B4CAD" w:rsidRDefault="008B4CAD">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837,67</w:t>
            </w:r>
          </w:p>
        </w:tc>
        <w:tc>
          <w:tcPr>
            <w:tcW w:w="9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3579E" w14:textId="53AAE4CC" w:rsidR="008B4CAD" w:rsidRPr="008B4CAD" w:rsidRDefault="008B4CAD">
            <w:pPr>
              <w:spacing w:after="0" w:line="240" w:lineRule="auto"/>
              <w:jc w:val="right"/>
              <w:rPr>
                <w:rFonts w:ascii="Times New Roman" w:eastAsia="Times New Roman" w:hAnsi="Times New Roman" w:cs="Times New Roman"/>
                <w:color w:val="000000"/>
                <w:highlight w:val="yellow"/>
                <w:lang w:eastAsia="sk-SK"/>
              </w:rPr>
            </w:pPr>
            <w:r w:rsidRPr="00AF5415">
              <w:rPr>
                <w:rFonts w:ascii="Times New Roman" w:hAnsi="Times New Roman" w:cs="Times New Roman"/>
              </w:rPr>
              <w:t>1 306,80</w:t>
            </w:r>
          </w:p>
        </w:tc>
        <w:tc>
          <w:tcPr>
            <w:tcW w:w="10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50B50" w14:textId="5E183CBA" w:rsidR="008B4CAD" w:rsidRPr="008B4CAD" w:rsidRDefault="008B4CAD">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649,68</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14:paraId="2B8FB769" w14:textId="62DE8482" w:rsidR="008B4CAD" w:rsidRPr="008B4CAD" w:rsidRDefault="008B4CAD">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2 794,15</w:t>
            </w:r>
          </w:p>
        </w:tc>
      </w:tr>
      <w:tr w:rsidR="008B4CAD" w:rsidRPr="00655038" w14:paraId="06358613" w14:textId="77777777" w:rsidTr="00AF5415">
        <w:trPr>
          <w:trHeight w:val="300"/>
        </w:trPr>
        <w:tc>
          <w:tcPr>
            <w:tcW w:w="1115"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688290C" w14:textId="77777777" w:rsidR="008B4CAD" w:rsidRPr="00655038" w:rsidRDefault="008B4CAD" w:rsidP="008B4CAD">
            <w:pPr>
              <w:spacing w:after="0" w:line="240" w:lineRule="auto"/>
              <w:jc w:val="center"/>
              <w:rPr>
                <w:rFonts w:ascii="Times New Roman" w:eastAsia="Times New Roman" w:hAnsi="Times New Roman" w:cs="Times New Roman"/>
                <w:color w:val="000000"/>
                <w:lang w:eastAsia="sk-SK"/>
              </w:rPr>
            </w:pPr>
            <w:r w:rsidRPr="00655038">
              <w:rPr>
                <w:rFonts w:ascii="Times New Roman" w:eastAsia="Times New Roman" w:hAnsi="Times New Roman" w:cs="Times New Roman"/>
                <w:color w:val="000000"/>
                <w:lang w:eastAsia="sk-SK"/>
              </w:rPr>
              <w:t>2017</w:t>
            </w:r>
          </w:p>
        </w:tc>
        <w:tc>
          <w:tcPr>
            <w:tcW w:w="10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B5B05" w14:textId="0D8E605F" w:rsidR="008B4CAD" w:rsidRPr="008B4CAD" w:rsidRDefault="008B4CAD">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837,67</w:t>
            </w:r>
          </w:p>
        </w:tc>
        <w:tc>
          <w:tcPr>
            <w:tcW w:w="9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FFA85B" w14:textId="2A13DAA1" w:rsidR="008B4CAD" w:rsidRPr="008B4CAD" w:rsidRDefault="008B4CAD">
            <w:pPr>
              <w:spacing w:after="0" w:line="240" w:lineRule="auto"/>
              <w:jc w:val="right"/>
              <w:rPr>
                <w:rFonts w:ascii="Times New Roman" w:eastAsia="Times New Roman" w:hAnsi="Times New Roman" w:cs="Times New Roman"/>
                <w:color w:val="000000"/>
                <w:highlight w:val="yellow"/>
                <w:lang w:eastAsia="sk-SK"/>
              </w:rPr>
            </w:pPr>
            <w:r w:rsidRPr="00AF5415">
              <w:rPr>
                <w:rFonts w:ascii="Times New Roman" w:hAnsi="Times New Roman" w:cs="Times New Roman"/>
              </w:rPr>
              <w:t>1 306,80</w:t>
            </w:r>
          </w:p>
        </w:tc>
        <w:tc>
          <w:tcPr>
            <w:tcW w:w="10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A8739" w14:textId="56B71C37" w:rsidR="008B4CAD" w:rsidRPr="008B4CAD" w:rsidRDefault="008B4CAD">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649,68</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14:paraId="24525938" w14:textId="49C25FFE" w:rsidR="008B4CAD" w:rsidRPr="008B4CAD" w:rsidRDefault="008B4CAD">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2 794,15</w:t>
            </w:r>
          </w:p>
        </w:tc>
      </w:tr>
      <w:tr w:rsidR="008B4CAD" w:rsidRPr="00655038" w14:paraId="16E03CCF" w14:textId="77777777" w:rsidTr="00AF5415">
        <w:trPr>
          <w:trHeight w:val="300"/>
        </w:trPr>
        <w:tc>
          <w:tcPr>
            <w:tcW w:w="1115"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E653A61" w14:textId="77777777" w:rsidR="008B4CAD" w:rsidRPr="00655038" w:rsidRDefault="008B4CAD" w:rsidP="008B4CAD">
            <w:pPr>
              <w:spacing w:after="0" w:line="240" w:lineRule="auto"/>
              <w:jc w:val="center"/>
              <w:rPr>
                <w:rFonts w:ascii="Times New Roman" w:eastAsia="Times New Roman" w:hAnsi="Times New Roman" w:cs="Times New Roman"/>
                <w:color w:val="000000"/>
                <w:lang w:eastAsia="sk-SK"/>
              </w:rPr>
            </w:pPr>
            <w:r w:rsidRPr="00655038">
              <w:rPr>
                <w:rFonts w:ascii="Times New Roman" w:eastAsia="Times New Roman" w:hAnsi="Times New Roman" w:cs="Times New Roman"/>
                <w:color w:val="000000"/>
                <w:lang w:eastAsia="sk-SK"/>
              </w:rPr>
              <w:t>2018</w:t>
            </w:r>
          </w:p>
        </w:tc>
        <w:tc>
          <w:tcPr>
            <w:tcW w:w="10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D6CEA" w14:textId="40E97056" w:rsidR="008B4CAD" w:rsidRPr="008B4CAD" w:rsidRDefault="008B4CAD">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837,67</w:t>
            </w:r>
          </w:p>
        </w:tc>
        <w:tc>
          <w:tcPr>
            <w:tcW w:w="9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C80009" w14:textId="56875DA5" w:rsidR="008B4CAD" w:rsidRPr="008B4CAD" w:rsidRDefault="008B4CAD">
            <w:pPr>
              <w:spacing w:after="0" w:line="240" w:lineRule="auto"/>
              <w:jc w:val="right"/>
              <w:rPr>
                <w:rFonts w:ascii="Times New Roman" w:eastAsia="Times New Roman" w:hAnsi="Times New Roman" w:cs="Times New Roman"/>
                <w:color w:val="000000"/>
                <w:highlight w:val="yellow"/>
                <w:lang w:eastAsia="sk-SK"/>
              </w:rPr>
            </w:pPr>
            <w:r w:rsidRPr="00AF5415">
              <w:rPr>
                <w:rFonts w:ascii="Times New Roman" w:hAnsi="Times New Roman" w:cs="Times New Roman"/>
              </w:rPr>
              <w:t>1 306,80</w:t>
            </w:r>
          </w:p>
        </w:tc>
        <w:tc>
          <w:tcPr>
            <w:tcW w:w="10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6277F" w14:textId="22206AF2" w:rsidR="008B4CAD" w:rsidRPr="008B4CAD" w:rsidRDefault="008B4CAD">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649,68</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14:paraId="7015FEE3" w14:textId="50B37DE3" w:rsidR="008B4CAD" w:rsidRPr="008B4CAD" w:rsidRDefault="008B4CAD">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2 794,15</w:t>
            </w:r>
          </w:p>
        </w:tc>
      </w:tr>
      <w:tr w:rsidR="008B4CAD" w:rsidRPr="00655038" w14:paraId="5209EC42" w14:textId="77777777" w:rsidTr="00AF5415">
        <w:trPr>
          <w:trHeight w:val="300"/>
        </w:trPr>
        <w:tc>
          <w:tcPr>
            <w:tcW w:w="1115"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3898BDF" w14:textId="77777777" w:rsidR="008B4CAD" w:rsidRPr="00655038" w:rsidRDefault="008B4CAD" w:rsidP="008B4CAD">
            <w:pPr>
              <w:spacing w:after="0" w:line="240" w:lineRule="auto"/>
              <w:jc w:val="center"/>
              <w:rPr>
                <w:rFonts w:ascii="Times New Roman" w:eastAsia="Times New Roman" w:hAnsi="Times New Roman" w:cs="Times New Roman"/>
                <w:color w:val="000000"/>
                <w:lang w:eastAsia="sk-SK"/>
              </w:rPr>
            </w:pPr>
            <w:r w:rsidRPr="00655038">
              <w:rPr>
                <w:rFonts w:ascii="Times New Roman" w:eastAsia="Times New Roman" w:hAnsi="Times New Roman" w:cs="Times New Roman"/>
                <w:color w:val="000000"/>
                <w:lang w:eastAsia="sk-SK"/>
              </w:rPr>
              <w:t>2019</w:t>
            </w:r>
          </w:p>
        </w:tc>
        <w:tc>
          <w:tcPr>
            <w:tcW w:w="10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7A61B" w14:textId="10F13B3E" w:rsidR="008B4CAD" w:rsidRPr="008B4CAD" w:rsidRDefault="008B4CAD">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652,94</w:t>
            </w:r>
          </w:p>
        </w:tc>
        <w:tc>
          <w:tcPr>
            <w:tcW w:w="9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3C2737" w14:textId="117A81D5" w:rsidR="008B4CAD" w:rsidRPr="008B4CAD" w:rsidRDefault="008B4CAD">
            <w:pPr>
              <w:spacing w:after="0" w:line="240" w:lineRule="auto"/>
              <w:jc w:val="right"/>
              <w:rPr>
                <w:rFonts w:ascii="Times New Roman" w:eastAsia="Times New Roman" w:hAnsi="Times New Roman" w:cs="Times New Roman"/>
                <w:color w:val="000000"/>
                <w:highlight w:val="yellow"/>
                <w:lang w:eastAsia="sk-SK"/>
              </w:rPr>
            </w:pPr>
            <w:r w:rsidRPr="00AF5415">
              <w:rPr>
                <w:rFonts w:ascii="Times New Roman" w:hAnsi="Times New Roman" w:cs="Times New Roman"/>
              </w:rPr>
              <w:t>1 306,80</w:t>
            </w:r>
          </w:p>
        </w:tc>
        <w:tc>
          <w:tcPr>
            <w:tcW w:w="10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90E71" w14:textId="23D386B9" w:rsidR="008B4CAD" w:rsidRPr="008B4CAD" w:rsidRDefault="008B4CAD">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649,68</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14:paraId="286BFE5D" w14:textId="3E9874F8" w:rsidR="008B4CAD" w:rsidRPr="008B4CAD" w:rsidRDefault="008B4CAD">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2 609,42</w:t>
            </w:r>
          </w:p>
        </w:tc>
      </w:tr>
      <w:tr w:rsidR="008B4CAD" w:rsidRPr="00655038" w14:paraId="0B5E45F8" w14:textId="77777777" w:rsidTr="00AF5415">
        <w:trPr>
          <w:trHeight w:val="315"/>
        </w:trPr>
        <w:tc>
          <w:tcPr>
            <w:tcW w:w="1115"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61B97BD6" w14:textId="77777777" w:rsidR="008B4CAD" w:rsidRPr="00655038" w:rsidRDefault="008B4CAD" w:rsidP="008B4CAD">
            <w:pPr>
              <w:spacing w:after="0" w:line="240" w:lineRule="auto"/>
              <w:jc w:val="center"/>
              <w:rPr>
                <w:rFonts w:ascii="Times New Roman" w:eastAsia="Times New Roman" w:hAnsi="Times New Roman" w:cs="Times New Roman"/>
                <w:color w:val="000000"/>
                <w:lang w:eastAsia="sk-SK"/>
              </w:rPr>
            </w:pPr>
            <w:r w:rsidRPr="00655038">
              <w:rPr>
                <w:rFonts w:ascii="Times New Roman" w:eastAsia="Times New Roman" w:hAnsi="Times New Roman" w:cs="Times New Roman"/>
                <w:color w:val="000000"/>
                <w:lang w:eastAsia="sk-SK"/>
              </w:rPr>
              <w:t>2020</w:t>
            </w:r>
          </w:p>
        </w:tc>
        <w:tc>
          <w:tcPr>
            <w:tcW w:w="1062"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3D0B51C" w14:textId="79CC2C47" w:rsidR="008B4CAD" w:rsidRPr="008B4CAD" w:rsidRDefault="008B4CAD">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652,94</w:t>
            </w:r>
          </w:p>
        </w:tc>
        <w:tc>
          <w:tcPr>
            <w:tcW w:w="905" w:type="pct"/>
            <w:tcBorders>
              <w:top w:val="single" w:sz="4" w:space="0" w:color="auto"/>
              <w:left w:val="single" w:sz="4" w:space="0" w:color="auto"/>
              <w:bottom w:val="single" w:sz="12" w:space="0" w:color="auto"/>
              <w:right w:val="single" w:sz="4" w:space="0" w:color="auto"/>
            </w:tcBorders>
            <w:shd w:val="clear" w:color="auto" w:fill="auto"/>
            <w:noWrap/>
            <w:vAlign w:val="center"/>
          </w:tcPr>
          <w:p w14:paraId="18C0AA06" w14:textId="28CB85FF" w:rsidR="008B4CAD" w:rsidRPr="008B4CAD" w:rsidRDefault="008B4CAD">
            <w:pPr>
              <w:spacing w:after="0" w:line="240" w:lineRule="auto"/>
              <w:jc w:val="right"/>
              <w:rPr>
                <w:rFonts w:ascii="Times New Roman" w:eastAsia="Times New Roman" w:hAnsi="Times New Roman" w:cs="Times New Roman"/>
                <w:color w:val="000000"/>
                <w:highlight w:val="yellow"/>
                <w:lang w:eastAsia="sk-SK"/>
              </w:rPr>
            </w:pPr>
            <w:r w:rsidRPr="00AF5415">
              <w:rPr>
                <w:rFonts w:ascii="Times New Roman" w:hAnsi="Times New Roman" w:cs="Times New Roman"/>
              </w:rPr>
              <w:t>1 063,95</w:t>
            </w:r>
          </w:p>
        </w:tc>
        <w:tc>
          <w:tcPr>
            <w:tcW w:w="1028"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2475A28" w14:textId="22E05830" w:rsidR="008B4CAD" w:rsidRPr="008B4CAD" w:rsidRDefault="008B4CAD">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649,68</w:t>
            </w:r>
          </w:p>
        </w:tc>
        <w:tc>
          <w:tcPr>
            <w:tcW w:w="889" w:type="pct"/>
            <w:tcBorders>
              <w:top w:val="single" w:sz="4" w:space="0" w:color="auto"/>
              <w:left w:val="single" w:sz="4" w:space="0" w:color="auto"/>
              <w:bottom w:val="single" w:sz="12" w:space="0" w:color="auto"/>
              <w:right w:val="single" w:sz="12" w:space="0" w:color="auto"/>
            </w:tcBorders>
            <w:shd w:val="clear" w:color="auto" w:fill="auto"/>
            <w:vAlign w:val="center"/>
          </w:tcPr>
          <w:p w14:paraId="765A9049" w14:textId="13A3E708" w:rsidR="008B4CAD" w:rsidRPr="008B4CAD" w:rsidRDefault="008B4CAD">
            <w:pPr>
              <w:spacing w:after="0" w:line="240" w:lineRule="auto"/>
              <w:jc w:val="right"/>
              <w:rPr>
                <w:rFonts w:ascii="Times New Roman" w:eastAsia="Times New Roman" w:hAnsi="Times New Roman" w:cs="Times New Roman"/>
                <w:color w:val="000000"/>
                <w:lang w:eastAsia="sk-SK"/>
              </w:rPr>
            </w:pPr>
            <w:r w:rsidRPr="00AF5415">
              <w:rPr>
                <w:rFonts w:ascii="Times New Roman" w:hAnsi="Times New Roman" w:cs="Times New Roman"/>
              </w:rPr>
              <w:t>2 366,58</w:t>
            </w:r>
          </w:p>
        </w:tc>
      </w:tr>
      <w:tr w:rsidR="008B4CAD" w:rsidRPr="00655038" w14:paraId="58CD781B" w14:textId="77777777" w:rsidTr="00AF5415">
        <w:trPr>
          <w:trHeight w:val="615"/>
        </w:trPr>
        <w:tc>
          <w:tcPr>
            <w:tcW w:w="1115"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3AAF01E7" w14:textId="77777777" w:rsidR="008B4CAD" w:rsidRPr="00655038" w:rsidRDefault="008B4CAD" w:rsidP="008B4CAD">
            <w:pPr>
              <w:spacing w:after="0" w:line="240" w:lineRule="auto"/>
              <w:jc w:val="center"/>
              <w:rPr>
                <w:rFonts w:ascii="Times New Roman" w:eastAsia="Times New Roman" w:hAnsi="Times New Roman" w:cs="Times New Roman"/>
                <w:color w:val="000000"/>
                <w:lang w:eastAsia="sk-SK"/>
              </w:rPr>
            </w:pPr>
            <w:r w:rsidRPr="00655038">
              <w:rPr>
                <w:rFonts w:ascii="Times New Roman" w:eastAsia="Times New Roman" w:hAnsi="Times New Roman" w:cs="Times New Roman"/>
                <w:color w:val="000000"/>
                <w:lang w:eastAsia="sk-SK"/>
              </w:rPr>
              <w:t>Kumulatívne za roky 2014-2020</w:t>
            </w:r>
          </w:p>
        </w:tc>
        <w:tc>
          <w:tcPr>
            <w:tcW w:w="1062" w:type="pct"/>
            <w:tcBorders>
              <w:top w:val="single" w:sz="12" w:space="0" w:color="auto"/>
              <w:left w:val="single" w:sz="6" w:space="0" w:color="auto"/>
              <w:bottom w:val="single" w:sz="12" w:space="0" w:color="auto"/>
              <w:right w:val="single" w:sz="6" w:space="0" w:color="auto"/>
            </w:tcBorders>
            <w:shd w:val="clear" w:color="auto" w:fill="auto"/>
            <w:noWrap/>
            <w:vAlign w:val="center"/>
            <w:hideMark/>
          </w:tcPr>
          <w:p w14:paraId="66E8C758" w14:textId="11E2DD39" w:rsidR="008B4CAD" w:rsidRPr="008B4CAD" w:rsidRDefault="008B4CAD">
            <w:pPr>
              <w:spacing w:after="0" w:line="240" w:lineRule="auto"/>
              <w:jc w:val="right"/>
              <w:rPr>
                <w:rFonts w:ascii="Times New Roman" w:eastAsia="Times New Roman" w:hAnsi="Times New Roman" w:cs="Times New Roman"/>
                <w:b/>
                <w:color w:val="000000"/>
                <w:lang w:eastAsia="sk-SK"/>
              </w:rPr>
            </w:pPr>
            <w:r w:rsidRPr="00AF5415">
              <w:rPr>
                <w:rFonts w:ascii="Times New Roman" w:hAnsi="Times New Roman" w:cs="Times New Roman"/>
                <w:b/>
              </w:rPr>
              <w:t>5 494,25</w:t>
            </w:r>
          </w:p>
        </w:tc>
        <w:tc>
          <w:tcPr>
            <w:tcW w:w="905" w:type="pct"/>
            <w:tcBorders>
              <w:top w:val="single" w:sz="12" w:space="0" w:color="auto"/>
              <w:left w:val="single" w:sz="6" w:space="0" w:color="auto"/>
              <w:bottom w:val="single" w:sz="12" w:space="0" w:color="auto"/>
              <w:right w:val="single" w:sz="6" w:space="0" w:color="auto"/>
            </w:tcBorders>
            <w:shd w:val="clear" w:color="auto" w:fill="auto"/>
            <w:noWrap/>
            <w:vAlign w:val="center"/>
          </w:tcPr>
          <w:p w14:paraId="0B345F4D" w14:textId="474D99D7" w:rsidR="008B4CAD" w:rsidRPr="008B4CAD" w:rsidRDefault="008B4CAD">
            <w:pPr>
              <w:spacing w:after="0" w:line="240" w:lineRule="auto"/>
              <w:jc w:val="right"/>
              <w:rPr>
                <w:rFonts w:ascii="Times New Roman" w:eastAsia="Times New Roman" w:hAnsi="Times New Roman" w:cs="Times New Roman"/>
                <w:b/>
                <w:color w:val="000000"/>
                <w:highlight w:val="yellow"/>
                <w:lang w:eastAsia="sk-SK"/>
              </w:rPr>
            </w:pPr>
            <w:r w:rsidRPr="00AF5415">
              <w:rPr>
                <w:rFonts w:ascii="Times New Roman" w:hAnsi="Times New Roman" w:cs="Times New Roman"/>
                <w:b/>
              </w:rPr>
              <w:t>7 597,93</w:t>
            </w:r>
          </w:p>
        </w:tc>
        <w:tc>
          <w:tcPr>
            <w:tcW w:w="1028" w:type="pct"/>
            <w:tcBorders>
              <w:top w:val="single" w:sz="12" w:space="0" w:color="auto"/>
              <w:left w:val="single" w:sz="6" w:space="0" w:color="auto"/>
              <w:bottom w:val="single" w:sz="12" w:space="0" w:color="auto"/>
              <w:right w:val="single" w:sz="6" w:space="0" w:color="auto"/>
            </w:tcBorders>
            <w:shd w:val="clear" w:color="auto" w:fill="auto"/>
            <w:noWrap/>
            <w:vAlign w:val="center"/>
            <w:hideMark/>
          </w:tcPr>
          <w:p w14:paraId="7338C8C3" w14:textId="0713A78C" w:rsidR="008B4CAD" w:rsidRPr="008B4CAD" w:rsidRDefault="008B4CAD">
            <w:pPr>
              <w:spacing w:after="0" w:line="240" w:lineRule="auto"/>
              <w:jc w:val="right"/>
              <w:rPr>
                <w:rFonts w:ascii="Times New Roman" w:eastAsia="Times New Roman" w:hAnsi="Times New Roman" w:cs="Times New Roman"/>
                <w:b/>
                <w:color w:val="000000"/>
                <w:lang w:eastAsia="sk-SK"/>
              </w:rPr>
            </w:pPr>
            <w:r w:rsidRPr="00AF5415">
              <w:rPr>
                <w:rFonts w:ascii="Times New Roman" w:hAnsi="Times New Roman" w:cs="Times New Roman"/>
                <w:b/>
              </w:rPr>
              <w:t>3 248,42</w:t>
            </w:r>
          </w:p>
        </w:tc>
        <w:tc>
          <w:tcPr>
            <w:tcW w:w="889" w:type="pct"/>
            <w:tcBorders>
              <w:top w:val="single" w:sz="12" w:space="0" w:color="auto"/>
              <w:left w:val="single" w:sz="6" w:space="0" w:color="auto"/>
              <w:bottom w:val="single" w:sz="12" w:space="0" w:color="auto"/>
              <w:right w:val="single" w:sz="12" w:space="0" w:color="auto"/>
            </w:tcBorders>
            <w:shd w:val="clear" w:color="auto" w:fill="auto"/>
            <w:vAlign w:val="center"/>
          </w:tcPr>
          <w:p w14:paraId="647ADF18" w14:textId="180F628E" w:rsidR="008B4CAD" w:rsidRPr="008B4CAD" w:rsidRDefault="008B4CAD">
            <w:pPr>
              <w:spacing w:after="0" w:line="240" w:lineRule="auto"/>
              <w:jc w:val="right"/>
              <w:rPr>
                <w:rFonts w:ascii="Times New Roman" w:eastAsia="Times New Roman" w:hAnsi="Times New Roman" w:cs="Times New Roman"/>
                <w:b/>
                <w:color w:val="000000"/>
                <w:lang w:eastAsia="sk-SK"/>
              </w:rPr>
            </w:pPr>
            <w:r w:rsidRPr="00AF5415">
              <w:rPr>
                <w:rFonts w:ascii="Times New Roman" w:hAnsi="Times New Roman" w:cs="Times New Roman"/>
                <w:b/>
              </w:rPr>
              <w:t>16 340,60</w:t>
            </w:r>
          </w:p>
        </w:tc>
      </w:tr>
      <w:tr w:rsidR="00F24351" w:rsidRPr="00655038" w14:paraId="7144E9D6" w14:textId="77777777" w:rsidTr="008B4CAD">
        <w:trPr>
          <w:trHeight w:val="283"/>
        </w:trPr>
        <w:tc>
          <w:tcPr>
            <w:tcW w:w="1115" w:type="pct"/>
            <w:tcBorders>
              <w:top w:val="single" w:sz="12" w:space="0" w:color="auto"/>
            </w:tcBorders>
            <w:shd w:val="clear" w:color="auto" w:fill="auto"/>
            <w:vAlign w:val="center"/>
          </w:tcPr>
          <w:p w14:paraId="464ED407" w14:textId="77777777" w:rsidR="00F24351" w:rsidRPr="00655038" w:rsidRDefault="00F24351" w:rsidP="00F24351">
            <w:pPr>
              <w:spacing w:after="0" w:line="240" w:lineRule="auto"/>
              <w:jc w:val="center"/>
              <w:rPr>
                <w:rFonts w:ascii="Times New Roman" w:eastAsia="Times New Roman" w:hAnsi="Times New Roman" w:cs="Times New Roman"/>
                <w:color w:val="000000"/>
                <w:lang w:eastAsia="sk-SK"/>
              </w:rPr>
            </w:pPr>
          </w:p>
        </w:tc>
        <w:tc>
          <w:tcPr>
            <w:tcW w:w="1062" w:type="pct"/>
            <w:tcBorders>
              <w:top w:val="single" w:sz="12" w:space="0" w:color="auto"/>
            </w:tcBorders>
            <w:shd w:val="clear" w:color="auto" w:fill="auto"/>
            <w:noWrap/>
            <w:vAlign w:val="center"/>
          </w:tcPr>
          <w:p w14:paraId="5928E729" w14:textId="77777777" w:rsidR="00F24351" w:rsidRPr="00655038" w:rsidRDefault="00F24351" w:rsidP="00F24351">
            <w:pPr>
              <w:spacing w:after="0" w:line="240" w:lineRule="auto"/>
              <w:jc w:val="right"/>
              <w:rPr>
                <w:rFonts w:ascii="Times New Roman" w:hAnsi="Times New Roman" w:cs="Times New Roman"/>
                <w:color w:val="000000"/>
              </w:rPr>
            </w:pPr>
          </w:p>
        </w:tc>
        <w:tc>
          <w:tcPr>
            <w:tcW w:w="905" w:type="pct"/>
            <w:tcBorders>
              <w:top w:val="single" w:sz="12" w:space="0" w:color="auto"/>
            </w:tcBorders>
            <w:shd w:val="clear" w:color="auto" w:fill="auto"/>
            <w:noWrap/>
            <w:vAlign w:val="center"/>
          </w:tcPr>
          <w:p w14:paraId="1138E8D6" w14:textId="77777777" w:rsidR="00F24351" w:rsidRPr="00655038" w:rsidRDefault="00F24351" w:rsidP="00F24351">
            <w:pPr>
              <w:spacing w:after="0" w:line="240" w:lineRule="auto"/>
              <w:jc w:val="right"/>
              <w:rPr>
                <w:rFonts w:ascii="Times New Roman" w:hAnsi="Times New Roman" w:cs="Times New Roman"/>
                <w:color w:val="000000"/>
              </w:rPr>
            </w:pPr>
          </w:p>
        </w:tc>
        <w:tc>
          <w:tcPr>
            <w:tcW w:w="1028" w:type="pct"/>
            <w:tcBorders>
              <w:top w:val="single" w:sz="12" w:space="0" w:color="auto"/>
            </w:tcBorders>
            <w:shd w:val="clear" w:color="auto" w:fill="auto"/>
            <w:noWrap/>
            <w:vAlign w:val="center"/>
          </w:tcPr>
          <w:p w14:paraId="4F492485" w14:textId="77777777" w:rsidR="00F24351" w:rsidRPr="00655038" w:rsidRDefault="00F24351" w:rsidP="00F24351">
            <w:pPr>
              <w:spacing w:after="0" w:line="240" w:lineRule="auto"/>
              <w:jc w:val="center"/>
              <w:rPr>
                <w:rFonts w:ascii="Times New Roman" w:hAnsi="Times New Roman" w:cs="Times New Roman"/>
                <w:color w:val="000000"/>
              </w:rPr>
            </w:pPr>
          </w:p>
        </w:tc>
        <w:tc>
          <w:tcPr>
            <w:tcW w:w="889" w:type="pct"/>
            <w:tcBorders>
              <w:top w:val="single" w:sz="12" w:space="0" w:color="auto"/>
            </w:tcBorders>
            <w:shd w:val="clear" w:color="auto" w:fill="auto"/>
            <w:vAlign w:val="center"/>
          </w:tcPr>
          <w:p w14:paraId="440AE6CC" w14:textId="77777777" w:rsidR="00F24351" w:rsidRPr="00655038" w:rsidRDefault="00F24351" w:rsidP="00F24351">
            <w:pPr>
              <w:spacing w:after="0" w:line="240" w:lineRule="auto"/>
              <w:jc w:val="center"/>
              <w:rPr>
                <w:rFonts w:ascii="Times New Roman" w:hAnsi="Times New Roman" w:cs="Times New Roman"/>
                <w:b/>
                <w:color w:val="000000"/>
              </w:rPr>
            </w:pPr>
          </w:p>
        </w:tc>
      </w:tr>
    </w:tbl>
    <w:p w14:paraId="64334E7A" w14:textId="77777777" w:rsidR="00D51F59" w:rsidRPr="009F2998" w:rsidRDefault="00D51F59" w:rsidP="00902157">
      <w:pPr>
        <w:rPr>
          <w:rFonts w:ascii="Times New Roman" w:hAnsi="Times New Roman" w:cs="Times New Roman"/>
          <w:lang w:eastAsia="sk-SK"/>
        </w:rPr>
      </w:pPr>
    </w:p>
    <w:p w14:paraId="0043EA22" w14:textId="0E8D2CAD" w:rsidR="00902157" w:rsidRDefault="008A67DD" w:rsidP="007157D7">
      <w:pPr>
        <w:pStyle w:val="Nadpis4"/>
        <w:numPr>
          <w:ilvl w:val="3"/>
          <w:numId w:val="16"/>
        </w:numPr>
        <w:rPr>
          <w:rFonts w:ascii="Times New Roman" w:eastAsia="Times New Roman" w:hAnsi="Times New Roman" w:cs="Times New Roman"/>
          <w:i w:val="0"/>
          <w:color w:val="auto"/>
          <w:lang w:eastAsia="sk-SK"/>
        </w:rPr>
      </w:pPr>
      <w:bookmarkStart w:id="75" w:name="_Toc477345370"/>
      <w:r w:rsidRPr="000578FE">
        <w:rPr>
          <w:rFonts w:ascii="Times New Roman" w:eastAsia="Times New Roman" w:hAnsi="Times New Roman" w:cs="Times New Roman"/>
          <w:i w:val="0"/>
          <w:color w:val="auto"/>
          <w:lang w:eastAsia="sk-SK"/>
        </w:rPr>
        <w:t>P</w:t>
      </w:r>
      <w:r w:rsidR="00902157" w:rsidRPr="000578FE">
        <w:rPr>
          <w:rFonts w:ascii="Times New Roman" w:eastAsia="Times New Roman" w:hAnsi="Times New Roman" w:cs="Times New Roman"/>
          <w:i w:val="0"/>
          <w:color w:val="auto"/>
          <w:lang w:eastAsia="sk-SK"/>
        </w:rPr>
        <w:t>odrobnosti o vnútroštátnych koeficientoch zvolených podľa prílohy IV k</w:t>
      </w:r>
      <w:r w:rsidR="00EA4F55">
        <w:rPr>
          <w:rFonts w:ascii="Times New Roman" w:eastAsia="Times New Roman" w:hAnsi="Times New Roman" w:cs="Times New Roman"/>
          <w:i w:val="0"/>
          <w:color w:val="auto"/>
          <w:lang w:eastAsia="sk-SK"/>
        </w:rPr>
        <w:t> </w:t>
      </w:r>
      <w:r w:rsidR="00902157" w:rsidRPr="000578FE">
        <w:rPr>
          <w:rFonts w:ascii="Times New Roman" w:eastAsia="Times New Roman" w:hAnsi="Times New Roman" w:cs="Times New Roman"/>
          <w:i w:val="0"/>
          <w:color w:val="auto"/>
          <w:lang w:eastAsia="sk-SK"/>
        </w:rPr>
        <w:t>SEE</w:t>
      </w:r>
      <w:bookmarkEnd w:id="75"/>
    </w:p>
    <w:p w14:paraId="258B9B35" w14:textId="77777777" w:rsidR="00EA4F55" w:rsidRPr="000578FE" w:rsidRDefault="00EA4F55" w:rsidP="000578FE">
      <w:pPr>
        <w:rPr>
          <w:lang w:eastAsia="sk-SK"/>
        </w:rPr>
      </w:pPr>
    </w:p>
    <w:p w14:paraId="06133616" w14:textId="19055D83" w:rsidR="00902157" w:rsidRPr="000745A8" w:rsidRDefault="00902157" w:rsidP="00902157">
      <w:pPr>
        <w:rPr>
          <w:rFonts w:ascii="Times New Roman" w:hAnsi="Times New Roman" w:cs="Times New Roman"/>
          <w:sz w:val="24"/>
          <w:szCs w:val="24"/>
        </w:rPr>
      </w:pPr>
      <w:r w:rsidRPr="000745A8">
        <w:rPr>
          <w:rFonts w:ascii="Times New Roman" w:hAnsi="Times New Roman" w:cs="Times New Roman"/>
          <w:sz w:val="24"/>
          <w:szCs w:val="24"/>
        </w:rPr>
        <w:t xml:space="preserve">Národné prepočítavacie koeficienty celkovej spotreby energie na rovnakú fyzikálnu jednotku zvolené </w:t>
      </w:r>
      <w:r w:rsidR="009135F1" w:rsidRPr="000745A8">
        <w:rPr>
          <w:rFonts w:ascii="Times New Roman" w:hAnsi="Times New Roman" w:cs="Times New Roman"/>
          <w:sz w:val="24"/>
          <w:szCs w:val="24"/>
        </w:rPr>
        <w:t>v súlade s prílohou IV smernice sú uvedené vo vyhláške MH SR č. 327/2015</w:t>
      </w:r>
      <w:r w:rsidR="0089008D" w:rsidRPr="000745A8">
        <w:rPr>
          <w:rFonts w:ascii="Times New Roman" w:hAnsi="Times New Roman" w:cs="Times New Roman"/>
          <w:sz w:val="24"/>
          <w:szCs w:val="24"/>
        </w:rPr>
        <w:t> Z. z</w:t>
      </w:r>
      <w:r w:rsidRPr="000745A8">
        <w:rPr>
          <w:rFonts w:ascii="Times New Roman" w:hAnsi="Times New Roman" w:cs="Times New Roman"/>
          <w:sz w:val="24"/>
          <w:szCs w:val="24"/>
        </w:rPr>
        <w:t>.</w:t>
      </w:r>
    </w:p>
    <w:p w14:paraId="7DE1366A" w14:textId="77777777" w:rsidR="0089008D" w:rsidRPr="009F2998" w:rsidRDefault="0089008D" w:rsidP="00902157">
      <w:pPr>
        <w:rPr>
          <w:rFonts w:ascii="Times New Roman" w:hAnsi="Times New Roman" w:cs="Times New Roman"/>
        </w:rPr>
      </w:pPr>
    </w:p>
    <w:p w14:paraId="2A0EA111" w14:textId="3EDEEF2E" w:rsidR="00902157" w:rsidRPr="000578FE" w:rsidRDefault="008A67DD" w:rsidP="007157D7">
      <w:pPr>
        <w:pStyle w:val="Nadpis4"/>
        <w:numPr>
          <w:ilvl w:val="3"/>
          <w:numId w:val="16"/>
        </w:numPr>
        <w:rPr>
          <w:rFonts w:ascii="Times New Roman" w:eastAsia="Times New Roman" w:hAnsi="Times New Roman" w:cs="Times New Roman"/>
          <w:i w:val="0"/>
          <w:color w:val="auto"/>
          <w:lang w:eastAsia="sk-SK"/>
        </w:rPr>
      </w:pPr>
      <w:bookmarkStart w:id="76" w:name="_Toc477345371"/>
      <w:r w:rsidRPr="000578FE">
        <w:rPr>
          <w:rFonts w:ascii="Times New Roman" w:eastAsia="Times New Roman" w:hAnsi="Times New Roman" w:cs="Times New Roman"/>
          <w:i w:val="0"/>
          <w:color w:val="auto"/>
          <w:lang w:eastAsia="sk-SK"/>
        </w:rPr>
        <w:lastRenderedPageBreak/>
        <w:t>I</w:t>
      </w:r>
      <w:r w:rsidR="00902157" w:rsidRPr="000578FE">
        <w:rPr>
          <w:rFonts w:ascii="Times New Roman" w:eastAsia="Times New Roman" w:hAnsi="Times New Roman" w:cs="Times New Roman"/>
          <w:i w:val="0"/>
          <w:color w:val="auto"/>
          <w:lang w:eastAsia="sk-SK"/>
        </w:rPr>
        <w:t>nformácie o akýchkoľvek metódach, okrem metódy stanovenej v prílohe V časti 2  písm. e) k SEE, použitých na zohľadnenie životnosti úspor energie</w:t>
      </w:r>
      <w:bookmarkEnd w:id="76"/>
    </w:p>
    <w:p w14:paraId="6EA33729" w14:textId="3BFD1949" w:rsidR="009135F1" w:rsidRDefault="009135F1" w:rsidP="009135F1">
      <w:pPr>
        <w:rPr>
          <w:rFonts w:ascii="Times New Roman" w:hAnsi="Times New Roman" w:cs="Times New Roman"/>
          <w:sz w:val="24"/>
          <w:szCs w:val="24"/>
        </w:rPr>
      </w:pPr>
      <w:r w:rsidRPr="000745A8">
        <w:rPr>
          <w:rFonts w:ascii="Times New Roman" w:hAnsi="Times New Roman" w:cs="Times New Roman"/>
          <w:sz w:val="24"/>
          <w:szCs w:val="24"/>
        </w:rPr>
        <w:t>Životnosti opatrení, ktoré sa používajú pri vyhodnocovaní cieľa vyplývajúceho z čl. 7 smernice sú uvedené vo vyhláške MH SR č. 327/2015</w:t>
      </w:r>
      <w:r w:rsidR="00A914C9" w:rsidRPr="000745A8">
        <w:rPr>
          <w:rFonts w:ascii="Times New Roman" w:hAnsi="Times New Roman" w:cs="Times New Roman"/>
          <w:sz w:val="24"/>
          <w:szCs w:val="24"/>
        </w:rPr>
        <w:t> Z. z</w:t>
      </w:r>
      <w:r w:rsidRPr="000745A8">
        <w:rPr>
          <w:rFonts w:ascii="Times New Roman" w:hAnsi="Times New Roman" w:cs="Times New Roman"/>
          <w:sz w:val="24"/>
          <w:szCs w:val="24"/>
        </w:rPr>
        <w:t xml:space="preserve">. </w:t>
      </w:r>
    </w:p>
    <w:p w14:paraId="77BFDB3C" w14:textId="77777777" w:rsidR="00F77093" w:rsidRPr="000745A8" w:rsidRDefault="00F77093" w:rsidP="009135F1">
      <w:pPr>
        <w:rPr>
          <w:rFonts w:ascii="Times New Roman" w:hAnsi="Times New Roman" w:cs="Times New Roman"/>
          <w:sz w:val="24"/>
          <w:szCs w:val="24"/>
        </w:rPr>
      </w:pPr>
    </w:p>
    <w:p w14:paraId="1BB318AE" w14:textId="77777777" w:rsidR="00902157" w:rsidRPr="000578FE" w:rsidRDefault="00902157" w:rsidP="007157D7">
      <w:pPr>
        <w:pStyle w:val="Nadpis3"/>
        <w:keepNext w:val="0"/>
        <w:keepLines w:val="0"/>
        <w:numPr>
          <w:ilvl w:val="2"/>
          <w:numId w:val="16"/>
        </w:numPr>
        <w:ind w:left="1276" w:hanging="567"/>
        <w:rPr>
          <w:rFonts w:ascii="Times New Roman" w:hAnsi="Times New Roman" w:cs="Times New Roman"/>
          <w:color w:val="auto"/>
        </w:rPr>
      </w:pPr>
      <w:bookmarkStart w:id="77" w:name="_Toc477345372"/>
      <w:r w:rsidRPr="000578FE">
        <w:rPr>
          <w:rFonts w:ascii="Times New Roman" w:hAnsi="Times New Roman" w:cs="Times New Roman"/>
          <w:color w:val="auto"/>
        </w:rPr>
        <w:t>Energetické audity a systémy energetického manažérstva (článok 8 SEE)</w:t>
      </w:r>
      <w:bookmarkEnd w:id="77"/>
    </w:p>
    <w:p w14:paraId="40C68761" w14:textId="77777777" w:rsidR="00902157" w:rsidRPr="009F2998" w:rsidRDefault="00902157" w:rsidP="00902157">
      <w:pPr>
        <w:pStyle w:val="CM4"/>
        <w:spacing w:before="60" w:after="60"/>
        <w:jc w:val="both"/>
        <w:rPr>
          <w:rFonts w:ascii="Times New Roman" w:hAnsi="Times New Roman" w:cs="Times New Roman"/>
          <w:sz w:val="22"/>
          <w:szCs w:val="22"/>
        </w:rPr>
      </w:pPr>
    </w:p>
    <w:p w14:paraId="1B44689C" w14:textId="249AF3B1" w:rsidR="00902157" w:rsidRPr="000745A8" w:rsidRDefault="00902157" w:rsidP="00902157">
      <w:pPr>
        <w:pStyle w:val="CM4"/>
        <w:spacing w:before="60" w:after="60"/>
        <w:jc w:val="both"/>
        <w:rPr>
          <w:rFonts w:ascii="Times New Roman" w:hAnsi="Times New Roman" w:cs="Times New Roman"/>
        </w:rPr>
      </w:pPr>
      <w:r w:rsidRPr="000745A8">
        <w:rPr>
          <w:rFonts w:ascii="Times New Roman" w:hAnsi="Times New Roman" w:cs="Times New Roman"/>
        </w:rPr>
        <w:t>Slovenská republika zaviedla povinné energetické audity ako alternatívne politické opatrenie na plnenie cieľov úspor energie na úrovni KES zákonom č. 476/2008 Z. z. o efektívnosti pri používaní energie od 1. januára 2009. Povinnosť vykonať energetické audity bola stanovená pre priemyselné a poľnohospodárske podniky v závislosti od ich celkovej ročnej spotreby energie najneskôr do 31. 12. 2011 pre subjekty s celkovou ročnou spotrebou energie do 20 000 MWh a do 31.</w:t>
      </w:r>
      <w:r w:rsidR="00044016">
        <w:rPr>
          <w:rFonts w:ascii="Times New Roman" w:hAnsi="Times New Roman" w:cs="Times New Roman"/>
        </w:rPr>
        <w:t xml:space="preserve"> </w:t>
      </w:r>
      <w:r w:rsidRPr="000745A8">
        <w:rPr>
          <w:rFonts w:ascii="Times New Roman" w:hAnsi="Times New Roman" w:cs="Times New Roman"/>
        </w:rPr>
        <w:t>12.</w:t>
      </w:r>
      <w:r w:rsidR="00044016">
        <w:rPr>
          <w:rFonts w:ascii="Times New Roman" w:hAnsi="Times New Roman" w:cs="Times New Roman"/>
        </w:rPr>
        <w:t xml:space="preserve"> </w:t>
      </w:r>
      <w:r w:rsidRPr="000745A8">
        <w:rPr>
          <w:rFonts w:ascii="Times New Roman" w:hAnsi="Times New Roman" w:cs="Times New Roman"/>
        </w:rPr>
        <w:t xml:space="preserve">2013 pre subjekty s celkovou ročnou spotrebou energie viac ako 20 000 MWh s periodicitou opakovania päť rokov. Možnosť náhrady zavedením systémom energetického alebo environmentálneho manažérstva nebola prípustná. </w:t>
      </w:r>
    </w:p>
    <w:p w14:paraId="54F9441E" w14:textId="2B0315B5" w:rsidR="00A914C9" w:rsidRPr="000745A8" w:rsidRDefault="00A914C9" w:rsidP="00933491">
      <w:pPr>
        <w:jc w:val="both"/>
        <w:rPr>
          <w:rFonts w:ascii="Times New Roman" w:hAnsi="Times New Roman" w:cs="Times New Roman"/>
          <w:sz w:val="24"/>
          <w:szCs w:val="24"/>
        </w:rPr>
      </w:pPr>
    </w:p>
    <w:p w14:paraId="23287003" w14:textId="26670869" w:rsidR="00933491" w:rsidRPr="000745A8" w:rsidRDefault="009135F1" w:rsidP="00933491">
      <w:pPr>
        <w:jc w:val="both"/>
        <w:rPr>
          <w:rFonts w:ascii="Times New Roman" w:hAnsi="Times New Roman" w:cs="Times New Roman"/>
          <w:sz w:val="24"/>
          <w:szCs w:val="24"/>
        </w:rPr>
      </w:pPr>
      <w:r w:rsidRPr="000745A8">
        <w:rPr>
          <w:rFonts w:ascii="Times New Roman" w:hAnsi="Times New Roman" w:cs="Times New Roman"/>
          <w:sz w:val="24"/>
          <w:szCs w:val="24"/>
        </w:rPr>
        <w:t>S účinnosťou od 1. decembra 2014 majú povinnosť vykonávať energetický audit veľké podniky (článok 8 smernice 2012/27/EÚ). V zákone o energetickej efektívnosti je veľkým podnikom podnikateľ, ktorý nie je malým podnikateľom ani stredným podnikateľom definovaným podľa osobitného predpisu</w:t>
      </w:r>
      <w:r w:rsidRPr="000745A8">
        <w:rPr>
          <w:rStyle w:val="Odkaznapoznmkupodiarou"/>
          <w:rFonts w:ascii="Times New Roman" w:hAnsi="Times New Roman" w:cs="Times New Roman"/>
          <w:sz w:val="24"/>
          <w:szCs w:val="24"/>
        </w:rPr>
        <w:footnoteReference w:id="28"/>
      </w:r>
      <w:r w:rsidRPr="000745A8">
        <w:rPr>
          <w:rFonts w:ascii="Times New Roman" w:hAnsi="Times New Roman" w:cs="Times New Roman"/>
          <w:sz w:val="24"/>
          <w:szCs w:val="24"/>
        </w:rPr>
        <w:t>. V roku 2012 bolo v SR 614 takto vymedzených veľkých podnikov. Nakoľko sa veľkosť podniku v monitorovacom systéme energetickej efektívnosti doteraz nesledovala, nie je možné vyčísliť počet auditov vykonaných v predchádzajúcom období vo veľkých podnikoch podľa čl. 8 smernice. Podobne je to aj v prípade článku 8 odsek 5 smern</w:t>
      </w:r>
      <w:r w:rsidR="00933491" w:rsidRPr="000745A8">
        <w:rPr>
          <w:rFonts w:ascii="Times New Roman" w:hAnsi="Times New Roman" w:cs="Times New Roman"/>
          <w:sz w:val="24"/>
          <w:szCs w:val="24"/>
        </w:rPr>
        <w:t>ice 2012/27/EÚ.</w:t>
      </w:r>
    </w:p>
    <w:p w14:paraId="3ED77B68" w14:textId="77777777" w:rsidR="00BF3E63" w:rsidRPr="000745A8" w:rsidRDefault="00BF3E63" w:rsidP="00BF3E63">
      <w:pPr>
        <w:jc w:val="both"/>
        <w:rPr>
          <w:rFonts w:ascii="Times New Roman" w:hAnsi="Times New Roman" w:cs="Times New Roman"/>
          <w:sz w:val="24"/>
          <w:szCs w:val="24"/>
        </w:rPr>
      </w:pPr>
      <w:r w:rsidRPr="000745A8">
        <w:rPr>
          <w:rFonts w:ascii="Times New Roman" w:hAnsi="Times New Roman" w:cs="Times New Roman"/>
          <w:sz w:val="24"/>
          <w:szCs w:val="24"/>
        </w:rPr>
        <w:t>Veľký podnik je povinný do 30 dní po vykonaní energetického auditu zaslať prevádzkovateľovi monitorovacieho systému energetickej efektívnosti súhrnný informačný list so základnými údajmi o energetickom audite. Komplexnejšie údaje poskytuje energetický audítor najneskôr do 31. marca nasledujúceho kalendárneho roku. Údaje sa využívajú na monitorovanie potenciálu úspor energie v podnikoch.</w:t>
      </w:r>
    </w:p>
    <w:p w14:paraId="6BA60A8A" w14:textId="77777777" w:rsidR="00BF3E63" w:rsidRPr="000745A8" w:rsidRDefault="00BF3E63" w:rsidP="00BF3E63">
      <w:pPr>
        <w:jc w:val="both"/>
        <w:rPr>
          <w:rFonts w:ascii="Times New Roman" w:hAnsi="Times New Roman" w:cs="Times New Roman"/>
          <w:sz w:val="24"/>
          <w:szCs w:val="24"/>
        </w:rPr>
      </w:pPr>
      <w:r w:rsidRPr="000745A8">
        <w:rPr>
          <w:rFonts w:ascii="Times New Roman" w:hAnsi="Times New Roman" w:cs="Times New Roman"/>
          <w:sz w:val="24"/>
          <w:szCs w:val="24"/>
        </w:rPr>
        <w:t>Na základe praktických skúsenosti z minulosti odporúčame na úrovni EÚ prehodnotiť povinnosť energetických auditov podľa typu podniku,  na povinnosť podľa množstva energie, ktoré podnik využíva alebo podľa energetickej náročnosti podniku.</w:t>
      </w:r>
    </w:p>
    <w:p w14:paraId="5BEF2E17" w14:textId="77777777" w:rsidR="00BF3E63" w:rsidRPr="000745A8" w:rsidRDefault="00BF3E63" w:rsidP="00BF3E63">
      <w:pPr>
        <w:jc w:val="both"/>
        <w:rPr>
          <w:rFonts w:ascii="Times New Roman" w:hAnsi="Times New Roman" w:cs="Times New Roman"/>
          <w:sz w:val="24"/>
          <w:szCs w:val="24"/>
        </w:rPr>
      </w:pPr>
      <w:r w:rsidRPr="000745A8">
        <w:rPr>
          <w:rFonts w:ascii="Times New Roman" w:hAnsi="Times New Roman" w:cs="Times New Roman"/>
          <w:sz w:val="24"/>
          <w:szCs w:val="24"/>
        </w:rPr>
        <w:t>V prípade alternatívnej možnosti zavedenia certifikovaného systému energetického alebo environmentálneho manažérstva je z dôvodu sledovania realizovaných opatrení na úsporu energie vhodné ustanoviť povinnosť poskytovať s periodicitou aspoň 4 roky údaje o realizovaných opatreniach.</w:t>
      </w:r>
    </w:p>
    <w:p w14:paraId="74EFED58" w14:textId="77777777" w:rsidR="00BF3E63" w:rsidRDefault="00BF3E63">
      <w:pPr>
        <w:rPr>
          <w:rFonts w:ascii="Times New Roman" w:hAnsi="Times New Roman" w:cs="Times New Roman"/>
          <w:sz w:val="24"/>
          <w:szCs w:val="24"/>
        </w:rPr>
      </w:pPr>
    </w:p>
    <w:p w14:paraId="01C8202C" w14:textId="77777777" w:rsidR="00BF3E63" w:rsidRDefault="00BF3E63">
      <w:pPr>
        <w:rPr>
          <w:rFonts w:ascii="Times New Roman" w:hAnsi="Times New Roman" w:cs="Times New Roman"/>
          <w:sz w:val="24"/>
          <w:szCs w:val="24"/>
        </w:rPr>
      </w:pPr>
    </w:p>
    <w:p w14:paraId="616EEA81" w14:textId="3A19152D" w:rsidR="00933491" w:rsidRPr="000578FE" w:rsidRDefault="00BF3E63">
      <w:pPr>
        <w:rPr>
          <w:rFonts w:ascii="Times New Roman" w:hAnsi="Times New Roman" w:cs="Times New Roman"/>
          <w:sz w:val="24"/>
          <w:szCs w:val="24"/>
        </w:rPr>
      </w:pPr>
      <w:r w:rsidRPr="000578FE">
        <w:rPr>
          <w:rFonts w:ascii="Times New Roman" w:hAnsi="Times New Roman" w:cs="Times New Roman"/>
          <w:sz w:val="24"/>
          <w:szCs w:val="24"/>
        </w:rPr>
        <w:lastRenderedPageBreak/>
        <w:t xml:space="preserve">Tabuľka č. 15: Prehľad o vykonaných energetických auditoch </w:t>
      </w:r>
    </w:p>
    <w:tbl>
      <w:tblPr>
        <w:tblStyle w:val="Mriekatabuky"/>
        <w:tblW w:w="5000" w:type="pct"/>
        <w:tblLook w:val="04A0" w:firstRow="1" w:lastRow="0" w:firstColumn="1" w:lastColumn="0" w:noHBand="0" w:noVBand="1"/>
      </w:tblPr>
      <w:tblGrid>
        <w:gridCol w:w="3067"/>
        <w:gridCol w:w="1776"/>
        <w:gridCol w:w="4219"/>
      </w:tblGrid>
      <w:tr w:rsidR="00642064" w:rsidRPr="009F2998" w14:paraId="69300EB8" w14:textId="77777777" w:rsidTr="006A71E3">
        <w:trPr>
          <w:cantSplit/>
        </w:trPr>
        <w:tc>
          <w:tcPr>
            <w:tcW w:w="5000" w:type="pct"/>
            <w:gridSpan w:val="3"/>
            <w:shd w:val="pct10" w:color="auto" w:fill="auto"/>
          </w:tcPr>
          <w:p w14:paraId="72FE86F0" w14:textId="59BA76DD" w:rsidR="00642064" w:rsidRPr="000578FE" w:rsidRDefault="00642064" w:rsidP="002E3164">
            <w:pPr>
              <w:jc w:val="center"/>
              <w:rPr>
                <w:rFonts w:ascii="Times New Roman" w:hAnsi="Times New Roman" w:cs="Times New Roman"/>
                <w:b/>
                <w:i/>
              </w:rPr>
            </w:pPr>
            <w:r w:rsidRPr="000578FE">
              <w:rPr>
                <w:rFonts w:ascii="Times New Roman" w:hAnsi="Times New Roman" w:cs="Times New Roman"/>
                <w:b/>
                <w:i/>
              </w:rPr>
              <w:t>Energetické audity vykonané v období rokov 2011-2013</w:t>
            </w:r>
          </w:p>
          <w:p w14:paraId="298B89BE" w14:textId="77777777" w:rsidR="00642064" w:rsidRPr="000578FE" w:rsidRDefault="00642064" w:rsidP="002E3164">
            <w:pPr>
              <w:jc w:val="center"/>
              <w:rPr>
                <w:rFonts w:ascii="Times New Roman" w:hAnsi="Times New Roman" w:cs="Times New Roman"/>
                <w:b/>
                <w:i/>
              </w:rPr>
            </w:pPr>
          </w:p>
        </w:tc>
      </w:tr>
      <w:tr w:rsidR="00642064" w:rsidRPr="009F2998" w14:paraId="53ADF20D" w14:textId="77777777" w:rsidTr="006A71E3">
        <w:trPr>
          <w:cantSplit/>
        </w:trPr>
        <w:tc>
          <w:tcPr>
            <w:tcW w:w="1692" w:type="pct"/>
          </w:tcPr>
          <w:p w14:paraId="73B19ABB" w14:textId="77777777" w:rsidR="00642064" w:rsidRPr="000578FE" w:rsidRDefault="00642064" w:rsidP="002E3164">
            <w:pPr>
              <w:jc w:val="both"/>
              <w:rPr>
                <w:rFonts w:ascii="Times New Roman" w:hAnsi="Times New Roman" w:cs="Times New Roman"/>
              </w:rPr>
            </w:pPr>
            <w:r w:rsidRPr="000578FE">
              <w:rPr>
                <w:rFonts w:ascii="Times New Roman" w:hAnsi="Times New Roman" w:cs="Times New Roman"/>
              </w:rPr>
              <w:t>b) počet energetických auditov vykonaných v období 2011-2013</w:t>
            </w:r>
          </w:p>
        </w:tc>
        <w:tc>
          <w:tcPr>
            <w:tcW w:w="980" w:type="pct"/>
          </w:tcPr>
          <w:p w14:paraId="7F89FBBB" w14:textId="77777777" w:rsidR="00642064" w:rsidRPr="000578FE" w:rsidRDefault="00642064" w:rsidP="002E3164">
            <w:pPr>
              <w:jc w:val="both"/>
              <w:rPr>
                <w:rFonts w:ascii="Times New Roman" w:hAnsi="Times New Roman" w:cs="Times New Roman"/>
              </w:rPr>
            </w:pPr>
            <w:r w:rsidRPr="000578FE">
              <w:rPr>
                <w:rFonts w:ascii="Times New Roman" w:hAnsi="Times New Roman" w:cs="Times New Roman"/>
              </w:rPr>
              <w:t xml:space="preserve">210 </w:t>
            </w:r>
          </w:p>
        </w:tc>
        <w:tc>
          <w:tcPr>
            <w:tcW w:w="2328" w:type="pct"/>
          </w:tcPr>
          <w:p w14:paraId="6B8B2240" w14:textId="77777777" w:rsidR="00642064" w:rsidRPr="000578FE" w:rsidRDefault="00642064" w:rsidP="002E3164">
            <w:pPr>
              <w:jc w:val="both"/>
              <w:rPr>
                <w:rFonts w:ascii="Times New Roman" w:hAnsi="Times New Roman" w:cs="Times New Roman"/>
              </w:rPr>
            </w:pPr>
            <w:r w:rsidRPr="000578FE">
              <w:rPr>
                <w:rFonts w:ascii="Times New Roman" w:hAnsi="Times New Roman" w:cs="Times New Roman"/>
              </w:rPr>
              <w:t xml:space="preserve">Podľa § 8 zákona č. 476/2008 Z. z. </w:t>
            </w:r>
          </w:p>
        </w:tc>
      </w:tr>
      <w:tr w:rsidR="00642064" w:rsidRPr="009F2998" w14:paraId="6E4F258E" w14:textId="77777777" w:rsidTr="006A71E3">
        <w:trPr>
          <w:cantSplit/>
        </w:trPr>
        <w:tc>
          <w:tcPr>
            <w:tcW w:w="1692" w:type="pct"/>
          </w:tcPr>
          <w:p w14:paraId="532BBFDA" w14:textId="77777777" w:rsidR="00642064" w:rsidRPr="000578FE" w:rsidRDefault="00642064" w:rsidP="002E3164">
            <w:pPr>
              <w:jc w:val="both"/>
              <w:rPr>
                <w:rFonts w:ascii="Times New Roman" w:hAnsi="Times New Roman" w:cs="Times New Roman"/>
              </w:rPr>
            </w:pPr>
            <w:r w:rsidRPr="000578FE">
              <w:rPr>
                <w:rFonts w:ascii="Times New Roman" w:hAnsi="Times New Roman" w:cs="Times New Roman"/>
              </w:rPr>
              <w:t>b) počet energetických auditov vykonaných vo veľkých podnikoch v období 2011-2013</w:t>
            </w:r>
          </w:p>
        </w:tc>
        <w:tc>
          <w:tcPr>
            <w:tcW w:w="980" w:type="pct"/>
          </w:tcPr>
          <w:p w14:paraId="506BF3F2" w14:textId="77777777" w:rsidR="00642064" w:rsidRPr="000578FE" w:rsidRDefault="00642064" w:rsidP="002E3164">
            <w:pPr>
              <w:jc w:val="both"/>
              <w:rPr>
                <w:rFonts w:ascii="Times New Roman" w:hAnsi="Times New Roman" w:cs="Times New Roman"/>
              </w:rPr>
            </w:pPr>
            <w:r w:rsidRPr="000578FE">
              <w:rPr>
                <w:rFonts w:ascii="Times New Roman" w:hAnsi="Times New Roman" w:cs="Times New Roman"/>
              </w:rPr>
              <w:t>-</w:t>
            </w:r>
          </w:p>
        </w:tc>
        <w:tc>
          <w:tcPr>
            <w:tcW w:w="2328" w:type="pct"/>
          </w:tcPr>
          <w:p w14:paraId="587A7E61" w14:textId="12BB4EFC" w:rsidR="00642064" w:rsidRPr="000578FE" w:rsidRDefault="00642064" w:rsidP="002E3164">
            <w:pPr>
              <w:jc w:val="both"/>
              <w:rPr>
                <w:rFonts w:ascii="Times New Roman" w:hAnsi="Times New Roman" w:cs="Times New Roman"/>
              </w:rPr>
            </w:pPr>
            <w:r w:rsidRPr="000578FE">
              <w:rPr>
                <w:rFonts w:ascii="Times New Roman" w:hAnsi="Times New Roman" w:cs="Times New Roman"/>
              </w:rPr>
              <w:t xml:space="preserve">Nie je možné vyčleniť z celkového počtu, keďže údaje poskytované prevádzkovateľovi monitorovacieho systému </w:t>
            </w:r>
            <w:r w:rsidR="009927E4">
              <w:rPr>
                <w:rFonts w:ascii="Times New Roman" w:eastAsia="Times New Roman" w:hAnsi="Times New Roman" w:cs="Times New Roman"/>
                <w:lang w:eastAsia="sk-SK"/>
              </w:rPr>
              <w:t>energetickej efektívnosti</w:t>
            </w:r>
            <w:r w:rsidR="009927E4" w:rsidRPr="000578FE" w:rsidDel="009927E4">
              <w:rPr>
                <w:rFonts w:ascii="Times New Roman" w:hAnsi="Times New Roman" w:cs="Times New Roman"/>
              </w:rPr>
              <w:t xml:space="preserve"> </w:t>
            </w:r>
            <w:r w:rsidRPr="000578FE">
              <w:rPr>
                <w:rFonts w:ascii="Times New Roman" w:hAnsi="Times New Roman" w:cs="Times New Roman"/>
              </w:rPr>
              <w:t xml:space="preserve">obsahujú informácie o opatreniach </w:t>
            </w:r>
            <w:r w:rsidR="009927E4">
              <w:rPr>
                <w:rFonts w:ascii="Times New Roman" w:eastAsia="Times New Roman" w:hAnsi="Times New Roman" w:cs="Times New Roman"/>
                <w:lang w:eastAsia="sk-SK"/>
              </w:rPr>
              <w:t>energetickej efektívnosti</w:t>
            </w:r>
            <w:r w:rsidRPr="000578FE">
              <w:rPr>
                <w:rFonts w:ascii="Times New Roman" w:hAnsi="Times New Roman" w:cs="Times New Roman"/>
              </w:rPr>
              <w:t>, ale nie o type podniku</w:t>
            </w:r>
          </w:p>
        </w:tc>
      </w:tr>
      <w:tr w:rsidR="00642064" w:rsidRPr="009F2998" w14:paraId="7B702B82" w14:textId="77777777" w:rsidTr="006A71E3">
        <w:trPr>
          <w:cantSplit/>
        </w:trPr>
        <w:tc>
          <w:tcPr>
            <w:tcW w:w="1692" w:type="pct"/>
          </w:tcPr>
          <w:p w14:paraId="6D609C03" w14:textId="77777777" w:rsidR="00642064" w:rsidRPr="000578FE" w:rsidRDefault="00642064" w:rsidP="002E3164">
            <w:pPr>
              <w:jc w:val="both"/>
              <w:rPr>
                <w:rFonts w:ascii="Times New Roman" w:hAnsi="Times New Roman" w:cs="Times New Roman"/>
              </w:rPr>
            </w:pPr>
            <w:r w:rsidRPr="000578FE">
              <w:rPr>
                <w:rFonts w:ascii="Times New Roman" w:hAnsi="Times New Roman" w:cs="Times New Roman"/>
              </w:rPr>
              <w:t>b) počet energetických auditov vykonaných vo veľkých podnikoch v období 2014-2016</w:t>
            </w:r>
          </w:p>
        </w:tc>
        <w:tc>
          <w:tcPr>
            <w:tcW w:w="980" w:type="pct"/>
            <w:shd w:val="clear" w:color="auto" w:fill="auto"/>
          </w:tcPr>
          <w:p w14:paraId="2E4E20CB" w14:textId="2954CF8C" w:rsidR="00642064" w:rsidRPr="000578FE" w:rsidRDefault="000749D6" w:rsidP="004B5768">
            <w:pPr>
              <w:jc w:val="both"/>
              <w:rPr>
                <w:rFonts w:ascii="Times New Roman" w:hAnsi="Times New Roman" w:cs="Times New Roman"/>
              </w:rPr>
            </w:pPr>
            <w:r w:rsidRPr="000578FE">
              <w:rPr>
                <w:rFonts w:ascii="Times New Roman" w:hAnsi="Times New Roman" w:cs="Times New Roman"/>
              </w:rPr>
              <w:t>6</w:t>
            </w:r>
            <w:r w:rsidR="002122EA" w:rsidRPr="000578FE">
              <w:rPr>
                <w:rFonts w:ascii="Times New Roman" w:hAnsi="Times New Roman" w:cs="Times New Roman"/>
              </w:rPr>
              <w:t>11</w:t>
            </w:r>
            <w:bookmarkStart w:id="78" w:name="_Ref473642699"/>
            <w:r w:rsidR="004A0796" w:rsidRPr="000578FE">
              <w:rPr>
                <w:rStyle w:val="Odkaznapoznmkupodiarou"/>
                <w:rFonts w:ascii="Times New Roman" w:hAnsi="Times New Roman" w:cs="Times New Roman"/>
              </w:rPr>
              <w:footnoteReference w:id="29"/>
            </w:r>
            <w:bookmarkEnd w:id="78"/>
          </w:p>
        </w:tc>
        <w:tc>
          <w:tcPr>
            <w:tcW w:w="2328" w:type="pct"/>
          </w:tcPr>
          <w:p w14:paraId="064CCF69" w14:textId="77777777" w:rsidR="00642064" w:rsidRPr="000578FE" w:rsidRDefault="00642064" w:rsidP="002E3164">
            <w:pPr>
              <w:jc w:val="both"/>
              <w:rPr>
                <w:rFonts w:ascii="Times New Roman" w:hAnsi="Times New Roman" w:cs="Times New Roman"/>
              </w:rPr>
            </w:pPr>
            <w:r w:rsidRPr="000578FE">
              <w:rPr>
                <w:rFonts w:ascii="Times New Roman" w:hAnsi="Times New Roman" w:cs="Times New Roman"/>
              </w:rPr>
              <w:t>2014: 68</w:t>
            </w:r>
          </w:p>
          <w:p w14:paraId="4BBDA372" w14:textId="77777777" w:rsidR="00642064" w:rsidRPr="000578FE" w:rsidRDefault="00642064" w:rsidP="002E3164">
            <w:pPr>
              <w:jc w:val="both"/>
              <w:rPr>
                <w:rFonts w:ascii="Times New Roman" w:hAnsi="Times New Roman" w:cs="Times New Roman"/>
              </w:rPr>
            </w:pPr>
            <w:r w:rsidRPr="000578FE">
              <w:rPr>
                <w:rFonts w:ascii="Times New Roman" w:hAnsi="Times New Roman" w:cs="Times New Roman"/>
              </w:rPr>
              <w:t>2015:448</w:t>
            </w:r>
          </w:p>
          <w:p w14:paraId="45341E03" w14:textId="1E86E7E5" w:rsidR="00642064" w:rsidRPr="000578FE" w:rsidRDefault="00642064">
            <w:pPr>
              <w:jc w:val="both"/>
              <w:rPr>
                <w:rFonts w:ascii="Times New Roman" w:hAnsi="Times New Roman" w:cs="Times New Roman"/>
              </w:rPr>
            </w:pPr>
            <w:r w:rsidRPr="000578FE">
              <w:rPr>
                <w:rFonts w:ascii="Times New Roman" w:hAnsi="Times New Roman" w:cs="Times New Roman"/>
              </w:rPr>
              <w:t xml:space="preserve">2016: </w:t>
            </w:r>
            <w:r w:rsidR="002122EA" w:rsidRPr="000578FE">
              <w:rPr>
                <w:rFonts w:ascii="Times New Roman" w:hAnsi="Times New Roman" w:cs="Times New Roman"/>
              </w:rPr>
              <w:t>95</w:t>
            </w:r>
            <w:r w:rsidR="006A71E3" w:rsidRPr="000578FE">
              <w:rPr>
                <w:rFonts w:ascii="Times New Roman" w:hAnsi="Times New Roman" w:cs="Times New Roman"/>
              </w:rPr>
              <w:fldChar w:fldCharType="begin"/>
            </w:r>
            <w:r w:rsidR="006A71E3" w:rsidRPr="000578FE">
              <w:rPr>
                <w:rFonts w:ascii="Times New Roman" w:hAnsi="Times New Roman" w:cs="Times New Roman"/>
              </w:rPr>
              <w:instrText xml:space="preserve"> NOTEREF _Ref473642699 \f \h </w:instrText>
            </w:r>
            <w:r w:rsidR="00980AF7" w:rsidRPr="000578FE">
              <w:rPr>
                <w:rFonts w:ascii="Times New Roman" w:hAnsi="Times New Roman" w:cs="Times New Roman"/>
              </w:rPr>
              <w:instrText xml:space="preserve"> \* MERGEFORMAT </w:instrText>
            </w:r>
            <w:r w:rsidR="006A71E3" w:rsidRPr="000578FE">
              <w:rPr>
                <w:rFonts w:ascii="Times New Roman" w:hAnsi="Times New Roman" w:cs="Times New Roman"/>
              </w:rPr>
            </w:r>
            <w:r w:rsidR="006A71E3" w:rsidRPr="000578FE">
              <w:rPr>
                <w:rFonts w:ascii="Times New Roman" w:hAnsi="Times New Roman" w:cs="Times New Roman"/>
              </w:rPr>
              <w:fldChar w:fldCharType="separate"/>
            </w:r>
            <w:r w:rsidR="007C62A8" w:rsidRPr="007C62A8">
              <w:rPr>
                <w:rStyle w:val="Odkaznapoznmkupodiarou"/>
              </w:rPr>
              <w:t>29</w:t>
            </w:r>
            <w:r w:rsidR="006A71E3" w:rsidRPr="000578FE">
              <w:rPr>
                <w:rFonts w:ascii="Times New Roman" w:hAnsi="Times New Roman" w:cs="Times New Roman"/>
              </w:rPr>
              <w:fldChar w:fldCharType="end"/>
            </w:r>
          </w:p>
        </w:tc>
      </w:tr>
      <w:tr w:rsidR="00642064" w:rsidRPr="009F2998" w14:paraId="0E3EC55E" w14:textId="77777777" w:rsidTr="006A71E3">
        <w:trPr>
          <w:cantSplit/>
        </w:trPr>
        <w:tc>
          <w:tcPr>
            <w:tcW w:w="1692" w:type="pct"/>
          </w:tcPr>
          <w:p w14:paraId="194212F0" w14:textId="77777777" w:rsidR="00642064" w:rsidRPr="000578FE" w:rsidRDefault="00642064" w:rsidP="002E3164">
            <w:pPr>
              <w:pStyle w:val="CM4"/>
              <w:spacing w:before="60" w:after="60"/>
              <w:rPr>
                <w:rFonts w:ascii="Times New Roman" w:hAnsi="Times New Roman" w:cs="Times New Roman"/>
                <w:sz w:val="22"/>
                <w:szCs w:val="22"/>
              </w:rPr>
            </w:pPr>
            <w:r w:rsidRPr="000578FE">
              <w:rPr>
                <w:rFonts w:ascii="Times New Roman" w:hAnsi="Times New Roman" w:cs="Times New Roman"/>
                <w:sz w:val="22"/>
                <w:szCs w:val="22"/>
              </w:rPr>
              <w:t xml:space="preserve">c.1) počet veľkých podnikov na území SR, </w:t>
            </w:r>
          </w:p>
        </w:tc>
        <w:tc>
          <w:tcPr>
            <w:tcW w:w="980" w:type="pct"/>
          </w:tcPr>
          <w:p w14:paraId="16DD4CA5" w14:textId="77777777" w:rsidR="00642064" w:rsidRPr="000578FE" w:rsidRDefault="00642064" w:rsidP="002E3164">
            <w:pPr>
              <w:jc w:val="both"/>
              <w:rPr>
                <w:rFonts w:ascii="Times New Roman" w:hAnsi="Times New Roman" w:cs="Times New Roman"/>
              </w:rPr>
            </w:pPr>
            <w:r w:rsidRPr="000578FE">
              <w:rPr>
                <w:rFonts w:ascii="Times New Roman" w:hAnsi="Times New Roman" w:cs="Times New Roman"/>
              </w:rPr>
              <w:t>614 (2012)</w:t>
            </w:r>
          </w:p>
        </w:tc>
        <w:tc>
          <w:tcPr>
            <w:tcW w:w="2328" w:type="pct"/>
          </w:tcPr>
          <w:p w14:paraId="42D2060C" w14:textId="77777777" w:rsidR="00642064" w:rsidRPr="000578FE" w:rsidRDefault="00642064" w:rsidP="002E3164">
            <w:pPr>
              <w:jc w:val="both"/>
              <w:rPr>
                <w:rFonts w:ascii="Times New Roman" w:hAnsi="Times New Roman" w:cs="Times New Roman"/>
              </w:rPr>
            </w:pPr>
            <w:r w:rsidRPr="000578FE">
              <w:rPr>
                <w:rFonts w:ascii="Times New Roman" w:hAnsi="Times New Roman" w:cs="Times New Roman"/>
              </w:rPr>
              <w:t>Podľa čl. 8 smernice 2012/27/EÚ</w:t>
            </w:r>
          </w:p>
        </w:tc>
      </w:tr>
      <w:tr w:rsidR="00642064" w:rsidRPr="009F2998" w14:paraId="50797E46" w14:textId="77777777" w:rsidTr="006A71E3">
        <w:trPr>
          <w:cantSplit/>
        </w:trPr>
        <w:tc>
          <w:tcPr>
            <w:tcW w:w="1692" w:type="pct"/>
            <w:tcBorders>
              <w:bottom w:val="single" w:sz="6" w:space="0" w:color="auto"/>
            </w:tcBorders>
          </w:tcPr>
          <w:p w14:paraId="192653CF" w14:textId="77777777" w:rsidR="00642064" w:rsidRPr="000578FE" w:rsidRDefault="00642064" w:rsidP="002E3164">
            <w:pPr>
              <w:pStyle w:val="CM4"/>
              <w:spacing w:before="60" w:after="60"/>
              <w:rPr>
                <w:rFonts w:ascii="Times New Roman" w:hAnsi="Times New Roman" w:cs="Times New Roman"/>
                <w:sz w:val="22"/>
                <w:szCs w:val="22"/>
              </w:rPr>
            </w:pPr>
            <w:r w:rsidRPr="000578FE">
              <w:rPr>
                <w:rFonts w:ascii="Times New Roman" w:hAnsi="Times New Roman" w:cs="Times New Roman"/>
                <w:sz w:val="22"/>
                <w:szCs w:val="22"/>
              </w:rPr>
              <w:t>c.2) počet podnikov, na ktoré sa vzťahuje článok 8 odsek 5 smernice 2012/27/EÚ.</w:t>
            </w:r>
          </w:p>
        </w:tc>
        <w:tc>
          <w:tcPr>
            <w:tcW w:w="980" w:type="pct"/>
            <w:tcBorders>
              <w:bottom w:val="single" w:sz="6" w:space="0" w:color="auto"/>
            </w:tcBorders>
          </w:tcPr>
          <w:p w14:paraId="6E69E990" w14:textId="77777777" w:rsidR="00642064" w:rsidRPr="000578FE" w:rsidRDefault="00642064" w:rsidP="002E3164">
            <w:pPr>
              <w:jc w:val="both"/>
              <w:rPr>
                <w:rFonts w:ascii="Times New Roman" w:hAnsi="Times New Roman" w:cs="Times New Roman"/>
              </w:rPr>
            </w:pPr>
            <w:r w:rsidRPr="000578FE">
              <w:rPr>
                <w:rFonts w:ascii="Times New Roman" w:hAnsi="Times New Roman" w:cs="Times New Roman"/>
              </w:rPr>
              <w:t>-</w:t>
            </w:r>
          </w:p>
        </w:tc>
        <w:tc>
          <w:tcPr>
            <w:tcW w:w="2328" w:type="pct"/>
            <w:tcBorders>
              <w:bottom w:val="single" w:sz="6" w:space="0" w:color="auto"/>
            </w:tcBorders>
          </w:tcPr>
          <w:p w14:paraId="70323072" w14:textId="77777777" w:rsidR="00642064" w:rsidRPr="000578FE" w:rsidRDefault="00642064" w:rsidP="002E3164">
            <w:pPr>
              <w:jc w:val="both"/>
              <w:rPr>
                <w:rFonts w:ascii="Times New Roman" w:hAnsi="Times New Roman" w:cs="Times New Roman"/>
              </w:rPr>
            </w:pPr>
            <w:r w:rsidRPr="000578FE">
              <w:rPr>
                <w:rFonts w:ascii="Times New Roman" w:hAnsi="Times New Roman" w:cs="Times New Roman"/>
              </w:rPr>
              <w:t>Nie je zavedený relevantný register na sledovanie typu podnikov v zmysle definície „NIE-MSP“.</w:t>
            </w:r>
          </w:p>
        </w:tc>
      </w:tr>
      <w:tr w:rsidR="00933491" w:rsidRPr="009F2998" w14:paraId="6CEAB78C" w14:textId="77777777" w:rsidTr="006A71E3">
        <w:trPr>
          <w:cantSplit/>
        </w:trPr>
        <w:tc>
          <w:tcPr>
            <w:tcW w:w="1692" w:type="pct"/>
            <w:tcBorders>
              <w:top w:val="single" w:sz="6" w:space="0" w:color="auto"/>
              <w:left w:val="nil"/>
              <w:bottom w:val="nil"/>
              <w:right w:val="nil"/>
            </w:tcBorders>
            <w:shd w:val="clear" w:color="auto" w:fill="auto"/>
          </w:tcPr>
          <w:p w14:paraId="45986B96" w14:textId="77777777" w:rsidR="00933491" w:rsidRPr="000578FE" w:rsidRDefault="00933491" w:rsidP="002E3164">
            <w:pPr>
              <w:pStyle w:val="CM4"/>
              <w:spacing w:before="60" w:after="60"/>
              <w:rPr>
                <w:rFonts w:ascii="Times New Roman" w:hAnsi="Times New Roman" w:cs="Times New Roman"/>
                <w:i/>
                <w:sz w:val="22"/>
                <w:szCs w:val="22"/>
              </w:rPr>
            </w:pPr>
          </w:p>
        </w:tc>
        <w:tc>
          <w:tcPr>
            <w:tcW w:w="980" w:type="pct"/>
            <w:tcBorders>
              <w:top w:val="single" w:sz="6" w:space="0" w:color="auto"/>
              <w:left w:val="nil"/>
              <w:bottom w:val="nil"/>
              <w:right w:val="nil"/>
            </w:tcBorders>
            <w:shd w:val="clear" w:color="auto" w:fill="auto"/>
          </w:tcPr>
          <w:p w14:paraId="036430A3" w14:textId="77777777" w:rsidR="00933491" w:rsidRPr="000578FE" w:rsidRDefault="00933491" w:rsidP="002E3164">
            <w:pPr>
              <w:jc w:val="both"/>
              <w:rPr>
                <w:rFonts w:ascii="Times New Roman" w:hAnsi="Times New Roman" w:cs="Times New Roman"/>
                <w:i/>
              </w:rPr>
            </w:pPr>
          </w:p>
        </w:tc>
        <w:tc>
          <w:tcPr>
            <w:tcW w:w="2328" w:type="pct"/>
            <w:tcBorders>
              <w:top w:val="single" w:sz="6" w:space="0" w:color="auto"/>
              <w:left w:val="nil"/>
              <w:bottom w:val="nil"/>
              <w:right w:val="nil"/>
            </w:tcBorders>
            <w:shd w:val="clear" w:color="auto" w:fill="auto"/>
          </w:tcPr>
          <w:p w14:paraId="35AA9A35" w14:textId="77777777" w:rsidR="00933491" w:rsidRPr="000578FE" w:rsidRDefault="00933491" w:rsidP="002E3164">
            <w:pPr>
              <w:jc w:val="both"/>
              <w:rPr>
                <w:rFonts w:ascii="Times New Roman" w:hAnsi="Times New Roman" w:cs="Times New Roman"/>
                <w:i/>
              </w:rPr>
            </w:pPr>
          </w:p>
        </w:tc>
      </w:tr>
    </w:tbl>
    <w:p w14:paraId="20B9F1F0" w14:textId="77777777" w:rsidR="00642064" w:rsidRPr="009F2998" w:rsidRDefault="00642064" w:rsidP="00642064">
      <w:pPr>
        <w:rPr>
          <w:rFonts w:ascii="Times New Roman" w:hAnsi="Times New Roman" w:cs="Times New Roman"/>
        </w:rPr>
      </w:pPr>
    </w:p>
    <w:p w14:paraId="7D04C936" w14:textId="77777777" w:rsidR="00902157" w:rsidRPr="000578FE" w:rsidRDefault="00902157" w:rsidP="007157D7">
      <w:pPr>
        <w:pStyle w:val="Nadpis3"/>
        <w:keepNext w:val="0"/>
        <w:keepLines w:val="0"/>
        <w:numPr>
          <w:ilvl w:val="2"/>
          <w:numId w:val="16"/>
        </w:numPr>
        <w:ind w:left="1276" w:hanging="567"/>
        <w:rPr>
          <w:rFonts w:ascii="Times New Roman" w:hAnsi="Times New Roman" w:cs="Times New Roman"/>
          <w:color w:val="auto"/>
        </w:rPr>
      </w:pPr>
      <w:bookmarkStart w:id="79" w:name="_Toc477345373"/>
      <w:r w:rsidRPr="000578FE">
        <w:rPr>
          <w:rFonts w:ascii="Times New Roman" w:hAnsi="Times New Roman" w:cs="Times New Roman"/>
          <w:color w:val="auto"/>
        </w:rPr>
        <w:t>Meranie a vyúčtovanie (články 9 až 11 SEE)</w:t>
      </w:r>
      <w:bookmarkEnd w:id="79"/>
    </w:p>
    <w:p w14:paraId="4BDE6D91" w14:textId="77777777" w:rsidR="003932FA" w:rsidRPr="009F2998" w:rsidRDefault="003932FA" w:rsidP="00B56904">
      <w:pPr>
        <w:rPr>
          <w:rFonts w:ascii="Times New Roman" w:hAnsi="Times New Roman" w:cs="Times New Roman"/>
          <w:highlight w:val="yellow"/>
        </w:rPr>
      </w:pPr>
    </w:p>
    <w:p w14:paraId="05E7C5C1" w14:textId="6C67B1CF" w:rsidR="00B56904" w:rsidRPr="000745A8" w:rsidRDefault="005D5525" w:rsidP="008C48EE">
      <w:pPr>
        <w:jc w:val="both"/>
        <w:rPr>
          <w:rFonts w:ascii="Times New Roman" w:hAnsi="Times New Roman" w:cs="Times New Roman"/>
          <w:sz w:val="24"/>
          <w:szCs w:val="24"/>
        </w:rPr>
      </w:pPr>
      <w:r w:rsidRPr="000745A8">
        <w:rPr>
          <w:rFonts w:ascii="Times New Roman" w:hAnsi="Times New Roman" w:cs="Times New Roman"/>
          <w:sz w:val="24"/>
          <w:szCs w:val="24"/>
        </w:rPr>
        <w:t xml:space="preserve">Požiadavky na meranie a vyúčtovanie jednotlivých foriem energie sú ustanovené v zákone č. 251/2012 Z. z. o energetike a v zákone č. 657/2004 Z. z. o tepelnej energetike. </w:t>
      </w:r>
      <w:r w:rsidR="003932FA" w:rsidRPr="000745A8">
        <w:rPr>
          <w:rFonts w:ascii="Times New Roman" w:hAnsi="Times New Roman" w:cs="Times New Roman"/>
          <w:sz w:val="24"/>
          <w:szCs w:val="24"/>
        </w:rPr>
        <w:t>Podmienky regulácie pre elektroenergetiku, plynárenstvo a tepelnú energetiku ustanovuje zákon č. 250/2012 Z. z. o regulácii v sieťových odvetviach.</w:t>
      </w:r>
    </w:p>
    <w:p w14:paraId="74339660" w14:textId="77777777" w:rsidR="00B50D0E" w:rsidRPr="009F2998" w:rsidRDefault="00B50D0E" w:rsidP="008C48EE">
      <w:pPr>
        <w:jc w:val="both"/>
        <w:rPr>
          <w:rFonts w:ascii="Times New Roman" w:hAnsi="Times New Roman" w:cs="Times New Roman"/>
        </w:rPr>
      </w:pPr>
    </w:p>
    <w:p w14:paraId="3BA8286F" w14:textId="77777777" w:rsidR="00902157" w:rsidRPr="000578FE" w:rsidRDefault="00902157" w:rsidP="007157D7">
      <w:pPr>
        <w:pStyle w:val="Nadpis3"/>
        <w:keepNext w:val="0"/>
        <w:keepLines w:val="0"/>
        <w:numPr>
          <w:ilvl w:val="2"/>
          <w:numId w:val="16"/>
        </w:numPr>
        <w:ind w:left="1276" w:hanging="567"/>
        <w:rPr>
          <w:rFonts w:ascii="Times New Roman" w:hAnsi="Times New Roman" w:cs="Times New Roman"/>
          <w:color w:val="auto"/>
        </w:rPr>
      </w:pPr>
      <w:bookmarkStart w:id="80" w:name="_Toc477345374"/>
      <w:r w:rsidRPr="000578FE">
        <w:rPr>
          <w:rFonts w:ascii="Times New Roman" w:hAnsi="Times New Roman" w:cs="Times New Roman"/>
          <w:color w:val="auto"/>
        </w:rPr>
        <w:t>Programy na informovanie a odborná príprava pre spotrebiteľov (články 12 a 17 SEE)</w:t>
      </w:r>
      <w:bookmarkEnd w:id="80"/>
    </w:p>
    <w:p w14:paraId="3AF6504B" w14:textId="77777777" w:rsidR="002E09E2" w:rsidRPr="007345A8" w:rsidRDefault="002E09E2" w:rsidP="007577DE">
      <w:pPr>
        <w:jc w:val="both"/>
        <w:rPr>
          <w:rFonts w:ascii="Times New Roman" w:hAnsi="Times New Roman" w:cs="Times New Roman"/>
        </w:rPr>
      </w:pPr>
    </w:p>
    <w:p w14:paraId="560CE47F" w14:textId="59EE8E27" w:rsidR="00BE27E4" w:rsidRPr="000745A8" w:rsidRDefault="00BE27E4" w:rsidP="007577DE">
      <w:pPr>
        <w:jc w:val="both"/>
        <w:rPr>
          <w:rFonts w:ascii="Times New Roman" w:hAnsi="Times New Roman" w:cs="Times New Roman"/>
          <w:sz w:val="24"/>
          <w:szCs w:val="24"/>
        </w:rPr>
      </w:pPr>
      <w:r w:rsidRPr="000745A8">
        <w:rPr>
          <w:rFonts w:ascii="Times New Roman" w:hAnsi="Times New Roman" w:cs="Times New Roman"/>
          <w:sz w:val="24"/>
          <w:szCs w:val="24"/>
        </w:rPr>
        <w:t>V roku 2009 začala SIEA realizovať národný projekt pod názvom „Podpora osvety a</w:t>
      </w:r>
      <w:r w:rsidR="00B73547" w:rsidRPr="007577DE">
        <w:rPr>
          <w:rFonts w:ascii="Times New Roman" w:hAnsi="Times New Roman" w:cs="Times New Roman"/>
          <w:sz w:val="24"/>
          <w:szCs w:val="24"/>
        </w:rPr>
        <w:t xml:space="preserve"> </w:t>
      </w:r>
      <w:r w:rsidRPr="007577DE">
        <w:rPr>
          <w:rFonts w:ascii="Times New Roman" w:hAnsi="Times New Roman" w:cs="Times New Roman"/>
          <w:sz w:val="24"/>
          <w:szCs w:val="24"/>
        </w:rPr>
        <w:t>poradenstva v rámci efektívneho využívania energie a využívania obnoviteľných zdrojov</w:t>
      </w:r>
      <w:r w:rsidR="00B73547" w:rsidRPr="007577DE">
        <w:rPr>
          <w:rFonts w:ascii="Times New Roman" w:hAnsi="Times New Roman" w:cs="Times New Roman"/>
          <w:sz w:val="24"/>
          <w:szCs w:val="24"/>
        </w:rPr>
        <w:t xml:space="preserve"> </w:t>
      </w:r>
      <w:r w:rsidRPr="007577DE">
        <w:rPr>
          <w:rFonts w:ascii="Times New Roman" w:hAnsi="Times New Roman" w:cs="Times New Roman"/>
          <w:sz w:val="24"/>
          <w:szCs w:val="24"/>
        </w:rPr>
        <w:t xml:space="preserve">energie, vrátane zvýšenia informovanosti širokej </w:t>
      </w:r>
      <w:r w:rsidRPr="007C62A8">
        <w:rPr>
          <w:rFonts w:ascii="Times New Roman" w:hAnsi="Times New Roman" w:cs="Times New Roman"/>
          <w:sz w:val="24"/>
          <w:szCs w:val="24"/>
        </w:rPr>
        <w:t>verejnosti“</w:t>
      </w:r>
      <w:r w:rsidRPr="000745A8">
        <w:rPr>
          <w:rFonts w:ascii="Times New Roman" w:hAnsi="Times New Roman" w:cs="Times New Roman"/>
          <w:sz w:val="24"/>
          <w:szCs w:val="24"/>
        </w:rPr>
        <w:t>.</w:t>
      </w:r>
      <w:r w:rsidR="00B73547" w:rsidRPr="000745A8">
        <w:rPr>
          <w:rFonts w:ascii="Times New Roman" w:hAnsi="Times New Roman" w:cs="Times New Roman"/>
          <w:sz w:val="24"/>
          <w:szCs w:val="24"/>
        </w:rPr>
        <w:t xml:space="preserve"> I</w:t>
      </w:r>
      <w:r w:rsidRPr="000745A8">
        <w:rPr>
          <w:rFonts w:ascii="Times New Roman" w:hAnsi="Times New Roman" w:cs="Times New Roman"/>
          <w:sz w:val="24"/>
          <w:szCs w:val="24"/>
        </w:rPr>
        <w:t>mplementovaný bol prostredníctvom OP Konkurencieschopnosť a hospodársky rast. Jeho</w:t>
      </w:r>
      <w:r w:rsidR="00B73547" w:rsidRPr="000745A8">
        <w:rPr>
          <w:rFonts w:ascii="Times New Roman" w:hAnsi="Times New Roman" w:cs="Times New Roman"/>
          <w:sz w:val="24"/>
          <w:szCs w:val="24"/>
        </w:rPr>
        <w:t xml:space="preserve"> </w:t>
      </w:r>
      <w:r w:rsidRPr="000745A8">
        <w:rPr>
          <w:rFonts w:ascii="Times New Roman" w:hAnsi="Times New Roman" w:cs="Times New Roman"/>
          <w:sz w:val="24"/>
          <w:szCs w:val="24"/>
        </w:rPr>
        <w:t>implementácia bola úspešne skončená 31.12.2015. Cieľom projektu bolo zvýšiť mieru a</w:t>
      </w:r>
      <w:r w:rsidR="00B73547" w:rsidRPr="000745A8">
        <w:rPr>
          <w:rFonts w:ascii="Times New Roman" w:hAnsi="Times New Roman" w:cs="Times New Roman"/>
          <w:sz w:val="24"/>
          <w:szCs w:val="24"/>
        </w:rPr>
        <w:t xml:space="preserve"> </w:t>
      </w:r>
      <w:r w:rsidRPr="000745A8">
        <w:rPr>
          <w:rFonts w:ascii="Times New Roman" w:hAnsi="Times New Roman" w:cs="Times New Roman"/>
          <w:sz w:val="24"/>
          <w:szCs w:val="24"/>
        </w:rPr>
        <w:t>kvalitu informovanosti širokej verejnosti o efektívnom využívaní energie a</w:t>
      </w:r>
      <w:r w:rsidR="00B73547" w:rsidRPr="000745A8">
        <w:rPr>
          <w:rFonts w:ascii="Times New Roman" w:hAnsi="Times New Roman" w:cs="Times New Roman"/>
          <w:sz w:val="24"/>
          <w:szCs w:val="24"/>
        </w:rPr>
        <w:t> </w:t>
      </w:r>
      <w:r w:rsidRPr="000745A8">
        <w:rPr>
          <w:rFonts w:ascii="Times New Roman" w:hAnsi="Times New Roman" w:cs="Times New Roman"/>
          <w:sz w:val="24"/>
          <w:szCs w:val="24"/>
        </w:rPr>
        <w:t>využívaní</w:t>
      </w:r>
      <w:r w:rsidR="00B73547" w:rsidRPr="000745A8">
        <w:rPr>
          <w:rFonts w:ascii="Times New Roman" w:hAnsi="Times New Roman" w:cs="Times New Roman"/>
          <w:sz w:val="24"/>
          <w:szCs w:val="24"/>
        </w:rPr>
        <w:t xml:space="preserve"> </w:t>
      </w:r>
      <w:r w:rsidRPr="000745A8">
        <w:rPr>
          <w:rFonts w:ascii="Times New Roman" w:hAnsi="Times New Roman" w:cs="Times New Roman"/>
          <w:sz w:val="24"/>
          <w:szCs w:val="24"/>
        </w:rPr>
        <w:t>obnoviteľných zdrojov energie. Projekt bol zameraný na poskytovanie odborného</w:t>
      </w:r>
      <w:r w:rsidR="00B73547" w:rsidRPr="000745A8">
        <w:rPr>
          <w:rFonts w:ascii="Times New Roman" w:hAnsi="Times New Roman" w:cs="Times New Roman"/>
          <w:sz w:val="24"/>
          <w:szCs w:val="24"/>
        </w:rPr>
        <w:t xml:space="preserve"> </w:t>
      </w:r>
      <w:r w:rsidRPr="000745A8">
        <w:rPr>
          <w:rFonts w:ascii="Times New Roman" w:hAnsi="Times New Roman" w:cs="Times New Roman"/>
          <w:sz w:val="24"/>
          <w:szCs w:val="24"/>
        </w:rPr>
        <w:t>energetického poradenstva najmä pre domácnosti, verejný sektor, podnikateľov a študentov.</w:t>
      </w:r>
      <w:r w:rsidR="00B73547" w:rsidRPr="000745A8">
        <w:rPr>
          <w:rFonts w:ascii="Times New Roman" w:hAnsi="Times New Roman" w:cs="Times New Roman"/>
          <w:sz w:val="24"/>
          <w:szCs w:val="24"/>
        </w:rPr>
        <w:t xml:space="preserve"> </w:t>
      </w:r>
      <w:r w:rsidRPr="000745A8">
        <w:rPr>
          <w:rFonts w:ascii="Times New Roman" w:hAnsi="Times New Roman" w:cs="Times New Roman"/>
          <w:sz w:val="24"/>
          <w:szCs w:val="24"/>
        </w:rPr>
        <w:t>V rámci národného projektu boli v Trenčíne, v Banskej Bystrici a v Košiciach zriadené</w:t>
      </w:r>
      <w:r w:rsidR="00B73547" w:rsidRPr="000745A8">
        <w:rPr>
          <w:rFonts w:ascii="Times New Roman" w:hAnsi="Times New Roman" w:cs="Times New Roman"/>
          <w:sz w:val="24"/>
          <w:szCs w:val="24"/>
        </w:rPr>
        <w:t xml:space="preserve"> </w:t>
      </w:r>
      <w:r w:rsidRPr="000745A8">
        <w:rPr>
          <w:rFonts w:ascii="Times New Roman" w:hAnsi="Times New Roman" w:cs="Times New Roman"/>
          <w:sz w:val="24"/>
          <w:szCs w:val="24"/>
        </w:rPr>
        <w:t>poradenské centrá ŽIŤ ENERGIOU, v ktorých sú záujemcom poskytované bezplatné</w:t>
      </w:r>
      <w:r w:rsidR="00B73547" w:rsidRPr="000745A8">
        <w:rPr>
          <w:rFonts w:ascii="Times New Roman" w:hAnsi="Times New Roman" w:cs="Times New Roman"/>
          <w:sz w:val="24"/>
          <w:szCs w:val="24"/>
        </w:rPr>
        <w:t xml:space="preserve"> </w:t>
      </w:r>
      <w:r w:rsidRPr="000745A8">
        <w:rPr>
          <w:rFonts w:ascii="Times New Roman" w:hAnsi="Times New Roman" w:cs="Times New Roman"/>
          <w:sz w:val="24"/>
          <w:szCs w:val="24"/>
        </w:rPr>
        <w:t xml:space="preserve">konzultácie. Rady možno získať </w:t>
      </w:r>
      <w:r w:rsidR="00B73547" w:rsidRPr="000745A8">
        <w:rPr>
          <w:rFonts w:ascii="Times New Roman" w:hAnsi="Times New Roman" w:cs="Times New Roman"/>
          <w:sz w:val="24"/>
          <w:szCs w:val="24"/>
        </w:rPr>
        <w:t xml:space="preserve">osobne, e </w:t>
      </w:r>
      <w:r w:rsidRPr="000745A8">
        <w:rPr>
          <w:rFonts w:ascii="Times New Roman" w:hAnsi="Times New Roman" w:cs="Times New Roman"/>
          <w:sz w:val="24"/>
          <w:szCs w:val="24"/>
        </w:rPr>
        <w:t>mailom alebo prostredníctvom bezplatnej</w:t>
      </w:r>
      <w:r w:rsidR="00B73547" w:rsidRPr="000745A8">
        <w:rPr>
          <w:rFonts w:ascii="Times New Roman" w:hAnsi="Times New Roman" w:cs="Times New Roman"/>
          <w:sz w:val="24"/>
          <w:szCs w:val="24"/>
        </w:rPr>
        <w:t xml:space="preserve"> </w:t>
      </w:r>
      <w:r w:rsidRPr="000745A8">
        <w:rPr>
          <w:rFonts w:ascii="Times New Roman" w:hAnsi="Times New Roman" w:cs="Times New Roman"/>
          <w:sz w:val="24"/>
          <w:szCs w:val="24"/>
        </w:rPr>
        <w:t xml:space="preserve">telefonickej linky. Konzultanti z poradenských </w:t>
      </w:r>
      <w:r w:rsidRPr="000745A8">
        <w:rPr>
          <w:rFonts w:ascii="Times New Roman" w:hAnsi="Times New Roman" w:cs="Times New Roman"/>
          <w:sz w:val="24"/>
          <w:szCs w:val="24"/>
        </w:rPr>
        <w:lastRenderedPageBreak/>
        <w:t>centier, energetickí experti a</w:t>
      </w:r>
      <w:r w:rsidR="00B73547" w:rsidRPr="000745A8">
        <w:rPr>
          <w:rFonts w:ascii="Times New Roman" w:hAnsi="Times New Roman" w:cs="Times New Roman"/>
          <w:sz w:val="24"/>
          <w:szCs w:val="24"/>
        </w:rPr>
        <w:t> </w:t>
      </w:r>
      <w:r w:rsidRPr="000745A8">
        <w:rPr>
          <w:rFonts w:ascii="Times New Roman" w:hAnsi="Times New Roman" w:cs="Times New Roman"/>
          <w:sz w:val="24"/>
          <w:szCs w:val="24"/>
        </w:rPr>
        <w:t>odbor</w:t>
      </w:r>
      <w:r w:rsidR="00B73547" w:rsidRPr="000745A8">
        <w:rPr>
          <w:rFonts w:ascii="Times New Roman" w:hAnsi="Times New Roman" w:cs="Times New Roman"/>
          <w:sz w:val="24"/>
          <w:szCs w:val="24"/>
        </w:rPr>
        <w:t xml:space="preserve"> </w:t>
      </w:r>
      <w:r w:rsidRPr="000745A8">
        <w:rPr>
          <w:rFonts w:ascii="Times New Roman" w:hAnsi="Times New Roman" w:cs="Times New Roman"/>
          <w:sz w:val="24"/>
          <w:szCs w:val="24"/>
        </w:rPr>
        <w:t>komunikácie a medzinárodnej spolupráce SIEA poskytovali bezplatné energetické</w:t>
      </w:r>
      <w:r w:rsidR="00B73547" w:rsidRPr="000745A8">
        <w:rPr>
          <w:rFonts w:ascii="Times New Roman" w:hAnsi="Times New Roman" w:cs="Times New Roman"/>
          <w:sz w:val="24"/>
          <w:szCs w:val="24"/>
        </w:rPr>
        <w:t xml:space="preserve"> </w:t>
      </w:r>
      <w:r w:rsidRPr="000745A8">
        <w:rPr>
          <w:rFonts w:ascii="Times New Roman" w:hAnsi="Times New Roman" w:cs="Times New Roman"/>
          <w:sz w:val="24"/>
          <w:szCs w:val="24"/>
        </w:rPr>
        <w:t>poradenstvo a konzultácie zástupcom verejného sektora, podnikateľom a občanom v</w:t>
      </w:r>
      <w:r w:rsidR="00B73547" w:rsidRPr="000745A8">
        <w:rPr>
          <w:rFonts w:ascii="Times New Roman" w:hAnsi="Times New Roman" w:cs="Times New Roman"/>
          <w:sz w:val="24"/>
          <w:szCs w:val="24"/>
        </w:rPr>
        <w:t xml:space="preserve"> </w:t>
      </w:r>
      <w:r w:rsidRPr="000745A8">
        <w:rPr>
          <w:rFonts w:ascii="Times New Roman" w:hAnsi="Times New Roman" w:cs="Times New Roman"/>
          <w:sz w:val="24"/>
          <w:szCs w:val="24"/>
        </w:rPr>
        <w:t>poradenských centrách, na výstavách a rôznych podujatiach. Ich konzultácie využili tisícky</w:t>
      </w:r>
      <w:r w:rsidR="00B73547" w:rsidRPr="000745A8">
        <w:rPr>
          <w:rFonts w:ascii="Times New Roman" w:hAnsi="Times New Roman" w:cs="Times New Roman"/>
          <w:sz w:val="24"/>
          <w:szCs w:val="24"/>
        </w:rPr>
        <w:t xml:space="preserve"> záujemcov. </w:t>
      </w:r>
    </w:p>
    <w:p w14:paraId="07E4CE2D" w14:textId="552A8E23" w:rsidR="00BE27E4" w:rsidRPr="000745A8" w:rsidRDefault="00BE27E4" w:rsidP="007577DE">
      <w:pPr>
        <w:jc w:val="both"/>
        <w:rPr>
          <w:rFonts w:ascii="Times New Roman" w:hAnsi="Times New Roman" w:cs="Times New Roman"/>
          <w:sz w:val="24"/>
          <w:szCs w:val="24"/>
        </w:rPr>
      </w:pPr>
      <w:r w:rsidRPr="000745A8">
        <w:rPr>
          <w:rFonts w:ascii="Times New Roman" w:hAnsi="Times New Roman" w:cs="Times New Roman"/>
          <w:sz w:val="24"/>
          <w:szCs w:val="24"/>
        </w:rPr>
        <w:t>Súčasťou projektu bola aj príprava a vydávanie tlačovín o energetických úsporách a</w:t>
      </w:r>
      <w:r w:rsidR="00B73547" w:rsidRPr="000745A8">
        <w:rPr>
          <w:rFonts w:ascii="Times New Roman" w:hAnsi="Times New Roman" w:cs="Times New Roman"/>
          <w:sz w:val="24"/>
          <w:szCs w:val="24"/>
        </w:rPr>
        <w:t> </w:t>
      </w:r>
      <w:r w:rsidRPr="000745A8">
        <w:rPr>
          <w:rFonts w:ascii="Times New Roman" w:hAnsi="Times New Roman" w:cs="Times New Roman"/>
          <w:sz w:val="24"/>
          <w:szCs w:val="24"/>
        </w:rPr>
        <w:t>využívaní</w:t>
      </w:r>
      <w:r w:rsidR="00B73547" w:rsidRPr="000745A8">
        <w:rPr>
          <w:rFonts w:ascii="Times New Roman" w:hAnsi="Times New Roman" w:cs="Times New Roman"/>
          <w:sz w:val="24"/>
          <w:szCs w:val="24"/>
        </w:rPr>
        <w:t xml:space="preserve"> </w:t>
      </w:r>
      <w:r w:rsidRPr="000745A8">
        <w:rPr>
          <w:rFonts w:ascii="Times New Roman" w:hAnsi="Times New Roman" w:cs="Times New Roman"/>
          <w:sz w:val="24"/>
          <w:szCs w:val="24"/>
        </w:rPr>
        <w:t xml:space="preserve">OZE. </w:t>
      </w:r>
      <w:r w:rsidR="00B73547" w:rsidRPr="000745A8">
        <w:rPr>
          <w:rFonts w:ascii="Times New Roman" w:hAnsi="Times New Roman" w:cs="Times New Roman"/>
          <w:sz w:val="24"/>
          <w:szCs w:val="24"/>
        </w:rPr>
        <w:t xml:space="preserve"> </w:t>
      </w:r>
      <w:r w:rsidRPr="000745A8">
        <w:rPr>
          <w:rFonts w:ascii="Times New Roman" w:hAnsi="Times New Roman" w:cs="Times New Roman"/>
          <w:sz w:val="24"/>
          <w:szCs w:val="24"/>
        </w:rPr>
        <w:t>Vydaný bol rad brožúr a letákov pre rôzne cieľové skupiny, s veľkým záujmom základných</w:t>
      </w:r>
      <w:r w:rsidR="00B73547" w:rsidRPr="000745A8">
        <w:rPr>
          <w:rFonts w:ascii="Times New Roman" w:hAnsi="Times New Roman" w:cs="Times New Roman"/>
          <w:sz w:val="24"/>
          <w:szCs w:val="24"/>
        </w:rPr>
        <w:t xml:space="preserve"> </w:t>
      </w:r>
      <w:r w:rsidRPr="000745A8">
        <w:rPr>
          <w:rFonts w:ascii="Times New Roman" w:hAnsi="Times New Roman" w:cs="Times New Roman"/>
          <w:sz w:val="24"/>
          <w:szCs w:val="24"/>
        </w:rPr>
        <w:t>škôl sa napríklad stretli zakladače s Energetickými experimentmi Rady tety Ety, s</w:t>
      </w:r>
      <w:r w:rsidR="00B73547" w:rsidRPr="000745A8">
        <w:rPr>
          <w:rFonts w:ascii="Times New Roman" w:hAnsi="Times New Roman" w:cs="Times New Roman"/>
          <w:sz w:val="24"/>
          <w:szCs w:val="24"/>
        </w:rPr>
        <w:t> </w:t>
      </w:r>
      <w:r w:rsidRPr="000745A8">
        <w:rPr>
          <w:rFonts w:ascii="Times New Roman" w:hAnsi="Times New Roman" w:cs="Times New Roman"/>
          <w:sz w:val="24"/>
          <w:szCs w:val="24"/>
        </w:rPr>
        <w:t>ktorými</w:t>
      </w:r>
      <w:r w:rsidR="00B73547" w:rsidRPr="000745A8">
        <w:rPr>
          <w:rFonts w:ascii="Times New Roman" w:hAnsi="Times New Roman" w:cs="Times New Roman"/>
          <w:sz w:val="24"/>
          <w:szCs w:val="24"/>
        </w:rPr>
        <w:t xml:space="preserve"> </w:t>
      </w:r>
      <w:r w:rsidRPr="000745A8">
        <w:rPr>
          <w:rFonts w:ascii="Times New Roman" w:hAnsi="Times New Roman" w:cs="Times New Roman"/>
          <w:sz w:val="24"/>
          <w:szCs w:val="24"/>
        </w:rPr>
        <w:t xml:space="preserve">môžu pedagógovia a študenti pracovať priamo na vyučovacích hodinách. </w:t>
      </w:r>
      <w:r w:rsidR="00B73547" w:rsidRPr="000745A8">
        <w:rPr>
          <w:rFonts w:ascii="Times New Roman" w:hAnsi="Times New Roman" w:cs="Times New Roman"/>
          <w:sz w:val="24"/>
          <w:szCs w:val="24"/>
        </w:rPr>
        <w:t xml:space="preserve"> </w:t>
      </w:r>
      <w:r w:rsidRPr="000745A8">
        <w:rPr>
          <w:rFonts w:ascii="Times New Roman" w:hAnsi="Times New Roman" w:cs="Times New Roman"/>
          <w:sz w:val="24"/>
          <w:szCs w:val="24"/>
        </w:rPr>
        <w:t>Pre všetky cieľové skupiny využívajúce energiu bude pokračovať tento projekt poradenstva</w:t>
      </w:r>
      <w:r w:rsidR="00B73547" w:rsidRPr="000745A8">
        <w:rPr>
          <w:rFonts w:ascii="Times New Roman" w:hAnsi="Times New Roman" w:cs="Times New Roman"/>
          <w:sz w:val="24"/>
          <w:szCs w:val="24"/>
        </w:rPr>
        <w:t xml:space="preserve"> </w:t>
      </w:r>
      <w:r w:rsidRPr="000745A8">
        <w:rPr>
          <w:rFonts w:ascii="Times New Roman" w:hAnsi="Times New Roman" w:cs="Times New Roman"/>
          <w:sz w:val="24"/>
          <w:szCs w:val="24"/>
        </w:rPr>
        <w:t>a zvyšovania informovanosti o energeticky efektívnom nízkouhlíkovom hospodárstve</w:t>
      </w:r>
      <w:r w:rsidR="00546CCF" w:rsidRPr="000745A8">
        <w:rPr>
          <w:rFonts w:ascii="Times New Roman" w:hAnsi="Times New Roman" w:cs="Times New Roman"/>
          <w:sz w:val="24"/>
          <w:szCs w:val="24"/>
        </w:rPr>
        <w:t xml:space="preserve"> aj v programovom období</w:t>
      </w:r>
      <w:r w:rsidR="00B73547" w:rsidRPr="000745A8">
        <w:rPr>
          <w:rFonts w:ascii="Times New Roman" w:hAnsi="Times New Roman" w:cs="Times New Roman"/>
          <w:sz w:val="24"/>
          <w:szCs w:val="24"/>
        </w:rPr>
        <w:t xml:space="preserve"> 2014-2020</w:t>
      </w:r>
      <w:r w:rsidR="00546CCF" w:rsidRPr="000745A8">
        <w:rPr>
          <w:rFonts w:ascii="Times New Roman" w:hAnsi="Times New Roman" w:cs="Times New Roman"/>
          <w:sz w:val="24"/>
          <w:szCs w:val="24"/>
        </w:rPr>
        <w:t>.</w:t>
      </w:r>
    </w:p>
    <w:p w14:paraId="2CC19E30" w14:textId="77777777" w:rsidR="00B50D0E" w:rsidRPr="009F2998" w:rsidRDefault="00B50D0E" w:rsidP="008C48EE">
      <w:pPr>
        <w:autoSpaceDE w:val="0"/>
        <w:autoSpaceDN w:val="0"/>
        <w:adjustRightInd w:val="0"/>
        <w:spacing w:after="0" w:line="240" w:lineRule="auto"/>
        <w:jc w:val="both"/>
        <w:rPr>
          <w:rFonts w:ascii="Times New Roman" w:hAnsi="Times New Roman" w:cs="Times New Roman"/>
        </w:rPr>
      </w:pPr>
    </w:p>
    <w:p w14:paraId="3D2401EA" w14:textId="77777777" w:rsidR="00902157" w:rsidRPr="000578FE" w:rsidRDefault="00902157" w:rsidP="007157D7">
      <w:pPr>
        <w:pStyle w:val="Nadpis3"/>
        <w:keepNext w:val="0"/>
        <w:keepLines w:val="0"/>
        <w:numPr>
          <w:ilvl w:val="2"/>
          <w:numId w:val="16"/>
        </w:numPr>
        <w:ind w:left="1276" w:hanging="567"/>
        <w:rPr>
          <w:rFonts w:ascii="Times New Roman" w:hAnsi="Times New Roman" w:cs="Times New Roman"/>
          <w:color w:val="auto"/>
        </w:rPr>
      </w:pPr>
      <w:bookmarkStart w:id="81" w:name="_Toc473638139"/>
      <w:bookmarkStart w:id="82" w:name="_Toc477345375"/>
      <w:bookmarkEnd w:id="81"/>
      <w:r w:rsidRPr="000578FE">
        <w:rPr>
          <w:rFonts w:ascii="Times New Roman" w:hAnsi="Times New Roman" w:cs="Times New Roman"/>
          <w:color w:val="auto"/>
        </w:rPr>
        <w:t>Dostupnosť systémov kvalifikácie, akreditačných a certifikačných systémov (článok 16 SEE)</w:t>
      </w:r>
      <w:bookmarkEnd w:id="82"/>
    </w:p>
    <w:p w14:paraId="53BA0D29" w14:textId="77777777" w:rsidR="00B50D0E" w:rsidRPr="009F2998" w:rsidRDefault="00B50D0E" w:rsidP="00902157">
      <w:pPr>
        <w:pStyle w:val="CM4"/>
        <w:spacing w:before="60" w:after="60"/>
        <w:jc w:val="both"/>
        <w:rPr>
          <w:rFonts w:ascii="Times New Roman" w:hAnsi="Times New Roman" w:cs="Times New Roman"/>
          <w:color w:val="2E74B5" w:themeColor="accent1" w:themeShade="BF"/>
          <w:sz w:val="22"/>
          <w:szCs w:val="22"/>
        </w:rPr>
      </w:pPr>
    </w:p>
    <w:p w14:paraId="3F991EA0" w14:textId="77777777" w:rsidR="00546CCF" w:rsidRPr="000745A8" w:rsidRDefault="00546CCF" w:rsidP="00546CCF">
      <w:pPr>
        <w:spacing w:after="0" w:line="240" w:lineRule="auto"/>
        <w:jc w:val="both"/>
        <w:rPr>
          <w:rFonts w:ascii="Times New Roman" w:hAnsi="Times New Roman" w:cs="Times New Roman"/>
          <w:sz w:val="24"/>
          <w:szCs w:val="24"/>
        </w:rPr>
      </w:pPr>
      <w:r w:rsidRPr="000745A8">
        <w:rPr>
          <w:rFonts w:ascii="Times New Roman" w:hAnsi="Times New Roman" w:cs="Times New Roman"/>
          <w:sz w:val="24"/>
          <w:szCs w:val="24"/>
        </w:rPr>
        <w:t xml:space="preserve">V oblasti energetickej efektívnosti a využívania energie sú v súčasnosti zavedené nasledujúce kvalifikačné schémy: </w:t>
      </w:r>
    </w:p>
    <w:p w14:paraId="7038B9D0" w14:textId="77777777" w:rsidR="00546CCF" w:rsidRPr="000745A8" w:rsidRDefault="00546CCF" w:rsidP="00546CCF">
      <w:pPr>
        <w:pStyle w:val="Odsekzoznamu"/>
        <w:numPr>
          <w:ilvl w:val="0"/>
          <w:numId w:val="2"/>
        </w:numPr>
        <w:spacing w:after="0" w:line="240" w:lineRule="auto"/>
        <w:jc w:val="both"/>
        <w:rPr>
          <w:rFonts w:ascii="Times New Roman" w:hAnsi="Times New Roman" w:cs="Times New Roman"/>
          <w:sz w:val="24"/>
          <w:szCs w:val="24"/>
        </w:rPr>
      </w:pPr>
      <w:r w:rsidRPr="000745A8">
        <w:rPr>
          <w:rFonts w:ascii="Times New Roman" w:hAnsi="Times New Roman" w:cs="Times New Roman"/>
          <w:sz w:val="24"/>
          <w:szCs w:val="24"/>
        </w:rPr>
        <w:t>Zákon č. 321/2014 Z. z. o energetickej efektívnosti – energetický audítor, poskytovateľ garantovanej energetickej služby</w:t>
      </w:r>
    </w:p>
    <w:p w14:paraId="4B3D4AA9" w14:textId="77777777" w:rsidR="00546CCF" w:rsidRPr="000745A8" w:rsidRDefault="00546CCF" w:rsidP="00546CCF">
      <w:pPr>
        <w:pStyle w:val="Odsekzoznamu"/>
        <w:numPr>
          <w:ilvl w:val="0"/>
          <w:numId w:val="2"/>
        </w:numPr>
        <w:spacing w:after="0" w:line="240" w:lineRule="auto"/>
        <w:jc w:val="both"/>
        <w:rPr>
          <w:rFonts w:ascii="Times New Roman" w:hAnsi="Times New Roman" w:cs="Times New Roman"/>
          <w:sz w:val="24"/>
          <w:szCs w:val="24"/>
        </w:rPr>
      </w:pPr>
      <w:r w:rsidRPr="000745A8">
        <w:rPr>
          <w:rFonts w:ascii="Times New Roman" w:hAnsi="Times New Roman" w:cs="Times New Roman"/>
          <w:sz w:val="24"/>
          <w:szCs w:val="24"/>
        </w:rPr>
        <w:t xml:space="preserve">Zákon č. 251/2012 Z. z. o energetike v znení neskorších predpisov – odborne spôsobilá osoba pre podnikanie v energetike </w:t>
      </w:r>
    </w:p>
    <w:p w14:paraId="09661708" w14:textId="77777777" w:rsidR="00546CCF" w:rsidRPr="000745A8" w:rsidRDefault="00546CCF" w:rsidP="00546CCF">
      <w:pPr>
        <w:pStyle w:val="Odsekzoznamu"/>
        <w:numPr>
          <w:ilvl w:val="0"/>
          <w:numId w:val="2"/>
        </w:numPr>
        <w:spacing w:after="0" w:line="240" w:lineRule="auto"/>
        <w:jc w:val="both"/>
        <w:rPr>
          <w:rFonts w:ascii="Times New Roman" w:hAnsi="Times New Roman" w:cs="Times New Roman"/>
          <w:sz w:val="24"/>
          <w:szCs w:val="24"/>
        </w:rPr>
      </w:pPr>
      <w:r w:rsidRPr="000745A8">
        <w:rPr>
          <w:rFonts w:ascii="Times New Roman" w:hAnsi="Times New Roman" w:cs="Times New Roman"/>
          <w:sz w:val="24"/>
          <w:szCs w:val="24"/>
        </w:rPr>
        <w:t>Zákon č. 657/2004 Z. z. o tepelnej energetike v znení neskorších predpisov - odborne spôsobilá osoba pre podnikanie v tepelnej energetike</w:t>
      </w:r>
    </w:p>
    <w:p w14:paraId="2C8E3505" w14:textId="77777777" w:rsidR="00546CCF" w:rsidRPr="000745A8" w:rsidRDefault="00546CCF" w:rsidP="00546CCF">
      <w:pPr>
        <w:pStyle w:val="Odsekzoznamu"/>
        <w:numPr>
          <w:ilvl w:val="0"/>
          <w:numId w:val="2"/>
        </w:numPr>
        <w:spacing w:after="0" w:line="240" w:lineRule="auto"/>
        <w:jc w:val="both"/>
        <w:rPr>
          <w:rFonts w:ascii="Times New Roman" w:hAnsi="Times New Roman" w:cs="Times New Roman"/>
          <w:sz w:val="24"/>
          <w:szCs w:val="24"/>
        </w:rPr>
      </w:pPr>
      <w:r w:rsidRPr="000745A8">
        <w:rPr>
          <w:rFonts w:ascii="Times New Roman" w:hAnsi="Times New Roman" w:cs="Times New Roman"/>
          <w:sz w:val="24"/>
          <w:szCs w:val="24"/>
        </w:rPr>
        <w:t xml:space="preserve">Zákon č. 309/2009 Z. z. o podpore obnoviteľných zdrojov energie v znení neskorších predpisov – inštalatér OZE v budovách </w:t>
      </w:r>
    </w:p>
    <w:p w14:paraId="6694D39C" w14:textId="2406740C" w:rsidR="00546CCF" w:rsidRPr="000745A8" w:rsidRDefault="00546CCF" w:rsidP="00546CCF">
      <w:pPr>
        <w:pStyle w:val="Odsekzoznamu"/>
        <w:numPr>
          <w:ilvl w:val="0"/>
          <w:numId w:val="2"/>
        </w:numPr>
        <w:spacing w:after="0" w:line="240" w:lineRule="auto"/>
        <w:jc w:val="both"/>
        <w:rPr>
          <w:rFonts w:ascii="Times New Roman" w:hAnsi="Times New Roman" w:cs="Times New Roman"/>
          <w:sz w:val="24"/>
          <w:szCs w:val="24"/>
        </w:rPr>
      </w:pPr>
      <w:r w:rsidRPr="000745A8">
        <w:rPr>
          <w:rFonts w:ascii="Times New Roman" w:hAnsi="Times New Roman" w:cs="Times New Roman"/>
          <w:sz w:val="24"/>
          <w:szCs w:val="24"/>
        </w:rPr>
        <w:t>Zákon č. 476/2008 Z. z. o energetickej efektívnosti – energetický audítor</w:t>
      </w:r>
      <w:r w:rsidR="00DF3E6E" w:rsidRPr="000745A8">
        <w:rPr>
          <w:rFonts w:ascii="Times New Roman" w:hAnsi="Times New Roman" w:cs="Times New Roman"/>
          <w:sz w:val="24"/>
          <w:szCs w:val="24"/>
        </w:rPr>
        <w:t xml:space="preserve"> (zmena zákonom č. 321/2014 Z. z.)</w:t>
      </w:r>
    </w:p>
    <w:p w14:paraId="7686FCDB" w14:textId="77777777" w:rsidR="00546CCF" w:rsidRPr="000745A8" w:rsidRDefault="00546CCF" w:rsidP="00546CCF">
      <w:pPr>
        <w:pStyle w:val="Odsekzoznamu"/>
        <w:numPr>
          <w:ilvl w:val="0"/>
          <w:numId w:val="2"/>
        </w:numPr>
        <w:spacing w:after="0" w:line="240" w:lineRule="auto"/>
        <w:jc w:val="both"/>
        <w:rPr>
          <w:rFonts w:ascii="Times New Roman" w:hAnsi="Times New Roman" w:cs="Times New Roman"/>
          <w:sz w:val="24"/>
          <w:szCs w:val="24"/>
        </w:rPr>
      </w:pPr>
      <w:r w:rsidRPr="000745A8">
        <w:rPr>
          <w:rFonts w:ascii="Times New Roman" w:hAnsi="Times New Roman" w:cs="Times New Roman"/>
          <w:sz w:val="24"/>
          <w:szCs w:val="24"/>
        </w:rPr>
        <w:t>Zákon č. 555/2005 Z. z. o energetickej hospodárnosti budov v znení neskorších predpisov – odborne spôsobilá osoba pre energetickú certifikáciu budov</w:t>
      </w:r>
    </w:p>
    <w:p w14:paraId="339F610F" w14:textId="77777777" w:rsidR="00546CCF" w:rsidRPr="000745A8" w:rsidRDefault="00546CCF" w:rsidP="00546CCF">
      <w:pPr>
        <w:pStyle w:val="Odsekzoznamu"/>
        <w:numPr>
          <w:ilvl w:val="0"/>
          <w:numId w:val="2"/>
        </w:numPr>
        <w:spacing w:after="0" w:line="240" w:lineRule="auto"/>
        <w:jc w:val="both"/>
        <w:rPr>
          <w:rFonts w:ascii="Times New Roman" w:hAnsi="Times New Roman" w:cs="Times New Roman"/>
          <w:sz w:val="24"/>
          <w:szCs w:val="24"/>
        </w:rPr>
      </w:pPr>
      <w:r w:rsidRPr="000745A8">
        <w:rPr>
          <w:rFonts w:ascii="Times New Roman" w:hAnsi="Times New Roman" w:cs="Times New Roman"/>
          <w:sz w:val="24"/>
          <w:szCs w:val="24"/>
        </w:rPr>
        <w:t xml:space="preserve">Zákon č. 50/1976 Z. z. o územnom plánovaní a stavebnom poriadku (stavebný zákon) v znení neskorších predpisov – všeobecné ustanovenie o potrebe odbornej kvalifikácie pri výkone určitých stavebných prác. </w:t>
      </w:r>
    </w:p>
    <w:p w14:paraId="045B4DE6" w14:textId="77777777" w:rsidR="00546CCF" w:rsidRPr="000745A8" w:rsidRDefault="00546CCF" w:rsidP="00546CCF">
      <w:pPr>
        <w:spacing w:after="0" w:line="240" w:lineRule="auto"/>
        <w:rPr>
          <w:rFonts w:ascii="Times New Roman" w:hAnsi="Times New Roman" w:cs="Times New Roman"/>
          <w:sz w:val="24"/>
          <w:szCs w:val="24"/>
        </w:rPr>
      </w:pPr>
    </w:p>
    <w:p w14:paraId="3DC8350A" w14:textId="77777777" w:rsidR="00546CCF" w:rsidRPr="000745A8" w:rsidRDefault="00546CCF" w:rsidP="00546CCF">
      <w:pPr>
        <w:spacing w:after="0" w:line="240" w:lineRule="auto"/>
        <w:jc w:val="both"/>
        <w:rPr>
          <w:rFonts w:ascii="Times New Roman" w:hAnsi="Times New Roman" w:cs="Times New Roman"/>
          <w:sz w:val="24"/>
          <w:szCs w:val="24"/>
        </w:rPr>
      </w:pPr>
      <w:r w:rsidRPr="000745A8">
        <w:rPr>
          <w:rFonts w:ascii="Times New Roman" w:hAnsi="Times New Roman" w:cs="Times New Roman"/>
          <w:sz w:val="24"/>
          <w:szCs w:val="24"/>
        </w:rPr>
        <w:t>V prípade odbornej spôsobilosti pre energetického audítora a poskytovateľa garantovanej energetickej služby sa vyžaduje odborné vzdelanie, prax a skúška odbornej spôsobilosti. Pre odborne spôsobilé osoby je zavedený systém následného zvyšovania kvalifikácie v intervale 3 až 5 rokov. Systém odbornej kvalifikácie a kontrolu kvality zabezpečuje Slovenská inovačná a energetická agentúra, ktorá vedie zoznamy odborne spôsobilých osôb.</w:t>
      </w:r>
    </w:p>
    <w:p w14:paraId="2397CFB6" w14:textId="77777777" w:rsidR="00B50D0E" w:rsidRPr="009F2998" w:rsidRDefault="00B50D0E" w:rsidP="00546CCF">
      <w:pPr>
        <w:spacing w:after="0" w:line="240" w:lineRule="auto"/>
        <w:jc w:val="both"/>
        <w:rPr>
          <w:rFonts w:ascii="Times New Roman" w:hAnsi="Times New Roman" w:cs="Times New Roman"/>
        </w:rPr>
      </w:pPr>
    </w:p>
    <w:p w14:paraId="260F30C6" w14:textId="35FF638A" w:rsidR="00044016" w:rsidRDefault="00044016">
      <w:pPr>
        <w:rPr>
          <w:rFonts w:ascii="Times New Roman" w:eastAsiaTheme="majorEastAsia" w:hAnsi="Times New Roman" w:cs="Times New Roman"/>
          <w:b/>
          <w:bCs/>
        </w:rPr>
      </w:pPr>
      <w:r>
        <w:rPr>
          <w:rFonts w:ascii="Times New Roman" w:hAnsi="Times New Roman" w:cs="Times New Roman"/>
        </w:rPr>
        <w:br w:type="page"/>
      </w:r>
    </w:p>
    <w:p w14:paraId="579B04F5" w14:textId="56C747BD" w:rsidR="00902157" w:rsidRPr="000578FE" w:rsidRDefault="00902157" w:rsidP="007157D7">
      <w:pPr>
        <w:pStyle w:val="Nadpis3"/>
        <w:keepNext w:val="0"/>
        <w:keepLines w:val="0"/>
        <w:numPr>
          <w:ilvl w:val="2"/>
          <w:numId w:val="16"/>
        </w:numPr>
        <w:ind w:left="1276" w:hanging="567"/>
        <w:rPr>
          <w:rFonts w:ascii="Times New Roman" w:hAnsi="Times New Roman" w:cs="Times New Roman"/>
          <w:color w:val="auto"/>
        </w:rPr>
      </w:pPr>
      <w:bookmarkStart w:id="83" w:name="_Toc477345376"/>
      <w:r w:rsidRPr="000578FE">
        <w:rPr>
          <w:rFonts w:ascii="Times New Roman" w:hAnsi="Times New Roman" w:cs="Times New Roman"/>
          <w:color w:val="auto"/>
        </w:rPr>
        <w:lastRenderedPageBreak/>
        <w:t>Energetické služby (článok 18 SEE)</w:t>
      </w:r>
      <w:bookmarkEnd w:id="83"/>
    </w:p>
    <w:p w14:paraId="132D63E2" w14:textId="77777777" w:rsidR="00546CCF" w:rsidRPr="009F2998" w:rsidRDefault="00546CCF" w:rsidP="003E7C46">
      <w:pPr>
        <w:rPr>
          <w:rFonts w:ascii="Times New Roman" w:hAnsi="Times New Roman" w:cs="Times New Roman"/>
          <w:b/>
          <w:u w:val="single"/>
        </w:rPr>
      </w:pPr>
    </w:p>
    <w:p w14:paraId="15A13AEA" w14:textId="7B07D86F" w:rsidR="003E7C46" w:rsidRPr="000745A8" w:rsidRDefault="003E7C46" w:rsidP="003E7C46">
      <w:pPr>
        <w:jc w:val="both"/>
        <w:rPr>
          <w:rFonts w:ascii="Times New Roman" w:hAnsi="Times New Roman" w:cs="Times New Roman"/>
          <w:sz w:val="24"/>
          <w:szCs w:val="24"/>
        </w:rPr>
      </w:pPr>
      <w:r w:rsidRPr="000745A8">
        <w:rPr>
          <w:rFonts w:ascii="Times New Roman" w:hAnsi="Times New Roman" w:cs="Times New Roman"/>
          <w:sz w:val="24"/>
          <w:szCs w:val="24"/>
        </w:rPr>
        <w:t xml:space="preserve">Energetické služby majú od </w:t>
      </w:r>
      <w:r w:rsidR="00E468BD" w:rsidRPr="000745A8">
        <w:rPr>
          <w:rFonts w:ascii="Times New Roman" w:hAnsi="Times New Roman" w:cs="Times New Roman"/>
          <w:sz w:val="24"/>
          <w:szCs w:val="24"/>
        </w:rPr>
        <w:t>0</w:t>
      </w:r>
      <w:r w:rsidRPr="000745A8">
        <w:rPr>
          <w:rFonts w:ascii="Times New Roman" w:hAnsi="Times New Roman" w:cs="Times New Roman"/>
          <w:sz w:val="24"/>
          <w:szCs w:val="24"/>
        </w:rPr>
        <w:t xml:space="preserve">1.12.2014 legislatívnu podporu v zákone o energetickej efektívnosti. Tento zákon zaviedol v § 15 až 20 celý systém definície a podpory energetických služieb. </w:t>
      </w:r>
    </w:p>
    <w:p w14:paraId="66A035C0" w14:textId="77777777" w:rsidR="003E7C46" w:rsidRPr="000745A8" w:rsidRDefault="003E7C46" w:rsidP="003E7C46">
      <w:pPr>
        <w:autoSpaceDE w:val="0"/>
        <w:autoSpaceDN w:val="0"/>
        <w:adjustRightInd w:val="0"/>
        <w:spacing w:after="0" w:line="240" w:lineRule="auto"/>
        <w:rPr>
          <w:rFonts w:ascii="Times New Roman" w:hAnsi="Times New Roman" w:cs="Times New Roman"/>
          <w:color w:val="231F20"/>
          <w:sz w:val="24"/>
          <w:szCs w:val="24"/>
        </w:rPr>
      </w:pPr>
    </w:p>
    <w:p w14:paraId="2B3AF8B8" w14:textId="5CEA4B3F" w:rsidR="003E7C46" w:rsidRPr="000745A8" w:rsidRDefault="00546CCF" w:rsidP="003E7C46">
      <w:pPr>
        <w:jc w:val="both"/>
        <w:rPr>
          <w:rFonts w:ascii="Times New Roman" w:hAnsi="Times New Roman" w:cs="Times New Roman"/>
          <w:sz w:val="24"/>
          <w:szCs w:val="24"/>
        </w:rPr>
      </w:pPr>
      <w:r w:rsidRPr="000745A8">
        <w:rPr>
          <w:rFonts w:ascii="Times New Roman" w:hAnsi="Times New Roman" w:cs="Times New Roman"/>
          <w:sz w:val="24"/>
          <w:szCs w:val="24"/>
        </w:rPr>
        <w:t xml:space="preserve">MH SR </w:t>
      </w:r>
      <w:r w:rsidR="003E7C46" w:rsidRPr="000745A8">
        <w:rPr>
          <w:rFonts w:ascii="Times New Roman" w:hAnsi="Times New Roman" w:cs="Times New Roman"/>
          <w:sz w:val="24"/>
          <w:szCs w:val="24"/>
        </w:rPr>
        <w:t xml:space="preserve">vedie na svojej webstránke </w:t>
      </w:r>
      <w:hyperlink r:id="rId26" w:history="1">
        <w:r w:rsidR="003E7C46" w:rsidRPr="000745A8">
          <w:rPr>
            <w:rStyle w:val="Hypertextovprepojenie"/>
            <w:rFonts w:ascii="Times New Roman" w:hAnsi="Times New Roman" w:cs="Times New Roman"/>
            <w:sz w:val="24"/>
            <w:szCs w:val="24"/>
          </w:rPr>
          <w:t>http://www.mhsr.sk/poskytovanie-energetickej-sluzby/145697s</w:t>
        </w:r>
      </w:hyperlink>
      <w:r w:rsidR="003E7C46" w:rsidRPr="000745A8">
        <w:rPr>
          <w:rFonts w:ascii="Times New Roman" w:hAnsi="Times New Roman" w:cs="Times New Roman"/>
          <w:sz w:val="24"/>
          <w:szCs w:val="24"/>
        </w:rPr>
        <w:t xml:space="preserve"> zoznam poskytovateľov podpornej energetickej služby. Spôsob zápisu do zoznamu je riešený formou vyhlášky MH SR č. 99/2015 Z. z. o poskytovateľoch podpornej a garantovanej energetickej služby.   </w:t>
      </w:r>
    </w:p>
    <w:p w14:paraId="106468E3" w14:textId="14216E3E" w:rsidR="003E7C46" w:rsidRPr="000745A8" w:rsidRDefault="003E7C46" w:rsidP="003E7C46">
      <w:pPr>
        <w:jc w:val="both"/>
        <w:rPr>
          <w:rFonts w:ascii="Times New Roman" w:hAnsi="Times New Roman" w:cs="Times New Roman"/>
          <w:sz w:val="24"/>
          <w:szCs w:val="24"/>
        </w:rPr>
      </w:pPr>
      <w:r w:rsidRPr="000745A8">
        <w:rPr>
          <w:rFonts w:ascii="Times New Roman" w:hAnsi="Times New Roman" w:cs="Times New Roman"/>
          <w:sz w:val="24"/>
          <w:szCs w:val="24"/>
        </w:rPr>
        <w:t xml:space="preserve">Garantovaná energetická služba </w:t>
      </w:r>
      <w:r w:rsidR="009E33CD" w:rsidRPr="000745A8">
        <w:rPr>
          <w:rFonts w:ascii="Times New Roman" w:hAnsi="Times New Roman" w:cs="Times New Roman"/>
          <w:sz w:val="24"/>
          <w:szCs w:val="24"/>
        </w:rPr>
        <w:t xml:space="preserve">( ďalej aj „GES“) </w:t>
      </w:r>
      <w:r w:rsidRPr="000745A8">
        <w:rPr>
          <w:rFonts w:ascii="Times New Roman" w:hAnsi="Times New Roman" w:cs="Times New Roman"/>
          <w:sz w:val="24"/>
          <w:szCs w:val="24"/>
        </w:rPr>
        <w:t>je energetická služba poskytovaná na základe zmluvy o energetickej efektívnosti s garantovanou úsporou energie, t.</w:t>
      </w:r>
      <w:r w:rsidR="00E468BD" w:rsidRPr="000745A8">
        <w:rPr>
          <w:rFonts w:ascii="Times New Roman" w:hAnsi="Times New Roman" w:cs="Times New Roman"/>
          <w:sz w:val="24"/>
          <w:szCs w:val="24"/>
        </w:rPr>
        <w:t xml:space="preserve"> </w:t>
      </w:r>
      <w:r w:rsidRPr="000745A8">
        <w:rPr>
          <w:rFonts w:ascii="Times New Roman" w:hAnsi="Times New Roman" w:cs="Times New Roman"/>
          <w:sz w:val="24"/>
          <w:szCs w:val="24"/>
        </w:rPr>
        <w:t xml:space="preserve">j. zmluvy o energetickej efektívnosti. Poskytovanie energetickej služby s garantovanou úsporou energie je viazaná živnosť. </w:t>
      </w:r>
      <w:r w:rsidR="00546CCF" w:rsidRPr="000745A8">
        <w:rPr>
          <w:rFonts w:ascii="Times New Roman" w:hAnsi="Times New Roman" w:cs="Times New Roman"/>
          <w:sz w:val="24"/>
          <w:szCs w:val="24"/>
        </w:rPr>
        <w:t xml:space="preserve">MH SR vedie na svojej webstránke </w:t>
      </w:r>
      <w:hyperlink r:id="rId27" w:history="1">
        <w:r w:rsidRPr="000745A8">
          <w:rPr>
            <w:rStyle w:val="Hypertextovprepojenie"/>
            <w:rFonts w:ascii="Times New Roman" w:hAnsi="Times New Roman" w:cs="Times New Roman"/>
            <w:sz w:val="24"/>
            <w:szCs w:val="24"/>
          </w:rPr>
          <w:t>http://www.mhsr.sk/poskytovanie-energetickej-sluzby/145697s</w:t>
        </w:r>
      </w:hyperlink>
      <w:r w:rsidRPr="000745A8">
        <w:rPr>
          <w:rFonts w:ascii="Times New Roman" w:hAnsi="Times New Roman" w:cs="Times New Roman"/>
          <w:sz w:val="24"/>
          <w:szCs w:val="24"/>
        </w:rPr>
        <w:t xml:space="preserve"> </w:t>
      </w:r>
      <w:r w:rsidR="00546CCF" w:rsidRPr="000745A8">
        <w:rPr>
          <w:rFonts w:ascii="Times New Roman" w:hAnsi="Times New Roman" w:cs="Times New Roman"/>
          <w:sz w:val="24"/>
          <w:szCs w:val="24"/>
        </w:rPr>
        <w:t>zoznam poskytovateľov garantovanej energetickej služby.</w:t>
      </w:r>
      <w:r w:rsidRPr="000745A8">
        <w:rPr>
          <w:rFonts w:ascii="Times New Roman" w:hAnsi="Times New Roman" w:cs="Times New Roman"/>
          <w:sz w:val="24"/>
          <w:szCs w:val="24"/>
        </w:rPr>
        <w:t xml:space="preserve"> Spôsob zápisu do zoznamu je riešený formou vyhlášky MH SR č. 99/2015 Z. z. o poskytovateľoch podpornej a garantovanej energetickej služby.   </w:t>
      </w:r>
    </w:p>
    <w:p w14:paraId="043B77D8" w14:textId="6AACD181" w:rsidR="003E7C46" w:rsidRPr="000745A8" w:rsidRDefault="003E7C46" w:rsidP="003E7C46">
      <w:pPr>
        <w:jc w:val="both"/>
        <w:rPr>
          <w:rFonts w:ascii="Times New Roman" w:hAnsi="Times New Roman" w:cs="Times New Roman"/>
          <w:sz w:val="24"/>
          <w:szCs w:val="24"/>
        </w:rPr>
      </w:pPr>
      <w:r w:rsidRPr="000745A8">
        <w:rPr>
          <w:rFonts w:ascii="Times New Roman" w:hAnsi="Times New Roman" w:cs="Times New Roman"/>
          <w:sz w:val="24"/>
          <w:szCs w:val="24"/>
        </w:rPr>
        <w:t xml:space="preserve">Zákon tiež obsahuje povinný obsah zmluvy o energetickej efektívnosti, ak sa poskytovanie energetickej služby dotýka verejného sektora. </w:t>
      </w:r>
      <w:r w:rsidR="00E468BD" w:rsidRPr="000745A8">
        <w:rPr>
          <w:rFonts w:ascii="Times New Roman" w:hAnsi="Times New Roman" w:cs="Times New Roman"/>
          <w:sz w:val="24"/>
          <w:szCs w:val="24"/>
        </w:rPr>
        <w:t xml:space="preserve">Slovenská inovačná a energetická agentúra taktiež vykonáva podporu a osvetu rozvoja energetickej služby. </w:t>
      </w:r>
      <w:r w:rsidRPr="000745A8">
        <w:rPr>
          <w:rFonts w:ascii="Times New Roman" w:hAnsi="Times New Roman" w:cs="Times New Roman"/>
          <w:sz w:val="24"/>
          <w:szCs w:val="24"/>
        </w:rPr>
        <w:t xml:space="preserve">Tiež vykonáva školenie a aktualizačnú odbornú prípravu odbornej spôsobilej osoby na poskytovanie garantovanej energetickej služby. </w:t>
      </w:r>
    </w:p>
    <w:p w14:paraId="701BEF6A" w14:textId="3AB27C2B" w:rsidR="00705B01" w:rsidRDefault="003E7C46" w:rsidP="003E7C46">
      <w:pPr>
        <w:jc w:val="both"/>
        <w:rPr>
          <w:rFonts w:ascii="Times New Roman" w:hAnsi="Times New Roman" w:cs="Times New Roman"/>
          <w:sz w:val="24"/>
          <w:szCs w:val="24"/>
        </w:rPr>
      </w:pPr>
      <w:r w:rsidRPr="000745A8">
        <w:rPr>
          <w:rFonts w:ascii="Times New Roman" w:hAnsi="Times New Roman" w:cs="Times New Roman"/>
          <w:sz w:val="24"/>
          <w:szCs w:val="24"/>
        </w:rPr>
        <w:t>Poskytovatelia energetickej služby majú povinnosť zasielať údaje o </w:t>
      </w:r>
      <w:r w:rsidRPr="00804074">
        <w:rPr>
          <w:rFonts w:ascii="Times New Roman" w:hAnsi="Times New Roman" w:cs="Times New Roman"/>
          <w:sz w:val="24"/>
          <w:szCs w:val="24"/>
        </w:rPr>
        <w:t>vykonan</w:t>
      </w:r>
      <w:r w:rsidR="00804074" w:rsidRPr="00AF5415">
        <w:rPr>
          <w:rFonts w:ascii="Times New Roman" w:hAnsi="Times New Roman" w:cs="Times New Roman"/>
          <w:sz w:val="24"/>
          <w:szCs w:val="24"/>
        </w:rPr>
        <w:t>ých</w:t>
      </w:r>
      <w:r w:rsidRPr="00804074">
        <w:rPr>
          <w:rFonts w:ascii="Times New Roman" w:hAnsi="Times New Roman" w:cs="Times New Roman"/>
          <w:sz w:val="24"/>
          <w:szCs w:val="24"/>
        </w:rPr>
        <w:t xml:space="preserve"> energetick</w:t>
      </w:r>
      <w:r w:rsidR="00804074" w:rsidRPr="00AF5415">
        <w:rPr>
          <w:rFonts w:ascii="Times New Roman" w:hAnsi="Times New Roman" w:cs="Times New Roman"/>
          <w:sz w:val="24"/>
          <w:szCs w:val="24"/>
        </w:rPr>
        <w:t>ých</w:t>
      </w:r>
      <w:r w:rsidRPr="00804074">
        <w:rPr>
          <w:rFonts w:ascii="Times New Roman" w:hAnsi="Times New Roman" w:cs="Times New Roman"/>
          <w:sz w:val="24"/>
          <w:szCs w:val="24"/>
        </w:rPr>
        <w:t xml:space="preserve"> služb</w:t>
      </w:r>
      <w:r w:rsidR="00804074" w:rsidRPr="00AF5415">
        <w:rPr>
          <w:rFonts w:ascii="Times New Roman" w:hAnsi="Times New Roman" w:cs="Times New Roman"/>
          <w:sz w:val="24"/>
          <w:szCs w:val="24"/>
        </w:rPr>
        <w:t>ách</w:t>
      </w:r>
      <w:r w:rsidRPr="000745A8">
        <w:rPr>
          <w:rFonts w:ascii="Times New Roman" w:hAnsi="Times New Roman" w:cs="Times New Roman"/>
          <w:sz w:val="24"/>
          <w:szCs w:val="24"/>
        </w:rPr>
        <w:t xml:space="preserve"> za predchádzajúci kalendárny rok do monitorovacieho systému energetickej efektívnosti</w:t>
      </w:r>
      <w:r w:rsidR="00705B01">
        <w:rPr>
          <w:rFonts w:ascii="Times New Roman" w:hAnsi="Times New Roman" w:cs="Times New Roman"/>
          <w:sz w:val="24"/>
          <w:szCs w:val="24"/>
        </w:rPr>
        <w:t xml:space="preserve"> (pozri tabuľku č. 16)</w:t>
      </w:r>
      <w:r w:rsidRPr="000745A8">
        <w:rPr>
          <w:rFonts w:ascii="Times New Roman" w:hAnsi="Times New Roman" w:cs="Times New Roman"/>
          <w:sz w:val="24"/>
          <w:szCs w:val="24"/>
        </w:rPr>
        <w:t xml:space="preserve">. </w:t>
      </w:r>
    </w:p>
    <w:p w14:paraId="78714FF0" w14:textId="5DF82A8E" w:rsidR="003E7C46" w:rsidRPr="000745A8" w:rsidRDefault="00705B01" w:rsidP="003E7C46">
      <w:pPr>
        <w:jc w:val="both"/>
        <w:rPr>
          <w:rFonts w:ascii="Times New Roman" w:hAnsi="Times New Roman" w:cs="Times New Roman"/>
          <w:sz w:val="24"/>
          <w:szCs w:val="24"/>
        </w:rPr>
      </w:pPr>
      <w:r>
        <w:rPr>
          <w:rFonts w:ascii="Times New Roman" w:hAnsi="Times New Roman" w:cs="Times New Roman"/>
          <w:sz w:val="24"/>
          <w:szCs w:val="24"/>
        </w:rPr>
        <w:t>Tabuľka č. 16: Prehľad o úsporách energie dosiahnutých prostredníctvom energetických služieb</w:t>
      </w:r>
      <w:r w:rsidR="003E7C46" w:rsidRPr="000745A8">
        <w:rPr>
          <w:rFonts w:ascii="Times New Roman" w:hAnsi="Times New Roman" w:cs="Times New Roman"/>
          <w:sz w:val="24"/>
          <w:szCs w:val="24"/>
        </w:rPr>
        <w:t xml:space="preserve"> </w:t>
      </w:r>
    </w:p>
    <w:tbl>
      <w:tblPr>
        <w:tblStyle w:val="Mriekatabuky"/>
        <w:tblW w:w="5000" w:type="pct"/>
        <w:tblLook w:val="04A0" w:firstRow="1" w:lastRow="0" w:firstColumn="1" w:lastColumn="0" w:noHBand="0" w:noVBand="1"/>
      </w:tblPr>
      <w:tblGrid>
        <w:gridCol w:w="5426"/>
        <w:gridCol w:w="1212"/>
        <w:gridCol w:w="1212"/>
        <w:gridCol w:w="1212"/>
      </w:tblGrid>
      <w:tr w:rsidR="00E468BD" w:rsidRPr="009F2998" w14:paraId="560BDEC2" w14:textId="77777777" w:rsidTr="006A71E3">
        <w:tc>
          <w:tcPr>
            <w:tcW w:w="2992" w:type="pct"/>
          </w:tcPr>
          <w:p w14:paraId="2D9268CD" w14:textId="70DDE331" w:rsidR="00E468BD" w:rsidRPr="00AF5415" w:rsidRDefault="00E468BD" w:rsidP="00B60E06">
            <w:pPr>
              <w:autoSpaceDE w:val="0"/>
              <w:autoSpaceDN w:val="0"/>
              <w:adjustRightInd w:val="0"/>
              <w:jc w:val="both"/>
              <w:rPr>
                <w:rFonts w:ascii="Times New Roman" w:hAnsi="Times New Roman" w:cs="Times New Roman"/>
                <w:b/>
              </w:rPr>
            </w:pPr>
            <w:r w:rsidRPr="00AF5415">
              <w:rPr>
                <w:rFonts w:ascii="Times New Roman" w:hAnsi="Times New Roman" w:cs="Times New Roman"/>
                <w:b/>
              </w:rPr>
              <w:t>Energetické služby</w:t>
            </w:r>
            <w:r w:rsidR="0042175E" w:rsidRPr="00AF5415">
              <w:rPr>
                <w:rFonts w:ascii="Times New Roman" w:hAnsi="Times New Roman" w:cs="Times New Roman"/>
                <w:b/>
              </w:rPr>
              <w:t xml:space="preserve"> </w:t>
            </w:r>
            <w:r w:rsidRPr="00AF5415">
              <w:rPr>
                <w:rFonts w:ascii="Times New Roman" w:hAnsi="Times New Roman" w:cs="Times New Roman"/>
                <w:b/>
              </w:rPr>
              <w:t>-</w:t>
            </w:r>
            <w:r w:rsidR="0042175E" w:rsidRPr="00AF5415">
              <w:rPr>
                <w:rFonts w:ascii="Times New Roman" w:hAnsi="Times New Roman" w:cs="Times New Roman"/>
                <w:b/>
              </w:rPr>
              <w:t xml:space="preserve"> </w:t>
            </w:r>
            <w:r w:rsidRPr="00AF5415">
              <w:rPr>
                <w:rFonts w:ascii="Times New Roman" w:hAnsi="Times New Roman" w:cs="Times New Roman"/>
                <w:b/>
              </w:rPr>
              <w:t>úspory (TJ)</w:t>
            </w:r>
          </w:p>
        </w:tc>
        <w:tc>
          <w:tcPr>
            <w:tcW w:w="669" w:type="pct"/>
          </w:tcPr>
          <w:p w14:paraId="64CB5A29" w14:textId="77777777" w:rsidR="00E468BD" w:rsidRPr="00AF5415" w:rsidRDefault="00E468BD" w:rsidP="00B60E06">
            <w:pPr>
              <w:autoSpaceDE w:val="0"/>
              <w:autoSpaceDN w:val="0"/>
              <w:adjustRightInd w:val="0"/>
              <w:jc w:val="both"/>
              <w:rPr>
                <w:rFonts w:ascii="Times New Roman" w:hAnsi="Times New Roman" w:cs="Times New Roman"/>
                <w:b/>
              </w:rPr>
            </w:pPr>
            <w:r w:rsidRPr="00AF5415">
              <w:rPr>
                <w:rFonts w:ascii="Times New Roman" w:hAnsi="Times New Roman" w:cs="Times New Roman"/>
                <w:b/>
              </w:rPr>
              <w:t>2014</w:t>
            </w:r>
          </w:p>
        </w:tc>
        <w:tc>
          <w:tcPr>
            <w:tcW w:w="669" w:type="pct"/>
          </w:tcPr>
          <w:p w14:paraId="684EC0FE" w14:textId="77777777" w:rsidR="00E468BD" w:rsidRPr="00AF5415" w:rsidRDefault="00E468BD" w:rsidP="00B60E06">
            <w:pPr>
              <w:autoSpaceDE w:val="0"/>
              <w:autoSpaceDN w:val="0"/>
              <w:adjustRightInd w:val="0"/>
              <w:jc w:val="both"/>
              <w:rPr>
                <w:rFonts w:ascii="Times New Roman" w:hAnsi="Times New Roman" w:cs="Times New Roman"/>
                <w:b/>
              </w:rPr>
            </w:pPr>
            <w:r w:rsidRPr="00AF5415">
              <w:rPr>
                <w:rFonts w:ascii="Times New Roman" w:hAnsi="Times New Roman" w:cs="Times New Roman"/>
                <w:b/>
              </w:rPr>
              <w:t>2015</w:t>
            </w:r>
          </w:p>
        </w:tc>
        <w:tc>
          <w:tcPr>
            <w:tcW w:w="669" w:type="pct"/>
          </w:tcPr>
          <w:p w14:paraId="304EB1E8" w14:textId="129B34FF" w:rsidR="00E468BD" w:rsidRPr="00AF5415" w:rsidRDefault="00E468BD" w:rsidP="00B60E06">
            <w:pPr>
              <w:autoSpaceDE w:val="0"/>
              <w:autoSpaceDN w:val="0"/>
              <w:adjustRightInd w:val="0"/>
              <w:jc w:val="both"/>
              <w:rPr>
                <w:rFonts w:ascii="Times New Roman" w:hAnsi="Times New Roman" w:cs="Times New Roman"/>
                <w:b/>
              </w:rPr>
            </w:pPr>
            <w:r w:rsidRPr="00AF5415">
              <w:rPr>
                <w:rFonts w:ascii="Times New Roman" w:hAnsi="Times New Roman" w:cs="Times New Roman"/>
                <w:b/>
              </w:rPr>
              <w:t>2016</w:t>
            </w:r>
            <w:r w:rsidR="00DC2B0F" w:rsidRPr="00AF5415">
              <w:rPr>
                <w:rStyle w:val="Odkaznapoznmkupodiarou"/>
                <w:rFonts w:ascii="Times New Roman" w:hAnsi="Times New Roman" w:cs="Times New Roman"/>
                <w:b/>
              </w:rPr>
              <w:footnoteReference w:id="30"/>
            </w:r>
          </w:p>
        </w:tc>
      </w:tr>
      <w:tr w:rsidR="00E468BD" w:rsidRPr="009F2998" w14:paraId="4B38454A" w14:textId="77777777" w:rsidTr="00AF5415">
        <w:tc>
          <w:tcPr>
            <w:tcW w:w="2992" w:type="pct"/>
          </w:tcPr>
          <w:p w14:paraId="206D8B46" w14:textId="77777777" w:rsidR="00E468BD" w:rsidRPr="009F2998" w:rsidRDefault="00E468BD" w:rsidP="00B60E06">
            <w:pPr>
              <w:autoSpaceDE w:val="0"/>
              <w:autoSpaceDN w:val="0"/>
              <w:adjustRightInd w:val="0"/>
              <w:jc w:val="both"/>
              <w:rPr>
                <w:rFonts w:ascii="Times New Roman" w:hAnsi="Times New Roman" w:cs="Times New Roman"/>
              </w:rPr>
            </w:pPr>
            <w:r w:rsidRPr="009F2998">
              <w:rPr>
                <w:rFonts w:ascii="Times New Roman" w:hAnsi="Times New Roman" w:cs="Times New Roman"/>
              </w:rPr>
              <w:t>Poskytovanie energetických služieb v budovách</w:t>
            </w:r>
          </w:p>
        </w:tc>
        <w:tc>
          <w:tcPr>
            <w:tcW w:w="669" w:type="pct"/>
            <w:vAlign w:val="center"/>
          </w:tcPr>
          <w:p w14:paraId="2584CB42" w14:textId="77777777" w:rsidR="00E468BD" w:rsidRPr="009F2998" w:rsidRDefault="00E468BD" w:rsidP="00AF5415">
            <w:pPr>
              <w:autoSpaceDE w:val="0"/>
              <w:autoSpaceDN w:val="0"/>
              <w:adjustRightInd w:val="0"/>
              <w:jc w:val="center"/>
              <w:rPr>
                <w:rFonts w:ascii="Times New Roman" w:hAnsi="Times New Roman" w:cs="Times New Roman"/>
              </w:rPr>
            </w:pPr>
            <w:r w:rsidRPr="009F2998">
              <w:rPr>
                <w:rFonts w:ascii="Times New Roman" w:hAnsi="Times New Roman" w:cs="Times New Roman"/>
              </w:rPr>
              <w:t>5,67</w:t>
            </w:r>
          </w:p>
        </w:tc>
        <w:tc>
          <w:tcPr>
            <w:tcW w:w="669" w:type="pct"/>
            <w:vAlign w:val="center"/>
          </w:tcPr>
          <w:p w14:paraId="727659BF" w14:textId="77777777" w:rsidR="00E468BD" w:rsidRPr="009F2998" w:rsidRDefault="00E468BD" w:rsidP="00AF5415">
            <w:pPr>
              <w:autoSpaceDE w:val="0"/>
              <w:autoSpaceDN w:val="0"/>
              <w:adjustRightInd w:val="0"/>
              <w:jc w:val="center"/>
              <w:rPr>
                <w:rFonts w:ascii="Times New Roman" w:hAnsi="Times New Roman" w:cs="Times New Roman"/>
              </w:rPr>
            </w:pPr>
            <w:r w:rsidRPr="009F2998">
              <w:rPr>
                <w:rFonts w:ascii="Times New Roman" w:hAnsi="Times New Roman" w:cs="Times New Roman"/>
              </w:rPr>
              <w:t>4,22</w:t>
            </w:r>
          </w:p>
        </w:tc>
        <w:tc>
          <w:tcPr>
            <w:tcW w:w="669" w:type="pct"/>
            <w:vAlign w:val="center"/>
          </w:tcPr>
          <w:p w14:paraId="415DEC1F" w14:textId="4285D2C4" w:rsidR="00E468BD" w:rsidRPr="009F2998" w:rsidRDefault="007832D5" w:rsidP="00AF5415">
            <w:pPr>
              <w:autoSpaceDE w:val="0"/>
              <w:autoSpaceDN w:val="0"/>
              <w:adjustRightInd w:val="0"/>
              <w:jc w:val="center"/>
              <w:rPr>
                <w:rFonts w:ascii="Times New Roman" w:hAnsi="Times New Roman" w:cs="Times New Roman"/>
              </w:rPr>
            </w:pPr>
            <w:r>
              <w:rPr>
                <w:rFonts w:ascii="Times New Roman" w:hAnsi="Times New Roman" w:cs="Times New Roman"/>
              </w:rPr>
              <w:t>70,61</w:t>
            </w:r>
          </w:p>
        </w:tc>
      </w:tr>
      <w:tr w:rsidR="00E468BD" w:rsidRPr="009F2998" w14:paraId="07D14F6E" w14:textId="77777777" w:rsidTr="00AF5415">
        <w:tc>
          <w:tcPr>
            <w:tcW w:w="2992" w:type="pct"/>
          </w:tcPr>
          <w:p w14:paraId="48C71487" w14:textId="77777777" w:rsidR="00E468BD" w:rsidRPr="009F2998" w:rsidRDefault="00E468BD" w:rsidP="00B60E06">
            <w:pPr>
              <w:autoSpaceDE w:val="0"/>
              <w:autoSpaceDN w:val="0"/>
              <w:adjustRightInd w:val="0"/>
              <w:jc w:val="both"/>
              <w:rPr>
                <w:rFonts w:ascii="Times New Roman" w:hAnsi="Times New Roman" w:cs="Times New Roman"/>
              </w:rPr>
            </w:pPr>
            <w:r w:rsidRPr="009F2998">
              <w:rPr>
                <w:rFonts w:ascii="Times New Roman" w:hAnsi="Times New Roman" w:cs="Times New Roman"/>
              </w:rPr>
              <w:t>Poskytovanie energetických služieb vo verejnom sektore</w:t>
            </w:r>
          </w:p>
        </w:tc>
        <w:tc>
          <w:tcPr>
            <w:tcW w:w="669" w:type="pct"/>
            <w:vAlign w:val="center"/>
          </w:tcPr>
          <w:p w14:paraId="186B676C" w14:textId="77777777" w:rsidR="00E468BD" w:rsidRPr="009F2998" w:rsidRDefault="00E468BD" w:rsidP="00AF5415">
            <w:pPr>
              <w:autoSpaceDE w:val="0"/>
              <w:autoSpaceDN w:val="0"/>
              <w:adjustRightInd w:val="0"/>
              <w:jc w:val="center"/>
              <w:rPr>
                <w:rFonts w:ascii="Times New Roman" w:hAnsi="Times New Roman" w:cs="Times New Roman"/>
              </w:rPr>
            </w:pPr>
            <w:r w:rsidRPr="009F2998">
              <w:rPr>
                <w:rFonts w:ascii="Times New Roman" w:hAnsi="Times New Roman" w:cs="Times New Roman"/>
              </w:rPr>
              <w:t>22,64</w:t>
            </w:r>
          </w:p>
        </w:tc>
        <w:tc>
          <w:tcPr>
            <w:tcW w:w="669" w:type="pct"/>
            <w:vAlign w:val="center"/>
          </w:tcPr>
          <w:p w14:paraId="6B6B4EAF" w14:textId="77777777" w:rsidR="00E468BD" w:rsidRPr="009F2998" w:rsidRDefault="00E468BD" w:rsidP="00AF5415">
            <w:pPr>
              <w:autoSpaceDE w:val="0"/>
              <w:autoSpaceDN w:val="0"/>
              <w:adjustRightInd w:val="0"/>
              <w:jc w:val="center"/>
              <w:rPr>
                <w:rFonts w:ascii="Times New Roman" w:hAnsi="Times New Roman" w:cs="Times New Roman"/>
              </w:rPr>
            </w:pPr>
            <w:r w:rsidRPr="009F2998">
              <w:rPr>
                <w:rFonts w:ascii="Times New Roman" w:hAnsi="Times New Roman" w:cs="Times New Roman"/>
              </w:rPr>
              <w:t>33,49</w:t>
            </w:r>
          </w:p>
        </w:tc>
        <w:tc>
          <w:tcPr>
            <w:tcW w:w="669" w:type="pct"/>
            <w:vAlign w:val="center"/>
          </w:tcPr>
          <w:p w14:paraId="0EB66F1C" w14:textId="590A5E5F" w:rsidR="00E468BD" w:rsidRPr="009F2998" w:rsidRDefault="0021587A" w:rsidP="00AF5415">
            <w:pPr>
              <w:autoSpaceDE w:val="0"/>
              <w:autoSpaceDN w:val="0"/>
              <w:adjustRightInd w:val="0"/>
              <w:jc w:val="center"/>
              <w:rPr>
                <w:rFonts w:ascii="Times New Roman" w:hAnsi="Times New Roman" w:cs="Times New Roman"/>
              </w:rPr>
            </w:pPr>
            <w:r w:rsidRPr="009F2998">
              <w:rPr>
                <w:rFonts w:ascii="Times New Roman" w:hAnsi="Times New Roman" w:cs="Times New Roman"/>
              </w:rPr>
              <w:t>2</w:t>
            </w:r>
            <w:r w:rsidR="00682DC8" w:rsidRPr="009F2998">
              <w:rPr>
                <w:rFonts w:ascii="Times New Roman" w:hAnsi="Times New Roman" w:cs="Times New Roman"/>
              </w:rPr>
              <w:t>,65</w:t>
            </w:r>
          </w:p>
        </w:tc>
      </w:tr>
    </w:tbl>
    <w:p w14:paraId="45D16095" w14:textId="77777777" w:rsidR="00902157" w:rsidRPr="009F2998" w:rsidRDefault="00902157" w:rsidP="00902157">
      <w:pPr>
        <w:rPr>
          <w:rFonts w:ascii="Times New Roman" w:hAnsi="Times New Roman" w:cs="Times New Roman"/>
        </w:rPr>
      </w:pPr>
    </w:p>
    <w:p w14:paraId="0C7300DC" w14:textId="7BA0A9C2" w:rsidR="00902157" w:rsidRDefault="008A67DD" w:rsidP="007157D7">
      <w:pPr>
        <w:pStyle w:val="Nadpis4"/>
        <w:numPr>
          <w:ilvl w:val="3"/>
          <w:numId w:val="16"/>
        </w:numPr>
        <w:rPr>
          <w:rFonts w:ascii="Times New Roman" w:eastAsia="Times New Roman" w:hAnsi="Times New Roman" w:cs="Times New Roman"/>
          <w:i w:val="0"/>
          <w:color w:val="auto"/>
          <w:lang w:eastAsia="sk-SK"/>
        </w:rPr>
      </w:pPr>
      <w:bookmarkStart w:id="84" w:name="_Toc477345377"/>
      <w:r w:rsidRPr="000578FE">
        <w:rPr>
          <w:rFonts w:ascii="Times New Roman" w:eastAsia="Times New Roman" w:hAnsi="Times New Roman" w:cs="Times New Roman"/>
          <w:i w:val="0"/>
          <w:color w:val="auto"/>
          <w:lang w:eastAsia="sk-SK"/>
        </w:rPr>
        <w:t>I</w:t>
      </w:r>
      <w:r w:rsidR="00902157" w:rsidRPr="000578FE">
        <w:rPr>
          <w:rFonts w:ascii="Times New Roman" w:eastAsia="Times New Roman" w:hAnsi="Times New Roman" w:cs="Times New Roman"/>
          <w:i w:val="0"/>
          <w:color w:val="auto"/>
          <w:lang w:eastAsia="sk-SK"/>
        </w:rPr>
        <w:t xml:space="preserve">nformácie o prijatých opatreniach a opatreniach, ktoré sa </w:t>
      </w:r>
      <w:r w:rsidR="00044016">
        <w:rPr>
          <w:rFonts w:ascii="Times New Roman" w:eastAsia="Times New Roman" w:hAnsi="Times New Roman" w:cs="Times New Roman"/>
          <w:i w:val="0"/>
          <w:color w:val="auto"/>
          <w:lang w:eastAsia="sk-SK"/>
        </w:rPr>
        <w:t>p</w:t>
      </w:r>
      <w:r w:rsidR="00902157" w:rsidRPr="000578FE">
        <w:rPr>
          <w:rFonts w:ascii="Times New Roman" w:eastAsia="Times New Roman" w:hAnsi="Times New Roman" w:cs="Times New Roman"/>
          <w:i w:val="0"/>
          <w:color w:val="auto"/>
          <w:lang w:eastAsia="sk-SK"/>
        </w:rPr>
        <w:t>lánujú prijať na podporovanie energetických služieb</w:t>
      </w:r>
      <w:bookmarkEnd w:id="84"/>
    </w:p>
    <w:p w14:paraId="575AA74B" w14:textId="77777777" w:rsidR="00044016" w:rsidRPr="000578FE" w:rsidRDefault="00044016" w:rsidP="000578FE">
      <w:pPr>
        <w:rPr>
          <w:lang w:eastAsia="sk-SK"/>
        </w:rPr>
      </w:pPr>
    </w:p>
    <w:p w14:paraId="4A15E95A" w14:textId="1F22BBA8" w:rsidR="00E468BD" w:rsidRPr="000745A8" w:rsidRDefault="00E468BD" w:rsidP="00E468BD">
      <w:pPr>
        <w:autoSpaceDE w:val="0"/>
        <w:autoSpaceDN w:val="0"/>
        <w:adjustRightInd w:val="0"/>
        <w:spacing w:after="0" w:line="240" w:lineRule="auto"/>
        <w:jc w:val="both"/>
        <w:rPr>
          <w:rFonts w:ascii="Times New Roman" w:hAnsi="Times New Roman" w:cs="Times New Roman"/>
          <w:sz w:val="24"/>
          <w:szCs w:val="24"/>
        </w:rPr>
      </w:pPr>
      <w:r w:rsidRPr="000745A8">
        <w:rPr>
          <w:rFonts w:ascii="Times New Roman" w:hAnsi="Times New Roman" w:cs="Times New Roman"/>
          <w:sz w:val="24"/>
          <w:szCs w:val="24"/>
        </w:rPr>
        <w:t>V rokoch 2012-2014 boli identifikované bariéry rozvoja energetických služieb v SR. Na základe týchto bariér boli pripravené opatrenia. Išlo najmä o nízke povedomie o </w:t>
      </w:r>
      <w:r w:rsidR="009E33CD" w:rsidRPr="000745A8">
        <w:rPr>
          <w:rFonts w:ascii="Times New Roman" w:hAnsi="Times New Roman" w:cs="Times New Roman"/>
          <w:sz w:val="24"/>
          <w:szCs w:val="24"/>
        </w:rPr>
        <w:t>GES</w:t>
      </w:r>
      <w:r w:rsidRPr="000745A8">
        <w:rPr>
          <w:rFonts w:ascii="Times New Roman" w:hAnsi="Times New Roman" w:cs="Times New Roman"/>
          <w:sz w:val="24"/>
          <w:szCs w:val="24"/>
        </w:rPr>
        <w:t xml:space="preserve">, nízka dôvera voči poskytovateľom </w:t>
      </w:r>
      <w:r w:rsidR="009E33CD" w:rsidRPr="000745A8">
        <w:rPr>
          <w:rFonts w:ascii="Times New Roman" w:hAnsi="Times New Roman" w:cs="Times New Roman"/>
          <w:sz w:val="24"/>
          <w:szCs w:val="24"/>
        </w:rPr>
        <w:t xml:space="preserve">GES </w:t>
      </w:r>
      <w:r w:rsidRPr="000745A8">
        <w:rPr>
          <w:rFonts w:ascii="Times New Roman" w:hAnsi="Times New Roman" w:cs="Times New Roman"/>
          <w:sz w:val="24"/>
          <w:szCs w:val="24"/>
        </w:rPr>
        <w:t xml:space="preserve">a tiež nedostatočný základný regulačný rámec. Niektoré z uvedených bariér boli odstránené </w:t>
      </w:r>
      <w:r w:rsidR="009E33CD" w:rsidRPr="000745A8">
        <w:rPr>
          <w:rFonts w:ascii="Times New Roman" w:hAnsi="Times New Roman" w:cs="Times New Roman"/>
          <w:sz w:val="24"/>
          <w:szCs w:val="24"/>
        </w:rPr>
        <w:t>zákonom</w:t>
      </w:r>
      <w:r w:rsidRPr="000745A8">
        <w:rPr>
          <w:rFonts w:ascii="Times New Roman" w:hAnsi="Times New Roman" w:cs="Times New Roman"/>
          <w:sz w:val="24"/>
          <w:szCs w:val="24"/>
        </w:rPr>
        <w:t xml:space="preserve"> č. 321/2014 Z. z. o energetickej efektívnosti, ktorý zaviedol základný systém poskytovania energetickej služby, zaviedol inštitút odborne spôsobilej osoby na poskytovanie garantovanej energetickej služby a obsah zmluvy o energetickej efektívnosti pre verejný sektor, ako aj informačné povinnosti pre Slovenskú </w:t>
      </w:r>
      <w:r w:rsidRPr="000745A8">
        <w:rPr>
          <w:rFonts w:ascii="Times New Roman" w:hAnsi="Times New Roman" w:cs="Times New Roman"/>
          <w:sz w:val="24"/>
          <w:szCs w:val="24"/>
        </w:rPr>
        <w:lastRenderedPageBreak/>
        <w:t xml:space="preserve">inovačnú a energetickú agentúru. Základné politické a regulačné bariéry pre energetické služby tak boli vo veľkej miere odstránené. </w:t>
      </w:r>
    </w:p>
    <w:p w14:paraId="45A603ED" w14:textId="77777777" w:rsidR="00E468BD" w:rsidRPr="000745A8" w:rsidRDefault="00E468BD" w:rsidP="00E468BD">
      <w:pPr>
        <w:autoSpaceDE w:val="0"/>
        <w:autoSpaceDN w:val="0"/>
        <w:adjustRightInd w:val="0"/>
        <w:spacing w:after="0" w:line="240" w:lineRule="auto"/>
        <w:jc w:val="both"/>
        <w:rPr>
          <w:rFonts w:ascii="Times New Roman" w:hAnsi="Times New Roman" w:cs="Times New Roman"/>
          <w:sz w:val="24"/>
          <w:szCs w:val="24"/>
        </w:rPr>
      </w:pPr>
    </w:p>
    <w:p w14:paraId="26E08432" w14:textId="7325F24B" w:rsidR="00E468BD" w:rsidRPr="000745A8" w:rsidRDefault="00E468BD" w:rsidP="00AF5415">
      <w:pPr>
        <w:jc w:val="both"/>
        <w:rPr>
          <w:rFonts w:ascii="Times New Roman" w:hAnsi="Times New Roman" w:cs="Times New Roman"/>
          <w:sz w:val="24"/>
          <w:szCs w:val="24"/>
        </w:rPr>
      </w:pPr>
      <w:r w:rsidRPr="000745A8">
        <w:rPr>
          <w:rFonts w:ascii="Times New Roman" w:hAnsi="Times New Roman" w:cs="Times New Roman"/>
          <w:sz w:val="24"/>
          <w:szCs w:val="24"/>
        </w:rPr>
        <w:t xml:space="preserve">Zostali však bariéry, ktoré sa týkajú financovania a finančných mechanizmov. Základnou charakteristikou garantovanej energetickej služby je splácanie investície (ide o návratnú formu financovania) z úspor energie, ktoré sa realizáciou opatrenia dosiahnu a ktorých výška je garantovaná. Tento benefit však zároveň vytvára bariéry pre rozvoj trhu garantovaných energetických služieb (GES), nakoľko predpokladá splatenie investície zo zdrojov, ktoré by prijímateľ GES v budúcnosti použil na krytie nákladov na energiu. To znamená, že akákoľvek podpora založená na nenávratných formách financovania je pre </w:t>
      </w:r>
      <w:r w:rsidR="009E33CD" w:rsidRPr="000745A8">
        <w:rPr>
          <w:rFonts w:ascii="Times New Roman" w:hAnsi="Times New Roman" w:cs="Times New Roman"/>
          <w:sz w:val="24"/>
          <w:szCs w:val="24"/>
        </w:rPr>
        <w:t xml:space="preserve">GES </w:t>
      </w:r>
      <w:r w:rsidR="00CB1B49">
        <w:rPr>
          <w:rFonts w:ascii="Times New Roman" w:hAnsi="Times New Roman" w:cs="Times New Roman"/>
          <w:sz w:val="24"/>
          <w:szCs w:val="24"/>
        </w:rPr>
        <w:t>významnou</w:t>
      </w:r>
      <w:r w:rsidR="00CB1B49" w:rsidRPr="000745A8">
        <w:rPr>
          <w:rFonts w:ascii="Times New Roman" w:hAnsi="Times New Roman" w:cs="Times New Roman"/>
          <w:sz w:val="24"/>
          <w:szCs w:val="24"/>
        </w:rPr>
        <w:t xml:space="preserve"> </w:t>
      </w:r>
      <w:r w:rsidRPr="000745A8">
        <w:rPr>
          <w:rFonts w:ascii="Times New Roman" w:hAnsi="Times New Roman" w:cs="Times New Roman"/>
          <w:sz w:val="24"/>
          <w:szCs w:val="24"/>
        </w:rPr>
        <w:t>konkurenciou.</w:t>
      </w:r>
      <w:r w:rsidR="005C7730">
        <w:rPr>
          <w:rFonts w:ascii="Times New Roman" w:hAnsi="Times New Roman" w:cs="Times New Roman"/>
          <w:sz w:val="24"/>
          <w:szCs w:val="24"/>
        </w:rPr>
        <w:t xml:space="preserve"> </w:t>
      </w:r>
      <w:r w:rsidRPr="000745A8">
        <w:rPr>
          <w:rFonts w:ascii="Times New Roman" w:hAnsi="Times New Roman" w:cs="Times New Roman"/>
          <w:sz w:val="24"/>
          <w:szCs w:val="24"/>
        </w:rPr>
        <w:t>Týka sa to najmä grantov a podporných fondov, pričom v prípade Slovenska sú to najmä európske štrukturálne a investičné fondy.</w:t>
      </w:r>
    </w:p>
    <w:p w14:paraId="0E3C43FD" w14:textId="77777777" w:rsidR="00E468BD" w:rsidRPr="000745A8" w:rsidRDefault="00E468BD" w:rsidP="00E468BD">
      <w:pPr>
        <w:autoSpaceDE w:val="0"/>
        <w:autoSpaceDN w:val="0"/>
        <w:adjustRightInd w:val="0"/>
        <w:spacing w:after="0" w:line="240" w:lineRule="auto"/>
        <w:jc w:val="both"/>
        <w:rPr>
          <w:rFonts w:ascii="Times New Roman" w:hAnsi="Times New Roman" w:cs="Times New Roman"/>
          <w:sz w:val="24"/>
          <w:szCs w:val="24"/>
        </w:rPr>
      </w:pPr>
    </w:p>
    <w:p w14:paraId="390901E0" w14:textId="77777777" w:rsidR="00E468BD" w:rsidRPr="000745A8" w:rsidRDefault="00E468BD" w:rsidP="00E468BD">
      <w:pPr>
        <w:autoSpaceDE w:val="0"/>
        <w:autoSpaceDN w:val="0"/>
        <w:adjustRightInd w:val="0"/>
        <w:spacing w:after="0" w:line="240" w:lineRule="auto"/>
        <w:jc w:val="both"/>
        <w:rPr>
          <w:rFonts w:ascii="Times New Roman" w:hAnsi="Times New Roman" w:cs="Times New Roman"/>
          <w:sz w:val="24"/>
          <w:szCs w:val="24"/>
        </w:rPr>
      </w:pPr>
      <w:r w:rsidRPr="000745A8">
        <w:rPr>
          <w:rFonts w:ascii="Times New Roman" w:hAnsi="Times New Roman" w:cs="Times New Roman"/>
          <w:sz w:val="24"/>
          <w:szCs w:val="24"/>
        </w:rPr>
        <w:t xml:space="preserve">Samostatnou kapitolou sú očakávania potenciálnych prijímateľov GES ohľadom dostupnosti a využitia takýchto finančných prostriedkov. Potenciálni prijímatelia garantovanej energetickej služby (predovšetkým vo verejnom sektore) často čakajú od dátumu oznámenia prípravy daného mechanizmu až do doby, kým sa tento mechanizmus nespustí, čo predstavuje až niekoľko rokov. V tomto čase zvyčajne nie sú ochotní uvažovať o iných spôsoboch zvyšovania energetickej efektívnosti (vrátane GES), bez ohľadu na objektívne nízku pravdepodobnosť úspechu pri získavaní nenávratných zdrojov. </w:t>
      </w:r>
    </w:p>
    <w:p w14:paraId="2999B45C" w14:textId="77777777" w:rsidR="00E468BD" w:rsidRPr="000745A8" w:rsidRDefault="00E468BD" w:rsidP="00E468BD">
      <w:pPr>
        <w:autoSpaceDE w:val="0"/>
        <w:autoSpaceDN w:val="0"/>
        <w:adjustRightInd w:val="0"/>
        <w:spacing w:after="0" w:line="240" w:lineRule="auto"/>
        <w:jc w:val="both"/>
        <w:rPr>
          <w:rFonts w:ascii="Times New Roman" w:hAnsi="Times New Roman" w:cs="Times New Roman"/>
          <w:sz w:val="24"/>
          <w:szCs w:val="24"/>
        </w:rPr>
      </w:pPr>
    </w:p>
    <w:p w14:paraId="08A8F9ED" w14:textId="209B87B5" w:rsidR="00E468BD" w:rsidRPr="000745A8" w:rsidRDefault="00E468BD" w:rsidP="00E468BD">
      <w:pPr>
        <w:autoSpaceDE w:val="0"/>
        <w:autoSpaceDN w:val="0"/>
        <w:adjustRightInd w:val="0"/>
        <w:spacing w:after="0" w:line="240" w:lineRule="auto"/>
        <w:jc w:val="both"/>
        <w:rPr>
          <w:rFonts w:ascii="Times New Roman" w:hAnsi="Times New Roman" w:cs="Times New Roman"/>
          <w:sz w:val="24"/>
          <w:szCs w:val="24"/>
        </w:rPr>
      </w:pPr>
      <w:r w:rsidRPr="000745A8">
        <w:rPr>
          <w:rFonts w:ascii="Times New Roman" w:hAnsi="Times New Roman" w:cs="Times New Roman"/>
          <w:sz w:val="24"/>
          <w:szCs w:val="24"/>
        </w:rPr>
        <w:t>Ďalšou bariérou je existujúca potreba komplexnej obnovy budov, kde investície do stavebných opatrení (zatepľovanie) významne predlžujú dobu návratnosti. Dlhšia doba návratnosti sa v praxi prejavuje vo využívaní iných typov finančných mechanizmov, avšak bez využitia finančného potenciálu úspor energie.</w:t>
      </w:r>
    </w:p>
    <w:p w14:paraId="5588BE08" w14:textId="77777777" w:rsidR="00E468BD" w:rsidRPr="000745A8" w:rsidRDefault="00E468BD" w:rsidP="00E468BD">
      <w:pPr>
        <w:autoSpaceDE w:val="0"/>
        <w:autoSpaceDN w:val="0"/>
        <w:adjustRightInd w:val="0"/>
        <w:spacing w:after="0" w:line="240" w:lineRule="auto"/>
        <w:jc w:val="both"/>
        <w:rPr>
          <w:rFonts w:ascii="Times New Roman" w:hAnsi="Times New Roman" w:cs="Times New Roman"/>
          <w:sz w:val="24"/>
          <w:szCs w:val="24"/>
        </w:rPr>
      </w:pPr>
    </w:p>
    <w:p w14:paraId="79EF16F0" w14:textId="059B8045" w:rsidR="00E468BD" w:rsidRPr="000745A8" w:rsidRDefault="00E468BD" w:rsidP="00E468BD">
      <w:pPr>
        <w:autoSpaceDE w:val="0"/>
        <w:autoSpaceDN w:val="0"/>
        <w:adjustRightInd w:val="0"/>
        <w:spacing w:after="0" w:line="240" w:lineRule="auto"/>
        <w:jc w:val="both"/>
        <w:rPr>
          <w:rFonts w:ascii="Times New Roman" w:hAnsi="Times New Roman" w:cs="Times New Roman"/>
          <w:sz w:val="24"/>
          <w:szCs w:val="24"/>
        </w:rPr>
      </w:pPr>
      <w:r w:rsidRPr="000745A8">
        <w:rPr>
          <w:rFonts w:ascii="Times New Roman" w:hAnsi="Times New Roman" w:cs="Times New Roman"/>
          <w:sz w:val="24"/>
          <w:szCs w:val="24"/>
        </w:rPr>
        <w:t>Posledná identifikovaná finančná bariéra je problematika kapitálových výdavkov vo verejnom sektore podľa metodiky Eurostatu</w:t>
      </w:r>
      <w:r w:rsidR="00E1739F">
        <w:rPr>
          <w:rFonts w:ascii="Times New Roman" w:hAnsi="Times New Roman" w:cs="Times New Roman"/>
          <w:sz w:val="24"/>
          <w:szCs w:val="24"/>
        </w:rPr>
        <w:t>,</w:t>
      </w:r>
      <w:r w:rsidRPr="000745A8">
        <w:rPr>
          <w:rFonts w:ascii="Times New Roman" w:hAnsi="Times New Roman" w:cs="Times New Roman"/>
          <w:sz w:val="24"/>
          <w:szCs w:val="24"/>
        </w:rPr>
        <w:t xml:space="preserve"> a s tým spojené vykazovanie verejného dlhu. Akýkoľvek úver verejného sektora zvyšuje kapitálové výdavky a tým aj verejný dlh. Napriek svojej rozpočtovej neutralite (t.</w:t>
      </w:r>
      <w:r w:rsidR="009E33CD" w:rsidRPr="000745A8">
        <w:rPr>
          <w:rFonts w:ascii="Times New Roman" w:hAnsi="Times New Roman" w:cs="Times New Roman"/>
          <w:sz w:val="24"/>
          <w:szCs w:val="24"/>
        </w:rPr>
        <w:t> </w:t>
      </w:r>
      <w:r w:rsidRPr="000745A8">
        <w:rPr>
          <w:rFonts w:ascii="Times New Roman" w:hAnsi="Times New Roman" w:cs="Times New Roman"/>
          <w:sz w:val="24"/>
          <w:szCs w:val="24"/>
        </w:rPr>
        <w:t xml:space="preserve">j. bez dopadu na rozpočtový deficit) je </w:t>
      </w:r>
      <w:r w:rsidR="009E33CD" w:rsidRPr="000745A8">
        <w:rPr>
          <w:rFonts w:ascii="Times New Roman" w:hAnsi="Times New Roman" w:cs="Times New Roman"/>
          <w:sz w:val="24"/>
          <w:szCs w:val="24"/>
        </w:rPr>
        <w:t xml:space="preserve">GES </w:t>
      </w:r>
      <w:r w:rsidRPr="000745A8">
        <w:rPr>
          <w:rFonts w:ascii="Times New Roman" w:hAnsi="Times New Roman" w:cs="Times New Roman"/>
          <w:sz w:val="24"/>
          <w:szCs w:val="24"/>
        </w:rPr>
        <w:t xml:space="preserve">Eurostatom považované za nástroj zvyšujúci verejný dlh. Toto však nie je len problém Slovenska. Týka sa najmä krajín s vysokým dlhom, kde sú verejné investície významne obmedzené. V niektorých ďalších krajinách toto predstavuje veľké riziko, a preto aj tam je širšie využitie </w:t>
      </w:r>
      <w:r w:rsidR="009E33CD" w:rsidRPr="000745A8">
        <w:rPr>
          <w:rFonts w:ascii="Times New Roman" w:hAnsi="Times New Roman" w:cs="Times New Roman"/>
          <w:sz w:val="24"/>
          <w:szCs w:val="24"/>
        </w:rPr>
        <w:t xml:space="preserve">GES </w:t>
      </w:r>
      <w:r w:rsidRPr="000745A8">
        <w:rPr>
          <w:rFonts w:ascii="Times New Roman" w:hAnsi="Times New Roman" w:cs="Times New Roman"/>
          <w:sz w:val="24"/>
          <w:szCs w:val="24"/>
        </w:rPr>
        <w:t>znemožnené.</w:t>
      </w:r>
    </w:p>
    <w:p w14:paraId="6EF99154" w14:textId="077F9883" w:rsidR="00E468BD" w:rsidRDefault="00E468BD" w:rsidP="00E468BD">
      <w:pPr>
        <w:autoSpaceDE w:val="0"/>
        <w:autoSpaceDN w:val="0"/>
        <w:adjustRightInd w:val="0"/>
        <w:spacing w:after="0" w:line="240" w:lineRule="auto"/>
        <w:jc w:val="both"/>
        <w:rPr>
          <w:rFonts w:ascii="Times New Roman" w:hAnsi="Times New Roman" w:cs="Times New Roman"/>
          <w:sz w:val="24"/>
          <w:szCs w:val="24"/>
        </w:rPr>
      </w:pPr>
      <w:r w:rsidRPr="000745A8">
        <w:rPr>
          <w:rFonts w:ascii="Times New Roman" w:hAnsi="Times New Roman" w:cs="Times New Roman"/>
          <w:sz w:val="24"/>
          <w:szCs w:val="24"/>
        </w:rPr>
        <w:t xml:space="preserve">DG ENERGY rokuje s Eurostatom a ďalšími zodpovednými DG o možnostiach iného spôsobu započítania výdavkov verejného sektora tak, aby </w:t>
      </w:r>
      <w:r w:rsidR="00A914C9" w:rsidRPr="000745A8">
        <w:rPr>
          <w:rFonts w:ascii="Times New Roman" w:hAnsi="Times New Roman" w:cs="Times New Roman"/>
          <w:sz w:val="24"/>
          <w:szCs w:val="24"/>
        </w:rPr>
        <w:t>GES</w:t>
      </w:r>
      <w:r w:rsidRPr="000745A8">
        <w:rPr>
          <w:rFonts w:ascii="Times New Roman" w:hAnsi="Times New Roman" w:cs="Times New Roman"/>
          <w:sz w:val="24"/>
          <w:szCs w:val="24"/>
        </w:rPr>
        <w:t xml:space="preserve"> moh</w:t>
      </w:r>
      <w:r w:rsidR="00A914C9" w:rsidRPr="000745A8">
        <w:rPr>
          <w:rFonts w:ascii="Times New Roman" w:hAnsi="Times New Roman" w:cs="Times New Roman"/>
          <w:sz w:val="24"/>
          <w:szCs w:val="24"/>
        </w:rPr>
        <w:t>li</w:t>
      </w:r>
      <w:r w:rsidRPr="000745A8">
        <w:rPr>
          <w:rFonts w:ascii="Times New Roman" w:hAnsi="Times New Roman" w:cs="Times New Roman"/>
          <w:sz w:val="24"/>
          <w:szCs w:val="24"/>
        </w:rPr>
        <w:t xml:space="preserve"> byť vyňaté z verejného dlhu, alebo aby bol</w:t>
      </w:r>
      <w:r w:rsidR="00A914C9" w:rsidRPr="000745A8">
        <w:rPr>
          <w:rFonts w:ascii="Times New Roman" w:hAnsi="Times New Roman" w:cs="Times New Roman"/>
          <w:sz w:val="24"/>
          <w:szCs w:val="24"/>
        </w:rPr>
        <w:t xml:space="preserve">i GES </w:t>
      </w:r>
      <w:r w:rsidRPr="000745A8">
        <w:rPr>
          <w:rFonts w:ascii="Times New Roman" w:hAnsi="Times New Roman" w:cs="Times New Roman"/>
          <w:sz w:val="24"/>
          <w:szCs w:val="24"/>
        </w:rPr>
        <w:t>aspoň inak zohľadňované.</w:t>
      </w:r>
      <w:r w:rsidR="00E1739F">
        <w:rPr>
          <w:rFonts w:ascii="Times New Roman" w:hAnsi="Times New Roman" w:cs="Times New Roman"/>
          <w:sz w:val="24"/>
          <w:szCs w:val="24"/>
        </w:rPr>
        <w:t xml:space="preserve"> </w:t>
      </w:r>
    </w:p>
    <w:p w14:paraId="450A98E7" w14:textId="010A10A3" w:rsidR="00E1739F" w:rsidRDefault="00E1739F" w:rsidP="00E468BD">
      <w:pPr>
        <w:autoSpaceDE w:val="0"/>
        <w:autoSpaceDN w:val="0"/>
        <w:adjustRightInd w:val="0"/>
        <w:spacing w:after="0" w:line="240" w:lineRule="auto"/>
        <w:jc w:val="both"/>
        <w:rPr>
          <w:rFonts w:ascii="Times New Roman" w:hAnsi="Times New Roman" w:cs="Times New Roman"/>
          <w:sz w:val="24"/>
          <w:szCs w:val="24"/>
        </w:rPr>
      </w:pPr>
    </w:p>
    <w:p w14:paraId="7A2CED8A" w14:textId="51BE84ED" w:rsidR="00E1739F" w:rsidRPr="000745A8" w:rsidRDefault="00E1739F" w:rsidP="00E173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týchto dôvodov nie sú podmienky na poskytovanie </w:t>
      </w:r>
      <w:r w:rsidRPr="00E325E5">
        <w:rPr>
          <w:rFonts w:ascii="Times New Roman" w:hAnsi="Times New Roman" w:cs="Times New Roman"/>
          <w:sz w:val="24"/>
          <w:szCs w:val="24"/>
        </w:rPr>
        <w:t>energetických služieb</w:t>
      </w:r>
      <w:r>
        <w:rPr>
          <w:rFonts w:ascii="Times New Roman" w:hAnsi="Times New Roman" w:cs="Times New Roman"/>
          <w:sz w:val="24"/>
          <w:szCs w:val="24"/>
        </w:rPr>
        <w:t>, a to najmä</w:t>
      </w:r>
      <w:r w:rsidR="00B776B1">
        <w:rPr>
          <w:rFonts w:ascii="Times New Roman" w:hAnsi="Times New Roman" w:cs="Times New Roman"/>
          <w:sz w:val="24"/>
          <w:szCs w:val="24"/>
        </w:rPr>
        <w:t xml:space="preserve"> vo verejnom sektore, dostatočné</w:t>
      </w:r>
      <w:r>
        <w:rPr>
          <w:rFonts w:ascii="Times New Roman" w:hAnsi="Times New Roman" w:cs="Times New Roman"/>
          <w:sz w:val="24"/>
          <w:szCs w:val="24"/>
        </w:rPr>
        <w:t xml:space="preserve">. </w:t>
      </w:r>
    </w:p>
    <w:p w14:paraId="77493089" w14:textId="77777777" w:rsidR="00E468BD" w:rsidRPr="000745A8" w:rsidRDefault="00E468BD" w:rsidP="00E468BD">
      <w:pPr>
        <w:autoSpaceDE w:val="0"/>
        <w:autoSpaceDN w:val="0"/>
        <w:adjustRightInd w:val="0"/>
        <w:spacing w:after="0" w:line="240" w:lineRule="auto"/>
        <w:jc w:val="both"/>
        <w:rPr>
          <w:rFonts w:ascii="Times New Roman" w:hAnsi="Times New Roman" w:cs="Times New Roman"/>
          <w:sz w:val="24"/>
          <w:szCs w:val="24"/>
        </w:rPr>
      </w:pPr>
    </w:p>
    <w:p w14:paraId="4DD7DCB3" w14:textId="77777777" w:rsidR="00E468BD" w:rsidRPr="000745A8" w:rsidRDefault="00E468BD" w:rsidP="00E468BD">
      <w:pPr>
        <w:autoSpaceDE w:val="0"/>
        <w:autoSpaceDN w:val="0"/>
        <w:adjustRightInd w:val="0"/>
        <w:spacing w:after="0" w:line="240" w:lineRule="auto"/>
        <w:jc w:val="both"/>
        <w:rPr>
          <w:rFonts w:ascii="Times New Roman" w:hAnsi="Times New Roman" w:cs="Times New Roman"/>
          <w:sz w:val="24"/>
          <w:szCs w:val="24"/>
        </w:rPr>
      </w:pPr>
      <w:r w:rsidRPr="000745A8">
        <w:rPr>
          <w:rFonts w:ascii="Times New Roman" w:hAnsi="Times New Roman" w:cs="Times New Roman"/>
          <w:sz w:val="24"/>
          <w:szCs w:val="24"/>
        </w:rPr>
        <w:t>Pre odstránenie ostatných finančných bariér je potrebné koordinovať spoluprácu zainteresovaných strán na národnej úrovni minimálne v nasledovných oblastiach:</w:t>
      </w:r>
    </w:p>
    <w:p w14:paraId="6D3A8C47" w14:textId="77777777" w:rsidR="00E468BD" w:rsidRPr="000745A8" w:rsidRDefault="00E468BD" w:rsidP="007157D7">
      <w:pPr>
        <w:pStyle w:val="Odsekzoznamu"/>
        <w:numPr>
          <w:ilvl w:val="0"/>
          <w:numId w:val="13"/>
        </w:numPr>
        <w:autoSpaceDE w:val="0"/>
        <w:autoSpaceDN w:val="0"/>
        <w:adjustRightInd w:val="0"/>
        <w:spacing w:after="0" w:line="240" w:lineRule="auto"/>
        <w:jc w:val="both"/>
        <w:rPr>
          <w:rFonts w:ascii="Times New Roman" w:hAnsi="Times New Roman" w:cs="Times New Roman"/>
          <w:sz w:val="24"/>
          <w:szCs w:val="24"/>
        </w:rPr>
      </w:pPr>
      <w:r w:rsidRPr="000745A8">
        <w:rPr>
          <w:rFonts w:ascii="Times New Roman" w:hAnsi="Times New Roman" w:cs="Times New Roman"/>
          <w:sz w:val="24"/>
          <w:szCs w:val="24"/>
        </w:rPr>
        <w:t>zreálnenie očakávaní potenciálnych prijímateľov GES vo verejnom sektore ohľadom ich možností získať nenávratné financovanie pre projekty zlepšovania energetickej efektívnosti;</w:t>
      </w:r>
    </w:p>
    <w:p w14:paraId="7A24640B" w14:textId="77777777" w:rsidR="00E468BD" w:rsidRPr="000745A8" w:rsidRDefault="00E468BD" w:rsidP="007157D7">
      <w:pPr>
        <w:pStyle w:val="Odsekzoznamu"/>
        <w:numPr>
          <w:ilvl w:val="0"/>
          <w:numId w:val="13"/>
        </w:numPr>
        <w:autoSpaceDE w:val="0"/>
        <w:autoSpaceDN w:val="0"/>
        <w:adjustRightInd w:val="0"/>
        <w:spacing w:after="0" w:line="240" w:lineRule="auto"/>
        <w:jc w:val="both"/>
        <w:rPr>
          <w:rFonts w:ascii="Times New Roman" w:hAnsi="Times New Roman" w:cs="Times New Roman"/>
          <w:sz w:val="24"/>
          <w:szCs w:val="24"/>
        </w:rPr>
      </w:pPr>
      <w:r w:rsidRPr="000745A8">
        <w:rPr>
          <w:rFonts w:ascii="Times New Roman" w:hAnsi="Times New Roman" w:cs="Times New Roman"/>
          <w:sz w:val="24"/>
          <w:szCs w:val="24"/>
        </w:rPr>
        <w:t xml:space="preserve">umožnenie viaczdrojového financovania projektov zvyšovania energetickej efektívnosti vo verejnom sektore prostredníctvom kombinácie nenávratného financovania z podporných mechanizmov (EŠIF) a návratného financovania založeného na monetizácii budúcich garantovaných úspor energie. </w:t>
      </w:r>
    </w:p>
    <w:p w14:paraId="65231544" w14:textId="0AC061F3" w:rsidR="003E7C46" w:rsidRPr="000745A8" w:rsidRDefault="003E7C46" w:rsidP="003E7C46">
      <w:pPr>
        <w:jc w:val="both"/>
        <w:rPr>
          <w:rFonts w:ascii="Times New Roman" w:hAnsi="Times New Roman" w:cs="Times New Roman"/>
          <w:sz w:val="24"/>
          <w:szCs w:val="24"/>
        </w:rPr>
      </w:pPr>
    </w:p>
    <w:p w14:paraId="32F4AB66" w14:textId="73F18971" w:rsidR="00902157" w:rsidRDefault="008A67DD" w:rsidP="007157D7">
      <w:pPr>
        <w:pStyle w:val="Nadpis4"/>
        <w:numPr>
          <w:ilvl w:val="3"/>
          <w:numId w:val="16"/>
        </w:numPr>
        <w:rPr>
          <w:rFonts w:ascii="Times New Roman" w:eastAsia="Times New Roman" w:hAnsi="Times New Roman" w:cs="Times New Roman"/>
          <w:i w:val="0"/>
          <w:color w:val="auto"/>
          <w:lang w:eastAsia="sk-SK"/>
        </w:rPr>
      </w:pPr>
      <w:bookmarkStart w:id="85" w:name="_Toc477345378"/>
      <w:r w:rsidRPr="000578FE">
        <w:rPr>
          <w:rFonts w:ascii="Times New Roman" w:eastAsia="Times New Roman" w:hAnsi="Times New Roman" w:cs="Times New Roman"/>
          <w:i w:val="0"/>
          <w:color w:val="auto"/>
          <w:lang w:eastAsia="sk-SK"/>
        </w:rPr>
        <w:t>K</w:t>
      </w:r>
      <w:r w:rsidR="00902157" w:rsidRPr="000578FE">
        <w:rPr>
          <w:rFonts w:ascii="Times New Roman" w:eastAsia="Times New Roman" w:hAnsi="Times New Roman" w:cs="Times New Roman"/>
          <w:i w:val="0"/>
          <w:color w:val="auto"/>
          <w:lang w:eastAsia="sk-SK"/>
        </w:rPr>
        <w:t xml:space="preserve">valitatívny prehľad vnútroštátneho trhu s energetickými </w:t>
      </w:r>
      <w:r w:rsidR="00044016">
        <w:rPr>
          <w:rFonts w:ascii="Times New Roman" w:eastAsia="Times New Roman" w:hAnsi="Times New Roman" w:cs="Times New Roman"/>
          <w:i w:val="0"/>
          <w:color w:val="auto"/>
          <w:lang w:eastAsia="sk-SK"/>
        </w:rPr>
        <w:t>s</w:t>
      </w:r>
      <w:r w:rsidR="00902157" w:rsidRPr="000578FE">
        <w:rPr>
          <w:rFonts w:ascii="Times New Roman" w:eastAsia="Times New Roman" w:hAnsi="Times New Roman" w:cs="Times New Roman"/>
          <w:i w:val="0"/>
          <w:color w:val="auto"/>
          <w:lang w:eastAsia="sk-SK"/>
        </w:rPr>
        <w:t>lužbami</w:t>
      </w:r>
      <w:bookmarkEnd w:id="85"/>
    </w:p>
    <w:p w14:paraId="7A8DFA81" w14:textId="77777777" w:rsidR="00044016" w:rsidRPr="000578FE" w:rsidRDefault="00044016" w:rsidP="000578FE">
      <w:pPr>
        <w:rPr>
          <w:lang w:eastAsia="sk-SK"/>
        </w:rPr>
      </w:pPr>
    </w:p>
    <w:p w14:paraId="607B72B3" w14:textId="77777777" w:rsidR="00E468BD" w:rsidRPr="000745A8" w:rsidRDefault="00E468BD" w:rsidP="008C48EE">
      <w:pPr>
        <w:jc w:val="both"/>
        <w:rPr>
          <w:rFonts w:ascii="Times New Roman" w:hAnsi="Times New Roman" w:cs="Times New Roman"/>
          <w:color w:val="000000"/>
          <w:sz w:val="24"/>
          <w:szCs w:val="24"/>
        </w:rPr>
      </w:pPr>
      <w:r w:rsidRPr="000745A8">
        <w:rPr>
          <w:rFonts w:ascii="Times New Roman" w:hAnsi="Times New Roman" w:cs="Times New Roman"/>
          <w:color w:val="000000"/>
          <w:sz w:val="24"/>
          <w:szCs w:val="24"/>
        </w:rPr>
        <w:t>Predpoklady pre kvalitné poskytovanie energetických služieb sú na Slovensku vytvorené prostredníctvom prijatého legislatívneho rámca pre oblasť garantovaných energetických služieb. Platná legislatíva definuje garantovanú energetickú službu ako viazanú živnosť, ktorú môže poskytovať výhradne držiteľ platného osvedčenia o odbornej spôsobilosti (alebo energetický audítor). Získanie osvedčenia o odbornej spôsobilosti na poskytovanie GES je podmienené splnením kvalifikačných predpokladov, zdokladovaním potrebnej praxe a vykonaním skúšky odbornej spôsobilosti. Platnosť osvedčenia je podmienená absolvovaním aktualizačnej odbornej prípravy minimálne raz za tri roky. Uvedené ustanovenia zabezpečujú splnenie minimálnych odborných štandardov potrebných pre kvalitné poskytovanie GES.</w:t>
      </w:r>
    </w:p>
    <w:p w14:paraId="7AEC3941" w14:textId="69C180B5" w:rsidR="00E468BD" w:rsidRPr="000745A8" w:rsidRDefault="00E468BD" w:rsidP="008C48EE">
      <w:pPr>
        <w:jc w:val="both"/>
        <w:rPr>
          <w:rFonts w:ascii="Times New Roman" w:hAnsi="Times New Roman" w:cs="Times New Roman"/>
          <w:color w:val="000000"/>
          <w:sz w:val="24"/>
          <w:szCs w:val="24"/>
        </w:rPr>
      </w:pPr>
      <w:r w:rsidRPr="000745A8">
        <w:rPr>
          <w:rFonts w:ascii="Times New Roman" w:hAnsi="Times New Roman" w:cs="Times New Roman"/>
          <w:color w:val="000000"/>
          <w:sz w:val="24"/>
          <w:szCs w:val="24"/>
        </w:rPr>
        <w:t xml:space="preserve">Ďalším spôsobom zabezpečenia kvality poskytovania GES je samoregulácia poskytovateľov GES vyjadrená ich pristúpením k Európskemu etickému kódexu pre </w:t>
      </w:r>
      <w:r w:rsidR="00FC0D73" w:rsidRPr="000745A8">
        <w:rPr>
          <w:rFonts w:ascii="Times New Roman" w:hAnsi="Times New Roman" w:cs="Times New Roman"/>
          <w:color w:val="000000"/>
          <w:sz w:val="24"/>
          <w:szCs w:val="24"/>
        </w:rPr>
        <w:t>poskytovateľov energetických služieb</w:t>
      </w:r>
      <w:r w:rsidRPr="000745A8">
        <w:rPr>
          <w:rFonts w:ascii="Times New Roman" w:hAnsi="Times New Roman" w:cs="Times New Roman"/>
          <w:color w:val="000000"/>
          <w:sz w:val="24"/>
          <w:szCs w:val="24"/>
        </w:rPr>
        <w:t>.</w:t>
      </w:r>
    </w:p>
    <w:p w14:paraId="535D78F5" w14:textId="5136D266" w:rsidR="00E468BD" w:rsidRPr="000745A8" w:rsidRDefault="00E468BD" w:rsidP="008C48EE">
      <w:pPr>
        <w:jc w:val="both"/>
        <w:rPr>
          <w:rFonts w:ascii="Times New Roman" w:hAnsi="Times New Roman" w:cs="Times New Roman"/>
          <w:color w:val="000000"/>
          <w:sz w:val="24"/>
          <w:szCs w:val="24"/>
        </w:rPr>
      </w:pPr>
      <w:r w:rsidRPr="000745A8">
        <w:rPr>
          <w:rFonts w:ascii="Times New Roman" w:hAnsi="Times New Roman" w:cs="Times New Roman"/>
          <w:color w:val="000000"/>
          <w:sz w:val="24"/>
          <w:szCs w:val="24"/>
        </w:rPr>
        <w:t>V súčasnosti nie je implementovaný formalizovaný systém hodnotenia kvality projektov GES, avšak na základe trhových informácií z projektov garantovaných energetických služieb realizovaných na Slovensku možno konštatovať, že kvalita a odbornosť poskytovateľov GES je jedným z rozhodujúcich faktorov s pozitívnym vplyvom na rozhodovanie o projektoch GES zo strany ich prijímateľov. V priebehu hodnoteného obdobia neboli z</w:t>
      </w:r>
      <w:r w:rsidR="00FC0D73" w:rsidRPr="000745A8">
        <w:rPr>
          <w:rFonts w:ascii="Times New Roman" w:hAnsi="Times New Roman" w:cs="Times New Roman"/>
          <w:color w:val="000000"/>
          <w:sz w:val="24"/>
          <w:szCs w:val="24"/>
        </w:rPr>
        <w:t>az</w:t>
      </w:r>
      <w:r w:rsidRPr="000745A8">
        <w:rPr>
          <w:rFonts w:ascii="Times New Roman" w:hAnsi="Times New Roman" w:cs="Times New Roman"/>
          <w:color w:val="000000"/>
          <w:sz w:val="24"/>
          <w:szCs w:val="24"/>
        </w:rPr>
        <w:t xml:space="preserve">namenané negatívne skúsenosti s kvalitou realizácie projektov. V absolútnej väčšine prípadov realizované projekty spĺňali dohodnuté parametre, vrátane plnenia výšky garantovaných úspor energie. V niektorých prípadoch, keď dohodnutá výška úspor nebola dosiahnutá, kompenzovali </w:t>
      </w:r>
      <w:r w:rsidR="00FC0D73" w:rsidRPr="000745A8">
        <w:rPr>
          <w:rFonts w:ascii="Times New Roman" w:hAnsi="Times New Roman" w:cs="Times New Roman"/>
          <w:color w:val="000000"/>
          <w:sz w:val="24"/>
          <w:szCs w:val="24"/>
        </w:rPr>
        <w:t xml:space="preserve">poskytovatelia </w:t>
      </w:r>
      <w:r w:rsidRPr="000745A8">
        <w:rPr>
          <w:rFonts w:ascii="Times New Roman" w:hAnsi="Times New Roman" w:cs="Times New Roman"/>
          <w:color w:val="000000"/>
          <w:sz w:val="24"/>
          <w:szCs w:val="24"/>
        </w:rPr>
        <w:t>GES tieto výpadky vopred dohodnutým spôsobom.</w:t>
      </w:r>
    </w:p>
    <w:p w14:paraId="1F38C8C8" w14:textId="77777777" w:rsidR="00E468BD" w:rsidRPr="009F2998" w:rsidRDefault="00E468BD" w:rsidP="003E7C46">
      <w:pPr>
        <w:jc w:val="both"/>
        <w:rPr>
          <w:rFonts w:ascii="Times New Roman" w:hAnsi="Times New Roman" w:cs="Times New Roman"/>
        </w:rPr>
      </w:pPr>
    </w:p>
    <w:p w14:paraId="59936DF5" w14:textId="77777777" w:rsidR="00902157" w:rsidRPr="000578FE" w:rsidRDefault="00902157" w:rsidP="007157D7">
      <w:pPr>
        <w:pStyle w:val="Nadpis3"/>
        <w:keepNext w:val="0"/>
        <w:keepLines w:val="0"/>
        <w:numPr>
          <w:ilvl w:val="2"/>
          <w:numId w:val="16"/>
        </w:numPr>
        <w:ind w:left="1276" w:hanging="567"/>
        <w:rPr>
          <w:rFonts w:ascii="Times New Roman" w:hAnsi="Times New Roman" w:cs="Times New Roman"/>
          <w:color w:val="auto"/>
        </w:rPr>
      </w:pPr>
      <w:bookmarkStart w:id="86" w:name="_Toc477345379"/>
      <w:r w:rsidRPr="000578FE">
        <w:rPr>
          <w:rFonts w:ascii="Times New Roman" w:hAnsi="Times New Roman" w:cs="Times New Roman"/>
          <w:color w:val="auto"/>
        </w:rPr>
        <w:t>Ďalšie opatrenia horizontálneho charakteru (články 19 a 20 SEE)</w:t>
      </w:r>
      <w:bookmarkEnd w:id="86"/>
    </w:p>
    <w:p w14:paraId="0F0B6B2E" w14:textId="77777777" w:rsidR="00F65D89" w:rsidRPr="000745A8" w:rsidRDefault="00F65D89" w:rsidP="00F65D89">
      <w:pPr>
        <w:rPr>
          <w:rFonts w:ascii="Times New Roman" w:hAnsi="Times New Roman" w:cs="Times New Roman"/>
          <w:sz w:val="24"/>
        </w:rPr>
      </w:pPr>
    </w:p>
    <w:p w14:paraId="07EE44AC" w14:textId="360A7EC5" w:rsidR="00902157" w:rsidRPr="000745A8" w:rsidRDefault="00902157" w:rsidP="000745A8">
      <w:pPr>
        <w:jc w:val="both"/>
        <w:rPr>
          <w:rFonts w:ascii="Times New Roman" w:hAnsi="Times New Roman" w:cs="Times New Roman"/>
          <w:sz w:val="24"/>
        </w:rPr>
      </w:pPr>
      <w:r w:rsidRPr="000745A8">
        <w:rPr>
          <w:rFonts w:ascii="Times New Roman" w:hAnsi="Times New Roman" w:cs="Times New Roman"/>
          <w:sz w:val="24"/>
        </w:rPr>
        <w:t>Prvý národný akčný plán energetickej efektívnosti obsahuje zoznam opatrení uvedených v článku 19 ods. 1.SK 14.11.2012 Úradný vestník Európskej únie L 315/51</w:t>
      </w:r>
      <w:r w:rsidR="00044366">
        <w:rPr>
          <w:rFonts w:ascii="Times New Roman" w:hAnsi="Times New Roman" w:cs="Times New Roman"/>
          <w:sz w:val="24"/>
        </w:rPr>
        <w:t>.</w:t>
      </w:r>
    </w:p>
    <w:p w14:paraId="5ACD26D7" w14:textId="3F3282EC" w:rsidR="00902157" w:rsidRPr="000745A8" w:rsidRDefault="00902157" w:rsidP="000745A8">
      <w:pPr>
        <w:jc w:val="both"/>
        <w:rPr>
          <w:rFonts w:ascii="Times New Roman" w:hAnsi="Times New Roman" w:cs="Times New Roman"/>
          <w:color w:val="000000"/>
          <w:sz w:val="24"/>
        </w:rPr>
      </w:pPr>
      <w:r w:rsidRPr="000745A8">
        <w:rPr>
          <w:rFonts w:ascii="Times New Roman" w:hAnsi="Times New Roman" w:cs="Times New Roman"/>
          <w:color w:val="000000"/>
          <w:sz w:val="24"/>
        </w:rPr>
        <w:t>V prípade požiadaviek na vyriešenie problematiky zvýšenia záujmu nájomcu</w:t>
      </w:r>
      <w:r w:rsidRPr="000745A8" w:rsidDel="005429ED">
        <w:rPr>
          <w:rFonts w:ascii="Times New Roman" w:hAnsi="Times New Roman" w:cs="Times New Roman"/>
          <w:color w:val="000000"/>
          <w:sz w:val="24"/>
        </w:rPr>
        <w:t xml:space="preserve"> </w:t>
      </w:r>
      <w:r w:rsidRPr="000745A8">
        <w:rPr>
          <w:rFonts w:ascii="Times New Roman" w:hAnsi="Times New Roman" w:cs="Times New Roman"/>
          <w:color w:val="000000"/>
          <w:sz w:val="24"/>
        </w:rPr>
        <w:t xml:space="preserve">ohľadne cien energie a investícií do úsporných opatrení, SR navrhla v návrhu zákona o energetickej efektívnosti povinnosť samostatného účtovania energie v rámci poskytovania nájmu v prípade </w:t>
      </w:r>
      <w:r w:rsidR="00A91550" w:rsidRPr="000745A8">
        <w:rPr>
          <w:rFonts w:ascii="Times New Roman" w:hAnsi="Times New Roman" w:cs="Times New Roman"/>
          <w:color w:val="000000"/>
          <w:sz w:val="24"/>
        </w:rPr>
        <w:t xml:space="preserve">inštalácie </w:t>
      </w:r>
      <w:r w:rsidRPr="000745A8">
        <w:rPr>
          <w:rFonts w:ascii="Times New Roman" w:hAnsi="Times New Roman" w:cs="Times New Roman"/>
          <w:color w:val="000000"/>
          <w:sz w:val="24"/>
        </w:rPr>
        <w:t xml:space="preserve"> určeného meradla a pre priestory s podlahovou plochou nad 1 000 m</w:t>
      </w:r>
      <w:r w:rsidRPr="000745A8">
        <w:rPr>
          <w:rFonts w:ascii="Times New Roman" w:hAnsi="Times New Roman" w:cs="Times New Roman"/>
          <w:color w:val="000000"/>
          <w:sz w:val="24"/>
          <w:vertAlign w:val="superscript"/>
        </w:rPr>
        <w:t>2</w:t>
      </w:r>
      <w:r w:rsidRPr="000745A8">
        <w:rPr>
          <w:rFonts w:ascii="Times New Roman" w:hAnsi="Times New Roman" w:cs="Times New Roman"/>
          <w:color w:val="000000"/>
          <w:sz w:val="24"/>
        </w:rPr>
        <w:t>.</w:t>
      </w:r>
    </w:p>
    <w:p w14:paraId="0B57F454" w14:textId="77777777" w:rsidR="00902157" w:rsidRPr="009F2998" w:rsidRDefault="00902157" w:rsidP="00902157">
      <w:pPr>
        <w:rPr>
          <w:rFonts w:ascii="Times New Roman" w:hAnsi="Times New Roman" w:cs="Times New Roman"/>
          <w:color w:val="000000"/>
        </w:rPr>
      </w:pPr>
    </w:p>
    <w:p w14:paraId="4844F569" w14:textId="33542E5C" w:rsidR="00902157" w:rsidRPr="000578FE" w:rsidRDefault="00BF460E" w:rsidP="009927E4">
      <w:pPr>
        <w:pStyle w:val="Nadpis4"/>
        <w:numPr>
          <w:ilvl w:val="3"/>
          <w:numId w:val="16"/>
        </w:numPr>
        <w:rPr>
          <w:rFonts w:ascii="Times New Roman" w:eastAsia="Times New Roman" w:hAnsi="Times New Roman" w:cs="Times New Roman"/>
          <w:i w:val="0"/>
          <w:color w:val="auto"/>
          <w:lang w:eastAsia="sk-SK"/>
        </w:rPr>
      </w:pPr>
      <w:bookmarkStart w:id="87" w:name="_Toc477345380"/>
      <w:r w:rsidRPr="000578FE">
        <w:rPr>
          <w:rFonts w:ascii="Times New Roman" w:eastAsia="Times New Roman" w:hAnsi="Times New Roman" w:cs="Times New Roman"/>
          <w:i w:val="0"/>
          <w:color w:val="auto"/>
          <w:lang w:eastAsia="sk-SK"/>
        </w:rPr>
        <w:t>O</w:t>
      </w:r>
      <w:r w:rsidR="00902157" w:rsidRPr="000578FE">
        <w:rPr>
          <w:rFonts w:ascii="Times New Roman" w:eastAsia="Times New Roman" w:hAnsi="Times New Roman" w:cs="Times New Roman"/>
          <w:i w:val="0"/>
          <w:color w:val="auto"/>
          <w:lang w:eastAsia="sk-SK"/>
        </w:rPr>
        <w:t xml:space="preserve">patrenia v oblasti </w:t>
      </w:r>
      <w:r w:rsidR="009927E4" w:rsidRPr="009927E4">
        <w:rPr>
          <w:rFonts w:ascii="Times New Roman" w:eastAsia="Times New Roman" w:hAnsi="Times New Roman" w:cs="Times New Roman"/>
          <w:i w:val="0"/>
          <w:color w:val="auto"/>
          <w:lang w:eastAsia="sk-SK"/>
        </w:rPr>
        <w:t>energetickej efektívnosti</w:t>
      </w:r>
      <w:r w:rsidR="009927E4" w:rsidRPr="009927E4" w:rsidDel="009927E4">
        <w:rPr>
          <w:rFonts w:ascii="Times New Roman" w:eastAsia="Times New Roman" w:hAnsi="Times New Roman" w:cs="Times New Roman"/>
          <w:i w:val="0"/>
          <w:color w:val="auto"/>
          <w:lang w:eastAsia="sk-SK"/>
        </w:rPr>
        <w:t xml:space="preserve"> </w:t>
      </w:r>
      <w:r w:rsidR="00902157" w:rsidRPr="000578FE">
        <w:rPr>
          <w:rFonts w:ascii="Times New Roman" w:eastAsia="Times New Roman" w:hAnsi="Times New Roman" w:cs="Times New Roman"/>
          <w:i w:val="0"/>
          <w:color w:val="auto"/>
          <w:lang w:eastAsia="sk-SK"/>
        </w:rPr>
        <w:t>podniknuté v záujme vykonávania článku 19 SEE.</w:t>
      </w:r>
      <w:bookmarkEnd w:id="87"/>
    </w:p>
    <w:p w14:paraId="1B1684C9" w14:textId="6ADD7B02" w:rsidR="00D577C9" w:rsidRPr="000745A8" w:rsidRDefault="00D577C9" w:rsidP="000745A8">
      <w:pPr>
        <w:jc w:val="both"/>
        <w:rPr>
          <w:rFonts w:ascii="Times New Roman" w:hAnsi="Times New Roman" w:cs="Times New Roman"/>
          <w:sz w:val="24"/>
        </w:rPr>
      </w:pPr>
      <w:r w:rsidRPr="000745A8">
        <w:rPr>
          <w:rFonts w:ascii="Times New Roman" w:hAnsi="Times New Roman" w:cs="Times New Roman"/>
          <w:sz w:val="24"/>
        </w:rPr>
        <w:t>Neuplatňuje sa.</w:t>
      </w:r>
    </w:p>
    <w:p w14:paraId="18878E25" w14:textId="501D7FC4" w:rsidR="00902157" w:rsidRPr="000578FE" w:rsidRDefault="00BF460E" w:rsidP="009927E4">
      <w:pPr>
        <w:pStyle w:val="Nadpis4"/>
        <w:numPr>
          <w:ilvl w:val="3"/>
          <w:numId w:val="16"/>
        </w:numPr>
        <w:rPr>
          <w:rFonts w:ascii="Times New Roman" w:eastAsia="Times New Roman" w:hAnsi="Times New Roman" w:cs="Times New Roman"/>
          <w:i w:val="0"/>
          <w:color w:val="auto"/>
          <w:lang w:eastAsia="sk-SK"/>
        </w:rPr>
      </w:pPr>
      <w:bookmarkStart w:id="88" w:name="_Toc477345381"/>
      <w:r w:rsidRPr="000578FE">
        <w:rPr>
          <w:rFonts w:ascii="Times New Roman" w:eastAsia="Times New Roman" w:hAnsi="Times New Roman" w:cs="Times New Roman"/>
          <w:i w:val="0"/>
          <w:color w:val="auto"/>
          <w:lang w:eastAsia="sk-SK"/>
        </w:rPr>
        <w:t>I</w:t>
      </w:r>
      <w:r w:rsidR="00902157" w:rsidRPr="000578FE">
        <w:rPr>
          <w:rFonts w:ascii="Times New Roman" w:eastAsia="Times New Roman" w:hAnsi="Times New Roman" w:cs="Times New Roman"/>
          <w:i w:val="0"/>
          <w:color w:val="auto"/>
          <w:lang w:eastAsia="sk-SK"/>
        </w:rPr>
        <w:t xml:space="preserve">nformácie o národnom fonde </w:t>
      </w:r>
      <w:r w:rsidR="009927E4" w:rsidRPr="009927E4">
        <w:rPr>
          <w:rFonts w:ascii="Times New Roman" w:eastAsia="Times New Roman" w:hAnsi="Times New Roman" w:cs="Times New Roman"/>
          <w:i w:val="0"/>
          <w:color w:val="auto"/>
          <w:lang w:eastAsia="sk-SK"/>
        </w:rPr>
        <w:t>energetickej efektívnosti</w:t>
      </w:r>
      <w:bookmarkEnd w:id="88"/>
    </w:p>
    <w:p w14:paraId="0879C1F4" w14:textId="42126BAE" w:rsidR="00D577C9" w:rsidRPr="000745A8" w:rsidRDefault="00D577C9" w:rsidP="000745A8">
      <w:pPr>
        <w:jc w:val="both"/>
        <w:rPr>
          <w:rFonts w:ascii="Times New Roman" w:hAnsi="Times New Roman" w:cs="Times New Roman"/>
          <w:sz w:val="24"/>
        </w:rPr>
      </w:pPr>
      <w:r w:rsidRPr="000745A8">
        <w:rPr>
          <w:rFonts w:ascii="Times New Roman" w:hAnsi="Times New Roman" w:cs="Times New Roman"/>
          <w:sz w:val="24"/>
        </w:rPr>
        <w:t>Neuplatňuje sa. Fond EE nebol vytvorený</w:t>
      </w:r>
    </w:p>
    <w:p w14:paraId="2364E27B" w14:textId="77777777" w:rsidR="00902157" w:rsidRPr="000578FE" w:rsidRDefault="00902157" w:rsidP="007157D7">
      <w:pPr>
        <w:pStyle w:val="Nadpis4"/>
        <w:numPr>
          <w:ilvl w:val="3"/>
          <w:numId w:val="16"/>
        </w:numPr>
        <w:rPr>
          <w:rFonts w:ascii="Times New Roman" w:eastAsia="Times New Roman" w:hAnsi="Times New Roman" w:cs="Times New Roman"/>
          <w:i w:val="0"/>
          <w:color w:val="auto"/>
          <w:lang w:eastAsia="sk-SK"/>
        </w:rPr>
      </w:pPr>
      <w:bookmarkStart w:id="89" w:name="_Toc477345382"/>
      <w:r w:rsidRPr="000578FE">
        <w:rPr>
          <w:rFonts w:ascii="Times New Roman" w:eastAsia="Times New Roman" w:hAnsi="Times New Roman" w:cs="Times New Roman"/>
          <w:i w:val="0"/>
          <w:color w:val="auto"/>
          <w:lang w:eastAsia="sk-SK"/>
        </w:rPr>
        <w:lastRenderedPageBreak/>
        <w:t>Ostatné horizontálne opatrenia</w:t>
      </w:r>
      <w:bookmarkEnd w:id="89"/>
    </w:p>
    <w:p w14:paraId="7F4597F8" w14:textId="494BDA9D" w:rsidR="002324F3" w:rsidRPr="000745A8" w:rsidRDefault="002324F3" w:rsidP="000745A8">
      <w:pPr>
        <w:jc w:val="both"/>
        <w:rPr>
          <w:rFonts w:ascii="Times New Roman" w:hAnsi="Times New Roman" w:cs="Times New Roman"/>
          <w:sz w:val="24"/>
        </w:rPr>
      </w:pPr>
      <w:r w:rsidRPr="000745A8">
        <w:rPr>
          <w:rFonts w:ascii="Times New Roman" w:hAnsi="Times New Roman" w:cs="Times New Roman"/>
          <w:sz w:val="24"/>
        </w:rPr>
        <w:t xml:space="preserve">Horizontálne opatrenia realizované v rokoch 2014 až 2016 sú detailne vymenované v Prílohe č. </w:t>
      </w:r>
      <w:r w:rsidR="00044366">
        <w:rPr>
          <w:rFonts w:ascii="Times New Roman" w:hAnsi="Times New Roman" w:cs="Times New Roman"/>
          <w:sz w:val="24"/>
        </w:rPr>
        <w:t>3.</w:t>
      </w:r>
    </w:p>
    <w:p w14:paraId="748A093A" w14:textId="5F11FC7C" w:rsidR="00044366" w:rsidRPr="001836AE" w:rsidRDefault="002324F3" w:rsidP="00044366">
      <w:pPr>
        <w:jc w:val="both"/>
        <w:rPr>
          <w:rFonts w:ascii="Times New Roman" w:hAnsi="Times New Roman" w:cs="Times New Roman"/>
          <w:sz w:val="24"/>
        </w:rPr>
      </w:pPr>
      <w:r w:rsidRPr="000745A8">
        <w:rPr>
          <w:rFonts w:ascii="Times New Roman" w:hAnsi="Times New Roman" w:cs="Times New Roman"/>
          <w:sz w:val="24"/>
        </w:rPr>
        <w:t xml:space="preserve">Na dosiahnutie úspor </w:t>
      </w:r>
      <w:r w:rsidR="00A91550" w:rsidRPr="000745A8">
        <w:rPr>
          <w:rFonts w:ascii="Times New Roman" w:hAnsi="Times New Roman" w:cs="Times New Roman"/>
          <w:sz w:val="24"/>
        </w:rPr>
        <w:t xml:space="preserve">energie </w:t>
      </w:r>
      <w:r w:rsidRPr="000745A8">
        <w:rPr>
          <w:rFonts w:ascii="Times New Roman" w:hAnsi="Times New Roman" w:cs="Times New Roman"/>
          <w:sz w:val="24"/>
        </w:rPr>
        <w:t>v iných opatreniach prispeli aj tzv. „</w:t>
      </w:r>
      <w:r w:rsidR="00A91550" w:rsidRPr="000745A8">
        <w:rPr>
          <w:rFonts w:ascii="Times New Roman" w:hAnsi="Times New Roman" w:cs="Times New Roman"/>
          <w:sz w:val="24"/>
        </w:rPr>
        <w:t xml:space="preserve">podporné </w:t>
      </w:r>
      <w:r w:rsidRPr="000745A8">
        <w:rPr>
          <w:rFonts w:ascii="Times New Roman" w:hAnsi="Times New Roman" w:cs="Times New Roman"/>
          <w:sz w:val="24"/>
        </w:rPr>
        <w:t>opatrenia“, ktoré neboli explicitne vyhodnocované</w:t>
      </w:r>
      <w:r w:rsidR="00044366">
        <w:rPr>
          <w:rFonts w:ascii="Times New Roman" w:hAnsi="Times New Roman" w:cs="Times New Roman"/>
          <w:sz w:val="24"/>
        </w:rPr>
        <w:t xml:space="preserve">, nakoľko ich vplyv je prierezový a nemožno ho priradiť k samotnému opatreniu.  </w:t>
      </w:r>
    </w:p>
    <w:p w14:paraId="2BE3FBEE" w14:textId="2A1A4C72" w:rsidR="002324F3" w:rsidRPr="000745A8" w:rsidRDefault="002324F3" w:rsidP="000745A8">
      <w:pPr>
        <w:jc w:val="both"/>
        <w:rPr>
          <w:rFonts w:ascii="Times New Roman" w:hAnsi="Times New Roman" w:cs="Times New Roman"/>
          <w:sz w:val="24"/>
        </w:rPr>
      </w:pPr>
      <w:r w:rsidRPr="000745A8">
        <w:rPr>
          <w:rFonts w:ascii="Times New Roman" w:hAnsi="Times New Roman" w:cs="Times New Roman"/>
          <w:sz w:val="24"/>
        </w:rPr>
        <w:t>Prehľad nevyhodnotených opatrení v jednotlivých sektoroch uvádzaných v 3AP je  uvedený v Prílohe č. 5 tab. P5-1.</w:t>
      </w:r>
    </w:p>
    <w:p w14:paraId="6CB83E1B" w14:textId="77777777" w:rsidR="00F65D89" w:rsidRPr="009F2998" w:rsidRDefault="00F65D89" w:rsidP="002324F3">
      <w:pPr>
        <w:rPr>
          <w:rFonts w:ascii="Times New Roman" w:hAnsi="Times New Roman" w:cs="Times New Roman"/>
        </w:rPr>
      </w:pPr>
    </w:p>
    <w:p w14:paraId="7638766C" w14:textId="77777777" w:rsidR="002A2475" w:rsidRPr="009F2998" w:rsidRDefault="002A2475" w:rsidP="00902157">
      <w:pPr>
        <w:rPr>
          <w:rFonts w:ascii="Times New Roman" w:hAnsi="Times New Roman" w:cs="Times New Roman"/>
        </w:rPr>
      </w:pPr>
    </w:p>
    <w:p w14:paraId="2F051735" w14:textId="77777777" w:rsidR="00752288" w:rsidRPr="000578FE" w:rsidRDefault="00752288" w:rsidP="007157D7">
      <w:pPr>
        <w:pStyle w:val="Nadpis2"/>
        <w:keepNext w:val="0"/>
        <w:keepLines w:val="0"/>
        <w:numPr>
          <w:ilvl w:val="1"/>
          <w:numId w:val="16"/>
        </w:numPr>
        <w:ind w:left="993" w:hanging="567"/>
        <w:rPr>
          <w:rFonts w:ascii="Times New Roman" w:hAnsi="Times New Roman" w:cs="Times New Roman"/>
          <w:color w:val="auto"/>
        </w:rPr>
      </w:pPr>
      <w:bookmarkStart w:id="90" w:name="_Toc477345383"/>
      <w:r w:rsidRPr="000578FE">
        <w:rPr>
          <w:rFonts w:ascii="Times New Roman" w:hAnsi="Times New Roman" w:cs="Times New Roman"/>
          <w:color w:val="auto"/>
        </w:rPr>
        <w:t>Energetická efektívnosť budov</w:t>
      </w:r>
      <w:bookmarkEnd w:id="90"/>
    </w:p>
    <w:p w14:paraId="71582604" w14:textId="05E70CC4" w:rsidR="00752288" w:rsidRPr="000578FE" w:rsidRDefault="00752288" w:rsidP="007157D7">
      <w:pPr>
        <w:pStyle w:val="Nadpis3"/>
        <w:keepNext w:val="0"/>
        <w:keepLines w:val="0"/>
        <w:numPr>
          <w:ilvl w:val="2"/>
          <w:numId w:val="16"/>
        </w:numPr>
        <w:ind w:left="1276" w:hanging="567"/>
        <w:rPr>
          <w:rFonts w:ascii="Times New Roman" w:hAnsi="Times New Roman" w:cs="Times New Roman"/>
          <w:color w:val="auto"/>
        </w:rPr>
      </w:pPr>
      <w:bookmarkStart w:id="91" w:name="_Toc477345384"/>
      <w:r w:rsidRPr="000578FE">
        <w:rPr>
          <w:rFonts w:ascii="Times New Roman" w:hAnsi="Times New Roman" w:cs="Times New Roman"/>
          <w:color w:val="auto"/>
        </w:rPr>
        <w:t>Stratégia obnov</w:t>
      </w:r>
      <w:r w:rsidR="00BF460E" w:rsidRPr="000578FE">
        <w:rPr>
          <w:rFonts w:ascii="Times New Roman" w:hAnsi="Times New Roman" w:cs="Times New Roman"/>
          <w:color w:val="auto"/>
        </w:rPr>
        <w:t>y</w:t>
      </w:r>
      <w:r w:rsidRPr="000578FE">
        <w:rPr>
          <w:rFonts w:ascii="Times New Roman" w:hAnsi="Times New Roman" w:cs="Times New Roman"/>
          <w:color w:val="auto"/>
        </w:rPr>
        <w:t xml:space="preserve"> budov (článok 4 SEE)</w:t>
      </w:r>
      <w:bookmarkEnd w:id="91"/>
    </w:p>
    <w:p w14:paraId="7333918F" w14:textId="77777777" w:rsidR="00F65D89" w:rsidRPr="007345A8" w:rsidRDefault="00F65D89" w:rsidP="00B51C42">
      <w:pPr>
        <w:jc w:val="both"/>
        <w:rPr>
          <w:rFonts w:ascii="Times New Roman" w:hAnsi="Times New Roman" w:cs="Times New Roman"/>
        </w:rPr>
      </w:pPr>
    </w:p>
    <w:p w14:paraId="3A50A83B" w14:textId="2B2BD62A" w:rsidR="00B51C42" w:rsidRPr="000745A8" w:rsidRDefault="00B51C42" w:rsidP="00B51C42">
      <w:pPr>
        <w:jc w:val="both"/>
        <w:rPr>
          <w:rFonts w:ascii="Times New Roman" w:hAnsi="Times New Roman" w:cs="Times New Roman"/>
          <w:sz w:val="24"/>
        </w:rPr>
      </w:pPr>
      <w:r w:rsidRPr="000745A8">
        <w:rPr>
          <w:rFonts w:ascii="Times New Roman" w:hAnsi="Times New Roman" w:cs="Times New Roman"/>
          <w:sz w:val="24"/>
        </w:rPr>
        <w:t xml:space="preserve">Základným koncepčným a strategickým dokumentom, ktorý bol pripravený </w:t>
      </w:r>
      <w:r w:rsidR="00A91550" w:rsidRPr="000745A8">
        <w:rPr>
          <w:rFonts w:ascii="Times New Roman" w:hAnsi="Times New Roman" w:cs="Times New Roman"/>
          <w:sz w:val="24"/>
        </w:rPr>
        <w:t xml:space="preserve">s </w:t>
      </w:r>
      <w:r w:rsidRPr="000745A8">
        <w:rPr>
          <w:rFonts w:ascii="Times New Roman" w:hAnsi="Times New Roman" w:cs="Times New Roman"/>
          <w:sz w:val="24"/>
        </w:rPr>
        <w:t>cieľom umožniť definovať investičné možnosti obnovy fondu budov v SR a formy ich financovania, je Stratégia obnovy fondu bytových a nebytových budov v Slovenskej republike (schválená uznesen</w:t>
      </w:r>
      <w:r w:rsidR="00A8183F">
        <w:rPr>
          <w:rFonts w:ascii="Times New Roman" w:hAnsi="Times New Roman" w:cs="Times New Roman"/>
          <w:sz w:val="24"/>
        </w:rPr>
        <w:t>ím</w:t>
      </w:r>
      <w:r w:rsidRPr="000745A8">
        <w:rPr>
          <w:rFonts w:ascii="Times New Roman" w:hAnsi="Times New Roman" w:cs="Times New Roman"/>
          <w:sz w:val="24"/>
        </w:rPr>
        <w:t xml:space="preserve"> vlády</w:t>
      </w:r>
      <w:r w:rsidR="00A8183F">
        <w:rPr>
          <w:rFonts w:ascii="Times New Roman" w:hAnsi="Times New Roman" w:cs="Times New Roman"/>
          <w:sz w:val="24"/>
        </w:rPr>
        <w:t xml:space="preserve"> SR</w:t>
      </w:r>
      <w:r w:rsidRPr="000745A8">
        <w:rPr>
          <w:rFonts w:ascii="Times New Roman" w:hAnsi="Times New Roman" w:cs="Times New Roman"/>
          <w:sz w:val="24"/>
        </w:rPr>
        <w:t xml:space="preserve"> č. 347/2014). MDV SR na základe požiadavky vyplývajúcej zo smernice 2012/27/EÚ v súčasnosti pripravuje jej aktualizáciu, ktorá bude schválená vládou SR v apríli 2017.</w:t>
      </w:r>
    </w:p>
    <w:p w14:paraId="1744A2D1" w14:textId="77777777" w:rsidR="00752288" w:rsidRPr="000578FE" w:rsidRDefault="00752288" w:rsidP="007157D7">
      <w:pPr>
        <w:pStyle w:val="Nadpis3"/>
        <w:keepNext w:val="0"/>
        <w:keepLines w:val="0"/>
        <w:numPr>
          <w:ilvl w:val="2"/>
          <w:numId w:val="16"/>
        </w:numPr>
        <w:ind w:left="1276" w:hanging="567"/>
        <w:rPr>
          <w:rFonts w:ascii="Times New Roman" w:hAnsi="Times New Roman" w:cs="Times New Roman"/>
          <w:color w:val="auto"/>
        </w:rPr>
      </w:pPr>
      <w:bookmarkStart w:id="92" w:name="_Toc477345385"/>
      <w:r w:rsidRPr="000578FE">
        <w:rPr>
          <w:rFonts w:ascii="Times New Roman" w:hAnsi="Times New Roman" w:cs="Times New Roman"/>
          <w:color w:val="auto"/>
        </w:rPr>
        <w:t>Ďalšia energetická efektívnosť v oblasti budov</w:t>
      </w:r>
      <w:bookmarkEnd w:id="92"/>
    </w:p>
    <w:p w14:paraId="1C640F9D" w14:textId="77777777" w:rsidR="00F65D89" w:rsidRPr="009F2998" w:rsidRDefault="00F65D89" w:rsidP="00B51C42">
      <w:pPr>
        <w:jc w:val="both"/>
        <w:rPr>
          <w:rFonts w:ascii="Times New Roman" w:hAnsi="Times New Roman" w:cs="Times New Roman"/>
        </w:rPr>
      </w:pPr>
    </w:p>
    <w:p w14:paraId="48BB54C9" w14:textId="77777777" w:rsidR="00B51C42" w:rsidRPr="000745A8" w:rsidRDefault="00B51C42" w:rsidP="00B51C42">
      <w:pPr>
        <w:jc w:val="both"/>
        <w:rPr>
          <w:rFonts w:ascii="Times New Roman" w:hAnsi="Times New Roman" w:cs="Times New Roman"/>
          <w:sz w:val="24"/>
          <w:szCs w:val="24"/>
        </w:rPr>
      </w:pPr>
      <w:r w:rsidRPr="000745A8">
        <w:rPr>
          <w:rFonts w:ascii="Times New Roman" w:hAnsi="Times New Roman" w:cs="Times New Roman"/>
          <w:sz w:val="24"/>
          <w:szCs w:val="24"/>
        </w:rPr>
        <w:t xml:space="preserve">Medzi najdôležitejšie opatrenia energetickej efektívnosti v oblasti budov (vrátane verejných budov) patria: </w:t>
      </w:r>
    </w:p>
    <w:p w14:paraId="55B07E82" w14:textId="77777777" w:rsidR="00B51C42" w:rsidRPr="000745A8" w:rsidRDefault="00B51C42" w:rsidP="007157D7">
      <w:pPr>
        <w:pStyle w:val="Odsekzoznamu"/>
        <w:numPr>
          <w:ilvl w:val="0"/>
          <w:numId w:val="10"/>
        </w:numPr>
        <w:jc w:val="both"/>
        <w:rPr>
          <w:rFonts w:ascii="Times New Roman" w:hAnsi="Times New Roman" w:cs="Times New Roman"/>
          <w:sz w:val="24"/>
          <w:szCs w:val="24"/>
        </w:rPr>
      </w:pPr>
      <w:r w:rsidRPr="000745A8">
        <w:rPr>
          <w:rFonts w:ascii="Times New Roman" w:hAnsi="Times New Roman" w:cs="Times New Roman"/>
          <w:sz w:val="24"/>
          <w:szCs w:val="24"/>
        </w:rPr>
        <w:t>Podporné programy a iné fiškálne stimuly – podpora obnovy budov z národných zdrojov (ŠFRB, štátne prémie pri stavebnom sporení, Zatepľovanie rodinných domov), zdrojov štrukturálnych fondov  (napr. ROP, OP VaV, OP Zdravotníctvo, IROP, OP KŽP) a iných zdrojov (iniciatívy Munseff I., II., Slovseff I., II., III. a i.).</w:t>
      </w:r>
    </w:p>
    <w:p w14:paraId="6EF212BF" w14:textId="77777777" w:rsidR="00B51C42" w:rsidRPr="000745A8" w:rsidRDefault="00B51C42" w:rsidP="007157D7">
      <w:pPr>
        <w:pStyle w:val="Odsekzoznamu"/>
        <w:numPr>
          <w:ilvl w:val="0"/>
          <w:numId w:val="10"/>
        </w:numPr>
        <w:jc w:val="both"/>
        <w:rPr>
          <w:rFonts w:ascii="Times New Roman" w:hAnsi="Times New Roman" w:cs="Times New Roman"/>
          <w:sz w:val="24"/>
          <w:szCs w:val="24"/>
        </w:rPr>
      </w:pPr>
      <w:r w:rsidRPr="000745A8">
        <w:rPr>
          <w:rFonts w:ascii="Times New Roman" w:hAnsi="Times New Roman" w:cs="Times New Roman"/>
          <w:sz w:val="24"/>
          <w:szCs w:val="24"/>
        </w:rPr>
        <w:t>Legislatívne opatrenia - povinnosť zabezpečiť hydraulické vyváženie vykurovacej sústavy budovy po každom zásahu do jej tepelnej ochrany alebo technického systému, zabezpečiť reguláciu zásobovania teplom v budove, zabezpečiť a udržiavať hydraulicky vyregulované rozvody teplej vody (budovy nad 1000 m</w:t>
      </w:r>
      <w:r w:rsidRPr="000745A8">
        <w:rPr>
          <w:rFonts w:ascii="Times New Roman" w:hAnsi="Times New Roman" w:cs="Times New Roman"/>
          <w:sz w:val="24"/>
          <w:szCs w:val="24"/>
          <w:vertAlign w:val="superscript"/>
        </w:rPr>
        <w:t>2</w:t>
      </w:r>
      <w:r w:rsidRPr="000745A8">
        <w:rPr>
          <w:rFonts w:ascii="Times New Roman" w:hAnsi="Times New Roman" w:cs="Times New Roman"/>
          <w:sz w:val="24"/>
          <w:szCs w:val="24"/>
        </w:rPr>
        <w:t>), vybaviť rozvody tepla a teplej vody vhodnou tepelnou izoláciou (budovy nad 1000 m</w:t>
      </w:r>
      <w:r w:rsidRPr="000745A8">
        <w:rPr>
          <w:rFonts w:ascii="Times New Roman" w:hAnsi="Times New Roman" w:cs="Times New Roman"/>
          <w:sz w:val="24"/>
          <w:szCs w:val="24"/>
          <w:vertAlign w:val="superscript"/>
        </w:rPr>
        <w:t>2</w:t>
      </w:r>
      <w:r w:rsidRPr="000745A8">
        <w:rPr>
          <w:rFonts w:ascii="Times New Roman" w:hAnsi="Times New Roman" w:cs="Times New Roman"/>
          <w:sz w:val="24"/>
          <w:szCs w:val="24"/>
        </w:rPr>
        <w:t xml:space="preserve">), povinnosť zabezpečiť pravidelnú kontrolu vykurovacích systémov a klimatizačných systémov. </w:t>
      </w:r>
    </w:p>
    <w:p w14:paraId="57C61B34" w14:textId="0ABA4B87" w:rsidR="00B51C42" w:rsidRPr="000745A8" w:rsidRDefault="00B51C42" w:rsidP="007157D7">
      <w:pPr>
        <w:pStyle w:val="Odsekzoznamu"/>
        <w:numPr>
          <w:ilvl w:val="0"/>
          <w:numId w:val="10"/>
        </w:numPr>
        <w:jc w:val="both"/>
        <w:rPr>
          <w:rFonts w:ascii="Times New Roman" w:hAnsi="Times New Roman" w:cs="Times New Roman"/>
          <w:sz w:val="24"/>
          <w:szCs w:val="24"/>
        </w:rPr>
      </w:pPr>
      <w:r w:rsidRPr="000745A8">
        <w:rPr>
          <w:rFonts w:ascii="Times New Roman" w:hAnsi="Times New Roman" w:cs="Times New Roman"/>
          <w:sz w:val="24"/>
          <w:szCs w:val="24"/>
        </w:rPr>
        <w:t xml:space="preserve">Ďalšími podpornými opatreniami v sektore budov sú informačné kampane MDV SR, SIEA a poradenstvo v rámci programu „Žiť energiou“. </w:t>
      </w:r>
    </w:p>
    <w:p w14:paraId="198919B1" w14:textId="7A160601" w:rsidR="00260953" w:rsidRPr="000745A8" w:rsidRDefault="00260953" w:rsidP="00752288">
      <w:pPr>
        <w:rPr>
          <w:rFonts w:ascii="Times New Roman" w:hAnsi="Times New Roman" w:cs="Times New Roman"/>
          <w:sz w:val="24"/>
          <w:szCs w:val="24"/>
        </w:rPr>
      </w:pPr>
    </w:p>
    <w:p w14:paraId="34283AE1" w14:textId="77777777" w:rsidR="00CB1B49" w:rsidRDefault="00CB1B49">
      <w:pPr>
        <w:rPr>
          <w:rFonts w:ascii="Times New Roman" w:eastAsiaTheme="majorEastAsia" w:hAnsi="Times New Roman" w:cs="Times New Roman"/>
          <w:b/>
          <w:bCs/>
          <w:sz w:val="26"/>
          <w:szCs w:val="26"/>
        </w:rPr>
      </w:pPr>
      <w:bookmarkStart w:id="93" w:name="_Toc477345386"/>
      <w:r>
        <w:rPr>
          <w:rFonts w:ascii="Times New Roman" w:hAnsi="Times New Roman" w:cs="Times New Roman"/>
        </w:rPr>
        <w:br w:type="page"/>
      </w:r>
    </w:p>
    <w:p w14:paraId="22FB2414" w14:textId="6022DA94" w:rsidR="00752288" w:rsidRPr="000578FE" w:rsidRDefault="00752288" w:rsidP="007157D7">
      <w:pPr>
        <w:pStyle w:val="Nadpis2"/>
        <w:keepNext w:val="0"/>
        <w:keepLines w:val="0"/>
        <w:numPr>
          <w:ilvl w:val="1"/>
          <w:numId w:val="16"/>
        </w:numPr>
        <w:ind w:left="993" w:hanging="567"/>
        <w:rPr>
          <w:rFonts w:ascii="Times New Roman" w:hAnsi="Times New Roman" w:cs="Times New Roman"/>
          <w:color w:val="auto"/>
        </w:rPr>
      </w:pPr>
      <w:r w:rsidRPr="000578FE">
        <w:rPr>
          <w:rFonts w:ascii="Times New Roman" w:hAnsi="Times New Roman" w:cs="Times New Roman"/>
          <w:color w:val="auto"/>
        </w:rPr>
        <w:lastRenderedPageBreak/>
        <w:t>Energetická efektívnosť vo verejných subjektoch</w:t>
      </w:r>
      <w:bookmarkEnd w:id="93"/>
    </w:p>
    <w:p w14:paraId="17A3E637" w14:textId="22ACBFDC" w:rsidR="00752288" w:rsidRPr="000578FE" w:rsidRDefault="00752288" w:rsidP="007157D7">
      <w:pPr>
        <w:pStyle w:val="Nadpis3"/>
        <w:keepNext w:val="0"/>
        <w:keepLines w:val="0"/>
        <w:numPr>
          <w:ilvl w:val="2"/>
          <w:numId w:val="16"/>
        </w:numPr>
        <w:ind w:left="1276" w:hanging="567"/>
        <w:rPr>
          <w:rFonts w:ascii="Times New Roman" w:hAnsi="Times New Roman" w:cs="Times New Roman"/>
          <w:color w:val="auto"/>
        </w:rPr>
      </w:pPr>
      <w:bookmarkStart w:id="94" w:name="_Toc477345387"/>
      <w:r w:rsidRPr="000578FE">
        <w:rPr>
          <w:rFonts w:ascii="Times New Roman" w:hAnsi="Times New Roman" w:cs="Times New Roman"/>
          <w:color w:val="auto"/>
        </w:rPr>
        <w:t>Budovy ústredných orgánov štátnej správy (článok 5 SEE)</w:t>
      </w:r>
      <w:bookmarkEnd w:id="94"/>
    </w:p>
    <w:p w14:paraId="74110496" w14:textId="77777777" w:rsidR="002A2475" w:rsidRPr="009F2998" w:rsidRDefault="002A2475" w:rsidP="002A2475">
      <w:pPr>
        <w:pStyle w:val="CM4"/>
        <w:spacing w:before="60" w:after="60"/>
        <w:jc w:val="both"/>
        <w:rPr>
          <w:rFonts w:ascii="Times New Roman" w:hAnsi="Times New Roman" w:cs="Times New Roman"/>
          <w:color w:val="000000"/>
          <w:sz w:val="22"/>
          <w:szCs w:val="22"/>
        </w:rPr>
      </w:pPr>
    </w:p>
    <w:p w14:paraId="66688133" w14:textId="571721B9" w:rsidR="00CB175F" w:rsidRPr="000745A8" w:rsidRDefault="00CB175F" w:rsidP="00CB175F">
      <w:pPr>
        <w:pStyle w:val="CM4"/>
        <w:spacing w:before="60" w:after="60"/>
        <w:jc w:val="both"/>
        <w:rPr>
          <w:rFonts w:ascii="Times New Roman" w:hAnsi="Times New Roman" w:cs="Times New Roman"/>
          <w:color w:val="000000"/>
        </w:rPr>
      </w:pPr>
      <w:r w:rsidRPr="000745A8">
        <w:rPr>
          <w:rFonts w:ascii="Times New Roman" w:hAnsi="Times New Roman" w:cs="Times New Roman"/>
          <w:color w:val="000000"/>
        </w:rPr>
        <w:t>Podľa čl. 5 bod 1 smernice 2012/27/EÚ o energetickej efektívnosti každý členský štát musí zabezpečiť, aby sa od 1. januára 2014 každoročne obnovovali 3 % z celkovej podlahovej plochy vykurovaných alebo chladených budov, ktoré vlastnia a využívajú ústredné orgány štátnej správy, tak, aby dosiahli aspoň minimálne požiadavky na energetickú hospodárnosť budov. Tento cieľ možno plniť aj alternatívnym prístupom (čl. 5 ods. 6 smernice), ktorým sa do roku 2020 dosiahne rovnaký objem úspor energie ako základným prístupom.</w:t>
      </w:r>
    </w:p>
    <w:p w14:paraId="4D67F5D7" w14:textId="4BC3CA25" w:rsidR="00CB175F" w:rsidRPr="000745A8" w:rsidRDefault="00CB175F" w:rsidP="002814F6">
      <w:pPr>
        <w:jc w:val="both"/>
        <w:rPr>
          <w:rFonts w:ascii="Times New Roman" w:hAnsi="Times New Roman" w:cs="Times New Roman"/>
          <w:color w:val="0070C0"/>
          <w:sz w:val="24"/>
          <w:szCs w:val="24"/>
        </w:rPr>
      </w:pPr>
      <w:r w:rsidRPr="000745A8">
        <w:rPr>
          <w:rFonts w:ascii="Times New Roman" w:hAnsi="Times New Roman" w:cs="Times New Roman"/>
          <w:color w:val="000000"/>
          <w:sz w:val="24"/>
          <w:szCs w:val="24"/>
        </w:rPr>
        <w:t>Podľa § 10 ods. 6 zákona č. 321/2014 Z. z. o energetickej efektívnosti, Ministerstvo dopravy</w:t>
      </w:r>
      <w:r w:rsidR="00406E97" w:rsidRPr="000745A8">
        <w:rPr>
          <w:rFonts w:ascii="Times New Roman" w:hAnsi="Times New Roman" w:cs="Times New Roman"/>
          <w:color w:val="000000"/>
          <w:sz w:val="24"/>
          <w:szCs w:val="24"/>
        </w:rPr>
        <w:t xml:space="preserve"> a </w:t>
      </w:r>
      <w:r w:rsidRPr="000745A8">
        <w:rPr>
          <w:rFonts w:ascii="Times New Roman" w:hAnsi="Times New Roman" w:cs="Times New Roman"/>
          <w:color w:val="000000"/>
          <w:sz w:val="24"/>
          <w:szCs w:val="24"/>
        </w:rPr>
        <w:t>výstavby SR vedie zoznam relevantných budov</w:t>
      </w:r>
      <w:r w:rsidRPr="000745A8">
        <w:rPr>
          <w:rStyle w:val="Odkaznapoznmkupodiarou"/>
          <w:rFonts w:ascii="Times New Roman" w:hAnsi="Times New Roman" w:cs="Times New Roman"/>
          <w:color w:val="000000"/>
          <w:sz w:val="24"/>
          <w:szCs w:val="24"/>
        </w:rPr>
        <w:footnoteReference w:id="31"/>
      </w:r>
      <w:r w:rsidRPr="000745A8">
        <w:rPr>
          <w:rFonts w:ascii="Times New Roman" w:hAnsi="Times New Roman" w:cs="Times New Roman"/>
          <w:color w:val="000000"/>
          <w:sz w:val="24"/>
          <w:szCs w:val="24"/>
        </w:rPr>
        <w:t xml:space="preserve">, zverejňuje ho na svojom webovom sídle a každoročne ho aktualizuje do 31. decembra. V zozname uvádza celkovú  podlahovú plochu </w:t>
      </w:r>
      <w:r w:rsidRPr="000745A8">
        <w:rPr>
          <w:rFonts w:ascii="Times New Roman" w:hAnsi="Times New Roman" w:cs="Times New Roman"/>
          <w:sz w:val="24"/>
          <w:szCs w:val="24"/>
        </w:rPr>
        <w:t>budovy a energetickú hospodárnosť budovy. Celková podlahová plocha týchto budov je viac ako 400</w:t>
      </w:r>
      <w:r w:rsidR="00A91550" w:rsidRPr="000745A8">
        <w:rPr>
          <w:rFonts w:ascii="Times New Roman" w:hAnsi="Times New Roman" w:cs="Times New Roman"/>
          <w:sz w:val="24"/>
          <w:szCs w:val="24"/>
        </w:rPr>
        <w:t> </w:t>
      </w:r>
      <w:r w:rsidRPr="000745A8">
        <w:rPr>
          <w:rFonts w:ascii="Times New Roman" w:hAnsi="Times New Roman" w:cs="Times New Roman"/>
          <w:sz w:val="24"/>
          <w:szCs w:val="24"/>
        </w:rPr>
        <w:t>tis. m</w:t>
      </w:r>
      <w:r w:rsidRPr="000745A8">
        <w:rPr>
          <w:rFonts w:ascii="Times New Roman" w:hAnsi="Times New Roman" w:cs="Times New Roman"/>
          <w:sz w:val="24"/>
          <w:szCs w:val="24"/>
          <w:vertAlign w:val="superscript"/>
        </w:rPr>
        <w:t>2</w:t>
      </w:r>
      <w:r w:rsidRPr="000745A8">
        <w:rPr>
          <w:rFonts w:ascii="Times New Roman" w:hAnsi="Times New Roman" w:cs="Times New Roman"/>
          <w:sz w:val="24"/>
          <w:szCs w:val="24"/>
        </w:rPr>
        <w:t xml:space="preserve">. </w:t>
      </w:r>
      <w:r w:rsidRPr="000745A8">
        <w:rPr>
          <w:rFonts w:ascii="Times New Roman" w:hAnsi="Times New Roman" w:cs="Times New Roman"/>
          <w:bCs/>
          <w:sz w:val="24"/>
          <w:szCs w:val="24"/>
        </w:rPr>
        <w:t>Adresný zoznam relevantných budov (pre každý rok) publikuje MVD SR na svojej webovej stránke</w:t>
      </w:r>
      <w:r w:rsidRPr="000745A8">
        <w:rPr>
          <w:rStyle w:val="Odkaznapoznmkupodiarou"/>
          <w:rFonts w:ascii="Times New Roman" w:hAnsi="Times New Roman" w:cs="Times New Roman"/>
          <w:bCs/>
          <w:sz w:val="24"/>
          <w:szCs w:val="24"/>
        </w:rPr>
        <w:footnoteReference w:id="32"/>
      </w:r>
      <w:r w:rsidRPr="000745A8">
        <w:rPr>
          <w:rFonts w:ascii="Times New Roman" w:hAnsi="Times New Roman" w:cs="Times New Roman"/>
          <w:bCs/>
          <w:sz w:val="24"/>
          <w:szCs w:val="24"/>
        </w:rPr>
        <w:t>.</w:t>
      </w:r>
    </w:p>
    <w:p w14:paraId="1E346C97" w14:textId="312F0635" w:rsidR="00CB175F" w:rsidRPr="000745A8" w:rsidRDefault="00CB175F" w:rsidP="00CB175F">
      <w:pPr>
        <w:jc w:val="both"/>
        <w:rPr>
          <w:rFonts w:ascii="Times New Roman" w:hAnsi="Times New Roman" w:cs="Times New Roman"/>
          <w:bCs/>
          <w:sz w:val="24"/>
          <w:szCs w:val="24"/>
        </w:rPr>
      </w:pPr>
      <w:r w:rsidRPr="000745A8">
        <w:rPr>
          <w:rFonts w:ascii="Times New Roman" w:hAnsi="Times New Roman" w:cs="Times New Roman"/>
          <w:color w:val="000000"/>
          <w:sz w:val="24"/>
          <w:szCs w:val="24"/>
        </w:rPr>
        <w:t>Alternatívny spôsob oznámila SR v roku 2013 Komisii v dokumente „Notifikačná správa k alternatívnemu prístupu podľa článku 5 smernice 2012/27/EÚ o energetickej efektívnosti</w:t>
      </w:r>
      <w:r w:rsidRPr="000745A8">
        <w:rPr>
          <w:rFonts w:ascii="Times New Roman" w:hAnsi="Times New Roman" w:cs="Times New Roman"/>
          <w:bCs/>
          <w:sz w:val="24"/>
          <w:szCs w:val="24"/>
        </w:rPr>
        <w:t xml:space="preserve">“. Pre alternatívny prístup  bol stanovený cieľ úspor energie pre všetky verejné budovy v celkovej výške  </w:t>
      </w:r>
      <w:r w:rsidRPr="000745A8">
        <w:rPr>
          <w:rFonts w:ascii="Times New Roman" w:hAnsi="Times New Roman" w:cs="Times New Roman"/>
          <w:b/>
          <w:bCs/>
          <w:sz w:val="24"/>
          <w:szCs w:val="24"/>
        </w:rPr>
        <w:t>52,17 GWh/rok</w:t>
      </w:r>
      <w:r w:rsidRPr="000745A8">
        <w:rPr>
          <w:rFonts w:ascii="Times New Roman" w:hAnsi="Times New Roman" w:cs="Times New Roman"/>
          <w:bCs/>
          <w:sz w:val="24"/>
          <w:szCs w:val="24"/>
        </w:rPr>
        <w:t>.</w:t>
      </w:r>
      <w:r w:rsidRPr="000745A8">
        <w:rPr>
          <w:rStyle w:val="Odkaznapoznmkupodiarou"/>
          <w:rFonts w:ascii="Times New Roman" w:hAnsi="Times New Roman" w:cs="Times New Roman"/>
          <w:bCs/>
          <w:sz w:val="24"/>
          <w:szCs w:val="24"/>
        </w:rPr>
        <w:footnoteReference w:id="33"/>
      </w:r>
      <w:r w:rsidRPr="000745A8">
        <w:rPr>
          <w:rFonts w:ascii="Times New Roman" w:hAnsi="Times New Roman" w:cs="Times New Roman"/>
          <w:bCs/>
          <w:sz w:val="24"/>
          <w:szCs w:val="24"/>
        </w:rPr>
        <w:t xml:space="preserve"> </w:t>
      </w:r>
    </w:p>
    <w:p w14:paraId="4F7BA817" w14:textId="77777777" w:rsidR="00520E43" w:rsidRDefault="00CB175F" w:rsidP="002814F6">
      <w:pPr>
        <w:jc w:val="both"/>
        <w:rPr>
          <w:rFonts w:ascii="Times New Roman" w:hAnsi="Times New Roman" w:cs="Times New Roman"/>
          <w:sz w:val="24"/>
          <w:szCs w:val="24"/>
          <w:lang w:eastAsia="sk-SK"/>
        </w:rPr>
      </w:pPr>
      <w:r w:rsidRPr="000745A8">
        <w:rPr>
          <w:rFonts w:ascii="Times New Roman" w:hAnsi="Times New Roman" w:cs="Times New Roman"/>
          <w:sz w:val="24"/>
          <w:szCs w:val="24"/>
          <w:lang w:eastAsia="sk-SK"/>
        </w:rPr>
        <w:t xml:space="preserve">Aplikáciou výpočtu úspor metódou zdola-nahor podľa zoznamu </w:t>
      </w:r>
      <w:r w:rsidR="00890358" w:rsidRPr="000745A8">
        <w:rPr>
          <w:rFonts w:ascii="Times New Roman" w:hAnsi="Times New Roman" w:cs="Times New Roman"/>
          <w:sz w:val="24"/>
          <w:szCs w:val="24"/>
          <w:lang w:eastAsia="sk-SK"/>
        </w:rPr>
        <w:t xml:space="preserve">certifikátov </w:t>
      </w:r>
      <w:r w:rsidRPr="000745A8">
        <w:rPr>
          <w:rFonts w:ascii="Times New Roman" w:hAnsi="Times New Roman" w:cs="Times New Roman"/>
          <w:sz w:val="24"/>
          <w:szCs w:val="24"/>
          <w:lang w:eastAsia="sk-SK"/>
        </w:rPr>
        <w:t>obnovovaných verejných budov v informačnom systéme INFOREG,</w:t>
      </w:r>
      <w:r w:rsidR="0024151F" w:rsidRPr="000745A8">
        <w:rPr>
          <w:rStyle w:val="Odkaznapoznmkupodiarou"/>
          <w:rFonts w:ascii="Times New Roman" w:hAnsi="Times New Roman" w:cs="Times New Roman"/>
          <w:sz w:val="24"/>
          <w:szCs w:val="24"/>
          <w:lang w:eastAsia="sk-SK"/>
        </w:rPr>
        <w:footnoteReference w:id="34"/>
      </w:r>
      <w:r w:rsidRPr="000745A8">
        <w:rPr>
          <w:rFonts w:ascii="Times New Roman" w:hAnsi="Times New Roman" w:cs="Times New Roman"/>
          <w:sz w:val="24"/>
          <w:szCs w:val="24"/>
          <w:lang w:eastAsia="sk-SK"/>
        </w:rPr>
        <w:t xml:space="preserve"> bola identifikovaná celková úspora energie vo výške </w:t>
      </w:r>
      <w:r w:rsidRPr="000745A8">
        <w:rPr>
          <w:rFonts w:ascii="Times New Roman" w:hAnsi="Times New Roman" w:cs="Times New Roman"/>
          <w:b/>
          <w:sz w:val="24"/>
          <w:szCs w:val="24"/>
          <w:lang w:eastAsia="sk-SK"/>
        </w:rPr>
        <w:t>78,00 GWh</w:t>
      </w:r>
      <w:r w:rsidRPr="000745A8">
        <w:rPr>
          <w:rFonts w:ascii="Times New Roman" w:hAnsi="Times New Roman" w:cs="Times New Roman"/>
          <w:sz w:val="24"/>
          <w:szCs w:val="24"/>
          <w:lang w:eastAsia="sk-SK"/>
        </w:rPr>
        <w:t xml:space="preserve"> v jednotlivých rokoch </w:t>
      </w:r>
      <w:r w:rsidR="00890358" w:rsidRPr="000745A8">
        <w:rPr>
          <w:rFonts w:ascii="Times New Roman" w:hAnsi="Times New Roman" w:cs="Times New Roman"/>
          <w:sz w:val="24"/>
          <w:szCs w:val="24"/>
          <w:lang w:eastAsia="sk-SK"/>
        </w:rPr>
        <w:t xml:space="preserve">2014-2016 </w:t>
      </w:r>
      <w:r w:rsidRPr="000745A8">
        <w:rPr>
          <w:rFonts w:ascii="Times New Roman" w:hAnsi="Times New Roman" w:cs="Times New Roman"/>
          <w:sz w:val="24"/>
          <w:szCs w:val="24"/>
          <w:lang w:eastAsia="sk-SK"/>
        </w:rPr>
        <w:t>ako uvádza tab</w:t>
      </w:r>
      <w:r w:rsidR="00520E43">
        <w:rPr>
          <w:rFonts w:ascii="Times New Roman" w:hAnsi="Times New Roman" w:cs="Times New Roman"/>
          <w:sz w:val="24"/>
          <w:szCs w:val="24"/>
          <w:lang w:eastAsia="sk-SK"/>
        </w:rPr>
        <w:t>uľka č. 17.</w:t>
      </w:r>
    </w:p>
    <w:p w14:paraId="56201B8E" w14:textId="5CFE7890" w:rsidR="00520E43" w:rsidRPr="000578FE" w:rsidRDefault="00520E43">
      <w:pPr>
        <w:pStyle w:val="Popis"/>
        <w:widowControl w:val="0"/>
        <w:spacing w:after="0"/>
        <w:rPr>
          <w:rFonts w:ascii="Times New Roman" w:hAnsi="Times New Roman" w:cs="Times New Roman"/>
          <w:iCs/>
          <w:caps w:val="0"/>
          <w:sz w:val="24"/>
          <w:szCs w:val="24"/>
        </w:rPr>
      </w:pPr>
      <w:r w:rsidRPr="000578FE">
        <w:rPr>
          <w:rFonts w:ascii="Times New Roman" w:hAnsi="Times New Roman" w:cs="Times New Roman"/>
          <w:caps w:val="0"/>
          <w:sz w:val="24"/>
          <w:szCs w:val="24"/>
          <w:lang w:eastAsia="sk-SK"/>
        </w:rPr>
        <w:t xml:space="preserve">Tabuľka č. 17: </w:t>
      </w:r>
      <w:r w:rsidRPr="000578FE">
        <w:rPr>
          <w:rFonts w:ascii="Times New Roman" w:hAnsi="Times New Roman" w:cs="Times New Roman"/>
          <w:iCs/>
          <w:caps w:val="0"/>
          <w:sz w:val="24"/>
          <w:szCs w:val="24"/>
        </w:rPr>
        <w:t>Úspory energie vo verejných budovách za roky 2014 až 2016</w:t>
      </w:r>
    </w:p>
    <w:tbl>
      <w:tblPr>
        <w:tblW w:w="9062" w:type="dxa"/>
        <w:jc w:val="center"/>
        <w:tblLayout w:type="fixed"/>
        <w:tblCellMar>
          <w:left w:w="70" w:type="dxa"/>
          <w:right w:w="70" w:type="dxa"/>
        </w:tblCellMar>
        <w:tblLook w:val="04A0" w:firstRow="1" w:lastRow="0" w:firstColumn="1" w:lastColumn="0" w:noHBand="0" w:noVBand="1"/>
      </w:tblPr>
      <w:tblGrid>
        <w:gridCol w:w="4495"/>
        <w:gridCol w:w="1141"/>
        <w:gridCol w:w="1142"/>
        <w:gridCol w:w="1142"/>
        <w:gridCol w:w="1142"/>
      </w:tblGrid>
      <w:tr w:rsidR="00CB175F" w:rsidRPr="009F2998" w14:paraId="0B1C59FD" w14:textId="77777777" w:rsidTr="00CB4F37">
        <w:trPr>
          <w:trHeight w:val="558"/>
          <w:jc w:val="center"/>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B447D" w14:textId="4B16B00C" w:rsidR="00CB175F" w:rsidRPr="009F2998" w:rsidRDefault="00CB175F" w:rsidP="00CB4F37">
            <w:pPr>
              <w:spacing w:after="0" w:line="240" w:lineRule="auto"/>
              <w:rPr>
                <w:rFonts w:ascii="Times New Roman" w:eastAsia="Times New Roman" w:hAnsi="Times New Roman" w:cs="Times New Roman"/>
                <w:b/>
                <w:bCs/>
                <w:color w:val="000000"/>
                <w:lang w:eastAsia="sk-SK"/>
              </w:rPr>
            </w:pPr>
            <w:r w:rsidRPr="009F2998">
              <w:rPr>
                <w:rFonts w:ascii="Times New Roman" w:eastAsia="Times New Roman" w:hAnsi="Times New Roman" w:cs="Times New Roman"/>
                <w:b/>
                <w:bCs/>
                <w:color w:val="000000"/>
                <w:lang w:eastAsia="sk-SK"/>
              </w:rPr>
              <w:t xml:space="preserve">Verejné budovy obnovené v rokoch </w:t>
            </w:r>
            <w:r w:rsidR="00600B6A" w:rsidRPr="00600B6A">
              <w:rPr>
                <w:rFonts w:ascii="Times New Roman" w:eastAsia="Times New Roman" w:hAnsi="Times New Roman" w:cs="Times New Roman"/>
                <w:b/>
                <w:bCs/>
                <w:color w:val="000000"/>
                <w:lang w:eastAsia="sk-SK"/>
              </w:rPr>
              <w:t>2014-2016</w:t>
            </w:r>
          </w:p>
        </w:tc>
        <w:tc>
          <w:tcPr>
            <w:tcW w:w="1141" w:type="dxa"/>
            <w:tcBorders>
              <w:top w:val="single" w:sz="4" w:space="0" w:color="auto"/>
              <w:left w:val="nil"/>
              <w:bottom w:val="single" w:sz="4" w:space="0" w:color="auto"/>
              <w:right w:val="single" w:sz="4" w:space="0" w:color="auto"/>
            </w:tcBorders>
            <w:vAlign w:val="center"/>
          </w:tcPr>
          <w:p w14:paraId="760F44C0" w14:textId="77777777" w:rsidR="00CB175F" w:rsidRPr="009F2998" w:rsidRDefault="00CB175F" w:rsidP="00CB4F37">
            <w:pPr>
              <w:spacing w:after="0" w:line="240" w:lineRule="auto"/>
              <w:jc w:val="center"/>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2014</w:t>
            </w:r>
          </w:p>
          <w:p w14:paraId="42CD75AE" w14:textId="77777777" w:rsidR="00CB175F" w:rsidRPr="009F2998" w:rsidRDefault="00CB175F" w:rsidP="00CB4F37">
            <w:pPr>
              <w:spacing w:after="0" w:line="240" w:lineRule="auto"/>
              <w:jc w:val="center"/>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[GWh]</w:t>
            </w:r>
          </w:p>
        </w:tc>
        <w:tc>
          <w:tcPr>
            <w:tcW w:w="1142" w:type="dxa"/>
            <w:tcBorders>
              <w:top w:val="single" w:sz="4" w:space="0" w:color="auto"/>
              <w:left w:val="single" w:sz="4" w:space="0" w:color="auto"/>
              <w:bottom w:val="single" w:sz="4" w:space="0" w:color="auto"/>
              <w:right w:val="single" w:sz="4" w:space="0" w:color="auto"/>
            </w:tcBorders>
            <w:vAlign w:val="center"/>
          </w:tcPr>
          <w:p w14:paraId="5F287ED5" w14:textId="77777777" w:rsidR="00CB175F" w:rsidRPr="009F2998" w:rsidRDefault="00CB175F" w:rsidP="002814F6">
            <w:pPr>
              <w:spacing w:after="0" w:line="240" w:lineRule="auto"/>
              <w:jc w:val="center"/>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2015</w:t>
            </w:r>
          </w:p>
          <w:p w14:paraId="2F969D6D" w14:textId="77777777" w:rsidR="00CB175F" w:rsidRPr="009F2998" w:rsidRDefault="00CB175F" w:rsidP="002814F6">
            <w:pPr>
              <w:spacing w:after="0" w:line="240" w:lineRule="auto"/>
              <w:jc w:val="center"/>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[GWh]</w:t>
            </w:r>
          </w:p>
        </w:tc>
        <w:tc>
          <w:tcPr>
            <w:tcW w:w="1142" w:type="dxa"/>
            <w:tcBorders>
              <w:top w:val="single" w:sz="4" w:space="0" w:color="auto"/>
              <w:left w:val="single" w:sz="4" w:space="0" w:color="auto"/>
              <w:bottom w:val="single" w:sz="4" w:space="0" w:color="auto"/>
              <w:right w:val="single" w:sz="4" w:space="0" w:color="auto"/>
            </w:tcBorders>
            <w:vAlign w:val="center"/>
          </w:tcPr>
          <w:p w14:paraId="40223597" w14:textId="77777777" w:rsidR="00CB175F" w:rsidRPr="009F2998" w:rsidRDefault="00CB175F" w:rsidP="002814F6">
            <w:pPr>
              <w:spacing w:after="0" w:line="240" w:lineRule="auto"/>
              <w:jc w:val="center"/>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2016</w:t>
            </w:r>
          </w:p>
          <w:p w14:paraId="7B6EB745" w14:textId="77777777" w:rsidR="00CB175F" w:rsidRPr="009F2998" w:rsidRDefault="00CB175F" w:rsidP="002814F6">
            <w:pPr>
              <w:spacing w:after="0" w:line="240" w:lineRule="auto"/>
              <w:jc w:val="center"/>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[GWh]</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9D4F7" w14:textId="77777777" w:rsidR="00CB175F" w:rsidRPr="009F2998" w:rsidRDefault="00CB175F" w:rsidP="002814F6">
            <w:pPr>
              <w:spacing w:after="0" w:line="240" w:lineRule="auto"/>
              <w:jc w:val="center"/>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Spolu:</w:t>
            </w:r>
          </w:p>
          <w:p w14:paraId="19EBEE29" w14:textId="77777777" w:rsidR="00CB175F" w:rsidRPr="009F2998" w:rsidRDefault="00CB175F" w:rsidP="002814F6">
            <w:pPr>
              <w:spacing w:after="0" w:line="240" w:lineRule="auto"/>
              <w:jc w:val="center"/>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[GWh]</w:t>
            </w:r>
          </w:p>
        </w:tc>
      </w:tr>
      <w:tr w:rsidR="00CB175F" w:rsidRPr="009F2998" w14:paraId="322F378A" w14:textId="77777777" w:rsidTr="00CB4F37">
        <w:trPr>
          <w:trHeight w:val="325"/>
          <w:jc w:val="center"/>
        </w:trPr>
        <w:tc>
          <w:tcPr>
            <w:tcW w:w="4495" w:type="dxa"/>
            <w:tcBorders>
              <w:top w:val="nil"/>
              <w:left w:val="single" w:sz="4" w:space="0" w:color="auto"/>
              <w:bottom w:val="single" w:sz="4" w:space="0" w:color="auto"/>
              <w:right w:val="single" w:sz="4" w:space="0" w:color="auto"/>
            </w:tcBorders>
            <w:shd w:val="clear" w:color="auto" w:fill="auto"/>
            <w:noWrap/>
            <w:vAlign w:val="center"/>
            <w:hideMark/>
          </w:tcPr>
          <w:p w14:paraId="59B4F023" w14:textId="77777777" w:rsidR="00CB175F" w:rsidRPr="009F2998" w:rsidRDefault="00CB175F" w:rsidP="00CB4F37">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Administratívne budovy - obnova</w:t>
            </w:r>
          </w:p>
        </w:tc>
        <w:tc>
          <w:tcPr>
            <w:tcW w:w="1141" w:type="dxa"/>
            <w:tcBorders>
              <w:top w:val="single" w:sz="4" w:space="0" w:color="auto"/>
              <w:left w:val="nil"/>
              <w:bottom w:val="single" w:sz="4" w:space="0" w:color="auto"/>
              <w:right w:val="single" w:sz="4" w:space="0" w:color="auto"/>
            </w:tcBorders>
            <w:vAlign w:val="center"/>
          </w:tcPr>
          <w:p w14:paraId="0D6D5585" w14:textId="77777777" w:rsidR="00CB175F" w:rsidRPr="009F2998" w:rsidRDefault="00CB175F" w:rsidP="00CB4F37">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0,85</w:t>
            </w:r>
          </w:p>
        </w:tc>
        <w:tc>
          <w:tcPr>
            <w:tcW w:w="1142" w:type="dxa"/>
            <w:tcBorders>
              <w:top w:val="single" w:sz="4" w:space="0" w:color="auto"/>
              <w:left w:val="single" w:sz="4" w:space="0" w:color="auto"/>
              <w:bottom w:val="single" w:sz="4" w:space="0" w:color="auto"/>
              <w:right w:val="single" w:sz="4" w:space="0" w:color="auto"/>
            </w:tcBorders>
            <w:vAlign w:val="center"/>
          </w:tcPr>
          <w:p w14:paraId="36768AE3" w14:textId="77777777" w:rsidR="00CB175F" w:rsidRPr="009F2998" w:rsidRDefault="00CB175F" w:rsidP="002814F6">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13,88</w:t>
            </w:r>
          </w:p>
        </w:tc>
        <w:tc>
          <w:tcPr>
            <w:tcW w:w="1142" w:type="dxa"/>
            <w:tcBorders>
              <w:top w:val="single" w:sz="4" w:space="0" w:color="auto"/>
              <w:bottom w:val="single" w:sz="4" w:space="0" w:color="auto"/>
            </w:tcBorders>
            <w:shd w:val="clear" w:color="auto" w:fill="auto"/>
            <w:vAlign w:val="center"/>
          </w:tcPr>
          <w:p w14:paraId="7CBAE973" w14:textId="5987E584" w:rsidR="00CB175F" w:rsidRPr="009F2998" w:rsidRDefault="001328B6">
            <w:pPr>
              <w:spacing w:after="0" w:line="240" w:lineRule="auto"/>
              <w:jc w:val="center"/>
              <w:rPr>
                <w:rFonts w:ascii="Times New Roman" w:eastAsia="Times New Roman" w:hAnsi="Times New Roman" w:cs="Times New Roman"/>
                <w:color w:val="000000"/>
                <w:lang w:eastAsia="sk-SK"/>
              </w:rPr>
            </w:pPr>
            <w:r>
              <w:rPr>
                <w:rFonts w:ascii="Times New Roman" w:hAnsi="Times New Roman" w:cs="Times New Roman"/>
                <w:color w:val="000000"/>
              </w:rPr>
              <w:t>10</w:t>
            </w:r>
            <w:r w:rsidR="00CB175F" w:rsidRPr="009F2998">
              <w:rPr>
                <w:rFonts w:ascii="Times New Roman" w:hAnsi="Times New Roman" w:cs="Times New Roman"/>
                <w:color w:val="000000"/>
              </w:rPr>
              <w:t>,</w:t>
            </w:r>
            <w:r>
              <w:rPr>
                <w:rFonts w:ascii="Times New Roman" w:hAnsi="Times New Roman" w:cs="Times New Roman"/>
                <w:color w:val="000000"/>
              </w:rPr>
              <w:t>7</w:t>
            </w:r>
            <w:r w:rsidR="00CB175F" w:rsidRPr="009F2998">
              <w:rPr>
                <w:rFonts w:ascii="Times New Roman" w:hAnsi="Times New Roman" w:cs="Times New Roman"/>
                <w:color w:val="000000"/>
              </w:rPr>
              <w:t>9</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AC974" w14:textId="1E9798C3" w:rsidR="00CB175F" w:rsidRPr="009F2998" w:rsidRDefault="00CB175F">
            <w:pPr>
              <w:spacing w:after="0" w:line="240" w:lineRule="auto"/>
              <w:jc w:val="center"/>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2</w:t>
            </w:r>
            <w:r w:rsidR="00C5297D">
              <w:rPr>
                <w:rFonts w:ascii="Times New Roman" w:eastAsia="Times New Roman" w:hAnsi="Times New Roman" w:cs="Times New Roman"/>
                <w:b/>
                <w:color w:val="000000"/>
                <w:lang w:eastAsia="sk-SK"/>
              </w:rPr>
              <w:t>5</w:t>
            </w:r>
            <w:r w:rsidRPr="009F2998">
              <w:rPr>
                <w:rFonts w:ascii="Times New Roman" w:eastAsia="Times New Roman" w:hAnsi="Times New Roman" w:cs="Times New Roman"/>
                <w:b/>
                <w:color w:val="000000"/>
                <w:lang w:eastAsia="sk-SK"/>
              </w:rPr>
              <w:t>,</w:t>
            </w:r>
            <w:r w:rsidR="00C5297D">
              <w:rPr>
                <w:rFonts w:ascii="Times New Roman" w:eastAsia="Times New Roman" w:hAnsi="Times New Roman" w:cs="Times New Roman"/>
                <w:b/>
                <w:color w:val="000000"/>
                <w:lang w:eastAsia="sk-SK"/>
              </w:rPr>
              <w:t>5</w:t>
            </w:r>
            <w:r w:rsidRPr="009F2998">
              <w:rPr>
                <w:rFonts w:ascii="Times New Roman" w:eastAsia="Times New Roman" w:hAnsi="Times New Roman" w:cs="Times New Roman"/>
                <w:b/>
                <w:color w:val="000000"/>
                <w:lang w:eastAsia="sk-SK"/>
              </w:rPr>
              <w:t>2</w:t>
            </w:r>
          </w:p>
        </w:tc>
      </w:tr>
      <w:tr w:rsidR="00CB175F" w:rsidRPr="009F2998" w14:paraId="296F9D3E" w14:textId="77777777" w:rsidTr="00CB4F37">
        <w:trPr>
          <w:trHeight w:val="349"/>
          <w:jc w:val="center"/>
        </w:trPr>
        <w:tc>
          <w:tcPr>
            <w:tcW w:w="4495" w:type="dxa"/>
            <w:tcBorders>
              <w:top w:val="nil"/>
              <w:left w:val="single" w:sz="4" w:space="0" w:color="auto"/>
              <w:bottom w:val="single" w:sz="4" w:space="0" w:color="auto"/>
              <w:right w:val="single" w:sz="4" w:space="0" w:color="auto"/>
            </w:tcBorders>
            <w:shd w:val="clear" w:color="auto" w:fill="auto"/>
            <w:noWrap/>
            <w:vAlign w:val="center"/>
            <w:hideMark/>
          </w:tcPr>
          <w:p w14:paraId="58727F26" w14:textId="77777777" w:rsidR="00CB175F" w:rsidRPr="009F2998" w:rsidRDefault="00CB175F" w:rsidP="00CB4F37">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Budovy škôl a školských zariadení - obnova</w:t>
            </w:r>
          </w:p>
        </w:tc>
        <w:tc>
          <w:tcPr>
            <w:tcW w:w="1141" w:type="dxa"/>
            <w:tcBorders>
              <w:top w:val="single" w:sz="4" w:space="0" w:color="auto"/>
              <w:left w:val="nil"/>
              <w:bottom w:val="single" w:sz="4" w:space="0" w:color="auto"/>
              <w:right w:val="single" w:sz="4" w:space="0" w:color="auto"/>
            </w:tcBorders>
            <w:vAlign w:val="center"/>
          </w:tcPr>
          <w:p w14:paraId="3B84C2BA" w14:textId="77777777" w:rsidR="00CB175F" w:rsidRPr="009F2998" w:rsidRDefault="00CB175F" w:rsidP="00CB4F37">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w:t>
            </w:r>
          </w:p>
        </w:tc>
        <w:tc>
          <w:tcPr>
            <w:tcW w:w="1142" w:type="dxa"/>
            <w:tcBorders>
              <w:top w:val="single" w:sz="4" w:space="0" w:color="auto"/>
              <w:left w:val="single" w:sz="4" w:space="0" w:color="auto"/>
              <w:bottom w:val="single" w:sz="4" w:space="0" w:color="auto"/>
              <w:right w:val="single" w:sz="4" w:space="0" w:color="auto"/>
            </w:tcBorders>
            <w:vAlign w:val="center"/>
          </w:tcPr>
          <w:p w14:paraId="6F2F1EF4" w14:textId="77777777" w:rsidR="00CB175F" w:rsidRPr="009F2998" w:rsidRDefault="00CB175F" w:rsidP="002814F6">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24,68</w:t>
            </w:r>
          </w:p>
        </w:tc>
        <w:tc>
          <w:tcPr>
            <w:tcW w:w="1142" w:type="dxa"/>
            <w:tcBorders>
              <w:top w:val="single" w:sz="4" w:space="0" w:color="auto"/>
              <w:bottom w:val="single" w:sz="4" w:space="0" w:color="auto"/>
            </w:tcBorders>
            <w:shd w:val="clear" w:color="auto" w:fill="auto"/>
            <w:vAlign w:val="center"/>
          </w:tcPr>
          <w:p w14:paraId="7DC3581E" w14:textId="77777777" w:rsidR="00CB175F" w:rsidRPr="009F2998" w:rsidRDefault="00CB175F" w:rsidP="002814F6">
            <w:pPr>
              <w:spacing w:after="0" w:line="240" w:lineRule="auto"/>
              <w:jc w:val="center"/>
              <w:rPr>
                <w:rFonts w:ascii="Times New Roman" w:eastAsia="Times New Roman" w:hAnsi="Times New Roman" w:cs="Times New Roman"/>
                <w:color w:val="000000"/>
                <w:lang w:eastAsia="sk-SK"/>
              </w:rPr>
            </w:pPr>
            <w:r w:rsidRPr="009F2998">
              <w:rPr>
                <w:rFonts w:ascii="Times New Roman" w:hAnsi="Times New Roman" w:cs="Times New Roman"/>
                <w:color w:val="000000"/>
              </w:rPr>
              <w:t>9,96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8833D" w14:textId="77777777" w:rsidR="00CB175F" w:rsidRPr="009F2998" w:rsidRDefault="00CB175F" w:rsidP="002814F6">
            <w:pPr>
              <w:spacing w:after="0" w:line="240" w:lineRule="auto"/>
              <w:jc w:val="center"/>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34,64</w:t>
            </w:r>
          </w:p>
        </w:tc>
      </w:tr>
      <w:tr w:rsidR="00CB175F" w:rsidRPr="009F2998" w14:paraId="2CB3263D" w14:textId="77777777" w:rsidTr="00CB4F37">
        <w:trPr>
          <w:trHeight w:val="345"/>
          <w:jc w:val="center"/>
        </w:trPr>
        <w:tc>
          <w:tcPr>
            <w:tcW w:w="4495" w:type="dxa"/>
            <w:tcBorders>
              <w:top w:val="nil"/>
              <w:left w:val="single" w:sz="4" w:space="0" w:color="auto"/>
              <w:bottom w:val="single" w:sz="4" w:space="0" w:color="auto"/>
              <w:right w:val="single" w:sz="4" w:space="0" w:color="auto"/>
            </w:tcBorders>
            <w:shd w:val="clear" w:color="auto" w:fill="auto"/>
            <w:noWrap/>
            <w:vAlign w:val="center"/>
            <w:hideMark/>
          </w:tcPr>
          <w:p w14:paraId="39F02472" w14:textId="77777777" w:rsidR="00CB175F" w:rsidRPr="009F2998" w:rsidRDefault="00CB175F" w:rsidP="00CB4F37">
            <w:pPr>
              <w:spacing w:after="0" w:line="240" w:lineRule="auto"/>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Budovy nemocníc - obnova</w:t>
            </w:r>
          </w:p>
        </w:tc>
        <w:tc>
          <w:tcPr>
            <w:tcW w:w="1141" w:type="dxa"/>
            <w:tcBorders>
              <w:top w:val="single" w:sz="4" w:space="0" w:color="auto"/>
              <w:left w:val="nil"/>
              <w:bottom w:val="single" w:sz="4" w:space="0" w:color="auto"/>
              <w:right w:val="single" w:sz="4" w:space="0" w:color="auto"/>
            </w:tcBorders>
            <w:vAlign w:val="center"/>
          </w:tcPr>
          <w:p w14:paraId="4CB309D9" w14:textId="77777777" w:rsidR="00CB175F" w:rsidRPr="009F2998" w:rsidRDefault="00CB175F" w:rsidP="00CB4F37">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w:t>
            </w:r>
          </w:p>
        </w:tc>
        <w:tc>
          <w:tcPr>
            <w:tcW w:w="1142" w:type="dxa"/>
            <w:tcBorders>
              <w:top w:val="single" w:sz="4" w:space="0" w:color="auto"/>
              <w:left w:val="single" w:sz="4" w:space="0" w:color="auto"/>
              <w:bottom w:val="single" w:sz="4" w:space="0" w:color="auto"/>
              <w:right w:val="single" w:sz="4" w:space="0" w:color="auto"/>
            </w:tcBorders>
            <w:vAlign w:val="center"/>
          </w:tcPr>
          <w:p w14:paraId="0B8D9AE8" w14:textId="77777777" w:rsidR="00CB175F" w:rsidRPr="009F2998" w:rsidRDefault="00CB175F" w:rsidP="002814F6">
            <w:pPr>
              <w:spacing w:after="0" w:line="240" w:lineRule="auto"/>
              <w:jc w:val="center"/>
              <w:rPr>
                <w:rFonts w:ascii="Times New Roman" w:eastAsia="Times New Roman" w:hAnsi="Times New Roman" w:cs="Times New Roman"/>
                <w:color w:val="000000"/>
                <w:lang w:eastAsia="sk-SK"/>
              </w:rPr>
            </w:pPr>
            <w:r w:rsidRPr="009F2998">
              <w:rPr>
                <w:rFonts w:ascii="Times New Roman" w:eastAsia="Times New Roman" w:hAnsi="Times New Roman" w:cs="Times New Roman"/>
                <w:color w:val="000000"/>
                <w:lang w:eastAsia="sk-SK"/>
              </w:rPr>
              <w:t>15,57</w:t>
            </w:r>
          </w:p>
        </w:tc>
        <w:tc>
          <w:tcPr>
            <w:tcW w:w="1142" w:type="dxa"/>
            <w:tcBorders>
              <w:top w:val="single" w:sz="4" w:space="0" w:color="auto"/>
              <w:bottom w:val="single" w:sz="4" w:space="0" w:color="auto"/>
            </w:tcBorders>
            <w:shd w:val="clear" w:color="auto" w:fill="auto"/>
            <w:vAlign w:val="center"/>
          </w:tcPr>
          <w:p w14:paraId="527C7E49" w14:textId="77777777" w:rsidR="00CB175F" w:rsidRPr="009F2998" w:rsidRDefault="00CB175F" w:rsidP="002814F6">
            <w:pPr>
              <w:spacing w:after="0" w:line="240" w:lineRule="auto"/>
              <w:jc w:val="center"/>
              <w:rPr>
                <w:rFonts w:ascii="Times New Roman" w:eastAsia="Times New Roman" w:hAnsi="Times New Roman" w:cs="Times New Roman"/>
                <w:color w:val="000000"/>
                <w:lang w:eastAsia="sk-SK"/>
              </w:rPr>
            </w:pPr>
            <w:r w:rsidRPr="009F2998">
              <w:rPr>
                <w:rFonts w:ascii="Times New Roman" w:hAnsi="Times New Roman" w:cs="Times New Roman"/>
                <w:color w:val="000000"/>
              </w:rPr>
              <w:t>4,67</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5A5B7" w14:textId="77777777" w:rsidR="00CB175F" w:rsidRPr="009F2998" w:rsidRDefault="00CB175F" w:rsidP="002814F6">
            <w:pPr>
              <w:spacing w:after="0" w:line="240" w:lineRule="auto"/>
              <w:jc w:val="center"/>
              <w:rPr>
                <w:rFonts w:ascii="Times New Roman" w:eastAsia="Times New Roman" w:hAnsi="Times New Roman" w:cs="Times New Roman"/>
                <w:b/>
                <w:color w:val="000000"/>
                <w:lang w:eastAsia="sk-SK"/>
              </w:rPr>
            </w:pPr>
            <w:r w:rsidRPr="009F2998">
              <w:rPr>
                <w:rFonts w:ascii="Times New Roman" w:eastAsia="Times New Roman" w:hAnsi="Times New Roman" w:cs="Times New Roman"/>
                <w:b/>
                <w:color w:val="000000"/>
                <w:lang w:eastAsia="sk-SK"/>
              </w:rPr>
              <w:t>20,24</w:t>
            </w:r>
          </w:p>
        </w:tc>
      </w:tr>
      <w:tr w:rsidR="00CB175F" w:rsidRPr="009F2998" w14:paraId="20B13C3E" w14:textId="77777777" w:rsidTr="00CB4F37">
        <w:trPr>
          <w:trHeight w:val="354"/>
          <w:jc w:val="center"/>
        </w:trPr>
        <w:tc>
          <w:tcPr>
            <w:tcW w:w="4495" w:type="dxa"/>
            <w:tcBorders>
              <w:top w:val="nil"/>
              <w:left w:val="single" w:sz="4" w:space="0" w:color="auto"/>
              <w:bottom w:val="single" w:sz="4" w:space="0" w:color="auto"/>
              <w:right w:val="single" w:sz="4" w:space="0" w:color="auto"/>
            </w:tcBorders>
            <w:shd w:val="clear" w:color="auto" w:fill="auto"/>
            <w:noWrap/>
            <w:vAlign w:val="center"/>
            <w:hideMark/>
          </w:tcPr>
          <w:p w14:paraId="6FCEB3F2" w14:textId="77777777" w:rsidR="00CB175F" w:rsidRPr="009F2998" w:rsidRDefault="00CB175F" w:rsidP="00CB4F37">
            <w:pPr>
              <w:spacing w:after="0" w:line="240" w:lineRule="auto"/>
              <w:rPr>
                <w:rFonts w:ascii="Times New Roman" w:eastAsia="Times New Roman" w:hAnsi="Times New Roman" w:cs="Times New Roman"/>
                <w:b/>
                <w:bCs/>
                <w:color w:val="000000"/>
                <w:lang w:eastAsia="sk-SK"/>
              </w:rPr>
            </w:pPr>
            <w:r w:rsidRPr="009F2998">
              <w:rPr>
                <w:rFonts w:ascii="Times New Roman" w:eastAsia="Times New Roman" w:hAnsi="Times New Roman" w:cs="Times New Roman"/>
                <w:b/>
                <w:bCs/>
                <w:color w:val="000000"/>
                <w:lang w:eastAsia="sk-SK"/>
              </w:rPr>
              <w:t>SPOLU</w:t>
            </w:r>
          </w:p>
        </w:tc>
        <w:tc>
          <w:tcPr>
            <w:tcW w:w="1141" w:type="dxa"/>
            <w:tcBorders>
              <w:top w:val="single" w:sz="4" w:space="0" w:color="auto"/>
              <w:left w:val="nil"/>
              <w:bottom w:val="single" w:sz="4" w:space="0" w:color="auto"/>
              <w:right w:val="single" w:sz="4" w:space="0" w:color="auto"/>
            </w:tcBorders>
            <w:vAlign w:val="center"/>
          </w:tcPr>
          <w:p w14:paraId="67DA372F" w14:textId="77777777" w:rsidR="00CB175F" w:rsidRPr="009F2998" w:rsidRDefault="00CB175F" w:rsidP="00CB4F37">
            <w:pPr>
              <w:spacing w:after="0" w:line="240" w:lineRule="auto"/>
              <w:jc w:val="center"/>
              <w:rPr>
                <w:rFonts w:ascii="Times New Roman" w:eastAsia="Times New Roman" w:hAnsi="Times New Roman" w:cs="Times New Roman"/>
                <w:b/>
                <w:bCs/>
                <w:color w:val="000000"/>
                <w:lang w:eastAsia="sk-SK"/>
              </w:rPr>
            </w:pPr>
            <w:r w:rsidRPr="009F2998">
              <w:rPr>
                <w:rFonts w:ascii="Times New Roman" w:eastAsia="Times New Roman" w:hAnsi="Times New Roman" w:cs="Times New Roman"/>
                <w:b/>
                <w:bCs/>
                <w:color w:val="000000"/>
                <w:lang w:eastAsia="sk-SK"/>
              </w:rPr>
              <w:t>0,85</w:t>
            </w:r>
          </w:p>
        </w:tc>
        <w:tc>
          <w:tcPr>
            <w:tcW w:w="1142" w:type="dxa"/>
            <w:tcBorders>
              <w:top w:val="single" w:sz="4" w:space="0" w:color="auto"/>
              <w:left w:val="single" w:sz="4" w:space="0" w:color="auto"/>
              <w:bottom w:val="single" w:sz="4" w:space="0" w:color="auto"/>
              <w:right w:val="single" w:sz="4" w:space="0" w:color="auto"/>
            </w:tcBorders>
            <w:vAlign w:val="center"/>
          </w:tcPr>
          <w:p w14:paraId="3983F20C" w14:textId="77777777" w:rsidR="00CB175F" w:rsidRPr="009F2998" w:rsidRDefault="00CB175F" w:rsidP="002814F6">
            <w:pPr>
              <w:spacing w:after="0" w:line="240" w:lineRule="auto"/>
              <w:jc w:val="center"/>
              <w:rPr>
                <w:rFonts w:ascii="Times New Roman" w:eastAsia="Times New Roman" w:hAnsi="Times New Roman" w:cs="Times New Roman"/>
                <w:b/>
                <w:bCs/>
                <w:color w:val="000000"/>
                <w:lang w:eastAsia="sk-SK"/>
              </w:rPr>
            </w:pPr>
            <w:r w:rsidRPr="009F2998">
              <w:rPr>
                <w:rFonts w:ascii="Times New Roman" w:eastAsia="Times New Roman" w:hAnsi="Times New Roman" w:cs="Times New Roman"/>
                <w:b/>
                <w:bCs/>
                <w:color w:val="000000"/>
                <w:lang w:eastAsia="sk-SK"/>
              </w:rPr>
              <w:t>54,13</w:t>
            </w:r>
          </w:p>
        </w:tc>
        <w:tc>
          <w:tcPr>
            <w:tcW w:w="1142" w:type="dxa"/>
            <w:tcBorders>
              <w:top w:val="single" w:sz="4" w:space="0" w:color="auto"/>
              <w:bottom w:val="single" w:sz="4" w:space="0" w:color="auto"/>
            </w:tcBorders>
            <w:shd w:val="clear" w:color="auto" w:fill="auto"/>
            <w:vAlign w:val="center"/>
          </w:tcPr>
          <w:p w14:paraId="15E98663" w14:textId="4C980662" w:rsidR="00CB175F" w:rsidRPr="009F2998" w:rsidRDefault="00CB175F">
            <w:pPr>
              <w:spacing w:after="0" w:line="240" w:lineRule="auto"/>
              <w:jc w:val="center"/>
              <w:rPr>
                <w:rFonts w:ascii="Times New Roman" w:eastAsia="Times New Roman" w:hAnsi="Times New Roman" w:cs="Times New Roman"/>
                <w:b/>
                <w:bCs/>
                <w:color w:val="000000"/>
                <w:lang w:eastAsia="sk-SK"/>
              </w:rPr>
            </w:pPr>
            <w:r w:rsidRPr="009F2998">
              <w:rPr>
                <w:rFonts w:ascii="Times New Roman" w:hAnsi="Times New Roman" w:cs="Times New Roman"/>
                <w:b/>
                <w:bCs/>
                <w:color w:val="000000"/>
              </w:rPr>
              <w:t>2</w:t>
            </w:r>
            <w:r w:rsidR="001328B6">
              <w:rPr>
                <w:rFonts w:ascii="Times New Roman" w:hAnsi="Times New Roman" w:cs="Times New Roman"/>
                <w:b/>
                <w:bCs/>
                <w:color w:val="000000"/>
              </w:rPr>
              <w:t>5</w:t>
            </w:r>
            <w:r w:rsidRPr="009F2998">
              <w:rPr>
                <w:rFonts w:ascii="Times New Roman" w:hAnsi="Times New Roman" w:cs="Times New Roman"/>
                <w:b/>
                <w:bCs/>
                <w:color w:val="000000"/>
              </w:rPr>
              <w:t>,</w:t>
            </w:r>
            <w:r w:rsidR="001328B6">
              <w:rPr>
                <w:rFonts w:ascii="Times New Roman" w:hAnsi="Times New Roman" w:cs="Times New Roman"/>
                <w:b/>
                <w:bCs/>
                <w:color w:val="000000"/>
              </w:rPr>
              <w:t>4</w:t>
            </w:r>
            <w:r w:rsidRPr="009F2998">
              <w:rPr>
                <w:rFonts w:ascii="Times New Roman" w:hAnsi="Times New Roman" w:cs="Times New Roman"/>
                <w:b/>
                <w:bCs/>
                <w:color w:val="000000"/>
              </w:rPr>
              <w:t>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53724" w14:textId="18C20DA0" w:rsidR="00CB175F" w:rsidRPr="009F2998" w:rsidRDefault="00C5297D">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80</w:t>
            </w:r>
            <w:r w:rsidR="00CB175F" w:rsidRPr="009F2998">
              <w:rPr>
                <w:rFonts w:ascii="Times New Roman" w:eastAsia="Times New Roman" w:hAnsi="Times New Roman" w:cs="Times New Roman"/>
                <w:b/>
                <w:bCs/>
                <w:color w:val="000000"/>
                <w:lang w:eastAsia="sk-SK"/>
              </w:rPr>
              <w:t>,</w:t>
            </w:r>
            <w:r>
              <w:rPr>
                <w:rFonts w:ascii="Times New Roman" w:eastAsia="Times New Roman" w:hAnsi="Times New Roman" w:cs="Times New Roman"/>
                <w:b/>
                <w:bCs/>
                <w:color w:val="000000"/>
                <w:lang w:eastAsia="sk-SK"/>
              </w:rPr>
              <w:t>4</w:t>
            </w:r>
            <w:r w:rsidR="00CB175F" w:rsidRPr="009F2998">
              <w:rPr>
                <w:rFonts w:ascii="Times New Roman" w:eastAsia="Times New Roman" w:hAnsi="Times New Roman" w:cs="Times New Roman"/>
                <w:b/>
                <w:bCs/>
                <w:color w:val="000000"/>
                <w:lang w:eastAsia="sk-SK"/>
              </w:rPr>
              <w:t>0</w:t>
            </w:r>
          </w:p>
        </w:tc>
      </w:tr>
    </w:tbl>
    <w:p w14:paraId="29641224" w14:textId="14445D82" w:rsidR="00520E43" w:rsidRPr="00AF5415" w:rsidRDefault="00CB175F" w:rsidP="000578FE">
      <w:pPr>
        <w:pStyle w:val="Popis"/>
        <w:widowControl w:val="0"/>
        <w:spacing w:after="0"/>
        <w:rPr>
          <w:rFonts w:ascii="Times New Roman" w:hAnsi="Times New Roman" w:cs="Times New Roman"/>
          <w:caps w:val="0"/>
          <w:sz w:val="22"/>
          <w:szCs w:val="22"/>
          <w:lang w:eastAsia="ar-SA"/>
        </w:rPr>
      </w:pPr>
      <w:r w:rsidRPr="000578FE">
        <w:rPr>
          <w:rFonts w:ascii="Times New Roman" w:hAnsi="Times New Roman" w:cs="Times New Roman"/>
          <w:sz w:val="20"/>
          <w:szCs w:val="20"/>
          <w:lang w:eastAsia="ar-SA"/>
        </w:rPr>
        <w:t xml:space="preserve"> </w:t>
      </w:r>
      <w:r w:rsidR="00520E43" w:rsidRPr="00AF5415">
        <w:rPr>
          <w:rFonts w:ascii="Times New Roman" w:hAnsi="Times New Roman" w:cs="Times New Roman"/>
          <w:caps w:val="0"/>
          <w:sz w:val="22"/>
          <w:szCs w:val="22"/>
          <w:lang w:eastAsia="ar-SA"/>
        </w:rPr>
        <w:t xml:space="preserve">Zdroj: </w:t>
      </w:r>
      <w:r w:rsidR="00520E43" w:rsidRPr="00AF5415">
        <w:rPr>
          <w:rFonts w:ascii="Times New Roman" w:hAnsi="Times New Roman" w:cs="Times New Roman"/>
          <w:iCs/>
          <w:caps w:val="0"/>
          <w:sz w:val="22"/>
          <w:szCs w:val="22"/>
        </w:rPr>
        <w:t xml:space="preserve">Informačný systém INFOREG    </w:t>
      </w:r>
    </w:p>
    <w:p w14:paraId="16042693" w14:textId="69A51CFB" w:rsidR="00F77093" w:rsidRDefault="00F77093">
      <w:pPr>
        <w:rPr>
          <w:rFonts w:ascii="Times New Roman" w:eastAsiaTheme="majorEastAsia" w:hAnsi="Times New Roman" w:cs="Times New Roman"/>
          <w:b/>
          <w:bCs/>
          <w:color w:val="5B9BD5" w:themeColor="accent1"/>
        </w:rPr>
      </w:pPr>
    </w:p>
    <w:p w14:paraId="18E873B7" w14:textId="77777777" w:rsidR="00CB1B49" w:rsidRDefault="00CB1B49">
      <w:pPr>
        <w:rPr>
          <w:rFonts w:ascii="Times New Roman" w:eastAsiaTheme="majorEastAsia" w:hAnsi="Times New Roman" w:cs="Times New Roman"/>
          <w:b/>
          <w:bCs/>
        </w:rPr>
      </w:pPr>
      <w:bookmarkStart w:id="95" w:name="_Toc477345388"/>
      <w:r>
        <w:rPr>
          <w:rFonts w:ascii="Times New Roman" w:hAnsi="Times New Roman" w:cs="Times New Roman"/>
        </w:rPr>
        <w:br w:type="page"/>
      </w:r>
    </w:p>
    <w:p w14:paraId="70BC5AF8" w14:textId="13575870" w:rsidR="00752288" w:rsidRPr="000578FE" w:rsidRDefault="00752288" w:rsidP="007157D7">
      <w:pPr>
        <w:pStyle w:val="Nadpis3"/>
        <w:keepNext w:val="0"/>
        <w:keepLines w:val="0"/>
        <w:numPr>
          <w:ilvl w:val="2"/>
          <w:numId w:val="16"/>
        </w:numPr>
        <w:ind w:left="1276" w:hanging="567"/>
        <w:rPr>
          <w:rFonts w:ascii="Times New Roman" w:hAnsi="Times New Roman" w:cs="Times New Roman"/>
          <w:color w:val="auto"/>
        </w:rPr>
      </w:pPr>
      <w:r w:rsidRPr="000578FE">
        <w:rPr>
          <w:rFonts w:ascii="Times New Roman" w:hAnsi="Times New Roman" w:cs="Times New Roman"/>
          <w:color w:val="auto"/>
        </w:rPr>
        <w:lastRenderedPageBreak/>
        <w:t>Budovy ostatných verejných subjektov (článok 5 SEE)</w:t>
      </w:r>
      <w:bookmarkEnd w:id="95"/>
    </w:p>
    <w:p w14:paraId="04FAD3AF" w14:textId="041CFDCA" w:rsidR="00752288" w:rsidRPr="000578FE" w:rsidRDefault="00752288" w:rsidP="009927E4">
      <w:pPr>
        <w:pStyle w:val="Nadpis4"/>
        <w:numPr>
          <w:ilvl w:val="3"/>
          <w:numId w:val="16"/>
        </w:numPr>
        <w:rPr>
          <w:rFonts w:ascii="Times New Roman" w:eastAsia="Times New Roman" w:hAnsi="Times New Roman" w:cs="Times New Roman"/>
          <w:i w:val="0"/>
          <w:color w:val="auto"/>
          <w:lang w:eastAsia="sk-SK"/>
        </w:rPr>
      </w:pPr>
      <w:bookmarkStart w:id="96" w:name="_Toc477345389"/>
      <w:r w:rsidRPr="000578FE">
        <w:rPr>
          <w:rFonts w:ascii="Times New Roman" w:eastAsia="Times New Roman" w:hAnsi="Times New Roman" w:cs="Times New Roman"/>
          <w:i w:val="0"/>
          <w:color w:val="auto"/>
          <w:lang w:eastAsia="sk-SK"/>
        </w:rPr>
        <w:t xml:space="preserve">Verejné objekty a subjekty - informácie o prijatých opatreniach na prijatie plánov </w:t>
      </w:r>
      <w:r w:rsidR="009927E4" w:rsidRPr="009927E4">
        <w:rPr>
          <w:rFonts w:ascii="Times New Roman" w:eastAsia="Times New Roman" w:hAnsi="Times New Roman" w:cs="Times New Roman"/>
          <w:i w:val="0"/>
          <w:color w:val="auto"/>
          <w:lang w:eastAsia="sk-SK"/>
        </w:rPr>
        <w:t>energetickej efektívnosti</w:t>
      </w:r>
      <w:bookmarkEnd w:id="96"/>
    </w:p>
    <w:p w14:paraId="13D40979" w14:textId="22496DCE" w:rsidR="00F7234C" w:rsidRPr="00F77093" w:rsidRDefault="00E43041" w:rsidP="00F7234C">
      <w:pPr>
        <w:jc w:val="both"/>
        <w:rPr>
          <w:rFonts w:ascii="Times New Roman" w:hAnsi="Times New Roman" w:cs="Times New Roman"/>
          <w:sz w:val="24"/>
          <w:szCs w:val="24"/>
        </w:rPr>
      </w:pPr>
      <w:r w:rsidRPr="00F77093">
        <w:rPr>
          <w:rFonts w:ascii="Times New Roman" w:hAnsi="Times New Roman" w:cs="Times New Roman"/>
          <w:sz w:val="24"/>
          <w:szCs w:val="24"/>
          <w:lang w:eastAsia="sk-SK"/>
        </w:rPr>
        <w:t>SR zabezpečila financovanie na vypracovanie lokálnych a regionálnych nízkouhlí</w:t>
      </w:r>
      <w:r w:rsidR="00AD151D" w:rsidRPr="00F77093">
        <w:rPr>
          <w:rFonts w:ascii="Times New Roman" w:hAnsi="Times New Roman" w:cs="Times New Roman"/>
          <w:sz w:val="24"/>
          <w:szCs w:val="24"/>
          <w:lang w:eastAsia="sk-SK"/>
        </w:rPr>
        <w:t>k</w:t>
      </w:r>
      <w:r w:rsidRPr="00F77093">
        <w:rPr>
          <w:rFonts w:ascii="Times New Roman" w:hAnsi="Times New Roman" w:cs="Times New Roman"/>
          <w:sz w:val="24"/>
          <w:szCs w:val="24"/>
          <w:lang w:eastAsia="sk-SK"/>
        </w:rPr>
        <w:t>ových stratégií z EŠIF 2014-2020 prostredníctvom OP KŽP</w:t>
      </w:r>
      <w:r w:rsidR="00AD151D" w:rsidRPr="00F77093">
        <w:rPr>
          <w:rFonts w:ascii="Times New Roman" w:hAnsi="Times New Roman" w:cs="Times New Roman"/>
          <w:sz w:val="24"/>
          <w:szCs w:val="24"/>
          <w:lang w:eastAsia="sk-SK"/>
        </w:rPr>
        <w:t xml:space="preserve">. </w:t>
      </w:r>
      <w:r w:rsidR="00AD151D" w:rsidRPr="00F77093">
        <w:rPr>
          <w:rFonts w:ascii="Times New Roman" w:hAnsi="Times New Roman" w:cs="Times New Roman"/>
          <w:sz w:val="24"/>
          <w:szCs w:val="24"/>
        </w:rPr>
        <w:t xml:space="preserve">Cieľom uvedenej aktivity bude v súlade s pripravovanou národnou nízkouhlíkovou stratégiou vypracovanie a implementácia regionálnych a lokálnych nízkouhlíkových stratégií alebo ich častí s posúdením stavu zásobovania všetkými dostupnými formami využiteľnej energie, vrátane energie používanej v doprave, spracovaných s využitím metodiky akčného plánu udržateľného energetického rozvoja používanej v rámci Dohovoru starostov a primátorov. Dôraz by mal byť kladený na nízkouhlíkové opatrenia najmä na energetickú efektívnosť, využívanie OZE s ohľadom na ochranu životného prostredia, najmä v súvislosti s produkciou emisií skleníkových plynov a emisií znečisťujúcich látok do ovzdušia. Ak je v predmetnej lokalite systém centralizovaného zásobovania teplom, musí byť neoddeliteľnou súčasťou nízkouhlíkovej stratégie aj aktualizácia koncepcie rozvoja obce v oblasti tepelnej energetiky so zohľadnením klesajúceho dopytu po využiteľnom teple a stanovením postupu následného optimálneho prispôsobenia sa distribúcie a výroby tepla. Na programové obdobie 2014-2020 sú plánované verejné finančné prostriedky vo výške 14,1 mil. </w:t>
      </w:r>
      <w:r w:rsidR="000C2919">
        <w:rPr>
          <w:rFonts w:ascii="Times New Roman" w:hAnsi="Times New Roman" w:cs="Times New Roman"/>
          <w:sz w:val="24"/>
          <w:szCs w:val="24"/>
        </w:rPr>
        <w:t>Eur</w:t>
      </w:r>
      <w:r w:rsidR="00AD151D" w:rsidRPr="00F77093">
        <w:rPr>
          <w:rFonts w:ascii="Times New Roman" w:hAnsi="Times New Roman" w:cs="Times New Roman"/>
          <w:sz w:val="24"/>
          <w:szCs w:val="24"/>
        </w:rPr>
        <w:t>.</w:t>
      </w:r>
      <w:r w:rsidR="00F7234C" w:rsidRPr="00F77093">
        <w:rPr>
          <w:rFonts w:ascii="Times New Roman" w:hAnsi="Times New Roman" w:cs="Times New Roman"/>
          <w:sz w:val="24"/>
          <w:szCs w:val="24"/>
        </w:rPr>
        <w:t xml:space="preserve"> Reálne využívanie tohto mechanizmu sa očakáva od roku 2017. </w:t>
      </w:r>
    </w:p>
    <w:p w14:paraId="2483CDDC" w14:textId="71DB39ED" w:rsidR="00E43041" w:rsidRPr="000578FE" w:rsidRDefault="00E064E6" w:rsidP="009927E4">
      <w:pPr>
        <w:pStyle w:val="Nadpis4"/>
        <w:numPr>
          <w:ilvl w:val="3"/>
          <w:numId w:val="16"/>
        </w:numPr>
        <w:rPr>
          <w:rFonts w:ascii="Times New Roman" w:eastAsia="Times New Roman" w:hAnsi="Times New Roman" w:cs="Times New Roman"/>
          <w:i w:val="0"/>
          <w:color w:val="auto"/>
          <w:lang w:eastAsia="sk-SK"/>
        </w:rPr>
      </w:pPr>
      <w:bookmarkStart w:id="97" w:name="_Toc477345390"/>
      <w:r w:rsidRPr="000578FE">
        <w:rPr>
          <w:rFonts w:ascii="Times New Roman" w:eastAsia="Times New Roman" w:hAnsi="Times New Roman" w:cs="Times New Roman"/>
          <w:i w:val="0"/>
          <w:color w:val="auto"/>
          <w:lang w:eastAsia="sk-SK"/>
        </w:rPr>
        <w:t>Z</w:t>
      </w:r>
      <w:r w:rsidR="00E43041" w:rsidRPr="000578FE">
        <w:rPr>
          <w:rFonts w:ascii="Times New Roman" w:eastAsia="Times New Roman" w:hAnsi="Times New Roman" w:cs="Times New Roman"/>
          <w:i w:val="0"/>
          <w:color w:val="auto"/>
          <w:lang w:eastAsia="sk-SK"/>
        </w:rPr>
        <w:t xml:space="preserve">oznam verejných subjektov, ktoré vypracovali akčný plán </w:t>
      </w:r>
      <w:r w:rsidR="009927E4" w:rsidRPr="009927E4">
        <w:rPr>
          <w:rFonts w:ascii="Times New Roman" w:eastAsia="Times New Roman" w:hAnsi="Times New Roman" w:cs="Times New Roman"/>
          <w:i w:val="0"/>
          <w:color w:val="auto"/>
          <w:lang w:eastAsia="sk-SK"/>
        </w:rPr>
        <w:t>energetickej efektívnosti</w:t>
      </w:r>
      <w:bookmarkEnd w:id="97"/>
    </w:p>
    <w:p w14:paraId="6F7D2E83" w14:textId="77777777" w:rsidR="00E43041" w:rsidRPr="009F2998" w:rsidRDefault="00E43041" w:rsidP="00E43041">
      <w:pPr>
        <w:rPr>
          <w:rFonts w:ascii="Times New Roman" w:hAnsi="Times New Roman" w:cs="Times New Roman"/>
        </w:rPr>
      </w:pPr>
    </w:p>
    <w:p w14:paraId="10314647" w14:textId="77777777" w:rsidR="00E43041" w:rsidRPr="00F77093" w:rsidRDefault="00E43041" w:rsidP="00E43041">
      <w:pPr>
        <w:jc w:val="both"/>
        <w:rPr>
          <w:rFonts w:ascii="Times New Roman" w:hAnsi="Times New Roman" w:cs="Times New Roman"/>
          <w:sz w:val="24"/>
          <w:szCs w:val="24"/>
        </w:rPr>
      </w:pPr>
      <w:r w:rsidRPr="00F77093">
        <w:rPr>
          <w:rFonts w:ascii="Times New Roman" w:hAnsi="Times New Roman" w:cs="Times New Roman"/>
          <w:sz w:val="24"/>
          <w:szCs w:val="24"/>
        </w:rPr>
        <w:t xml:space="preserve">Plán energetickej efektívnosti v súlade s článkom 5 ods. 7 smernice vypracovali v rámci „Dohovoru primátorov a starostov“ nasledujúce  mestá a obce: Bratislava, Nitra, Moldava nad Bodvou, Trakovice, Malženice, Pobedim, Turčianske Teplice. </w:t>
      </w:r>
    </w:p>
    <w:p w14:paraId="4F7F2802" w14:textId="77777777" w:rsidR="00E43041" w:rsidRPr="000578FE" w:rsidRDefault="00E43041" w:rsidP="007157D7">
      <w:pPr>
        <w:pStyle w:val="Nadpis3"/>
        <w:keepNext w:val="0"/>
        <w:keepLines w:val="0"/>
        <w:numPr>
          <w:ilvl w:val="2"/>
          <w:numId w:val="16"/>
        </w:numPr>
        <w:ind w:left="1276" w:hanging="567"/>
        <w:rPr>
          <w:rFonts w:ascii="Times New Roman" w:hAnsi="Times New Roman" w:cs="Times New Roman"/>
          <w:color w:val="auto"/>
        </w:rPr>
      </w:pPr>
      <w:bookmarkStart w:id="98" w:name="_Toc473638156"/>
      <w:bookmarkStart w:id="99" w:name="_Toc473638157"/>
      <w:bookmarkStart w:id="100" w:name="_Toc477345391"/>
      <w:bookmarkEnd w:id="98"/>
      <w:bookmarkEnd w:id="99"/>
      <w:r w:rsidRPr="000578FE">
        <w:rPr>
          <w:rFonts w:ascii="Times New Roman" w:hAnsi="Times New Roman" w:cs="Times New Roman"/>
          <w:color w:val="auto"/>
        </w:rPr>
        <w:t>Obstarávanie verejnými subjektmi (článok 6 SEE)</w:t>
      </w:r>
      <w:bookmarkEnd w:id="100"/>
    </w:p>
    <w:p w14:paraId="5207DE9D" w14:textId="364D926D" w:rsidR="00F7234C" w:rsidRPr="00F77093" w:rsidRDefault="00F7234C" w:rsidP="00E43041">
      <w:pPr>
        <w:rPr>
          <w:rStyle w:val="Siln"/>
          <w:rFonts w:ascii="Times New Roman" w:hAnsi="Times New Roman" w:cs="Times New Roman"/>
          <w:color w:val="3D3D3D"/>
          <w:sz w:val="24"/>
          <w:szCs w:val="24"/>
        </w:rPr>
      </w:pPr>
    </w:p>
    <w:p w14:paraId="4A795682" w14:textId="47F4BB40" w:rsidR="00F7234C" w:rsidRPr="00F77093" w:rsidRDefault="00F7234C" w:rsidP="001570B9">
      <w:pPr>
        <w:shd w:val="clear" w:color="auto" w:fill="FFFFFF"/>
        <w:spacing w:after="0" w:line="240" w:lineRule="auto"/>
        <w:jc w:val="both"/>
        <w:rPr>
          <w:rFonts w:ascii="Times New Roman" w:eastAsia="Times New Roman" w:hAnsi="Times New Roman" w:cs="Times New Roman"/>
          <w:sz w:val="24"/>
          <w:szCs w:val="24"/>
          <w:lang w:eastAsia="sk-SK"/>
        </w:rPr>
      </w:pPr>
      <w:r w:rsidRPr="00F77093">
        <w:rPr>
          <w:rStyle w:val="Siln"/>
          <w:rFonts w:ascii="Times New Roman" w:hAnsi="Times New Roman" w:cs="Times New Roman"/>
          <w:b w:val="0"/>
          <w:sz w:val="24"/>
          <w:szCs w:val="24"/>
        </w:rPr>
        <w:t>Povinnosť obstarávať výrobky a služby s vysokou energetickou efektívnosťou</w:t>
      </w:r>
      <w:r w:rsidRPr="00F77093">
        <w:rPr>
          <w:rFonts w:ascii="Times New Roman" w:hAnsi="Times New Roman" w:cs="Times New Roman"/>
          <w:sz w:val="24"/>
          <w:szCs w:val="24"/>
        </w:rPr>
        <w:t xml:space="preserve"> je ustanovená zákonom č. </w:t>
      </w:r>
      <w:r w:rsidR="0030375D" w:rsidRPr="0030375D">
        <w:rPr>
          <w:rFonts w:ascii="Times New Roman" w:hAnsi="Times New Roman" w:cs="Times New Roman"/>
          <w:sz w:val="24"/>
          <w:szCs w:val="24"/>
        </w:rPr>
        <w:t xml:space="preserve">343/2015 </w:t>
      </w:r>
      <w:r w:rsidRPr="00F77093">
        <w:rPr>
          <w:rFonts w:ascii="Times New Roman" w:hAnsi="Times New Roman" w:cs="Times New Roman"/>
          <w:sz w:val="24"/>
          <w:szCs w:val="24"/>
        </w:rPr>
        <w:t xml:space="preserve">Z. z. o verejnom obstarávaní a o zmene a doplnení niektorých zákonov v znení neskorších predpisov. </w:t>
      </w:r>
      <w:r w:rsidRPr="00CB1B49">
        <w:rPr>
          <w:rFonts w:ascii="Times New Roman" w:hAnsi="Times New Roman" w:cs="Times New Roman"/>
          <w:sz w:val="24"/>
          <w:szCs w:val="24"/>
        </w:rPr>
        <w:t xml:space="preserve">Podľa § </w:t>
      </w:r>
      <w:r w:rsidR="00914629" w:rsidRPr="00AF5415">
        <w:rPr>
          <w:rFonts w:ascii="Times New Roman" w:hAnsi="Times New Roman" w:cs="Times New Roman"/>
          <w:sz w:val="24"/>
          <w:szCs w:val="24"/>
        </w:rPr>
        <w:t>42</w:t>
      </w:r>
      <w:r w:rsidR="00914629" w:rsidRPr="00CB1B49">
        <w:rPr>
          <w:rFonts w:ascii="Times New Roman" w:hAnsi="Times New Roman" w:cs="Times New Roman"/>
          <w:sz w:val="24"/>
          <w:szCs w:val="24"/>
        </w:rPr>
        <w:t xml:space="preserve"> </w:t>
      </w:r>
      <w:r w:rsidRPr="00CB1B49">
        <w:rPr>
          <w:rFonts w:ascii="Times New Roman" w:hAnsi="Times New Roman" w:cs="Times New Roman"/>
          <w:sz w:val="24"/>
          <w:szCs w:val="24"/>
        </w:rPr>
        <w:t xml:space="preserve">ods. 5 zákona č. </w:t>
      </w:r>
      <w:r w:rsidR="0030375D" w:rsidRPr="00CB1B49">
        <w:rPr>
          <w:rFonts w:ascii="Times New Roman" w:hAnsi="Times New Roman" w:cs="Times New Roman"/>
          <w:sz w:val="24"/>
          <w:szCs w:val="24"/>
        </w:rPr>
        <w:t xml:space="preserve">343/2015 </w:t>
      </w:r>
      <w:r w:rsidRPr="00CB1B49">
        <w:rPr>
          <w:rFonts w:ascii="Times New Roman" w:hAnsi="Times New Roman" w:cs="Times New Roman"/>
          <w:sz w:val="24"/>
          <w:szCs w:val="24"/>
        </w:rPr>
        <w:t xml:space="preserve">Z. z. ak ide o obstaranie energeticky významného výrobku, verejný obstarávateľ v opise predmetu zákazky určí požiadavky len na taký energeticky významný výrobok, ktorý spĺňa kritériá najvyššej výkonnosti a patrí do najvyššej triedy energetickej účinnosti podľa osobitného predpisu. </w:t>
      </w:r>
      <w:r w:rsidRPr="00CB1B49">
        <w:rPr>
          <w:rFonts w:ascii="Times New Roman" w:eastAsia="Times New Roman" w:hAnsi="Times New Roman" w:cs="Times New Roman"/>
          <w:sz w:val="24"/>
          <w:szCs w:val="24"/>
          <w:lang w:eastAsia="sk-SK"/>
        </w:rPr>
        <w:t xml:space="preserve">Povinnosť obstarávať výrobky, ktoré spĺňajú kritériá najvyššej výkonnosti a patria do najvyššej triedy energetickej účinnosti sa nevzťahuje na zákazky, pri ktorých predpokladaná hodnota je nižšia ako finančné limity podľa § </w:t>
      </w:r>
      <w:r w:rsidR="00914629" w:rsidRPr="00AF5415">
        <w:rPr>
          <w:rFonts w:ascii="Times New Roman" w:eastAsia="Times New Roman" w:hAnsi="Times New Roman" w:cs="Times New Roman"/>
          <w:sz w:val="24"/>
          <w:szCs w:val="24"/>
          <w:lang w:eastAsia="sk-SK"/>
        </w:rPr>
        <w:t>5</w:t>
      </w:r>
      <w:r w:rsidRPr="00CB1B49">
        <w:rPr>
          <w:rFonts w:ascii="Times New Roman" w:eastAsia="Times New Roman" w:hAnsi="Times New Roman" w:cs="Times New Roman"/>
          <w:sz w:val="24"/>
          <w:szCs w:val="24"/>
          <w:lang w:eastAsia="sk-SK"/>
        </w:rPr>
        <w:t xml:space="preserve"> ods. 2 zákona č. </w:t>
      </w:r>
      <w:r w:rsidR="0030375D" w:rsidRPr="00CB1B49">
        <w:rPr>
          <w:rFonts w:ascii="Times New Roman" w:eastAsia="Times New Roman" w:hAnsi="Times New Roman" w:cs="Times New Roman"/>
          <w:sz w:val="24"/>
          <w:szCs w:val="24"/>
          <w:lang w:eastAsia="sk-SK"/>
        </w:rPr>
        <w:t xml:space="preserve">343/2015 </w:t>
      </w:r>
      <w:r w:rsidRPr="00CB1B49">
        <w:rPr>
          <w:rFonts w:ascii="Times New Roman" w:eastAsia="Times New Roman" w:hAnsi="Times New Roman" w:cs="Times New Roman"/>
          <w:sz w:val="24"/>
          <w:szCs w:val="24"/>
          <w:lang w:eastAsia="sk-SK"/>
        </w:rPr>
        <w:t>Z. z. alebo ak obstaranie výrobku podľa</w:t>
      </w:r>
      <w:r w:rsidR="00914629" w:rsidRPr="00AF5415">
        <w:rPr>
          <w:rFonts w:ascii="Times New Roman" w:eastAsia="Times New Roman" w:hAnsi="Times New Roman" w:cs="Times New Roman"/>
          <w:sz w:val="24"/>
          <w:szCs w:val="24"/>
          <w:lang w:eastAsia="sk-SK"/>
        </w:rPr>
        <w:t xml:space="preserve"> </w:t>
      </w:r>
      <w:r w:rsidR="00914629" w:rsidRPr="00AF5415">
        <w:rPr>
          <w:rFonts w:ascii="Times New Roman" w:hAnsi="Times New Roman" w:cs="Times New Roman"/>
          <w:sz w:val="24"/>
          <w:szCs w:val="24"/>
        </w:rPr>
        <w:t xml:space="preserve">§ 42 </w:t>
      </w:r>
      <w:r w:rsidRPr="00CB1B49">
        <w:rPr>
          <w:rFonts w:ascii="Times New Roman" w:eastAsia="Times New Roman" w:hAnsi="Times New Roman" w:cs="Times New Roman"/>
          <w:sz w:val="24"/>
          <w:szCs w:val="24"/>
          <w:lang w:eastAsia="sk-SK"/>
        </w:rPr>
        <w:t xml:space="preserve"> odseku 5 v najvyššej triede energetickej účinnosti najvyššej výkonnosti nie je vhodné vzhľadom na efektívnosť nákladov, nie je ekonomicky únosné pre verejného obstarávateľa, nie je technicky vhodné</w:t>
      </w:r>
      <w:r w:rsidRPr="00F77093">
        <w:rPr>
          <w:rFonts w:ascii="Times New Roman" w:eastAsia="Times New Roman" w:hAnsi="Times New Roman" w:cs="Times New Roman"/>
          <w:sz w:val="24"/>
          <w:szCs w:val="24"/>
          <w:lang w:eastAsia="sk-SK"/>
        </w:rPr>
        <w:t xml:space="preserve"> alebo neumožňuje hospodársku súťaž.</w:t>
      </w:r>
    </w:p>
    <w:p w14:paraId="5717A846" w14:textId="10B97966" w:rsidR="004D4277" w:rsidRDefault="00F7234C" w:rsidP="001570B9">
      <w:pPr>
        <w:shd w:val="clear" w:color="auto" w:fill="FFFFFF"/>
        <w:spacing w:after="0" w:line="240" w:lineRule="auto"/>
        <w:jc w:val="both"/>
        <w:outlineLvl w:val="5"/>
        <w:rPr>
          <w:rFonts w:ascii="Times New Roman" w:eastAsia="Times New Roman" w:hAnsi="Times New Roman" w:cs="Times New Roman"/>
          <w:sz w:val="24"/>
          <w:szCs w:val="24"/>
          <w:lang w:eastAsia="sk-SK"/>
        </w:rPr>
      </w:pPr>
      <w:r w:rsidRPr="00F77093">
        <w:rPr>
          <w:rFonts w:ascii="Times New Roman" w:eastAsia="Times New Roman" w:hAnsi="Times New Roman" w:cs="Times New Roman"/>
          <w:bCs/>
          <w:sz w:val="24"/>
          <w:szCs w:val="24"/>
          <w:lang w:eastAsia="sk-SK"/>
        </w:rPr>
        <w:t>Povinnosť obstarávať výrobky, ktoré spĺňajú kritériá najvyššej výkonnosti a patria do najvyššej triedy energetickej účinnosti sa teda vzťahuje len na nadlimitné zákazky.</w:t>
      </w:r>
      <w:r w:rsidRPr="00F77093">
        <w:rPr>
          <w:rFonts w:ascii="Times New Roman" w:eastAsia="Times New Roman" w:hAnsi="Times New Roman" w:cs="Times New Roman"/>
          <w:sz w:val="24"/>
          <w:szCs w:val="24"/>
          <w:lang w:eastAsia="sk-SK"/>
        </w:rPr>
        <w:t xml:space="preserve"> Finančné limity ustanovuje Úrad pre verejné obstarávanie. </w:t>
      </w:r>
    </w:p>
    <w:p w14:paraId="3672EDA3" w14:textId="77777777" w:rsidR="00CB1B49" w:rsidRPr="00F77093" w:rsidRDefault="00CB1B49" w:rsidP="001570B9">
      <w:pPr>
        <w:shd w:val="clear" w:color="auto" w:fill="FFFFFF"/>
        <w:spacing w:after="0" w:line="240" w:lineRule="auto"/>
        <w:jc w:val="both"/>
        <w:outlineLvl w:val="5"/>
        <w:rPr>
          <w:rFonts w:ascii="Times New Roman" w:eastAsia="Times New Roman" w:hAnsi="Times New Roman" w:cs="Times New Roman"/>
          <w:sz w:val="24"/>
          <w:szCs w:val="24"/>
          <w:lang w:eastAsia="sk-SK"/>
        </w:rPr>
      </w:pPr>
    </w:p>
    <w:p w14:paraId="6AF7E2E3" w14:textId="57D43191" w:rsidR="004D4277" w:rsidRPr="00F77093" w:rsidRDefault="004D4277" w:rsidP="001570B9">
      <w:pPr>
        <w:shd w:val="clear" w:color="auto" w:fill="FFFFFF"/>
        <w:spacing w:after="0" w:line="240" w:lineRule="auto"/>
        <w:jc w:val="both"/>
        <w:outlineLvl w:val="5"/>
        <w:rPr>
          <w:rFonts w:ascii="Times New Roman" w:eastAsia="Times New Roman" w:hAnsi="Times New Roman" w:cs="Times New Roman"/>
          <w:sz w:val="24"/>
          <w:szCs w:val="24"/>
          <w:lang w:eastAsia="sk-SK"/>
        </w:rPr>
      </w:pPr>
      <w:r w:rsidRPr="00F77093">
        <w:rPr>
          <w:rFonts w:ascii="Times New Roman" w:eastAsia="Times New Roman" w:hAnsi="Times New Roman" w:cs="Times New Roman"/>
          <w:bCs/>
          <w:sz w:val="24"/>
          <w:szCs w:val="24"/>
          <w:lang w:eastAsia="sk-SK"/>
        </w:rPr>
        <w:t xml:space="preserve">Pre verejný sektor odporúča MH SR </w:t>
      </w:r>
      <w:r w:rsidRPr="00F77093">
        <w:rPr>
          <w:rFonts w:ascii="Times New Roman" w:eastAsia="Times New Roman" w:hAnsi="Times New Roman" w:cs="Times New Roman"/>
          <w:sz w:val="24"/>
          <w:szCs w:val="24"/>
          <w:lang w:eastAsia="sk-SK"/>
        </w:rPr>
        <w:t>pri vyhodnocovaní ponúk na výrobky a služby zohľadňovať náklady životného cyklu výrobkov a aj pri podlimitných zákazkách obstarávať výrobky, ktoré spĺňajú kritériá najvyššej výkonnosti a patria do najvyššej triedy energetickej účinnosti</w:t>
      </w:r>
      <w:r w:rsidR="00CB1B49">
        <w:rPr>
          <w:rFonts w:ascii="Times New Roman" w:eastAsia="Times New Roman" w:hAnsi="Times New Roman" w:cs="Times New Roman"/>
          <w:sz w:val="24"/>
          <w:szCs w:val="24"/>
          <w:lang w:eastAsia="sk-SK"/>
        </w:rPr>
        <w:t>,</w:t>
      </w:r>
      <w:r w:rsidRPr="00F77093">
        <w:rPr>
          <w:rFonts w:ascii="Times New Roman" w:eastAsia="Times New Roman" w:hAnsi="Times New Roman" w:cs="Times New Roman"/>
          <w:sz w:val="24"/>
          <w:szCs w:val="24"/>
          <w:lang w:eastAsia="sk-SK"/>
        </w:rPr>
        <w:t xml:space="preserve"> a to najmä pri</w:t>
      </w:r>
      <w:r w:rsidR="001570B9" w:rsidRPr="00F77093">
        <w:rPr>
          <w:rFonts w:ascii="Times New Roman" w:eastAsia="Times New Roman" w:hAnsi="Times New Roman" w:cs="Times New Roman"/>
          <w:sz w:val="24"/>
          <w:szCs w:val="24"/>
          <w:lang w:eastAsia="sk-SK"/>
        </w:rPr>
        <w:t>:</w:t>
      </w:r>
    </w:p>
    <w:p w14:paraId="42C81227" w14:textId="77777777" w:rsidR="004D4277" w:rsidRPr="00F77093" w:rsidRDefault="004D4277" w:rsidP="008C48EE">
      <w:pPr>
        <w:shd w:val="clear" w:color="auto" w:fill="FFFFFF"/>
        <w:spacing w:after="0" w:line="240" w:lineRule="auto"/>
        <w:rPr>
          <w:rFonts w:ascii="Times New Roman" w:eastAsia="Times New Roman" w:hAnsi="Times New Roman" w:cs="Times New Roman"/>
          <w:sz w:val="24"/>
          <w:szCs w:val="24"/>
          <w:lang w:eastAsia="sk-SK"/>
        </w:rPr>
      </w:pPr>
      <w:r w:rsidRPr="00F77093">
        <w:rPr>
          <w:rFonts w:ascii="Times New Roman" w:eastAsia="Times New Roman" w:hAnsi="Times New Roman" w:cs="Times New Roman"/>
          <w:sz w:val="24"/>
          <w:szCs w:val="24"/>
          <w:lang w:eastAsia="sk-SK"/>
        </w:rPr>
        <w:lastRenderedPageBreak/>
        <w:t>- zariadeniach na výrobu tepla,</w:t>
      </w:r>
      <w:r w:rsidRPr="00F77093">
        <w:rPr>
          <w:rFonts w:ascii="Times New Roman" w:eastAsia="Times New Roman" w:hAnsi="Times New Roman" w:cs="Times New Roman"/>
          <w:sz w:val="24"/>
          <w:szCs w:val="24"/>
          <w:lang w:eastAsia="sk-SK"/>
        </w:rPr>
        <w:br/>
        <w:t>- klimatizačných a vetracích zariadeniach,</w:t>
      </w:r>
      <w:r w:rsidRPr="00F77093">
        <w:rPr>
          <w:rFonts w:ascii="Times New Roman" w:eastAsia="Times New Roman" w:hAnsi="Times New Roman" w:cs="Times New Roman"/>
          <w:sz w:val="24"/>
          <w:szCs w:val="24"/>
          <w:lang w:eastAsia="sk-SK"/>
        </w:rPr>
        <w:br/>
        <w:t>- výpočtovej technike,</w:t>
      </w:r>
      <w:r w:rsidRPr="00F77093">
        <w:rPr>
          <w:rFonts w:ascii="Times New Roman" w:eastAsia="Times New Roman" w:hAnsi="Times New Roman" w:cs="Times New Roman"/>
          <w:sz w:val="24"/>
          <w:szCs w:val="24"/>
          <w:lang w:eastAsia="sk-SK"/>
        </w:rPr>
        <w:br/>
        <w:t>- osvetlení vnútorných priestorov.</w:t>
      </w:r>
    </w:p>
    <w:p w14:paraId="215DB8D2" w14:textId="77777777" w:rsidR="004D4277" w:rsidRPr="00F77093" w:rsidRDefault="004D4277" w:rsidP="008C48EE">
      <w:pPr>
        <w:shd w:val="clear" w:color="auto" w:fill="FFFFFF"/>
        <w:spacing w:after="0" w:line="240" w:lineRule="auto"/>
        <w:rPr>
          <w:rFonts w:ascii="Times New Roman" w:eastAsia="Times New Roman" w:hAnsi="Times New Roman" w:cs="Times New Roman"/>
          <w:sz w:val="24"/>
          <w:szCs w:val="24"/>
          <w:lang w:eastAsia="sk-SK"/>
        </w:rPr>
      </w:pPr>
    </w:p>
    <w:p w14:paraId="77506F72" w14:textId="77777777" w:rsidR="00BE27E4" w:rsidRPr="00F77093" w:rsidRDefault="004D4277" w:rsidP="008C48EE">
      <w:pPr>
        <w:spacing w:after="0" w:line="240" w:lineRule="auto"/>
        <w:jc w:val="both"/>
        <w:rPr>
          <w:rStyle w:val="Siln"/>
          <w:rFonts w:ascii="Times New Roman" w:hAnsi="Times New Roman" w:cs="Times New Roman"/>
          <w:b w:val="0"/>
          <w:sz w:val="24"/>
          <w:szCs w:val="24"/>
        </w:rPr>
      </w:pPr>
      <w:r w:rsidRPr="00F77093">
        <w:rPr>
          <w:rFonts w:ascii="Times New Roman" w:hAnsi="Times New Roman" w:cs="Times New Roman"/>
          <w:bCs/>
          <w:sz w:val="24"/>
          <w:szCs w:val="24"/>
        </w:rPr>
        <w:t>Opatrenia na zlepšenie energetickej efektívnosti pri verejnom obstarávaní a u</w:t>
      </w:r>
      <w:r w:rsidRPr="00F77093">
        <w:rPr>
          <w:rStyle w:val="Siln"/>
          <w:rFonts w:ascii="Times New Roman" w:hAnsi="Times New Roman" w:cs="Times New Roman"/>
          <w:b w:val="0"/>
          <w:sz w:val="24"/>
          <w:szCs w:val="24"/>
        </w:rPr>
        <w:t>smernenie pri zadávaní zákaziek podľa zákona o verejnom obstarávaní ako hodnotiace kritérium z hľadiska efektívnosti prevádzkových nákladov pri obstarávaní energeticky významných výrobkov, pneumatík, služieb, verejných budov, obnovy verejných budov, balíka energeticky významných výrobkov a pod.</w:t>
      </w:r>
      <w:r w:rsidR="00BE27E4" w:rsidRPr="00F77093">
        <w:rPr>
          <w:rStyle w:val="Siln"/>
          <w:rFonts w:ascii="Times New Roman" w:hAnsi="Times New Roman" w:cs="Times New Roman"/>
          <w:b w:val="0"/>
          <w:sz w:val="24"/>
          <w:szCs w:val="24"/>
        </w:rPr>
        <w:t xml:space="preserve"> zverejňuje na webovom sídle SIEA.</w:t>
      </w:r>
    </w:p>
    <w:p w14:paraId="5A724CF5" w14:textId="6556E0C4" w:rsidR="00E43041" w:rsidRPr="00F77093" w:rsidRDefault="00E43041" w:rsidP="00E43041">
      <w:pPr>
        <w:rPr>
          <w:rFonts w:ascii="Times New Roman" w:hAnsi="Times New Roman" w:cs="Times New Roman"/>
          <w:b/>
          <w:bCs/>
          <w:color w:val="3D3D3D"/>
          <w:sz w:val="24"/>
          <w:szCs w:val="24"/>
        </w:rPr>
      </w:pPr>
    </w:p>
    <w:p w14:paraId="3644BC41" w14:textId="7ABC294E" w:rsidR="005303D3" w:rsidRDefault="005303D3">
      <w:pPr>
        <w:rPr>
          <w:rFonts w:ascii="Times New Roman" w:eastAsiaTheme="majorEastAsia" w:hAnsi="Times New Roman" w:cs="Times New Roman"/>
          <w:b/>
          <w:bCs/>
          <w:sz w:val="26"/>
          <w:szCs w:val="26"/>
        </w:rPr>
      </w:pPr>
    </w:p>
    <w:p w14:paraId="5C2EA26D" w14:textId="2AAEFBCC" w:rsidR="00E43041" w:rsidRPr="000578FE" w:rsidRDefault="00E43041" w:rsidP="007157D7">
      <w:pPr>
        <w:pStyle w:val="Nadpis2"/>
        <w:keepNext w:val="0"/>
        <w:keepLines w:val="0"/>
        <w:numPr>
          <w:ilvl w:val="1"/>
          <w:numId w:val="16"/>
        </w:numPr>
        <w:ind w:left="993" w:hanging="567"/>
        <w:rPr>
          <w:rFonts w:ascii="Times New Roman" w:hAnsi="Times New Roman" w:cs="Times New Roman"/>
          <w:color w:val="auto"/>
        </w:rPr>
      </w:pPr>
      <w:bookmarkStart w:id="101" w:name="_Toc477345392"/>
      <w:r w:rsidRPr="000578FE">
        <w:rPr>
          <w:rFonts w:ascii="Times New Roman" w:hAnsi="Times New Roman" w:cs="Times New Roman"/>
          <w:color w:val="auto"/>
        </w:rPr>
        <w:t>Ďalšie opatrenia zamerané na efektívnosť konečného využitia energie v priemysle a doprave</w:t>
      </w:r>
      <w:bookmarkEnd w:id="101"/>
    </w:p>
    <w:p w14:paraId="041A174D" w14:textId="024A3841" w:rsidR="00E43041" w:rsidRPr="000578FE" w:rsidRDefault="00BF460E" w:rsidP="007157D7">
      <w:pPr>
        <w:pStyle w:val="Nadpis3"/>
        <w:numPr>
          <w:ilvl w:val="2"/>
          <w:numId w:val="16"/>
        </w:numPr>
        <w:ind w:left="1418" w:hanging="709"/>
        <w:rPr>
          <w:rFonts w:ascii="Times New Roman" w:eastAsia="Times New Roman" w:hAnsi="Times New Roman" w:cs="Times New Roman"/>
          <w:color w:val="auto"/>
          <w:lang w:eastAsia="sk-SK"/>
        </w:rPr>
      </w:pPr>
      <w:bookmarkStart w:id="102" w:name="_Toc477345393"/>
      <w:r w:rsidRPr="000578FE">
        <w:rPr>
          <w:rFonts w:ascii="Times New Roman" w:eastAsia="Times New Roman" w:hAnsi="Times New Roman" w:cs="Times New Roman"/>
          <w:color w:val="auto"/>
          <w:lang w:eastAsia="sk-SK"/>
        </w:rPr>
        <w:t>P</w:t>
      </w:r>
      <w:r w:rsidR="00E43041" w:rsidRPr="000578FE">
        <w:rPr>
          <w:rFonts w:ascii="Times New Roman" w:eastAsia="Times New Roman" w:hAnsi="Times New Roman" w:cs="Times New Roman"/>
          <w:color w:val="auto"/>
          <w:lang w:eastAsia="sk-SK"/>
        </w:rPr>
        <w:t xml:space="preserve">odrobnosti o významných opatreniach na zvýšenie </w:t>
      </w:r>
      <w:r w:rsidR="009927E4">
        <w:rPr>
          <w:rFonts w:ascii="Times New Roman" w:eastAsia="Times New Roman" w:hAnsi="Times New Roman" w:cs="Times New Roman"/>
          <w:color w:val="auto"/>
          <w:lang w:eastAsia="sk-SK"/>
        </w:rPr>
        <w:t>energetickej efektívnosti</w:t>
      </w:r>
      <w:r w:rsidR="009927E4" w:rsidRPr="000578FE">
        <w:rPr>
          <w:rFonts w:ascii="Times New Roman" w:eastAsia="Times New Roman" w:hAnsi="Times New Roman" w:cs="Times New Roman"/>
          <w:color w:val="auto"/>
          <w:lang w:eastAsia="sk-SK"/>
        </w:rPr>
        <w:t xml:space="preserve"> </w:t>
      </w:r>
      <w:r w:rsidR="00E43041" w:rsidRPr="000578FE">
        <w:rPr>
          <w:rFonts w:ascii="Times New Roman" w:eastAsia="Times New Roman" w:hAnsi="Times New Roman" w:cs="Times New Roman"/>
          <w:color w:val="auto"/>
          <w:lang w:eastAsia="sk-SK"/>
        </w:rPr>
        <w:t>v priemysle</w:t>
      </w:r>
      <w:bookmarkEnd w:id="102"/>
    </w:p>
    <w:p w14:paraId="77FCA76E" w14:textId="77777777" w:rsidR="00E43041" w:rsidRPr="009F2998" w:rsidRDefault="00E43041" w:rsidP="00E43041">
      <w:pPr>
        <w:rPr>
          <w:rFonts w:ascii="Times New Roman" w:hAnsi="Times New Roman" w:cs="Times New Roman"/>
          <w:lang w:eastAsia="sk-SK"/>
        </w:rPr>
      </w:pPr>
    </w:p>
    <w:p w14:paraId="32B02B96" w14:textId="77777777" w:rsidR="00E43041" w:rsidRPr="00F77093" w:rsidRDefault="00E43041" w:rsidP="008C48EE">
      <w:pPr>
        <w:jc w:val="both"/>
        <w:rPr>
          <w:rFonts w:ascii="Times New Roman" w:hAnsi="Times New Roman" w:cs="Times New Roman"/>
          <w:sz w:val="24"/>
          <w:szCs w:val="24"/>
          <w:lang w:eastAsia="sk-SK"/>
        </w:rPr>
      </w:pPr>
      <w:r w:rsidRPr="00F77093">
        <w:rPr>
          <w:rFonts w:ascii="Times New Roman" w:hAnsi="Times New Roman" w:cs="Times New Roman"/>
          <w:sz w:val="24"/>
          <w:szCs w:val="24"/>
          <w:lang w:eastAsia="sk-SK"/>
        </w:rPr>
        <w:t>Pre oblasť energetického priemyslu a dodávku pitnej vody zaviedla SR povinnosť pravidelne sledovať a vyhodnocovať energetickú náročnosť prepravy, prenosu a distribúcie elektriny, zemného plynu, pohonných látok tepla ako aj energetickú náročnosť prevádzky verejných vodovodov a kanalizácií.</w:t>
      </w:r>
    </w:p>
    <w:p w14:paraId="2B84E04D" w14:textId="77777777" w:rsidR="00E43041" w:rsidRPr="00F77093" w:rsidRDefault="00E43041" w:rsidP="008C48EE">
      <w:pPr>
        <w:jc w:val="both"/>
        <w:rPr>
          <w:rFonts w:ascii="Times New Roman" w:hAnsi="Times New Roman" w:cs="Times New Roman"/>
          <w:sz w:val="24"/>
          <w:szCs w:val="24"/>
          <w:lang w:eastAsia="sk-SK"/>
        </w:rPr>
      </w:pPr>
      <w:r w:rsidRPr="00F77093">
        <w:rPr>
          <w:rFonts w:ascii="Times New Roman" w:hAnsi="Times New Roman" w:cs="Times New Roman"/>
          <w:sz w:val="24"/>
          <w:szCs w:val="24"/>
          <w:lang w:eastAsia="sk-SK"/>
        </w:rPr>
        <w:t>Pri výstavbe zariadenia na výrobu elektriny resp. zariadenia na výrobu tepla je pri podmienkach ustanovených zákonom o energetickej efektívnosti povinnosť zabezpečiť vypracovanie energetického auditu, v ktorom sa posúdi alternatívna možnosť vybudovania zariadenia na kombinovanú výrobu elektriny a tepla.</w:t>
      </w:r>
    </w:p>
    <w:p w14:paraId="16FFF617" w14:textId="77777777" w:rsidR="009959E6" w:rsidRPr="009F2998" w:rsidRDefault="009959E6" w:rsidP="00E43041">
      <w:pPr>
        <w:rPr>
          <w:rFonts w:ascii="Times New Roman" w:hAnsi="Times New Roman" w:cs="Times New Roman"/>
          <w:lang w:eastAsia="sk-SK"/>
        </w:rPr>
      </w:pPr>
    </w:p>
    <w:p w14:paraId="239DB667" w14:textId="51D9B00E" w:rsidR="00E43041" w:rsidRPr="000578FE" w:rsidRDefault="004C542E" w:rsidP="007157D7">
      <w:pPr>
        <w:pStyle w:val="Nadpis3"/>
        <w:numPr>
          <w:ilvl w:val="2"/>
          <w:numId w:val="16"/>
        </w:numPr>
        <w:ind w:left="1418" w:hanging="709"/>
        <w:rPr>
          <w:rFonts w:ascii="Times New Roman" w:eastAsia="Times New Roman" w:hAnsi="Times New Roman" w:cs="Times New Roman"/>
          <w:color w:val="auto"/>
          <w:lang w:eastAsia="sk-SK"/>
        </w:rPr>
      </w:pPr>
      <w:bookmarkStart w:id="103" w:name="_Toc477345394"/>
      <w:r w:rsidRPr="000578FE">
        <w:rPr>
          <w:rFonts w:ascii="Times New Roman" w:eastAsia="Times New Roman" w:hAnsi="Times New Roman" w:cs="Times New Roman"/>
          <w:color w:val="auto"/>
          <w:lang w:eastAsia="sk-SK"/>
        </w:rPr>
        <w:t>P</w:t>
      </w:r>
      <w:r w:rsidR="00E43041" w:rsidRPr="000578FE">
        <w:rPr>
          <w:rFonts w:ascii="Times New Roman" w:eastAsia="Times New Roman" w:hAnsi="Times New Roman" w:cs="Times New Roman"/>
          <w:color w:val="auto"/>
          <w:lang w:eastAsia="sk-SK"/>
        </w:rPr>
        <w:t xml:space="preserve">odrobnosti o významných opatreniach na zvýšenie </w:t>
      </w:r>
      <w:r w:rsidRPr="000578FE">
        <w:rPr>
          <w:rFonts w:ascii="Times New Roman" w:eastAsia="Times New Roman" w:hAnsi="Times New Roman" w:cs="Times New Roman"/>
          <w:color w:val="auto"/>
          <w:lang w:eastAsia="sk-SK"/>
        </w:rPr>
        <w:t xml:space="preserve">energetickej efektívnosti </w:t>
      </w:r>
      <w:r w:rsidR="00E43041" w:rsidRPr="000578FE">
        <w:rPr>
          <w:rFonts w:ascii="Times New Roman" w:eastAsia="Times New Roman" w:hAnsi="Times New Roman" w:cs="Times New Roman"/>
          <w:color w:val="auto"/>
          <w:lang w:eastAsia="sk-SK"/>
        </w:rPr>
        <w:t>v osobnej a nákladnej doprave</w:t>
      </w:r>
      <w:bookmarkEnd w:id="103"/>
    </w:p>
    <w:p w14:paraId="289E2E8A" w14:textId="77777777" w:rsidR="003F4AC4" w:rsidRPr="007345A8" w:rsidRDefault="003F4AC4" w:rsidP="003F4AC4">
      <w:pPr>
        <w:rPr>
          <w:rFonts w:ascii="Times New Roman" w:hAnsi="Times New Roman" w:cs="Times New Roman"/>
          <w:lang w:eastAsia="sk-SK"/>
        </w:rPr>
      </w:pPr>
    </w:p>
    <w:p w14:paraId="47CC90F0" w14:textId="77777777" w:rsidR="003F4AC4" w:rsidRPr="00F77093" w:rsidRDefault="003F4AC4" w:rsidP="00F77093">
      <w:pPr>
        <w:jc w:val="both"/>
        <w:rPr>
          <w:rFonts w:ascii="Times New Roman" w:hAnsi="Times New Roman" w:cs="Times New Roman"/>
          <w:sz w:val="24"/>
          <w:lang w:eastAsia="sk-SK"/>
        </w:rPr>
      </w:pPr>
      <w:r w:rsidRPr="00F77093">
        <w:rPr>
          <w:rFonts w:ascii="Times New Roman" w:hAnsi="Times New Roman" w:cs="Times New Roman"/>
          <w:sz w:val="24"/>
          <w:lang w:eastAsia="sk-SK"/>
        </w:rPr>
        <w:t>Najväčší vplyv na dosahované úspory má budovanie cestnej infraštruktúry. SR pripravuje nové projekty cestných prepojení a budovanie rýchlostných komunikácií.</w:t>
      </w:r>
    </w:p>
    <w:p w14:paraId="0DE11A10" w14:textId="528B3724" w:rsidR="003F4AC4" w:rsidRPr="00F77093" w:rsidRDefault="003F4AC4" w:rsidP="00F77093">
      <w:pPr>
        <w:jc w:val="both"/>
        <w:rPr>
          <w:rFonts w:ascii="Times New Roman" w:hAnsi="Times New Roman" w:cs="Times New Roman"/>
          <w:sz w:val="24"/>
          <w:lang w:eastAsia="sk-SK"/>
        </w:rPr>
      </w:pPr>
      <w:r w:rsidRPr="00F77093">
        <w:rPr>
          <w:rFonts w:ascii="Times New Roman" w:hAnsi="Times New Roman" w:cs="Times New Roman"/>
          <w:sz w:val="24"/>
          <w:lang w:eastAsia="sk-SK"/>
        </w:rPr>
        <w:t xml:space="preserve">SR pripravila dotačný program pre elektromobilu v osobnej doprave, kde prijímateľom môže byť fyzická osoba. Dotácia do výšky 5 000 </w:t>
      </w:r>
      <w:r w:rsidR="000C2919">
        <w:rPr>
          <w:rFonts w:ascii="Times New Roman" w:hAnsi="Times New Roman" w:cs="Times New Roman"/>
          <w:sz w:val="24"/>
          <w:lang w:eastAsia="sk-SK"/>
        </w:rPr>
        <w:t>Eur</w:t>
      </w:r>
      <w:r w:rsidRPr="00F77093">
        <w:rPr>
          <w:rFonts w:ascii="Times New Roman" w:hAnsi="Times New Roman" w:cs="Times New Roman"/>
          <w:sz w:val="24"/>
          <w:lang w:eastAsia="sk-SK"/>
        </w:rPr>
        <w:t xml:space="preserve"> na jedno vozidlo má za cieľ stimulovať trh s elektromobilmi. Dotačný program bol spustený na jeseň 2016.</w:t>
      </w:r>
    </w:p>
    <w:p w14:paraId="7DD9608F" w14:textId="77777777" w:rsidR="003F4AC4" w:rsidRPr="009F2998" w:rsidRDefault="003F4AC4" w:rsidP="00E43041">
      <w:pPr>
        <w:rPr>
          <w:rFonts w:ascii="Times New Roman" w:hAnsi="Times New Roman" w:cs="Times New Roman"/>
          <w:lang w:eastAsia="sk-SK"/>
        </w:rPr>
      </w:pPr>
    </w:p>
    <w:p w14:paraId="5337D0C2" w14:textId="3C3EE2CD" w:rsidR="00E43041" w:rsidRPr="000578FE" w:rsidRDefault="00BF460E" w:rsidP="007157D7">
      <w:pPr>
        <w:pStyle w:val="Nadpis3"/>
        <w:numPr>
          <w:ilvl w:val="2"/>
          <w:numId w:val="16"/>
        </w:numPr>
        <w:ind w:left="1418" w:hanging="709"/>
        <w:rPr>
          <w:rFonts w:ascii="Times New Roman" w:eastAsia="Times New Roman" w:hAnsi="Times New Roman" w:cs="Times New Roman"/>
          <w:color w:val="auto"/>
          <w:lang w:eastAsia="sk-SK"/>
        </w:rPr>
      </w:pPr>
      <w:bookmarkStart w:id="104" w:name="_Toc477345395"/>
      <w:r w:rsidRPr="000578FE">
        <w:rPr>
          <w:rFonts w:ascii="Times New Roman" w:eastAsia="Times New Roman" w:hAnsi="Times New Roman" w:cs="Times New Roman"/>
          <w:color w:val="auto"/>
          <w:lang w:eastAsia="sk-SK"/>
        </w:rPr>
        <w:t>P</w:t>
      </w:r>
      <w:r w:rsidR="00E43041" w:rsidRPr="000578FE">
        <w:rPr>
          <w:rFonts w:ascii="Times New Roman" w:eastAsia="Times New Roman" w:hAnsi="Times New Roman" w:cs="Times New Roman"/>
          <w:color w:val="auto"/>
          <w:lang w:eastAsia="sk-SK"/>
        </w:rPr>
        <w:t xml:space="preserve">odrobnosti o významných opatreniach zameraných na </w:t>
      </w:r>
      <w:r w:rsidR="009927E4">
        <w:rPr>
          <w:rFonts w:ascii="Times New Roman" w:eastAsia="Times New Roman" w:hAnsi="Times New Roman" w:cs="Times New Roman"/>
          <w:color w:val="auto"/>
          <w:lang w:eastAsia="sk-SK"/>
        </w:rPr>
        <w:t>energetickej efektívnosti</w:t>
      </w:r>
      <w:r w:rsidR="009927E4" w:rsidRPr="000578FE" w:rsidDel="009927E4">
        <w:rPr>
          <w:rFonts w:ascii="Times New Roman" w:eastAsia="Times New Roman" w:hAnsi="Times New Roman" w:cs="Times New Roman"/>
          <w:color w:val="auto"/>
          <w:lang w:eastAsia="sk-SK"/>
        </w:rPr>
        <w:t xml:space="preserve"> </w:t>
      </w:r>
      <w:r w:rsidR="00E43041" w:rsidRPr="000578FE">
        <w:rPr>
          <w:rFonts w:ascii="Times New Roman" w:eastAsia="Times New Roman" w:hAnsi="Times New Roman" w:cs="Times New Roman"/>
          <w:color w:val="auto"/>
          <w:lang w:eastAsia="sk-SK"/>
        </w:rPr>
        <w:t>konečného využitia energie v priemysle</w:t>
      </w:r>
      <w:bookmarkEnd w:id="104"/>
    </w:p>
    <w:p w14:paraId="1F507A5F" w14:textId="77777777" w:rsidR="00E43041" w:rsidRPr="007345A8" w:rsidRDefault="00E43041" w:rsidP="00E43041">
      <w:pPr>
        <w:rPr>
          <w:rFonts w:ascii="Times New Roman" w:hAnsi="Times New Roman" w:cs="Times New Roman"/>
          <w:lang w:eastAsia="sk-SK"/>
        </w:rPr>
      </w:pPr>
    </w:p>
    <w:p w14:paraId="1C5F7478" w14:textId="1ECEA827" w:rsidR="00F77093" w:rsidRDefault="00B55FEA">
      <w:pPr>
        <w:rPr>
          <w:rFonts w:ascii="Times New Roman" w:hAnsi="Times New Roman" w:cs="Times New Roman"/>
        </w:rPr>
      </w:pPr>
      <w:r w:rsidRPr="00F77093">
        <w:rPr>
          <w:rFonts w:ascii="Times New Roman" w:hAnsi="Times New Roman" w:cs="Times New Roman"/>
          <w:sz w:val="24"/>
          <w:lang w:eastAsia="sk-SK"/>
        </w:rPr>
        <w:t xml:space="preserve">MH SR v roku 2016 vypracovalo schému na podporu vypracovania energetických auditov pre MSP v Bratislavskom samosprávnom kraji s celkovou alokáciou 300 000 </w:t>
      </w:r>
      <w:r w:rsidR="000C2919">
        <w:rPr>
          <w:rFonts w:ascii="Times New Roman" w:hAnsi="Times New Roman" w:cs="Times New Roman"/>
          <w:sz w:val="24"/>
          <w:lang w:eastAsia="sk-SK"/>
        </w:rPr>
        <w:t>Eur</w:t>
      </w:r>
      <w:r w:rsidRPr="00F77093">
        <w:rPr>
          <w:rFonts w:ascii="Times New Roman" w:hAnsi="Times New Roman" w:cs="Times New Roman"/>
          <w:sz w:val="24"/>
          <w:lang w:eastAsia="sk-SK"/>
        </w:rPr>
        <w:t xml:space="preserve">. </w:t>
      </w:r>
      <w:r w:rsidR="00474145" w:rsidRPr="00F77093">
        <w:rPr>
          <w:rFonts w:ascii="Times New Roman" w:hAnsi="Times New Roman" w:cs="Times New Roman"/>
          <w:sz w:val="24"/>
          <w:lang w:eastAsia="sk-SK"/>
        </w:rPr>
        <w:t xml:space="preserve">Pre menej </w:t>
      </w:r>
      <w:r w:rsidR="00474145" w:rsidRPr="00F77093">
        <w:rPr>
          <w:rFonts w:ascii="Times New Roman" w:hAnsi="Times New Roman" w:cs="Times New Roman"/>
          <w:sz w:val="24"/>
          <w:lang w:eastAsia="sk-SK"/>
        </w:rPr>
        <w:lastRenderedPageBreak/>
        <w:t xml:space="preserve">rozvinuté regióny bude podobný mechanizmus zabezpečený prostredníctvom financovania z OP KŽP s využitím prostriedkov EŠIF vo výške 12 mil. </w:t>
      </w:r>
      <w:r w:rsidR="000C2919">
        <w:rPr>
          <w:rFonts w:ascii="Times New Roman" w:hAnsi="Times New Roman" w:cs="Times New Roman"/>
          <w:sz w:val="24"/>
          <w:lang w:eastAsia="sk-SK"/>
        </w:rPr>
        <w:t>Eur</w:t>
      </w:r>
      <w:r w:rsidR="00474145" w:rsidRPr="00F77093">
        <w:rPr>
          <w:rFonts w:ascii="Times New Roman" w:hAnsi="Times New Roman" w:cs="Times New Roman"/>
          <w:sz w:val="24"/>
          <w:lang w:eastAsia="sk-SK"/>
        </w:rPr>
        <w:t xml:space="preserve">. </w:t>
      </w:r>
    </w:p>
    <w:p w14:paraId="33DA0B2C" w14:textId="77777777" w:rsidR="00031AC9" w:rsidRDefault="00031AC9">
      <w:pPr>
        <w:rPr>
          <w:rFonts w:ascii="Times New Roman" w:eastAsiaTheme="majorEastAsia" w:hAnsi="Times New Roman" w:cs="Times New Roman"/>
          <w:b/>
          <w:bCs/>
          <w:color w:val="5B9BD5" w:themeColor="accent1"/>
          <w:sz w:val="26"/>
          <w:szCs w:val="26"/>
        </w:rPr>
      </w:pPr>
    </w:p>
    <w:p w14:paraId="564FCC46" w14:textId="76427789" w:rsidR="00EA16CC" w:rsidRDefault="00EA16CC">
      <w:pPr>
        <w:rPr>
          <w:rFonts w:ascii="Times New Roman" w:eastAsiaTheme="majorEastAsia" w:hAnsi="Times New Roman" w:cs="Times New Roman"/>
          <w:b/>
          <w:bCs/>
          <w:sz w:val="26"/>
          <w:szCs w:val="26"/>
        </w:rPr>
      </w:pPr>
      <w:bookmarkStart w:id="105" w:name="_Toc477345396"/>
    </w:p>
    <w:p w14:paraId="40E1CBFC" w14:textId="3062B894" w:rsidR="00E43041" w:rsidRPr="000578FE" w:rsidRDefault="00E43041" w:rsidP="007157D7">
      <w:pPr>
        <w:pStyle w:val="Nadpis2"/>
        <w:keepNext w:val="0"/>
        <w:keepLines w:val="0"/>
        <w:numPr>
          <w:ilvl w:val="1"/>
          <w:numId w:val="16"/>
        </w:numPr>
        <w:ind w:left="993" w:hanging="567"/>
        <w:rPr>
          <w:rFonts w:ascii="Times New Roman" w:hAnsi="Times New Roman" w:cs="Times New Roman"/>
          <w:color w:val="auto"/>
        </w:rPr>
      </w:pPr>
      <w:r w:rsidRPr="000578FE">
        <w:rPr>
          <w:rFonts w:ascii="Times New Roman" w:hAnsi="Times New Roman" w:cs="Times New Roman"/>
          <w:color w:val="auto"/>
        </w:rPr>
        <w:t>Podpora efektívneho vykurovania a chladenia</w:t>
      </w:r>
      <w:bookmarkEnd w:id="105"/>
    </w:p>
    <w:p w14:paraId="315B642E" w14:textId="5016ED3C" w:rsidR="00E43041" w:rsidRPr="000578FE" w:rsidRDefault="00E43041" w:rsidP="007157D7">
      <w:pPr>
        <w:pStyle w:val="Nadpis3"/>
        <w:keepNext w:val="0"/>
        <w:keepLines w:val="0"/>
        <w:numPr>
          <w:ilvl w:val="2"/>
          <w:numId w:val="16"/>
        </w:numPr>
        <w:ind w:left="1134" w:hanging="567"/>
        <w:rPr>
          <w:rFonts w:ascii="Times New Roman" w:hAnsi="Times New Roman" w:cs="Times New Roman"/>
          <w:color w:val="auto"/>
        </w:rPr>
      </w:pPr>
      <w:bookmarkStart w:id="106" w:name="_Toc477345397"/>
      <w:r w:rsidRPr="000578FE">
        <w:rPr>
          <w:rFonts w:ascii="Times New Roman" w:hAnsi="Times New Roman" w:cs="Times New Roman"/>
          <w:color w:val="auto"/>
        </w:rPr>
        <w:t>Komplexné posúdenie (článok 14 SEE)</w:t>
      </w:r>
      <w:bookmarkEnd w:id="106"/>
    </w:p>
    <w:p w14:paraId="1A1F0630" w14:textId="77777777" w:rsidR="00E43041" w:rsidRPr="007345A8" w:rsidRDefault="00E43041" w:rsidP="00E43041">
      <w:pPr>
        <w:rPr>
          <w:rFonts w:ascii="Times New Roman" w:hAnsi="Times New Roman" w:cs="Times New Roman"/>
        </w:rPr>
      </w:pPr>
    </w:p>
    <w:p w14:paraId="333D323C" w14:textId="446C8414" w:rsidR="00E43041" w:rsidRPr="00F77093" w:rsidRDefault="00E43041" w:rsidP="00E43041">
      <w:pPr>
        <w:jc w:val="both"/>
        <w:rPr>
          <w:rFonts w:ascii="Times New Roman" w:hAnsi="Times New Roman" w:cs="Times New Roman"/>
          <w:sz w:val="24"/>
          <w:lang w:eastAsia="sk-SK"/>
        </w:rPr>
      </w:pPr>
      <w:r w:rsidRPr="00F77093">
        <w:rPr>
          <w:rFonts w:ascii="Times New Roman" w:hAnsi="Times New Roman" w:cs="Times New Roman"/>
          <w:sz w:val="24"/>
          <w:lang w:eastAsia="sk-SK"/>
        </w:rPr>
        <w:t xml:space="preserve">Komplexné posúdenie podľa čl. 14 odsek 1 sa prvýkrát vykonalo v roku 2015. Podľa výsledkov tohto posúdenia  bolo v roku 2014 vyrobené  v SR  4 473 GWh elektriny vysoko účinnou kombinovanou  výrobou, čo je asi 14,7 % z celkovej výroby elektriny na Slovensku. Dodávka  tepla  vyrobeného vysoko účinnou  kombinovanou výrobou vo výške 11 446 GWh predstavuje 32,8 % z celkovej výroby využiteľného tepla. </w:t>
      </w:r>
    </w:p>
    <w:p w14:paraId="4DBCF69F" w14:textId="59478A47" w:rsidR="00E43041" w:rsidRPr="00F77093" w:rsidRDefault="00E43041" w:rsidP="00F77093">
      <w:pPr>
        <w:jc w:val="both"/>
        <w:rPr>
          <w:rFonts w:ascii="Times New Roman" w:hAnsi="Times New Roman" w:cs="Times New Roman"/>
          <w:sz w:val="24"/>
          <w:lang w:eastAsia="sk-SK"/>
        </w:rPr>
      </w:pPr>
      <w:r w:rsidRPr="00F77093">
        <w:rPr>
          <w:rFonts w:ascii="Times New Roman" w:hAnsi="Times New Roman" w:cs="Times New Roman"/>
          <w:sz w:val="24"/>
          <w:lang w:eastAsia="sk-SK"/>
        </w:rPr>
        <w:t xml:space="preserve"> Z hľadiska technológií kombinovanej výroby v súčasnosti prevažuje výroba elektriny v parných odberovo kondenzačných alebo protitlakových turbínach. Za posledných päť rokov sa výrazne zvýšil podiel inštalovaného výkon</w:t>
      </w:r>
      <w:r w:rsidR="00B854CC" w:rsidRPr="00F77093">
        <w:rPr>
          <w:rFonts w:ascii="Times New Roman" w:hAnsi="Times New Roman" w:cs="Times New Roman"/>
          <w:sz w:val="24"/>
          <w:lang w:eastAsia="sk-SK"/>
        </w:rPr>
        <w:t>u</w:t>
      </w:r>
      <w:r w:rsidRPr="00F77093">
        <w:rPr>
          <w:rFonts w:ascii="Times New Roman" w:hAnsi="Times New Roman" w:cs="Times New Roman"/>
          <w:sz w:val="24"/>
          <w:lang w:eastAsia="sk-SK"/>
        </w:rPr>
        <w:t xml:space="preserve"> kombinovanej výroby elektriny a tepla s technológiou kombinovanej výroby so spaľovacími motormi. Podiel ich  inštalovaného výkonu na celkovom inštalovanom výkone predstavuje v súčasnosti  26,8 %.</w:t>
      </w:r>
    </w:p>
    <w:p w14:paraId="654E0EE5" w14:textId="2890AF12" w:rsidR="00E43041" w:rsidRPr="00F77093" w:rsidRDefault="00E43041" w:rsidP="00F77093">
      <w:pPr>
        <w:jc w:val="both"/>
        <w:rPr>
          <w:rFonts w:ascii="Times New Roman" w:hAnsi="Times New Roman" w:cs="Times New Roman"/>
          <w:sz w:val="24"/>
          <w:lang w:eastAsia="sk-SK"/>
        </w:rPr>
      </w:pPr>
      <w:r w:rsidRPr="00F77093">
        <w:rPr>
          <w:rFonts w:ascii="Times New Roman" w:hAnsi="Times New Roman" w:cs="Times New Roman"/>
          <w:sz w:val="24"/>
          <w:lang w:eastAsia="sk-SK"/>
        </w:rPr>
        <w:t>Z hľadiska zastúpenia palív pri kombinovanej  výrobe majú dominantný podiel fosílne palivá a to zemný plyn 21%, čierne uhlie 18% a hnedé uhlie 10%. Za posledných päť rokov sa výrazne zvýšil podiel OZE . Biomasa 12%, bioplyn 9%. Okrem výstavby teplárni spaľujúcich drevnú biomasu, sa na celkovom podiele spaľovania biomasy podieľa  aj jej spoluspaľovanie s fosílnymi palivami v existujúcich  alebo rekonštruovaných zdrojoch tepla vo verejných a závodných teplárňach.</w:t>
      </w:r>
    </w:p>
    <w:p w14:paraId="22CF8E9B" w14:textId="42990CBE" w:rsidR="00E43041" w:rsidRPr="000578FE" w:rsidRDefault="00BF460E" w:rsidP="007157D7">
      <w:pPr>
        <w:pStyle w:val="Nadpis4"/>
        <w:numPr>
          <w:ilvl w:val="3"/>
          <w:numId w:val="16"/>
        </w:numPr>
        <w:rPr>
          <w:rFonts w:ascii="Times New Roman" w:eastAsia="Times New Roman" w:hAnsi="Times New Roman" w:cs="Times New Roman"/>
          <w:i w:val="0"/>
          <w:color w:val="auto"/>
          <w:lang w:eastAsia="sk-SK"/>
        </w:rPr>
      </w:pPr>
      <w:bookmarkStart w:id="107" w:name="_Toc477345398"/>
      <w:r w:rsidRPr="000578FE">
        <w:rPr>
          <w:rFonts w:ascii="Times New Roman" w:eastAsia="Times New Roman" w:hAnsi="Times New Roman" w:cs="Times New Roman"/>
          <w:i w:val="0"/>
          <w:color w:val="auto"/>
          <w:lang w:eastAsia="sk-SK"/>
        </w:rPr>
        <w:t>P</w:t>
      </w:r>
      <w:r w:rsidR="00E43041" w:rsidRPr="000578FE">
        <w:rPr>
          <w:rFonts w:ascii="Times New Roman" w:eastAsia="Times New Roman" w:hAnsi="Times New Roman" w:cs="Times New Roman"/>
          <w:i w:val="0"/>
          <w:color w:val="auto"/>
          <w:lang w:eastAsia="sk-SK"/>
        </w:rPr>
        <w:t>osúdenie pokroku dosiahnutého vo vykonávaní komplexného posúdenia potenciálu vysokoúčinnej KVET a efektívneho CZTaCH</w:t>
      </w:r>
      <w:bookmarkEnd w:id="107"/>
    </w:p>
    <w:p w14:paraId="2D22FAE7" w14:textId="77777777" w:rsidR="00031AC9" w:rsidRPr="000578FE" w:rsidRDefault="00031AC9" w:rsidP="000578FE">
      <w:pPr>
        <w:rPr>
          <w:lang w:eastAsia="sk-SK"/>
        </w:rPr>
      </w:pPr>
    </w:p>
    <w:p w14:paraId="24F3213D" w14:textId="6CAC8646" w:rsidR="001B2DCB" w:rsidRDefault="00E43041" w:rsidP="00F77093">
      <w:pPr>
        <w:jc w:val="both"/>
        <w:rPr>
          <w:rFonts w:ascii="Times New Roman" w:hAnsi="Times New Roman" w:cs="Times New Roman"/>
          <w:sz w:val="24"/>
          <w:lang w:eastAsia="sk-SK"/>
        </w:rPr>
      </w:pPr>
      <w:r w:rsidRPr="00F77093">
        <w:rPr>
          <w:rFonts w:ascii="Times New Roman" w:hAnsi="Times New Roman" w:cs="Times New Roman"/>
          <w:sz w:val="24"/>
          <w:lang w:eastAsia="sk-SK"/>
        </w:rPr>
        <w:t>Na základe posúdenia potenciálu vysoko účinnej KVET sa plánuje zvýšiť elektrický inštalovaný výkon zariadení o zhruba 106 MW v porovnaní s rokom 2014 a to najmä inš</w:t>
      </w:r>
      <w:r w:rsidR="001B2DCB" w:rsidRPr="00F77093">
        <w:rPr>
          <w:rFonts w:ascii="Times New Roman" w:hAnsi="Times New Roman" w:cs="Times New Roman"/>
          <w:sz w:val="24"/>
          <w:lang w:eastAsia="sk-SK"/>
        </w:rPr>
        <w:t>taláciou spaľovacích motorov.</w:t>
      </w:r>
    </w:p>
    <w:p w14:paraId="32003D3F" w14:textId="45EBEA87" w:rsidR="00031AC9" w:rsidRPr="00F77093" w:rsidRDefault="00031AC9" w:rsidP="00F77093">
      <w:pPr>
        <w:jc w:val="both"/>
        <w:rPr>
          <w:rFonts w:ascii="Times New Roman" w:hAnsi="Times New Roman" w:cs="Times New Roman"/>
          <w:sz w:val="24"/>
          <w:lang w:eastAsia="sk-SK"/>
        </w:rPr>
      </w:pPr>
      <w:r>
        <w:rPr>
          <w:rFonts w:ascii="Times New Roman" w:hAnsi="Times New Roman" w:cs="Times New Roman"/>
          <w:sz w:val="24"/>
          <w:lang w:eastAsia="sk-SK"/>
        </w:rPr>
        <w:t>T</w:t>
      </w:r>
      <w:r w:rsidRPr="0016691E">
        <w:rPr>
          <w:rFonts w:ascii="Times New Roman" w:hAnsi="Times New Roman" w:cs="Times New Roman"/>
          <w:sz w:val="24"/>
          <w:szCs w:val="24"/>
          <w:lang w:eastAsia="sk-SK"/>
        </w:rPr>
        <w:t xml:space="preserve">abuľka č. 18: </w:t>
      </w:r>
      <w:r w:rsidRPr="000578FE">
        <w:rPr>
          <w:rFonts w:ascii="Times New Roman" w:hAnsi="Times New Roman" w:cs="Times New Roman"/>
          <w:sz w:val="24"/>
          <w:szCs w:val="24"/>
        </w:rPr>
        <w:t>Predpokladaný ekonomický potenciál výroby elektriny kombinovanou výrobou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2"/>
        <w:gridCol w:w="954"/>
        <w:gridCol w:w="834"/>
        <w:gridCol w:w="964"/>
        <w:gridCol w:w="834"/>
        <w:gridCol w:w="964"/>
        <w:gridCol w:w="834"/>
        <w:gridCol w:w="964"/>
        <w:gridCol w:w="832"/>
      </w:tblGrid>
      <w:tr w:rsidR="00E43041" w:rsidRPr="009F2998" w14:paraId="4A05FE6E" w14:textId="77777777" w:rsidTr="000578FE">
        <w:trPr>
          <w:trHeight w:val="255"/>
        </w:trPr>
        <w:tc>
          <w:tcPr>
            <w:tcW w:w="1030" w:type="pct"/>
            <w:vMerge w:val="restart"/>
            <w:shd w:val="clear" w:color="auto" w:fill="auto"/>
            <w:noWrap/>
            <w:vAlign w:val="center"/>
          </w:tcPr>
          <w:p w14:paraId="7FFC3431"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Rok</w:t>
            </w:r>
          </w:p>
        </w:tc>
        <w:tc>
          <w:tcPr>
            <w:tcW w:w="1982" w:type="pct"/>
            <w:gridSpan w:val="4"/>
            <w:shd w:val="clear" w:color="auto" w:fill="auto"/>
            <w:noWrap/>
            <w:vAlign w:val="center"/>
          </w:tcPr>
          <w:p w14:paraId="096B2E5F"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Skutočnosť</w:t>
            </w:r>
          </w:p>
        </w:tc>
        <w:tc>
          <w:tcPr>
            <w:tcW w:w="1987" w:type="pct"/>
            <w:gridSpan w:val="4"/>
            <w:shd w:val="clear" w:color="auto" w:fill="auto"/>
            <w:noWrap/>
            <w:vAlign w:val="center"/>
          </w:tcPr>
          <w:p w14:paraId="6FDE9BA5"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Predpoklad</w:t>
            </w:r>
          </w:p>
        </w:tc>
      </w:tr>
      <w:tr w:rsidR="00E43041" w:rsidRPr="009F2998" w14:paraId="4979A6D9" w14:textId="77777777" w:rsidTr="000578FE">
        <w:trPr>
          <w:trHeight w:val="255"/>
        </w:trPr>
        <w:tc>
          <w:tcPr>
            <w:tcW w:w="1030" w:type="pct"/>
            <w:vMerge/>
            <w:shd w:val="clear" w:color="auto" w:fill="auto"/>
            <w:vAlign w:val="center"/>
          </w:tcPr>
          <w:p w14:paraId="62FE949B" w14:textId="77777777" w:rsidR="00E43041" w:rsidRPr="009F2998" w:rsidRDefault="00E43041" w:rsidP="002E3164">
            <w:pPr>
              <w:rPr>
                <w:rFonts w:ascii="Times New Roman" w:hAnsi="Times New Roman" w:cs="Times New Roman"/>
              </w:rPr>
            </w:pPr>
          </w:p>
        </w:tc>
        <w:tc>
          <w:tcPr>
            <w:tcW w:w="989" w:type="pct"/>
            <w:gridSpan w:val="2"/>
            <w:shd w:val="clear" w:color="auto" w:fill="auto"/>
            <w:noWrap/>
            <w:vAlign w:val="center"/>
          </w:tcPr>
          <w:p w14:paraId="5B97E58F"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2011</w:t>
            </w:r>
          </w:p>
        </w:tc>
        <w:tc>
          <w:tcPr>
            <w:tcW w:w="994" w:type="pct"/>
            <w:gridSpan w:val="2"/>
            <w:shd w:val="clear" w:color="auto" w:fill="auto"/>
            <w:noWrap/>
            <w:vAlign w:val="center"/>
          </w:tcPr>
          <w:p w14:paraId="6D4E8453"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2014</w:t>
            </w:r>
          </w:p>
        </w:tc>
        <w:tc>
          <w:tcPr>
            <w:tcW w:w="994" w:type="pct"/>
            <w:gridSpan w:val="2"/>
            <w:shd w:val="clear" w:color="auto" w:fill="auto"/>
            <w:noWrap/>
            <w:vAlign w:val="center"/>
          </w:tcPr>
          <w:p w14:paraId="78375B23"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2020</w:t>
            </w:r>
          </w:p>
        </w:tc>
        <w:tc>
          <w:tcPr>
            <w:tcW w:w="994" w:type="pct"/>
            <w:gridSpan w:val="2"/>
            <w:shd w:val="clear" w:color="auto" w:fill="auto"/>
            <w:noWrap/>
            <w:vAlign w:val="center"/>
          </w:tcPr>
          <w:p w14:paraId="7EB038A2"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2025</w:t>
            </w:r>
          </w:p>
        </w:tc>
      </w:tr>
      <w:tr w:rsidR="00E43041" w:rsidRPr="009F2998" w14:paraId="7B289E0F" w14:textId="77777777" w:rsidTr="000578FE">
        <w:trPr>
          <w:trHeight w:val="510"/>
        </w:trPr>
        <w:tc>
          <w:tcPr>
            <w:tcW w:w="1030" w:type="pct"/>
            <w:vMerge w:val="restart"/>
            <w:shd w:val="clear" w:color="auto" w:fill="auto"/>
            <w:noWrap/>
            <w:vAlign w:val="center"/>
          </w:tcPr>
          <w:p w14:paraId="5B02A062"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 xml:space="preserve">Technológia KVET </w:t>
            </w:r>
          </w:p>
        </w:tc>
        <w:tc>
          <w:tcPr>
            <w:tcW w:w="528" w:type="pct"/>
            <w:shd w:val="clear" w:color="auto" w:fill="auto"/>
            <w:vAlign w:val="center"/>
          </w:tcPr>
          <w:p w14:paraId="0ECFA95E" w14:textId="77777777" w:rsidR="00E43041" w:rsidRPr="000578FE" w:rsidRDefault="00E43041" w:rsidP="002E3164">
            <w:pPr>
              <w:jc w:val="center"/>
              <w:rPr>
                <w:rFonts w:ascii="Times New Roman" w:hAnsi="Times New Roman" w:cs="Times New Roman"/>
                <w:sz w:val="16"/>
                <w:szCs w:val="16"/>
              </w:rPr>
            </w:pPr>
            <w:r w:rsidRPr="000578FE">
              <w:rPr>
                <w:rFonts w:ascii="Times New Roman" w:hAnsi="Times New Roman" w:cs="Times New Roman"/>
                <w:sz w:val="16"/>
                <w:szCs w:val="16"/>
              </w:rPr>
              <w:t>Inštalovaný výkon</w:t>
            </w:r>
          </w:p>
        </w:tc>
        <w:tc>
          <w:tcPr>
            <w:tcW w:w="461" w:type="pct"/>
            <w:shd w:val="clear" w:color="auto" w:fill="auto"/>
            <w:vAlign w:val="center"/>
          </w:tcPr>
          <w:p w14:paraId="4FA145DA" w14:textId="77777777" w:rsidR="00E43041" w:rsidRPr="000578FE" w:rsidRDefault="00E43041" w:rsidP="002E3164">
            <w:pPr>
              <w:jc w:val="center"/>
              <w:rPr>
                <w:rFonts w:ascii="Times New Roman" w:hAnsi="Times New Roman" w:cs="Times New Roman"/>
                <w:sz w:val="16"/>
                <w:szCs w:val="16"/>
              </w:rPr>
            </w:pPr>
            <w:r w:rsidRPr="000578FE">
              <w:rPr>
                <w:rFonts w:ascii="Times New Roman" w:hAnsi="Times New Roman" w:cs="Times New Roman"/>
                <w:sz w:val="16"/>
                <w:szCs w:val="16"/>
              </w:rPr>
              <w:t>Vyrobená elektrina</w:t>
            </w:r>
          </w:p>
        </w:tc>
        <w:tc>
          <w:tcPr>
            <w:tcW w:w="533" w:type="pct"/>
            <w:shd w:val="clear" w:color="auto" w:fill="auto"/>
            <w:vAlign w:val="center"/>
          </w:tcPr>
          <w:p w14:paraId="790199B4" w14:textId="77777777" w:rsidR="00E43041" w:rsidRPr="000578FE" w:rsidRDefault="00E43041" w:rsidP="002E3164">
            <w:pPr>
              <w:jc w:val="center"/>
              <w:rPr>
                <w:rFonts w:ascii="Times New Roman" w:hAnsi="Times New Roman" w:cs="Times New Roman"/>
                <w:sz w:val="16"/>
                <w:szCs w:val="16"/>
              </w:rPr>
            </w:pPr>
            <w:r w:rsidRPr="000578FE">
              <w:rPr>
                <w:rFonts w:ascii="Times New Roman" w:hAnsi="Times New Roman" w:cs="Times New Roman"/>
                <w:sz w:val="16"/>
                <w:szCs w:val="16"/>
              </w:rPr>
              <w:t>Inštalovaný výkon</w:t>
            </w:r>
          </w:p>
        </w:tc>
        <w:tc>
          <w:tcPr>
            <w:tcW w:w="461" w:type="pct"/>
            <w:shd w:val="clear" w:color="auto" w:fill="auto"/>
            <w:vAlign w:val="center"/>
          </w:tcPr>
          <w:p w14:paraId="4D72829B" w14:textId="77777777" w:rsidR="00E43041" w:rsidRPr="000578FE" w:rsidRDefault="00E43041" w:rsidP="002E3164">
            <w:pPr>
              <w:jc w:val="center"/>
              <w:rPr>
                <w:rFonts w:ascii="Times New Roman" w:hAnsi="Times New Roman" w:cs="Times New Roman"/>
                <w:sz w:val="16"/>
                <w:szCs w:val="16"/>
              </w:rPr>
            </w:pPr>
            <w:r w:rsidRPr="000578FE">
              <w:rPr>
                <w:rFonts w:ascii="Times New Roman" w:hAnsi="Times New Roman" w:cs="Times New Roman"/>
                <w:sz w:val="16"/>
                <w:szCs w:val="16"/>
              </w:rPr>
              <w:t>Vyrobená elektrina</w:t>
            </w:r>
          </w:p>
        </w:tc>
        <w:tc>
          <w:tcPr>
            <w:tcW w:w="533" w:type="pct"/>
            <w:shd w:val="clear" w:color="auto" w:fill="auto"/>
            <w:vAlign w:val="center"/>
          </w:tcPr>
          <w:p w14:paraId="3D0943A8" w14:textId="77777777" w:rsidR="00E43041" w:rsidRPr="000578FE" w:rsidRDefault="00E43041" w:rsidP="002E3164">
            <w:pPr>
              <w:jc w:val="center"/>
              <w:rPr>
                <w:rFonts w:ascii="Times New Roman" w:hAnsi="Times New Roman" w:cs="Times New Roman"/>
                <w:sz w:val="16"/>
                <w:szCs w:val="16"/>
              </w:rPr>
            </w:pPr>
            <w:r w:rsidRPr="000578FE">
              <w:rPr>
                <w:rFonts w:ascii="Times New Roman" w:hAnsi="Times New Roman" w:cs="Times New Roman"/>
                <w:sz w:val="16"/>
                <w:szCs w:val="16"/>
              </w:rPr>
              <w:t>Inštalovaný výkon</w:t>
            </w:r>
          </w:p>
        </w:tc>
        <w:tc>
          <w:tcPr>
            <w:tcW w:w="461" w:type="pct"/>
            <w:shd w:val="clear" w:color="auto" w:fill="auto"/>
            <w:vAlign w:val="center"/>
          </w:tcPr>
          <w:p w14:paraId="27756B95" w14:textId="77777777" w:rsidR="00E43041" w:rsidRPr="000578FE" w:rsidRDefault="00E43041" w:rsidP="002E3164">
            <w:pPr>
              <w:jc w:val="center"/>
              <w:rPr>
                <w:rFonts w:ascii="Times New Roman" w:hAnsi="Times New Roman" w:cs="Times New Roman"/>
                <w:sz w:val="16"/>
                <w:szCs w:val="16"/>
              </w:rPr>
            </w:pPr>
            <w:r w:rsidRPr="000578FE">
              <w:rPr>
                <w:rFonts w:ascii="Times New Roman" w:hAnsi="Times New Roman" w:cs="Times New Roman"/>
                <w:sz w:val="16"/>
                <w:szCs w:val="16"/>
              </w:rPr>
              <w:t>Vyrobená elektrina</w:t>
            </w:r>
          </w:p>
        </w:tc>
        <w:tc>
          <w:tcPr>
            <w:tcW w:w="533" w:type="pct"/>
            <w:shd w:val="clear" w:color="auto" w:fill="auto"/>
            <w:vAlign w:val="center"/>
          </w:tcPr>
          <w:p w14:paraId="5EAD0E04" w14:textId="77777777" w:rsidR="00E43041" w:rsidRPr="000578FE" w:rsidRDefault="00E43041" w:rsidP="002E3164">
            <w:pPr>
              <w:jc w:val="center"/>
              <w:rPr>
                <w:rFonts w:ascii="Times New Roman" w:hAnsi="Times New Roman" w:cs="Times New Roman"/>
                <w:sz w:val="16"/>
                <w:szCs w:val="16"/>
              </w:rPr>
            </w:pPr>
            <w:r w:rsidRPr="000578FE">
              <w:rPr>
                <w:rFonts w:ascii="Times New Roman" w:hAnsi="Times New Roman" w:cs="Times New Roman"/>
                <w:sz w:val="16"/>
                <w:szCs w:val="16"/>
              </w:rPr>
              <w:t>Inštalovaný výkon</w:t>
            </w:r>
          </w:p>
        </w:tc>
        <w:tc>
          <w:tcPr>
            <w:tcW w:w="461" w:type="pct"/>
            <w:shd w:val="clear" w:color="auto" w:fill="auto"/>
            <w:vAlign w:val="center"/>
          </w:tcPr>
          <w:p w14:paraId="2FFF95F5" w14:textId="77777777" w:rsidR="00E43041" w:rsidRPr="000578FE" w:rsidRDefault="00E43041" w:rsidP="002E3164">
            <w:pPr>
              <w:jc w:val="center"/>
              <w:rPr>
                <w:rFonts w:ascii="Times New Roman" w:hAnsi="Times New Roman" w:cs="Times New Roman"/>
                <w:sz w:val="16"/>
                <w:szCs w:val="16"/>
              </w:rPr>
            </w:pPr>
            <w:r w:rsidRPr="000578FE">
              <w:rPr>
                <w:rFonts w:ascii="Times New Roman" w:hAnsi="Times New Roman" w:cs="Times New Roman"/>
                <w:sz w:val="16"/>
                <w:szCs w:val="16"/>
              </w:rPr>
              <w:t>Vyrobená elektrina</w:t>
            </w:r>
          </w:p>
        </w:tc>
      </w:tr>
      <w:tr w:rsidR="00E43041" w:rsidRPr="009F2998" w14:paraId="14707AD0" w14:textId="77777777" w:rsidTr="000578FE">
        <w:trPr>
          <w:trHeight w:val="255"/>
        </w:trPr>
        <w:tc>
          <w:tcPr>
            <w:tcW w:w="1030" w:type="pct"/>
            <w:vMerge/>
            <w:vAlign w:val="center"/>
          </w:tcPr>
          <w:p w14:paraId="60449F48" w14:textId="77777777" w:rsidR="00E43041" w:rsidRPr="009F2998" w:rsidRDefault="00E43041" w:rsidP="002E3164">
            <w:pPr>
              <w:rPr>
                <w:rFonts w:ascii="Times New Roman" w:hAnsi="Times New Roman" w:cs="Times New Roman"/>
              </w:rPr>
            </w:pPr>
          </w:p>
        </w:tc>
        <w:tc>
          <w:tcPr>
            <w:tcW w:w="528" w:type="pct"/>
            <w:shd w:val="clear" w:color="auto" w:fill="auto"/>
            <w:noWrap/>
            <w:vAlign w:val="center"/>
          </w:tcPr>
          <w:p w14:paraId="439F7455"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(MWe)</w:t>
            </w:r>
          </w:p>
        </w:tc>
        <w:tc>
          <w:tcPr>
            <w:tcW w:w="461" w:type="pct"/>
            <w:shd w:val="clear" w:color="auto" w:fill="auto"/>
            <w:noWrap/>
            <w:vAlign w:val="center"/>
          </w:tcPr>
          <w:p w14:paraId="573EBF4A"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(GWh)</w:t>
            </w:r>
          </w:p>
        </w:tc>
        <w:tc>
          <w:tcPr>
            <w:tcW w:w="533" w:type="pct"/>
            <w:shd w:val="clear" w:color="auto" w:fill="auto"/>
            <w:noWrap/>
            <w:vAlign w:val="center"/>
          </w:tcPr>
          <w:p w14:paraId="1D3D4EA1"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(MWe)</w:t>
            </w:r>
          </w:p>
        </w:tc>
        <w:tc>
          <w:tcPr>
            <w:tcW w:w="461" w:type="pct"/>
            <w:shd w:val="clear" w:color="auto" w:fill="auto"/>
            <w:noWrap/>
            <w:vAlign w:val="center"/>
          </w:tcPr>
          <w:p w14:paraId="53FE3AAC"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(GWh)</w:t>
            </w:r>
          </w:p>
        </w:tc>
        <w:tc>
          <w:tcPr>
            <w:tcW w:w="533" w:type="pct"/>
            <w:shd w:val="clear" w:color="auto" w:fill="auto"/>
            <w:noWrap/>
            <w:vAlign w:val="center"/>
          </w:tcPr>
          <w:p w14:paraId="5B1DBD90"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(MWe)</w:t>
            </w:r>
          </w:p>
        </w:tc>
        <w:tc>
          <w:tcPr>
            <w:tcW w:w="461" w:type="pct"/>
            <w:shd w:val="clear" w:color="auto" w:fill="auto"/>
            <w:noWrap/>
            <w:vAlign w:val="center"/>
          </w:tcPr>
          <w:p w14:paraId="1EFE186D"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(GWh)</w:t>
            </w:r>
          </w:p>
        </w:tc>
        <w:tc>
          <w:tcPr>
            <w:tcW w:w="533" w:type="pct"/>
            <w:shd w:val="clear" w:color="auto" w:fill="auto"/>
            <w:noWrap/>
            <w:vAlign w:val="center"/>
          </w:tcPr>
          <w:p w14:paraId="14FBE2A5"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(MWe)</w:t>
            </w:r>
          </w:p>
        </w:tc>
        <w:tc>
          <w:tcPr>
            <w:tcW w:w="461" w:type="pct"/>
            <w:shd w:val="clear" w:color="auto" w:fill="auto"/>
            <w:noWrap/>
            <w:vAlign w:val="center"/>
          </w:tcPr>
          <w:p w14:paraId="1E328DA3"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(GWh)</w:t>
            </w:r>
          </w:p>
        </w:tc>
      </w:tr>
      <w:tr w:rsidR="00E43041" w:rsidRPr="009F2998" w14:paraId="2301070F" w14:textId="77777777" w:rsidTr="000578FE">
        <w:trPr>
          <w:trHeight w:val="450"/>
        </w:trPr>
        <w:tc>
          <w:tcPr>
            <w:tcW w:w="1030" w:type="pct"/>
            <w:shd w:val="clear" w:color="auto" w:fill="auto"/>
            <w:vAlign w:val="center"/>
          </w:tcPr>
          <w:p w14:paraId="3A2433D0" w14:textId="77777777" w:rsidR="00E43041" w:rsidRPr="009F2998" w:rsidRDefault="00E43041" w:rsidP="002E3164">
            <w:pPr>
              <w:rPr>
                <w:rFonts w:ascii="Times New Roman" w:hAnsi="Times New Roman" w:cs="Times New Roman"/>
              </w:rPr>
            </w:pPr>
            <w:r w:rsidRPr="009F2998">
              <w:rPr>
                <w:rFonts w:ascii="Times New Roman" w:hAnsi="Times New Roman" w:cs="Times New Roman"/>
              </w:rPr>
              <w:t>Plynová turbína s kombinovaným cyklom</w:t>
            </w:r>
          </w:p>
        </w:tc>
        <w:tc>
          <w:tcPr>
            <w:tcW w:w="528" w:type="pct"/>
            <w:shd w:val="clear" w:color="auto" w:fill="auto"/>
            <w:noWrap/>
            <w:vAlign w:val="center"/>
          </w:tcPr>
          <w:p w14:paraId="19E47986"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394,9</w:t>
            </w:r>
          </w:p>
        </w:tc>
        <w:tc>
          <w:tcPr>
            <w:tcW w:w="461" w:type="pct"/>
            <w:shd w:val="clear" w:color="auto" w:fill="auto"/>
            <w:noWrap/>
            <w:vAlign w:val="center"/>
          </w:tcPr>
          <w:p w14:paraId="6D16BDAD"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874,0</w:t>
            </w:r>
          </w:p>
        </w:tc>
        <w:tc>
          <w:tcPr>
            <w:tcW w:w="533" w:type="pct"/>
            <w:shd w:val="clear" w:color="auto" w:fill="auto"/>
            <w:noWrap/>
            <w:vAlign w:val="center"/>
          </w:tcPr>
          <w:p w14:paraId="1C77984D"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394,9</w:t>
            </w:r>
          </w:p>
        </w:tc>
        <w:tc>
          <w:tcPr>
            <w:tcW w:w="461" w:type="pct"/>
            <w:shd w:val="clear" w:color="auto" w:fill="auto"/>
            <w:noWrap/>
            <w:vAlign w:val="center"/>
          </w:tcPr>
          <w:p w14:paraId="331A7E97"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908,9</w:t>
            </w:r>
          </w:p>
        </w:tc>
        <w:tc>
          <w:tcPr>
            <w:tcW w:w="533" w:type="pct"/>
            <w:shd w:val="clear" w:color="auto" w:fill="auto"/>
            <w:noWrap/>
            <w:vAlign w:val="center"/>
          </w:tcPr>
          <w:p w14:paraId="1A773EAD"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394,9</w:t>
            </w:r>
          </w:p>
        </w:tc>
        <w:tc>
          <w:tcPr>
            <w:tcW w:w="461" w:type="pct"/>
            <w:shd w:val="clear" w:color="auto" w:fill="auto"/>
            <w:noWrap/>
            <w:vAlign w:val="center"/>
          </w:tcPr>
          <w:p w14:paraId="6BAC21D3"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947,8</w:t>
            </w:r>
          </w:p>
        </w:tc>
        <w:tc>
          <w:tcPr>
            <w:tcW w:w="533" w:type="pct"/>
            <w:shd w:val="clear" w:color="auto" w:fill="auto"/>
            <w:noWrap/>
            <w:vAlign w:val="center"/>
          </w:tcPr>
          <w:p w14:paraId="459A9795"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394,9</w:t>
            </w:r>
          </w:p>
        </w:tc>
        <w:tc>
          <w:tcPr>
            <w:tcW w:w="461" w:type="pct"/>
            <w:shd w:val="clear" w:color="auto" w:fill="auto"/>
            <w:noWrap/>
            <w:vAlign w:val="center"/>
          </w:tcPr>
          <w:p w14:paraId="56B6199A"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967,6</w:t>
            </w:r>
          </w:p>
        </w:tc>
      </w:tr>
      <w:tr w:rsidR="00E43041" w:rsidRPr="009F2998" w14:paraId="2CBF7585" w14:textId="77777777" w:rsidTr="000578FE">
        <w:trPr>
          <w:trHeight w:val="450"/>
        </w:trPr>
        <w:tc>
          <w:tcPr>
            <w:tcW w:w="1030" w:type="pct"/>
            <w:shd w:val="clear" w:color="auto" w:fill="auto"/>
            <w:vAlign w:val="center"/>
          </w:tcPr>
          <w:p w14:paraId="79788351" w14:textId="77777777" w:rsidR="00E43041" w:rsidRPr="009F2998" w:rsidRDefault="00E43041" w:rsidP="002E3164">
            <w:pPr>
              <w:rPr>
                <w:rFonts w:ascii="Times New Roman" w:hAnsi="Times New Roman" w:cs="Times New Roman"/>
              </w:rPr>
            </w:pPr>
            <w:r w:rsidRPr="009F2998">
              <w:rPr>
                <w:rFonts w:ascii="Times New Roman" w:hAnsi="Times New Roman" w:cs="Times New Roman"/>
              </w:rPr>
              <w:lastRenderedPageBreak/>
              <w:t>Protitlaková parná turbína</w:t>
            </w:r>
          </w:p>
        </w:tc>
        <w:tc>
          <w:tcPr>
            <w:tcW w:w="528" w:type="pct"/>
            <w:shd w:val="clear" w:color="auto" w:fill="auto"/>
            <w:noWrap/>
            <w:vAlign w:val="center"/>
          </w:tcPr>
          <w:p w14:paraId="1F52B576"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583,0</w:t>
            </w:r>
          </w:p>
        </w:tc>
        <w:tc>
          <w:tcPr>
            <w:tcW w:w="461" w:type="pct"/>
            <w:shd w:val="clear" w:color="auto" w:fill="auto"/>
            <w:noWrap/>
            <w:vAlign w:val="center"/>
          </w:tcPr>
          <w:p w14:paraId="43082D15"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1370,6</w:t>
            </w:r>
          </w:p>
        </w:tc>
        <w:tc>
          <w:tcPr>
            <w:tcW w:w="533" w:type="pct"/>
            <w:shd w:val="clear" w:color="auto" w:fill="auto"/>
            <w:noWrap/>
            <w:vAlign w:val="center"/>
          </w:tcPr>
          <w:p w14:paraId="2BB667D4"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577,0</w:t>
            </w:r>
          </w:p>
        </w:tc>
        <w:tc>
          <w:tcPr>
            <w:tcW w:w="461" w:type="pct"/>
            <w:shd w:val="clear" w:color="auto" w:fill="auto"/>
            <w:noWrap/>
            <w:vAlign w:val="center"/>
          </w:tcPr>
          <w:p w14:paraId="0FBA0AC2"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1 288,1</w:t>
            </w:r>
          </w:p>
        </w:tc>
        <w:tc>
          <w:tcPr>
            <w:tcW w:w="533" w:type="pct"/>
            <w:shd w:val="clear" w:color="auto" w:fill="auto"/>
            <w:noWrap/>
            <w:vAlign w:val="center"/>
          </w:tcPr>
          <w:p w14:paraId="6F3B66AD"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582,8</w:t>
            </w:r>
          </w:p>
        </w:tc>
        <w:tc>
          <w:tcPr>
            <w:tcW w:w="461" w:type="pct"/>
            <w:shd w:val="clear" w:color="auto" w:fill="auto"/>
            <w:noWrap/>
            <w:vAlign w:val="center"/>
          </w:tcPr>
          <w:p w14:paraId="54DEEF83"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1340,4</w:t>
            </w:r>
          </w:p>
        </w:tc>
        <w:tc>
          <w:tcPr>
            <w:tcW w:w="533" w:type="pct"/>
            <w:shd w:val="clear" w:color="auto" w:fill="auto"/>
            <w:noWrap/>
            <w:vAlign w:val="center"/>
          </w:tcPr>
          <w:p w14:paraId="07974764"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594,4</w:t>
            </w:r>
          </w:p>
        </w:tc>
        <w:tc>
          <w:tcPr>
            <w:tcW w:w="461" w:type="pct"/>
            <w:shd w:val="clear" w:color="auto" w:fill="auto"/>
            <w:noWrap/>
            <w:vAlign w:val="center"/>
          </w:tcPr>
          <w:p w14:paraId="519A6FCA"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1 367,2</w:t>
            </w:r>
          </w:p>
        </w:tc>
      </w:tr>
      <w:tr w:rsidR="00E43041" w:rsidRPr="009F2998" w14:paraId="44FF53FC" w14:textId="77777777" w:rsidTr="000578FE">
        <w:trPr>
          <w:trHeight w:val="450"/>
        </w:trPr>
        <w:tc>
          <w:tcPr>
            <w:tcW w:w="1030" w:type="pct"/>
            <w:shd w:val="clear" w:color="auto" w:fill="auto"/>
            <w:vAlign w:val="center"/>
          </w:tcPr>
          <w:p w14:paraId="480C40B0" w14:textId="77777777" w:rsidR="00E43041" w:rsidRPr="009F2998" w:rsidRDefault="00E43041" w:rsidP="002E3164">
            <w:pPr>
              <w:rPr>
                <w:rFonts w:ascii="Times New Roman" w:hAnsi="Times New Roman" w:cs="Times New Roman"/>
              </w:rPr>
            </w:pPr>
            <w:r w:rsidRPr="009F2998">
              <w:rPr>
                <w:rFonts w:ascii="Times New Roman" w:hAnsi="Times New Roman" w:cs="Times New Roman"/>
              </w:rPr>
              <w:t>Kondenzačná parná turbína s odberom pary</w:t>
            </w:r>
          </w:p>
        </w:tc>
        <w:tc>
          <w:tcPr>
            <w:tcW w:w="528" w:type="pct"/>
            <w:shd w:val="clear" w:color="auto" w:fill="auto"/>
            <w:noWrap/>
            <w:vAlign w:val="center"/>
          </w:tcPr>
          <w:p w14:paraId="191A83D2"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1622,9</w:t>
            </w:r>
          </w:p>
        </w:tc>
        <w:tc>
          <w:tcPr>
            <w:tcW w:w="461" w:type="pct"/>
            <w:shd w:val="clear" w:color="auto" w:fill="auto"/>
            <w:noWrap/>
            <w:vAlign w:val="center"/>
          </w:tcPr>
          <w:p w14:paraId="293FC7A3"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1299,9</w:t>
            </w:r>
          </w:p>
        </w:tc>
        <w:tc>
          <w:tcPr>
            <w:tcW w:w="533" w:type="pct"/>
            <w:shd w:val="clear" w:color="auto" w:fill="auto"/>
            <w:noWrap/>
            <w:vAlign w:val="center"/>
          </w:tcPr>
          <w:p w14:paraId="0EDA8279"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1631,1</w:t>
            </w:r>
          </w:p>
        </w:tc>
        <w:tc>
          <w:tcPr>
            <w:tcW w:w="461" w:type="pct"/>
            <w:shd w:val="clear" w:color="auto" w:fill="auto"/>
            <w:noWrap/>
            <w:vAlign w:val="center"/>
          </w:tcPr>
          <w:p w14:paraId="6FCC0FA8"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1 081,4</w:t>
            </w:r>
          </w:p>
        </w:tc>
        <w:tc>
          <w:tcPr>
            <w:tcW w:w="533" w:type="pct"/>
            <w:shd w:val="clear" w:color="auto" w:fill="auto"/>
            <w:noWrap/>
            <w:vAlign w:val="center"/>
          </w:tcPr>
          <w:p w14:paraId="0281869D"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1647,4</w:t>
            </w:r>
          </w:p>
        </w:tc>
        <w:tc>
          <w:tcPr>
            <w:tcW w:w="461" w:type="pct"/>
            <w:shd w:val="clear" w:color="auto" w:fill="auto"/>
            <w:noWrap/>
            <w:vAlign w:val="center"/>
          </w:tcPr>
          <w:p w14:paraId="3E15DBC6"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1153,2</w:t>
            </w:r>
          </w:p>
        </w:tc>
        <w:tc>
          <w:tcPr>
            <w:tcW w:w="533" w:type="pct"/>
            <w:shd w:val="clear" w:color="auto" w:fill="auto"/>
            <w:noWrap/>
            <w:vAlign w:val="center"/>
          </w:tcPr>
          <w:p w14:paraId="679D113F"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1663,9</w:t>
            </w:r>
          </w:p>
        </w:tc>
        <w:tc>
          <w:tcPr>
            <w:tcW w:w="461" w:type="pct"/>
            <w:shd w:val="clear" w:color="auto" w:fill="auto"/>
            <w:noWrap/>
            <w:vAlign w:val="center"/>
          </w:tcPr>
          <w:p w14:paraId="0FAB9853"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1 164,7</w:t>
            </w:r>
          </w:p>
        </w:tc>
      </w:tr>
      <w:tr w:rsidR="00E43041" w:rsidRPr="009F2998" w14:paraId="3C863664" w14:textId="77777777" w:rsidTr="000578FE">
        <w:trPr>
          <w:trHeight w:val="450"/>
        </w:trPr>
        <w:tc>
          <w:tcPr>
            <w:tcW w:w="1030" w:type="pct"/>
            <w:shd w:val="clear" w:color="auto" w:fill="auto"/>
            <w:vAlign w:val="center"/>
          </w:tcPr>
          <w:p w14:paraId="1245CE5B" w14:textId="77777777" w:rsidR="00E43041" w:rsidRPr="009F2998" w:rsidRDefault="00E43041" w:rsidP="002E3164">
            <w:pPr>
              <w:rPr>
                <w:rFonts w:ascii="Times New Roman" w:hAnsi="Times New Roman" w:cs="Times New Roman"/>
              </w:rPr>
            </w:pPr>
            <w:r w:rsidRPr="009F2998">
              <w:rPr>
                <w:rFonts w:ascii="Times New Roman" w:hAnsi="Times New Roman" w:cs="Times New Roman"/>
              </w:rPr>
              <w:t>Plynová turbína s regeneráciou tepla</w:t>
            </w:r>
          </w:p>
        </w:tc>
        <w:tc>
          <w:tcPr>
            <w:tcW w:w="528" w:type="pct"/>
            <w:shd w:val="clear" w:color="auto" w:fill="auto"/>
            <w:noWrap/>
            <w:vAlign w:val="center"/>
          </w:tcPr>
          <w:p w14:paraId="1B0A2A70"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25,4</w:t>
            </w:r>
          </w:p>
        </w:tc>
        <w:tc>
          <w:tcPr>
            <w:tcW w:w="461" w:type="pct"/>
            <w:shd w:val="clear" w:color="auto" w:fill="auto"/>
            <w:noWrap/>
            <w:vAlign w:val="center"/>
          </w:tcPr>
          <w:p w14:paraId="700AD90F"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124,8</w:t>
            </w:r>
          </w:p>
        </w:tc>
        <w:tc>
          <w:tcPr>
            <w:tcW w:w="533" w:type="pct"/>
            <w:shd w:val="clear" w:color="auto" w:fill="auto"/>
            <w:noWrap/>
            <w:vAlign w:val="center"/>
          </w:tcPr>
          <w:p w14:paraId="6B361480"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25,4</w:t>
            </w:r>
          </w:p>
        </w:tc>
        <w:tc>
          <w:tcPr>
            <w:tcW w:w="461" w:type="pct"/>
            <w:shd w:val="clear" w:color="auto" w:fill="auto"/>
            <w:noWrap/>
            <w:vAlign w:val="center"/>
          </w:tcPr>
          <w:p w14:paraId="14BD5CAD"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91,6</w:t>
            </w:r>
          </w:p>
        </w:tc>
        <w:tc>
          <w:tcPr>
            <w:tcW w:w="533" w:type="pct"/>
            <w:shd w:val="clear" w:color="auto" w:fill="auto"/>
            <w:noWrap/>
            <w:vAlign w:val="center"/>
          </w:tcPr>
          <w:p w14:paraId="3F991B29"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30,5</w:t>
            </w:r>
          </w:p>
        </w:tc>
        <w:tc>
          <w:tcPr>
            <w:tcW w:w="461" w:type="pct"/>
            <w:shd w:val="clear" w:color="auto" w:fill="auto"/>
            <w:noWrap/>
            <w:vAlign w:val="center"/>
          </w:tcPr>
          <w:p w14:paraId="6FB3C437"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115,8</w:t>
            </w:r>
          </w:p>
        </w:tc>
        <w:tc>
          <w:tcPr>
            <w:tcW w:w="533" w:type="pct"/>
            <w:shd w:val="clear" w:color="auto" w:fill="auto"/>
            <w:noWrap/>
            <w:vAlign w:val="center"/>
          </w:tcPr>
          <w:p w14:paraId="5E7B6764"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36,6</w:t>
            </w:r>
          </w:p>
        </w:tc>
        <w:tc>
          <w:tcPr>
            <w:tcW w:w="461" w:type="pct"/>
            <w:shd w:val="clear" w:color="auto" w:fill="auto"/>
            <w:noWrap/>
            <w:vAlign w:val="center"/>
          </w:tcPr>
          <w:p w14:paraId="3F3A5972"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139,0</w:t>
            </w:r>
          </w:p>
        </w:tc>
      </w:tr>
      <w:tr w:rsidR="00E43041" w:rsidRPr="009F2998" w14:paraId="47106A84" w14:textId="77777777" w:rsidTr="000578FE">
        <w:trPr>
          <w:trHeight w:val="450"/>
        </w:trPr>
        <w:tc>
          <w:tcPr>
            <w:tcW w:w="1030" w:type="pct"/>
            <w:shd w:val="clear" w:color="auto" w:fill="auto"/>
            <w:vAlign w:val="center"/>
          </w:tcPr>
          <w:p w14:paraId="03E17B37" w14:textId="77777777" w:rsidR="00E43041" w:rsidRPr="009F2998" w:rsidRDefault="00E43041" w:rsidP="002E3164">
            <w:pPr>
              <w:rPr>
                <w:rFonts w:ascii="Times New Roman" w:hAnsi="Times New Roman" w:cs="Times New Roman"/>
              </w:rPr>
            </w:pPr>
            <w:r w:rsidRPr="009F2998">
              <w:rPr>
                <w:rFonts w:ascii="Times New Roman" w:hAnsi="Times New Roman" w:cs="Times New Roman"/>
              </w:rPr>
              <w:t>Spaľovací motor</w:t>
            </w:r>
          </w:p>
        </w:tc>
        <w:tc>
          <w:tcPr>
            <w:tcW w:w="528" w:type="pct"/>
            <w:shd w:val="clear" w:color="auto" w:fill="auto"/>
            <w:noWrap/>
            <w:vAlign w:val="center"/>
          </w:tcPr>
          <w:p w14:paraId="7C409B22"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47,1</w:t>
            </w:r>
          </w:p>
        </w:tc>
        <w:tc>
          <w:tcPr>
            <w:tcW w:w="461" w:type="pct"/>
            <w:shd w:val="clear" w:color="auto" w:fill="auto"/>
            <w:noWrap/>
            <w:vAlign w:val="center"/>
          </w:tcPr>
          <w:p w14:paraId="558C635B"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231,5</w:t>
            </w:r>
          </w:p>
        </w:tc>
        <w:tc>
          <w:tcPr>
            <w:tcW w:w="533" w:type="pct"/>
            <w:shd w:val="clear" w:color="auto" w:fill="auto"/>
            <w:noWrap/>
            <w:vAlign w:val="center"/>
          </w:tcPr>
          <w:p w14:paraId="05CC8B94"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187,1</w:t>
            </w:r>
          </w:p>
        </w:tc>
        <w:tc>
          <w:tcPr>
            <w:tcW w:w="461" w:type="pct"/>
            <w:shd w:val="clear" w:color="auto" w:fill="auto"/>
            <w:noWrap/>
            <w:vAlign w:val="center"/>
          </w:tcPr>
          <w:p w14:paraId="1313675D"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1 095,0</w:t>
            </w:r>
          </w:p>
        </w:tc>
        <w:tc>
          <w:tcPr>
            <w:tcW w:w="533" w:type="pct"/>
            <w:shd w:val="clear" w:color="auto" w:fill="auto"/>
            <w:noWrap/>
            <w:vAlign w:val="center"/>
          </w:tcPr>
          <w:p w14:paraId="6A710FE8"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261,9</w:t>
            </w:r>
          </w:p>
        </w:tc>
        <w:tc>
          <w:tcPr>
            <w:tcW w:w="461" w:type="pct"/>
            <w:shd w:val="clear" w:color="auto" w:fill="auto"/>
            <w:noWrap/>
            <w:vAlign w:val="center"/>
          </w:tcPr>
          <w:p w14:paraId="0E7C2F2B"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1571,3</w:t>
            </w:r>
          </w:p>
        </w:tc>
        <w:tc>
          <w:tcPr>
            <w:tcW w:w="533" w:type="pct"/>
            <w:shd w:val="clear" w:color="auto" w:fill="auto"/>
            <w:noWrap/>
            <w:vAlign w:val="center"/>
          </w:tcPr>
          <w:p w14:paraId="4D2A5013"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340,4</w:t>
            </w:r>
          </w:p>
        </w:tc>
        <w:tc>
          <w:tcPr>
            <w:tcW w:w="461" w:type="pct"/>
            <w:shd w:val="clear" w:color="auto" w:fill="auto"/>
            <w:noWrap/>
            <w:vAlign w:val="center"/>
          </w:tcPr>
          <w:p w14:paraId="6B4EBF5E"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2 042,7</w:t>
            </w:r>
          </w:p>
        </w:tc>
      </w:tr>
      <w:tr w:rsidR="00E43041" w:rsidRPr="009F2998" w14:paraId="61CB4B61" w14:textId="77777777" w:rsidTr="000578FE">
        <w:trPr>
          <w:trHeight w:val="450"/>
        </w:trPr>
        <w:tc>
          <w:tcPr>
            <w:tcW w:w="1030" w:type="pct"/>
            <w:shd w:val="clear" w:color="auto" w:fill="auto"/>
            <w:vAlign w:val="center"/>
          </w:tcPr>
          <w:p w14:paraId="5BD31D0C" w14:textId="77777777" w:rsidR="00E43041" w:rsidRPr="009F2998" w:rsidRDefault="00E43041" w:rsidP="002E3164">
            <w:pPr>
              <w:rPr>
                <w:rFonts w:ascii="Times New Roman" w:hAnsi="Times New Roman" w:cs="Times New Roman"/>
              </w:rPr>
            </w:pPr>
            <w:r w:rsidRPr="009F2998">
              <w:rPr>
                <w:rFonts w:ascii="Times New Roman" w:hAnsi="Times New Roman" w:cs="Times New Roman"/>
              </w:rPr>
              <w:t>Ostatné technológie</w:t>
            </w:r>
          </w:p>
        </w:tc>
        <w:tc>
          <w:tcPr>
            <w:tcW w:w="528" w:type="pct"/>
            <w:shd w:val="clear" w:color="auto" w:fill="auto"/>
            <w:noWrap/>
            <w:vAlign w:val="center"/>
          </w:tcPr>
          <w:p w14:paraId="4D0E400F"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0,0</w:t>
            </w:r>
          </w:p>
        </w:tc>
        <w:tc>
          <w:tcPr>
            <w:tcW w:w="461" w:type="pct"/>
            <w:shd w:val="clear" w:color="auto" w:fill="auto"/>
            <w:noWrap/>
            <w:vAlign w:val="center"/>
          </w:tcPr>
          <w:p w14:paraId="36BC4C1A"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0,0</w:t>
            </w:r>
          </w:p>
        </w:tc>
        <w:tc>
          <w:tcPr>
            <w:tcW w:w="533" w:type="pct"/>
            <w:shd w:val="clear" w:color="auto" w:fill="auto"/>
            <w:noWrap/>
            <w:vAlign w:val="center"/>
          </w:tcPr>
          <w:p w14:paraId="70C05450"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1,2</w:t>
            </w:r>
          </w:p>
        </w:tc>
        <w:tc>
          <w:tcPr>
            <w:tcW w:w="461" w:type="pct"/>
            <w:shd w:val="clear" w:color="auto" w:fill="auto"/>
            <w:noWrap/>
            <w:vAlign w:val="center"/>
          </w:tcPr>
          <w:p w14:paraId="1D6F7D39"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7,9</w:t>
            </w:r>
          </w:p>
        </w:tc>
        <w:tc>
          <w:tcPr>
            <w:tcW w:w="533" w:type="pct"/>
            <w:shd w:val="clear" w:color="auto" w:fill="auto"/>
            <w:noWrap/>
            <w:vAlign w:val="center"/>
          </w:tcPr>
          <w:p w14:paraId="5923A66F"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5,9</w:t>
            </w:r>
          </w:p>
        </w:tc>
        <w:tc>
          <w:tcPr>
            <w:tcW w:w="461" w:type="pct"/>
            <w:shd w:val="clear" w:color="auto" w:fill="auto"/>
            <w:noWrap/>
            <w:vAlign w:val="center"/>
          </w:tcPr>
          <w:p w14:paraId="47B4C90A"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38,7</w:t>
            </w:r>
          </w:p>
        </w:tc>
        <w:tc>
          <w:tcPr>
            <w:tcW w:w="533" w:type="pct"/>
            <w:shd w:val="clear" w:color="auto" w:fill="auto"/>
            <w:noWrap/>
            <w:vAlign w:val="center"/>
          </w:tcPr>
          <w:p w14:paraId="7D9160DE"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8,8</w:t>
            </w:r>
          </w:p>
        </w:tc>
        <w:tc>
          <w:tcPr>
            <w:tcW w:w="461" w:type="pct"/>
            <w:shd w:val="clear" w:color="auto" w:fill="auto"/>
            <w:noWrap/>
            <w:vAlign w:val="center"/>
          </w:tcPr>
          <w:p w14:paraId="4D3E157D" w14:textId="77777777" w:rsidR="00E43041" w:rsidRPr="009F2998" w:rsidRDefault="00E43041" w:rsidP="002E3164">
            <w:pPr>
              <w:jc w:val="center"/>
              <w:rPr>
                <w:rFonts w:ascii="Times New Roman" w:hAnsi="Times New Roman" w:cs="Times New Roman"/>
              </w:rPr>
            </w:pPr>
            <w:r w:rsidRPr="009F2998">
              <w:rPr>
                <w:rFonts w:ascii="Times New Roman" w:hAnsi="Times New Roman" w:cs="Times New Roman"/>
              </w:rPr>
              <w:t>58,1</w:t>
            </w:r>
          </w:p>
        </w:tc>
      </w:tr>
      <w:tr w:rsidR="00E43041" w:rsidRPr="009F2998" w14:paraId="407C5341" w14:textId="77777777" w:rsidTr="000578FE">
        <w:trPr>
          <w:trHeight w:val="450"/>
        </w:trPr>
        <w:tc>
          <w:tcPr>
            <w:tcW w:w="1030" w:type="pct"/>
            <w:tcBorders>
              <w:bottom w:val="single" w:sz="6" w:space="0" w:color="auto"/>
            </w:tcBorders>
            <w:shd w:val="clear" w:color="auto" w:fill="auto"/>
            <w:noWrap/>
            <w:vAlign w:val="center"/>
          </w:tcPr>
          <w:p w14:paraId="4F17A274" w14:textId="77777777" w:rsidR="00E43041" w:rsidRPr="009F2998" w:rsidRDefault="00E43041" w:rsidP="002E3164">
            <w:pPr>
              <w:rPr>
                <w:rFonts w:ascii="Times New Roman" w:hAnsi="Times New Roman" w:cs="Times New Roman"/>
                <w:b/>
                <w:bCs/>
              </w:rPr>
            </w:pPr>
            <w:r w:rsidRPr="009F2998">
              <w:rPr>
                <w:rFonts w:ascii="Times New Roman" w:hAnsi="Times New Roman" w:cs="Times New Roman"/>
                <w:b/>
                <w:bCs/>
              </w:rPr>
              <w:t>Spolu</w:t>
            </w:r>
          </w:p>
        </w:tc>
        <w:tc>
          <w:tcPr>
            <w:tcW w:w="528" w:type="pct"/>
            <w:tcBorders>
              <w:bottom w:val="single" w:sz="6" w:space="0" w:color="auto"/>
            </w:tcBorders>
            <w:shd w:val="clear" w:color="auto" w:fill="auto"/>
            <w:noWrap/>
            <w:vAlign w:val="center"/>
          </w:tcPr>
          <w:p w14:paraId="58C00A4A" w14:textId="77777777" w:rsidR="00E43041" w:rsidRPr="009F2998" w:rsidRDefault="00E43041" w:rsidP="002E3164">
            <w:pPr>
              <w:jc w:val="center"/>
              <w:rPr>
                <w:rFonts w:ascii="Times New Roman" w:hAnsi="Times New Roman" w:cs="Times New Roman"/>
                <w:b/>
                <w:bCs/>
              </w:rPr>
            </w:pPr>
            <w:r w:rsidRPr="009F2998">
              <w:rPr>
                <w:rFonts w:ascii="Times New Roman" w:hAnsi="Times New Roman" w:cs="Times New Roman"/>
                <w:b/>
                <w:bCs/>
              </w:rPr>
              <w:t>2 673,3</w:t>
            </w:r>
          </w:p>
        </w:tc>
        <w:tc>
          <w:tcPr>
            <w:tcW w:w="461" w:type="pct"/>
            <w:tcBorders>
              <w:bottom w:val="single" w:sz="6" w:space="0" w:color="auto"/>
            </w:tcBorders>
            <w:shd w:val="clear" w:color="auto" w:fill="auto"/>
            <w:noWrap/>
            <w:vAlign w:val="center"/>
          </w:tcPr>
          <w:p w14:paraId="5A57A407" w14:textId="77777777" w:rsidR="00E43041" w:rsidRPr="009F2998" w:rsidRDefault="00E43041" w:rsidP="002E3164">
            <w:pPr>
              <w:jc w:val="center"/>
              <w:rPr>
                <w:rFonts w:ascii="Times New Roman" w:hAnsi="Times New Roman" w:cs="Times New Roman"/>
                <w:b/>
                <w:bCs/>
              </w:rPr>
            </w:pPr>
            <w:r w:rsidRPr="009F2998">
              <w:rPr>
                <w:rFonts w:ascii="Times New Roman" w:hAnsi="Times New Roman" w:cs="Times New Roman"/>
                <w:b/>
                <w:bCs/>
              </w:rPr>
              <w:t>3 900,8</w:t>
            </w:r>
          </w:p>
        </w:tc>
        <w:tc>
          <w:tcPr>
            <w:tcW w:w="533" w:type="pct"/>
            <w:tcBorders>
              <w:bottom w:val="single" w:sz="6" w:space="0" w:color="auto"/>
            </w:tcBorders>
            <w:shd w:val="clear" w:color="auto" w:fill="auto"/>
            <w:noWrap/>
            <w:vAlign w:val="center"/>
          </w:tcPr>
          <w:p w14:paraId="6F3C9701" w14:textId="77777777" w:rsidR="00E43041" w:rsidRPr="009F2998" w:rsidRDefault="00E43041" w:rsidP="002E3164">
            <w:pPr>
              <w:jc w:val="center"/>
              <w:rPr>
                <w:rFonts w:ascii="Times New Roman" w:hAnsi="Times New Roman" w:cs="Times New Roman"/>
                <w:b/>
                <w:bCs/>
              </w:rPr>
            </w:pPr>
            <w:r w:rsidRPr="009F2998">
              <w:rPr>
                <w:rFonts w:ascii="Times New Roman" w:hAnsi="Times New Roman" w:cs="Times New Roman"/>
                <w:b/>
                <w:bCs/>
              </w:rPr>
              <w:t>2 816,7</w:t>
            </w:r>
          </w:p>
        </w:tc>
        <w:tc>
          <w:tcPr>
            <w:tcW w:w="461" w:type="pct"/>
            <w:tcBorders>
              <w:bottom w:val="single" w:sz="6" w:space="0" w:color="auto"/>
            </w:tcBorders>
            <w:shd w:val="clear" w:color="auto" w:fill="auto"/>
            <w:noWrap/>
            <w:vAlign w:val="center"/>
          </w:tcPr>
          <w:p w14:paraId="0279E1E0" w14:textId="77777777" w:rsidR="00E43041" w:rsidRPr="009F2998" w:rsidRDefault="00E43041" w:rsidP="002E3164">
            <w:pPr>
              <w:jc w:val="center"/>
              <w:rPr>
                <w:rFonts w:ascii="Times New Roman" w:hAnsi="Times New Roman" w:cs="Times New Roman"/>
                <w:b/>
                <w:bCs/>
              </w:rPr>
            </w:pPr>
            <w:r w:rsidRPr="009F2998">
              <w:rPr>
                <w:rFonts w:ascii="Times New Roman" w:hAnsi="Times New Roman" w:cs="Times New Roman"/>
                <w:b/>
                <w:bCs/>
              </w:rPr>
              <w:t>4 472,8</w:t>
            </w:r>
          </w:p>
        </w:tc>
        <w:tc>
          <w:tcPr>
            <w:tcW w:w="533" w:type="pct"/>
            <w:tcBorders>
              <w:bottom w:val="single" w:sz="6" w:space="0" w:color="auto"/>
            </w:tcBorders>
            <w:shd w:val="clear" w:color="auto" w:fill="auto"/>
            <w:noWrap/>
            <w:vAlign w:val="center"/>
          </w:tcPr>
          <w:p w14:paraId="18DB000E" w14:textId="77777777" w:rsidR="00E43041" w:rsidRPr="009F2998" w:rsidRDefault="00E43041" w:rsidP="002E3164">
            <w:pPr>
              <w:jc w:val="center"/>
              <w:rPr>
                <w:rFonts w:ascii="Times New Roman" w:hAnsi="Times New Roman" w:cs="Times New Roman"/>
                <w:b/>
                <w:bCs/>
              </w:rPr>
            </w:pPr>
            <w:r w:rsidRPr="009F2998">
              <w:rPr>
                <w:rFonts w:ascii="Times New Roman" w:hAnsi="Times New Roman" w:cs="Times New Roman"/>
                <w:b/>
                <w:bCs/>
              </w:rPr>
              <w:t>2 923,3</w:t>
            </w:r>
          </w:p>
        </w:tc>
        <w:tc>
          <w:tcPr>
            <w:tcW w:w="461" w:type="pct"/>
            <w:tcBorders>
              <w:bottom w:val="single" w:sz="6" w:space="0" w:color="auto"/>
            </w:tcBorders>
            <w:shd w:val="clear" w:color="auto" w:fill="auto"/>
            <w:noWrap/>
            <w:vAlign w:val="center"/>
          </w:tcPr>
          <w:p w14:paraId="249DDCFA" w14:textId="77777777" w:rsidR="00E43041" w:rsidRPr="009F2998" w:rsidRDefault="00E43041" w:rsidP="002E3164">
            <w:pPr>
              <w:jc w:val="center"/>
              <w:rPr>
                <w:rFonts w:ascii="Times New Roman" w:hAnsi="Times New Roman" w:cs="Times New Roman"/>
                <w:b/>
                <w:bCs/>
              </w:rPr>
            </w:pPr>
            <w:r w:rsidRPr="009F2998">
              <w:rPr>
                <w:rFonts w:ascii="Times New Roman" w:hAnsi="Times New Roman" w:cs="Times New Roman"/>
                <w:b/>
                <w:bCs/>
              </w:rPr>
              <w:t>5 167,2</w:t>
            </w:r>
          </w:p>
        </w:tc>
        <w:tc>
          <w:tcPr>
            <w:tcW w:w="533" w:type="pct"/>
            <w:tcBorders>
              <w:bottom w:val="single" w:sz="6" w:space="0" w:color="auto"/>
            </w:tcBorders>
            <w:shd w:val="clear" w:color="auto" w:fill="auto"/>
            <w:noWrap/>
            <w:vAlign w:val="center"/>
          </w:tcPr>
          <w:p w14:paraId="57331CAA" w14:textId="77777777" w:rsidR="00E43041" w:rsidRPr="009F2998" w:rsidRDefault="00E43041" w:rsidP="002E3164">
            <w:pPr>
              <w:jc w:val="center"/>
              <w:rPr>
                <w:rFonts w:ascii="Times New Roman" w:hAnsi="Times New Roman" w:cs="Times New Roman"/>
                <w:b/>
                <w:bCs/>
              </w:rPr>
            </w:pPr>
            <w:r w:rsidRPr="009F2998">
              <w:rPr>
                <w:rFonts w:ascii="Times New Roman" w:hAnsi="Times New Roman" w:cs="Times New Roman"/>
                <w:b/>
                <w:bCs/>
              </w:rPr>
              <w:t>3 039,1</w:t>
            </w:r>
          </w:p>
        </w:tc>
        <w:tc>
          <w:tcPr>
            <w:tcW w:w="461" w:type="pct"/>
            <w:tcBorders>
              <w:bottom w:val="single" w:sz="6" w:space="0" w:color="auto"/>
            </w:tcBorders>
            <w:shd w:val="clear" w:color="auto" w:fill="auto"/>
            <w:noWrap/>
            <w:vAlign w:val="center"/>
          </w:tcPr>
          <w:p w14:paraId="5EDF8849" w14:textId="77777777" w:rsidR="00E43041" w:rsidRPr="009F2998" w:rsidRDefault="00E43041" w:rsidP="002E3164">
            <w:pPr>
              <w:jc w:val="center"/>
              <w:rPr>
                <w:rFonts w:ascii="Times New Roman" w:hAnsi="Times New Roman" w:cs="Times New Roman"/>
                <w:b/>
                <w:bCs/>
              </w:rPr>
            </w:pPr>
            <w:r w:rsidRPr="009F2998">
              <w:rPr>
                <w:rFonts w:ascii="Times New Roman" w:hAnsi="Times New Roman" w:cs="Times New Roman"/>
                <w:b/>
                <w:bCs/>
              </w:rPr>
              <w:t>5 739,2</w:t>
            </w:r>
          </w:p>
        </w:tc>
      </w:tr>
    </w:tbl>
    <w:p w14:paraId="50C7C8D7" w14:textId="77777777" w:rsidR="00260953" w:rsidRPr="00F77093" w:rsidRDefault="00260953" w:rsidP="00F77093">
      <w:pPr>
        <w:jc w:val="both"/>
        <w:rPr>
          <w:rFonts w:ascii="Times New Roman" w:hAnsi="Times New Roman" w:cs="Times New Roman"/>
          <w:sz w:val="24"/>
          <w:lang w:eastAsia="sk-SK"/>
        </w:rPr>
      </w:pPr>
    </w:p>
    <w:p w14:paraId="21E9991D" w14:textId="77777777" w:rsidR="00E43041" w:rsidRPr="00F77093" w:rsidRDefault="00E43041" w:rsidP="00F77093">
      <w:pPr>
        <w:jc w:val="both"/>
        <w:rPr>
          <w:rFonts w:ascii="Times New Roman" w:hAnsi="Times New Roman" w:cs="Times New Roman"/>
          <w:sz w:val="24"/>
          <w:lang w:eastAsia="sk-SK"/>
        </w:rPr>
      </w:pPr>
      <w:r w:rsidRPr="00F77093">
        <w:rPr>
          <w:rFonts w:ascii="Times New Roman" w:hAnsi="Times New Roman" w:cs="Times New Roman"/>
          <w:sz w:val="24"/>
          <w:lang w:eastAsia="sk-SK"/>
        </w:rPr>
        <w:t xml:space="preserve">Zvýšenie výroby elektriny v zariadeniach KVET v roku 2020 v porovnaní s rokom 2014 sa plánuje na cca 17% z celkovej vyrobenej elektriny. </w:t>
      </w:r>
    </w:p>
    <w:p w14:paraId="19A3A06A" w14:textId="77777777" w:rsidR="00E43041" w:rsidRPr="00F77093" w:rsidRDefault="00E43041" w:rsidP="00F77093">
      <w:pPr>
        <w:jc w:val="both"/>
        <w:rPr>
          <w:rFonts w:ascii="Times New Roman" w:hAnsi="Times New Roman" w:cs="Times New Roman"/>
          <w:sz w:val="24"/>
          <w:lang w:eastAsia="sk-SK"/>
        </w:rPr>
      </w:pPr>
      <w:r w:rsidRPr="00F77093">
        <w:rPr>
          <w:rFonts w:ascii="Times New Roman" w:hAnsi="Times New Roman" w:cs="Times New Roman"/>
          <w:sz w:val="24"/>
          <w:lang w:eastAsia="sk-SK"/>
        </w:rPr>
        <w:t xml:space="preserve">Využitie plánovaného potenciálu nie je členené na jednotlivé roky. Priemerný ročný inštalovaný výkon by mal dosiahnuť zhruba 17,8 MW, avšak z dôvodu preťaženosti elektrizačnej sústavy bola v roku 2015 významne obmedzená výstavba resp. zvyšovanie výkonu zariadení na kombinovanú výrobu elektriny a tepla a pre nasledujúce obdobie je nevyhnutné počkať na výsledky štúdie o možnosti pripájania zariadení na výrobu elektriny do elektrizačnej sústavy a následne prehodnotiť potenciál využitia vysokoúčinnej KVET. </w:t>
      </w:r>
    </w:p>
    <w:p w14:paraId="354DC2CC" w14:textId="77777777" w:rsidR="00E43041" w:rsidRPr="00F77093" w:rsidRDefault="00E43041" w:rsidP="00F77093">
      <w:pPr>
        <w:jc w:val="both"/>
        <w:rPr>
          <w:rFonts w:ascii="Times New Roman" w:hAnsi="Times New Roman" w:cs="Times New Roman"/>
          <w:sz w:val="24"/>
          <w:lang w:eastAsia="sk-SK"/>
        </w:rPr>
      </w:pPr>
      <w:r w:rsidRPr="00F77093">
        <w:rPr>
          <w:rFonts w:ascii="Times New Roman" w:hAnsi="Times New Roman" w:cs="Times New Roman"/>
          <w:sz w:val="24"/>
          <w:lang w:eastAsia="sk-SK"/>
        </w:rPr>
        <w:t>Ďalším dôvodom na odklad budovania a modernizácie zariadení na vysokoúčinnú KVET a účinné systémy CZT je očakávaná zmena systému tarifnej politiky pre výrobu elektriny z OZE a vysokoúčinnou KVET a vyhlásenie výzvy z OP KŽP na podporu investícií v tejto oblasti.</w:t>
      </w:r>
    </w:p>
    <w:p w14:paraId="0336E01C" w14:textId="77777777" w:rsidR="00E43041" w:rsidRPr="009F2998" w:rsidRDefault="00E43041" w:rsidP="00E43041">
      <w:pPr>
        <w:spacing w:before="120" w:line="276" w:lineRule="auto"/>
        <w:ind w:firstLine="658"/>
        <w:jc w:val="both"/>
        <w:rPr>
          <w:rFonts w:ascii="Times New Roman" w:hAnsi="Times New Roman" w:cs="Times New Roman"/>
        </w:rPr>
      </w:pPr>
    </w:p>
    <w:p w14:paraId="6B403709" w14:textId="4E7F1634" w:rsidR="00E43041" w:rsidRPr="000578FE" w:rsidRDefault="00BF460E" w:rsidP="007157D7">
      <w:pPr>
        <w:pStyle w:val="Nadpis4"/>
        <w:numPr>
          <w:ilvl w:val="3"/>
          <w:numId w:val="16"/>
        </w:numPr>
        <w:rPr>
          <w:rFonts w:ascii="Times New Roman" w:eastAsia="Times New Roman" w:hAnsi="Times New Roman" w:cs="Times New Roman"/>
          <w:i w:val="0"/>
          <w:color w:val="auto"/>
          <w:lang w:eastAsia="sk-SK"/>
        </w:rPr>
      </w:pPr>
      <w:bookmarkStart w:id="108" w:name="_Toc477345399"/>
      <w:r w:rsidRPr="000578FE">
        <w:rPr>
          <w:rFonts w:ascii="Times New Roman" w:eastAsia="Times New Roman" w:hAnsi="Times New Roman" w:cs="Times New Roman"/>
          <w:i w:val="0"/>
          <w:color w:val="auto"/>
          <w:lang w:eastAsia="sk-SK"/>
        </w:rPr>
        <w:t>O</w:t>
      </w:r>
      <w:r w:rsidR="00E43041" w:rsidRPr="000578FE">
        <w:rPr>
          <w:rFonts w:ascii="Times New Roman" w:eastAsia="Times New Roman" w:hAnsi="Times New Roman" w:cs="Times New Roman"/>
          <w:i w:val="0"/>
          <w:color w:val="auto"/>
          <w:lang w:eastAsia="sk-SK"/>
        </w:rPr>
        <w:t>pis postupu a metodiky, ktoré ste použili pri vykonaní analýzy nákladov a prínosov s cieľom splniť kritéria prílohy IX k SEE</w:t>
      </w:r>
      <w:bookmarkEnd w:id="108"/>
    </w:p>
    <w:p w14:paraId="33EE3889" w14:textId="77777777" w:rsidR="00E43041" w:rsidRPr="00F77093" w:rsidRDefault="00E43041" w:rsidP="00F77093">
      <w:pPr>
        <w:jc w:val="both"/>
        <w:rPr>
          <w:rFonts w:ascii="Times New Roman" w:hAnsi="Times New Roman" w:cs="Times New Roman"/>
          <w:sz w:val="24"/>
          <w:lang w:eastAsia="sk-SK"/>
        </w:rPr>
      </w:pPr>
      <w:r w:rsidRPr="00F77093">
        <w:rPr>
          <w:rFonts w:ascii="Times New Roman" w:hAnsi="Times New Roman" w:cs="Times New Roman"/>
          <w:sz w:val="24"/>
          <w:lang w:eastAsia="sk-SK"/>
        </w:rPr>
        <w:t>Špecifikom ekonomického hodnotenia je, že okrem štandardných ekonomických kritérií, ktoré majú vplyv na hodnotenie výstavby zariadení kombinovanej výroby elektriny a tepla je potrebné uvažovať s podmienkami v súčasnosti uplatňovaným a predpokladaným systémom regulácie oprávnených nákladov v cene tepla a elektriny regulačným úradom.</w:t>
      </w:r>
    </w:p>
    <w:p w14:paraId="54FBA899" w14:textId="2ECFE265" w:rsidR="00E43041" w:rsidRPr="00F77093" w:rsidRDefault="00E43041" w:rsidP="00F77093">
      <w:pPr>
        <w:jc w:val="both"/>
        <w:rPr>
          <w:rFonts w:ascii="Times New Roman" w:hAnsi="Times New Roman" w:cs="Times New Roman"/>
          <w:sz w:val="24"/>
          <w:lang w:eastAsia="sk-SK"/>
        </w:rPr>
      </w:pPr>
      <w:r w:rsidRPr="00F77093">
        <w:rPr>
          <w:rFonts w:ascii="Times New Roman" w:hAnsi="Times New Roman" w:cs="Times New Roman"/>
          <w:sz w:val="24"/>
          <w:lang w:eastAsia="sk-SK"/>
        </w:rPr>
        <w:t>Cena tepla z kombinovanej výroby sa v súčasnosti stanovuje ako maximálna cena, ktorá zohľadňuje ekonomicky oprávnené náklady a primeraný zisk. Cena elektriny za ktorú vykupujú elektrinu distribučné spoločnosti je určovaná ako cena pevná. Cena tepla a elektriny  je každoročne regulovaná regulačným úradom. Systém regulácie ekonomicky oprávnených nákladov určuje výpočet týchto nákladov a spôsob  ich delenia tzv. energetickou me</w:t>
      </w:r>
      <w:r w:rsidR="003523EB" w:rsidRPr="00F77093">
        <w:rPr>
          <w:rFonts w:ascii="Times New Roman" w:hAnsi="Times New Roman" w:cs="Times New Roman"/>
          <w:sz w:val="24"/>
          <w:lang w:eastAsia="sk-SK"/>
        </w:rPr>
        <w:t>tódu, ktorá priraď</w:t>
      </w:r>
      <w:r w:rsidRPr="00F77093">
        <w:rPr>
          <w:rFonts w:ascii="Times New Roman" w:hAnsi="Times New Roman" w:cs="Times New Roman"/>
          <w:sz w:val="24"/>
          <w:lang w:eastAsia="sk-SK"/>
        </w:rPr>
        <w:t xml:space="preserve">uje elektrine a teplu podiel spoločne vynaložených oprávnených nákladov kombinovanej výroby. </w:t>
      </w:r>
    </w:p>
    <w:p w14:paraId="557FE4B3" w14:textId="77777777" w:rsidR="00E43041" w:rsidRPr="00F77093" w:rsidRDefault="00E43041" w:rsidP="00F77093">
      <w:pPr>
        <w:jc w:val="both"/>
        <w:rPr>
          <w:rFonts w:ascii="Times New Roman" w:hAnsi="Times New Roman" w:cs="Times New Roman"/>
          <w:sz w:val="24"/>
          <w:lang w:eastAsia="sk-SK"/>
        </w:rPr>
      </w:pPr>
      <w:r w:rsidRPr="00F77093">
        <w:rPr>
          <w:rFonts w:ascii="Times New Roman" w:hAnsi="Times New Roman" w:cs="Times New Roman"/>
          <w:sz w:val="24"/>
          <w:lang w:eastAsia="sk-SK"/>
        </w:rPr>
        <w:t xml:space="preserve">Pri ekonomickom hodnotení možnosti uplatnenia vysoko účinnej kombinovanej výroby, technológiou spaľovací motor s palivom zemný plyn, bolo vykonané ekonomické hodnotenie </w:t>
      </w:r>
      <w:r w:rsidRPr="00F77093">
        <w:rPr>
          <w:rFonts w:ascii="Times New Roman" w:hAnsi="Times New Roman" w:cs="Times New Roman"/>
          <w:sz w:val="24"/>
          <w:lang w:eastAsia="sk-SK"/>
        </w:rPr>
        <w:lastRenderedPageBreak/>
        <w:t xml:space="preserve">s uplatnením delenia spoločných nákladov na výstavbu a prevádzku zariadenia kombinovanej výroby na elektrinu a teplo s použitím  tzv. obchodno - hodnotovej  (ekonomickej) metódy. Pri tejto metóde sa od celkových nákladov výrobcu elektriny kombinovanou výrobou odpočíta nákladový ekvivalent tržieb za elektrinu (predanú za trhových podmienok) a teplo je zaťažené rozdielom ostávajúcich nákladov. Keď takto určená cena je konkurencie schopná na trhu, potom sa výstavba zariadenia na kombinovanú výrobu oplatí.  V opačnom prípade sa môže realizovať KVET pre vlastnú spotrebu elektriny, alebo pri výstavbe využiť existujúce podporné mechanizmy (kvôli zníženiu fixných nákladov). </w:t>
      </w:r>
    </w:p>
    <w:p w14:paraId="26758F2E" w14:textId="2B067A43" w:rsidR="00E43041" w:rsidRPr="00F77093" w:rsidRDefault="00E43041" w:rsidP="00F77093">
      <w:pPr>
        <w:jc w:val="both"/>
        <w:rPr>
          <w:rFonts w:ascii="Times New Roman" w:hAnsi="Times New Roman" w:cs="Times New Roman"/>
          <w:sz w:val="24"/>
          <w:szCs w:val="24"/>
        </w:rPr>
      </w:pPr>
      <w:r w:rsidRPr="00F77093">
        <w:rPr>
          <w:rFonts w:ascii="Times New Roman" w:hAnsi="Times New Roman" w:cs="Times New Roman"/>
          <w:sz w:val="24"/>
          <w:szCs w:val="24"/>
          <w:lang w:eastAsia="sk-SK"/>
        </w:rPr>
        <w:t>Pri modelovaní vhodnosti uplatnenia kombinovanej výroby s </w:t>
      </w:r>
      <w:r w:rsidRPr="00EA16CC">
        <w:rPr>
          <w:rFonts w:ascii="Times New Roman" w:hAnsi="Times New Roman" w:cs="Times New Roman"/>
          <w:sz w:val="24"/>
          <w:szCs w:val="24"/>
          <w:lang w:eastAsia="sk-SK"/>
        </w:rPr>
        <w:t>technológi</w:t>
      </w:r>
      <w:r w:rsidR="00EA16CC" w:rsidRPr="00AF5415">
        <w:rPr>
          <w:rFonts w:ascii="Times New Roman" w:hAnsi="Times New Roman" w:cs="Times New Roman"/>
          <w:sz w:val="24"/>
          <w:szCs w:val="24"/>
          <w:lang w:eastAsia="sk-SK"/>
        </w:rPr>
        <w:t>o</w:t>
      </w:r>
      <w:r w:rsidRPr="00EA16CC">
        <w:rPr>
          <w:rFonts w:ascii="Times New Roman" w:hAnsi="Times New Roman" w:cs="Times New Roman"/>
          <w:sz w:val="24"/>
          <w:szCs w:val="24"/>
          <w:lang w:eastAsia="sk-SK"/>
        </w:rPr>
        <w:t>u spaľovací motor</w:t>
      </w:r>
      <w:r w:rsidRPr="00F77093">
        <w:rPr>
          <w:rFonts w:ascii="Times New Roman" w:hAnsi="Times New Roman" w:cs="Times New Roman"/>
          <w:sz w:val="24"/>
          <w:szCs w:val="24"/>
        </w:rPr>
        <w:t xml:space="preserve"> spaľujúci zemný plyn sa vychádzalo zo súčasných reálnych ekonomických faktorov</w:t>
      </w:r>
      <w:r w:rsidR="00EA16CC">
        <w:rPr>
          <w:rFonts w:ascii="Times New Roman" w:hAnsi="Times New Roman" w:cs="Times New Roman"/>
          <w:sz w:val="24"/>
          <w:szCs w:val="24"/>
        </w:rPr>
        <w:t>,</w:t>
      </w:r>
      <w:r w:rsidRPr="00F77093">
        <w:rPr>
          <w:rFonts w:ascii="Times New Roman" w:hAnsi="Times New Roman" w:cs="Times New Roman"/>
          <w:sz w:val="24"/>
          <w:szCs w:val="24"/>
        </w:rPr>
        <w:t xml:space="preserve"> z ktorých  významne sú najmä:</w:t>
      </w:r>
    </w:p>
    <w:p w14:paraId="07029D9F" w14:textId="77777777" w:rsidR="00E43041" w:rsidRPr="00F77093" w:rsidRDefault="00E43041" w:rsidP="007157D7">
      <w:pPr>
        <w:numPr>
          <w:ilvl w:val="0"/>
          <w:numId w:val="9"/>
        </w:numPr>
        <w:spacing w:after="0" w:line="276" w:lineRule="auto"/>
        <w:jc w:val="both"/>
        <w:rPr>
          <w:rFonts w:ascii="Times New Roman" w:hAnsi="Times New Roman" w:cs="Times New Roman"/>
          <w:sz w:val="24"/>
          <w:szCs w:val="24"/>
        </w:rPr>
      </w:pPr>
      <w:r w:rsidRPr="00F77093">
        <w:rPr>
          <w:rFonts w:ascii="Times New Roman" w:hAnsi="Times New Roman" w:cs="Times New Roman"/>
          <w:sz w:val="24"/>
          <w:szCs w:val="24"/>
        </w:rPr>
        <w:t>cena tepla na trhu s teplom,</w:t>
      </w:r>
    </w:p>
    <w:p w14:paraId="0A65A24C" w14:textId="77777777" w:rsidR="00E43041" w:rsidRPr="00F77093" w:rsidRDefault="00E43041" w:rsidP="007157D7">
      <w:pPr>
        <w:numPr>
          <w:ilvl w:val="0"/>
          <w:numId w:val="9"/>
        </w:numPr>
        <w:spacing w:after="0" w:line="276" w:lineRule="auto"/>
        <w:jc w:val="both"/>
        <w:rPr>
          <w:rFonts w:ascii="Times New Roman" w:hAnsi="Times New Roman" w:cs="Times New Roman"/>
          <w:sz w:val="24"/>
          <w:szCs w:val="24"/>
        </w:rPr>
      </w:pPr>
      <w:r w:rsidRPr="00F77093">
        <w:rPr>
          <w:rFonts w:ascii="Times New Roman" w:hAnsi="Times New Roman" w:cs="Times New Roman"/>
          <w:sz w:val="24"/>
          <w:szCs w:val="24"/>
        </w:rPr>
        <w:t>cena zemného plynu,</w:t>
      </w:r>
    </w:p>
    <w:p w14:paraId="781006A9" w14:textId="77777777" w:rsidR="00E43041" w:rsidRPr="00F77093" w:rsidRDefault="00E43041" w:rsidP="007157D7">
      <w:pPr>
        <w:numPr>
          <w:ilvl w:val="0"/>
          <w:numId w:val="9"/>
        </w:numPr>
        <w:spacing w:after="0" w:line="276" w:lineRule="auto"/>
        <w:jc w:val="both"/>
        <w:rPr>
          <w:rFonts w:ascii="Times New Roman" w:hAnsi="Times New Roman" w:cs="Times New Roman"/>
          <w:sz w:val="24"/>
          <w:szCs w:val="24"/>
        </w:rPr>
      </w:pPr>
      <w:r w:rsidRPr="00F77093">
        <w:rPr>
          <w:rFonts w:ascii="Times New Roman" w:hAnsi="Times New Roman" w:cs="Times New Roman"/>
          <w:sz w:val="24"/>
          <w:szCs w:val="24"/>
        </w:rPr>
        <w:t>výkupná cena elektriny,</w:t>
      </w:r>
    </w:p>
    <w:p w14:paraId="19DC856C" w14:textId="77777777" w:rsidR="00E43041" w:rsidRPr="00F77093" w:rsidRDefault="00E43041" w:rsidP="007157D7">
      <w:pPr>
        <w:numPr>
          <w:ilvl w:val="0"/>
          <w:numId w:val="9"/>
        </w:numPr>
        <w:spacing w:after="0" w:line="276" w:lineRule="auto"/>
        <w:jc w:val="both"/>
        <w:rPr>
          <w:rFonts w:ascii="Times New Roman" w:hAnsi="Times New Roman" w:cs="Times New Roman"/>
          <w:sz w:val="24"/>
          <w:szCs w:val="24"/>
        </w:rPr>
      </w:pPr>
      <w:r w:rsidRPr="00F77093">
        <w:rPr>
          <w:rFonts w:ascii="Times New Roman" w:hAnsi="Times New Roman" w:cs="Times New Roman"/>
          <w:sz w:val="24"/>
          <w:szCs w:val="24"/>
        </w:rPr>
        <w:t>investičné náklady na zariadenie kombinovanej výroby, spôsob financovania investície,</w:t>
      </w:r>
    </w:p>
    <w:p w14:paraId="3BF735A9" w14:textId="77777777" w:rsidR="00E43041" w:rsidRPr="00F77093" w:rsidRDefault="00E43041" w:rsidP="007157D7">
      <w:pPr>
        <w:numPr>
          <w:ilvl w:val="0"/>
          <w:numId w:val="9"/>
        </w:numPr>
        <w:spacing w:after="0" w:line="276" w:lineRule="auto"/>
        <w:jc w:val="both"/>
        <w:rPr>
          <w:rFonts w:ascii="Times New Roman" w:hAnsi="Times New Roman" w:cs="Times New Roman"/>
          <w:sz w:val="24"/>
          <w:szCs w:val="24"/>
        </w:rPr>
      </w:pPr>
      <w:r w:rsidRPr="00F77093">
        <w:rPr>
          <w:rFonts w:ascii="Times New Roman" w:hAnsi="Times New Roman" w:cs="Times New Roman"/>
          <w:sz w:val="24"/>
          <w:szCs w:val="24"/>
        </w:rPr>
        <w:t>prevádzkové parametre, najmä prevádzková účinnosť zariadenia,</w:t>
      </w:r>
    </w:p>
    <w:p w14:paraId="15D25B6E" w14:textId="77777777" w:rsidR="00E43041" w:rsidRPr="00F77093" w:rsidRDefault="00E43041" w:rsidP="007157D7">
      <w:pPr>
        <w:numPr>
          <w:ilvl w:val="0"/>
          <w:numId w:val="9"/>
        </w:numPr>
        <w:spacing w:after="0" w:line="276" w:lineRule="auto"/>
        <w:jc w:val="both"/>
        <w:rPr>
          <w:rFonts w:ascii="Times New Roman" w:hAnsi="Times New Roman" w:cs="Times New Roman"/>
          <w:sz w:val="24"/>
          <w:szCs w:val="24"/>
        </w:rPr>
      </w:pPr>
      <w:r w:rsidRPr="00F77093">
        <w:rPr>
          <w:rFonts w:ascii="Times New Roman" w:hAnsi="Times New Roman" w:cs="Times New Roman"/>
          <w:sz w:val="24"/>
          <w:szCs w:val="24"/>
        </w:rPr>
        <w:t>ročné využitie inštalovaného výkonu,</w:t>
      </w:r>
    </w:p>
    <w:p w14:paraId="420A45EE" w14:textId="77777777" w:rsidR="00E43041" w:rsidRPr="00F77093" w:rsidRDefault="00E43041" w:rsidP="007157D7">
      <w:pPr>
        <w:numPr>
          <w:ilvl w:val="0"/>
          <w:numId w:val="9"/>
        </w:numPr>
        <w:spacing w:after="0" w:line="276" w:lineRule="auto"/>
        <w:jc w:val="both"/>
        <w:rPr>
          <w:rFonts w:ascii="Times New Roman" w:hAnsi="Times New Roman" w:cs="Times New Roman"/>
          <w:sz w:val="24"/>
          <w:szCs w:val="24"/>
        </w:rPr>
      </w:pPr>
      <w:r w:rsidRPr="00F77093">
        <w:rPr>
          <w:rFonts w:ascii="Times New Roman" w:hAnsi="Times New Roman" w:cs="Times New Roman"/>
          <w:sz w:val="24"/>
          <w:szCs w:val="24"/>
        </w:rPr>
        <w:t>prevádzkové špecifické náklady.</w:t>
      </w:r>
    </w:p>
    <w:p w14:paraId="1F29936E" w14:textId="77777777" w:rsidR="00E43041" w:rsidRPr="00F77093" w:rsidRDefault="00E43041" w:rsidP="00E43041">
      <w:pPr>
        <w:pStyle w:val="Zkladntext"/>
        <w:tabs>
          <w:tab w:val="left" w:pos="1440"/>
        </w:tabs>
        <w:spacing w:after="0" w:line="240" w:lineRule="auto"/>
        <w:rPr>
          <w:rFonts w:ascii="Times New Roman" w:hAnsi="Times New Roman" w:cs="Times New Roman"/>
          <w:sz w:val="24"/>
          <w:szCs w:val="24"/>
          <w:lang w:eastAsia="sk-SK"/>
        </w:rPr>
      </w:pPr>
    </w:p>
    <w:p w14:paraId="19099FE1" w14:textId="77777777" w:rsidR="00E43041" w:rsidRPr="00F77093" w:rsidRDefault="00E43041" w:rsidP="00E43041">
      <w:pPr>
        <w:pStyle w:val="Zkladntext"/>
        <w:tabs>
          <w:tab w:val="left" w:pos="1440"/>
        </w:tabs>
        <w:spacing w:after="0" w:line="240" w:lineRule="auto"/>
        <w:jc w:val="both"/>
        <w:rPr>
          <w:rFonts w:ascii="Times New Roman" w:hAnsi="Times New Roman" w:cs="Times New Roman"/>
          <w:bCs/>
          <w:color w:val="000000"/>
          <w:sz w:val="24"/>
          <w:szCs w:val="24"/>
        </w:rPr>
      </w:pPr>
      <w:r w:rsidRPr="00F77093">
        <w:rPr>
          <w:rFonts w:ascii="Times New Roman" w:hAnsi="Times New Roman" w:cs="Times New Roman"/>
          <w:sz w:val="24"/>
          <w:szCs w:val="24"/>
          <w:lang w:eastAsia="sk-SK"/>
        </w:rPr>
        <w:t xml:space="preserve">Podrobnejší postup je uvedený v samostatnom dokumente. </w:t>
      </w:r>
      <w:r w:rsidRPr="00F77093">
        <w:rPr>
          <w:rStyle w:val="Odkaznapoznmkupodiarou"/>
          <w:rFonts w:ascii="Times New Roman" w:hAnsi="Times New Roman" w:cs="Times New Roman"/>
          <w:sz w:val="24"/>
          <w:szCs w:val="24"/>
          <w:lang w:eastAsia="sk-SK"/>
        </w:rPr>
        <w:footnoteReference w:id="35"/>
      </w:r>
    </w:p>
    <w:p w14:paraId="21474811" w14:textId="77777777" w:rsidR="00E43041" w:rsidRPr="009F2998" w:rsidRDefault="00E43041" w:rsidP="00E43041">
      <w:pPr>
        <w:rPr>
          <w:rFonts w:ascii="Times New Roman" w:hAnsi="Times New Roman" w:cs="Times New Roman"/>
          <w:lang w:eastAsia="sk-SK"/>
        </w:rPr>
      </w:pPr>
    </w:p>
    <w:p w14:paraId="46A47909" w14:textId="77777777" w:rsidR="00E43041" w:rsidRPr="000578FE" w:rsidRDefault="00E43041" w:rsidP="007157D7">
      <w:pPr>
        <w:pStyle w:val="Nadpis3"/>
        <w:keepNext w:val="0"/>
        <w:keepLines w:val="0"/>
        <w:numPr>
          <w:ilvl w:val="2"/>
          <w:numId w:val="16"/>
        </w:numPr>
        <w:ind w:left="1276" w:hanging="567"/>
        <w:rPr>
          <w:rFonts w:ascii="Times New Roman" w:hAnsi="Times New Roman" w:cs="Times New Roman"/>
          <w:color w:val="auto"/>
        </w:rPr>
      </w:pPr>
      <w:r w:rsidRPr="000578FE">
        <w:rPr>
          <w:rFonts w:ascii="Times New Roman" w:hAnsi="Times New Roman" w:cs="Times New Roman"/>
          <w:color w:val="auto"/>
        </w:rPr>
        <w:t xml:space="preserve"> </w:t>
      </w:r>
      <w:bookmarkStart w:id="109" w:name="_Toc477345400"/>
      <w:r w:rsidRPr="000578FE">
        <w:rPr>
          <w:rFonts w:ascii="Times New Roman" w:hAnsi="Times New Roman" w:cs="Times New Roman"/>
          <w:color w:val="auto"/>
        </w:rPr>
        <w:t>Ďalšie opatrenia na efektívne vykurovanie a chladenie (článok 14 SEE)</w:t>
      </w:r>
      <w:bookmarkEnd w:id="109"/>
    </w:p>
    <w:p w14:paraId="2EC42556" w14:textId="77777777" w:rsidR="00E43041" w:rsidRPr="009F2998" w:rsidRDefault="00E43041" w:rsidP="00E43041">
      <w:pPr>
        <w:jc w:val="both"/>
        <w:rPr>
          <w:rFonts w:ascii="Times New Roman" w:hAnsi="Times New Roman" w:cs="Times New Roman"/>
        </w:rPr>
      </w:pPr>
    </w:p>
    <w:p w14:paraId="35D930A1" w14:textId="77777777" w:rsidR="00E43041" w:rsidRPr="00F77093" w:rsidRDefault="00E43041" w:rsidP="00E43041">
      <w:pPr>
        <w:jc w:val="both"/>
        <w:rPr>
          <w:rFonts w:ascii="Times New Roman" w:hAnsi="Times New Roman" w:cs="Times New Roman"/>
          <w:sz w:val="24"/>
        </w:rPr>
      </w:pPr>
      <w:r w:rsidRPr="00F77093">
        <w:rPr>
          <w:rFonts w:ascii="Times New Roman" w:hAnsi="Times New Roman" w:cs="Times New Roman"/>
          <w:sz w:val="24"/>
        </w:rPr>
        <w:t xml:space="preserve">Novelizáciou zákona č. 657/2004 Z . z. o tepelnej energetike zákonom č. 100/2014 Z. z. bolo rozšírené povinné posúdenie dopadu výstavby nových zariadení na výrobu tepla na prevádzku existujúcich účinných systémov CZT a v prípade negatívneho dopadu za podmienok uvedených v zákone príslušný orgán, ktorým je obec alebo MH SR povolenie na výstavbu nevydá. </w:t>
      </w:r>
    </w:p>
    <w:p w14:paraId="682B68E7" w14:textId="77777777" w:rsidR="00E43041" w:rsidRPr="00F77093" w:rsidRDefault="00E43041" w:rsidP="00E43041">
      <w:pPr>
        <w:jc w:val="both"/>
        <w:rPr>
          <w:rFonts w:ascii="Times New Roman" w:hAnsi="Times New Roman" w:cs="Times New Roman"/>
          <w:sz w:val="24"/>
        </w:rPr>
      </w:pPr>
      <w:r w:rsidRPr="00F77093">
        <w:rPr>
          <w:rFonts w:ascii="Times New Roman" w:hAnsi="Times New Roman" w:cs="Times New Roman"/>
          <w:sz w:val="24"/>
        </w:rPr>
        <w:t xml:space="preserve">Od roku 2014 majú obce, v ktorých sa prevádzkuje verejný rozvod tepla povinnosť zabezpečiť aktualizáciu rozvoja obce v oblasti tepelnej energetiky a to najneskôr do 5 rokov od nadobudnutia účinnosti zákona č. 100/2014 Z. z. V koncepcii je potrebné jasne definovať lokálne ciele pre systémy CZT. </w:t>
      </w:r>
    </w:p>
    <w:p w14:paraId="64644CA5" w14:textId="77777777" w:rsidR="00E43041" w:rsidRPr="00F77093" w:rsidRDefault="00E43041" w:rsidP="00E43041">
      <w:pPr>
        <w:jc w:val="both"/>
        <w:rPr>
          <w:rFonts w:ascii="Times New Roman" w:hAnsi="Times New Roman" w:cs="Times New Roman"/>
          <w:sz w:val="24"/>
        </w:rPr>
      </w:pPr>
      <w:r w:rsidRPr="00F77093">
        <w:rPr>
          <w:rFonts w:ascii="Times New Roman" w:hAnsi="Times New Roman" w:cs="Times New Roman"/>
          <w:sz w:val="24"/>
        </w:rPr>
        <w:t>V prípade subjektov, ktoré využijú financovanie z OP KŽP na vypracovanie lokálnych nízkouhlíkových stratégií</w:t>
      </w:r>
      <w:r w:rsidRPr="00F77093">
        <w:rPr>
          <w:rStyle w:val="Odkaznapoznmkupodiarou"/>
          <w:rFonts w:ascii="Times New Roman" w:hAnsi="Times New Roman" w:cs="Times New Roman"/>
          <w:sz w:val="24"/>
        </w:rPr>
        <w:footnoteReference w:id="36"/>
      </w:r>
      <w:r w:rsidRPr="00F77093">
        <w:rPr>
          <w:rFonts w:ascii="Times New Roman" w:hAnsi="Times New Roman" w:cs="Times New Roman"/>
          <w:sz w:val="24"/>
        </w:rPr>
        <w:t xml:space="preserve"> je oblasť rozvoja tepelnej energetiky povinnou súčasťou stratégie.</w:t>
      </w:r>
    </w:p>
    <w:p w14:paraId="76DD30E7" w14:textId="77777777" w:rsidR="00E43041" w:rsidRPr="00F77093" w:rsidRDefault="00E43041" w:rsidP="00E43041">
      <w:pPr>
        <w:jc w:val="both"/>
        <w:rPr>
          <w:rFonts w:ascii="Times New Roman" w:hAnsi="Times New Roman" w:cs="Times New Roman"/>
          <w:sz w:val="24"/>
        </w:rPr>
      </w:pPr>
      <w:r w:rsidRPr="00F77093">
        <w:rPr>
          <w:rFonts w:ascii="Times New Roman" w:hAnsi="Times New Roman" w:cs="Times New Roman"/>
          <w:sz w:val="24"/>
        </w:rPr>
        <w:t xml:space="preserve">Pre ďalší rozvoj účinných systémov CZT bolo zabezpečené financovanie z EŠIF programového obdobia 2014-2020 pre výstavbu a rekonštrukciu zariadení na využívanie OZE, zariadení na vysokoúčinnú KVET a rozvodov tepla s cieľom zvýšiť počet účinných systémov CZT </w:t>
      </w:r>
      <w:r w:rsidRPr="00F77093">
        <w:rPr>
          <w:rFonts w:ascii="Times New Roman" w:hAnsi="Times New Roman" w:cs="Times New Roman"/>
          <w:sz w:val="24"/>
        </w:rPr>
        <w:lastRenderedPageBreak/>
        <w:t>a prispôsobením rozvodov tepla súčasnému dopytu po využiteľnom teple zvýšiť aj účinnosť distribúcie tepla.</w:t>
      </w:r>
      <w:r w:rsidRPr="00F77093">
        <w:rPr>
          <w:rStyle w:val="Odkaznapoznmkupodiarou"/>
          <w:rFonts w:ascii="Times New Roman" w:hAnsi="Times New Roman" w:cs="Times New Roman"/>
          <w:sz w:val="24"/>
        </w:rPr>
        <w:footnoteReference w:id="37"/>
      </w:r>
    </w:p>
    <w:p w14:paraId="11E6FABA" w14:textId="77777777" w:rsidR="00845D05" w:rsidRPr="009F2998" w:rsidRDefault="00845D05" w:rsidP="00E43041">
      <w:pPr>
        <w:jc w:val="both"/>
        <w:rPr>
          <w:rFonts w:ascii="Times New Roman" w:hAnsi="Times New Roman" w:cs="Times New Roman"/>
        </w:rPr>
      </w:pPr>
    </w:p>
    <w:p w14:paraId="485B6884" w14:textId="77777777" w:rsidR="001D5205" w:rsidRPr="000578FE" w:rsidRDefault="001D5205" w:rsidP="007157D7">
      <w:pPr>
        <w:pStyle w:val="Nadpis2"/>
        <w:numPr>
          <w:ilvl w:val="1"/>
          <w:numId w:val="16"/>
        </w:numPr>
        <w:rPr>
          <w:rFonts w:ascii="Times New Roman" w:hAnsi="Times New Roman" w:cs="Times New Roman"/>
          <w:color w:val="auto"/>
        </w:rPr>
      </w:pPr>
      <w:bookmarkStart w:id="110" w:name="_Toc477345401"/>
      <w:r w:rsidRPr="000578FE">
        <w:rPr>
          <w:rFonts w:ascii="Times New Roman" w:hAnsi="Times New Roman" w:cs="Times New Roman"/>
          <w:color w:val="auto"/>
        </w:rPr>
        <w:t>Premena, prenos a distribúcia energie a reakcia strany spotreby</w:t>
      </w:r>
      <w:bookmarkEnd w:id="110"/>
    </w:p>
    <w:p w14:paraId="22508939" w14:textId="77777777" w:rsidR="00A06490" w:rsidRPr="009F2998" w:rsidRDefault="00A06490" w:rsidP="007577DE">
      <w:pPr>
        <w:spacing w:after="120" w:line="240" w:lineRule="auto"/>
        <w:jc w:val="both"/>
        <w:rPr>
          <w:rFonts w:ascii="Times New Roman" w:hAnsi="Times New Roman" w:cs="Times New Roman"/>
        </w:rPr>
      </w:pPr>
    </w:p>
    <w:p w14:paraId="74E6F555" w14:textId="0009F97E" w:rsidR="00082206" w:rsidRPr="00F77093" w:rsidRDefault="00082206" w:rsidP="000578FE">
      <w:pPr>
        <w:spacing w:after="120" w:line="240" w:lineRule="auto"/>
        <w:jc w:val="both"/>
        <w:rPr>
          <w:rFonts w:ascii="Times New Roman" w:hAnsi="Times New Roman" w:cs="Times New Roman"/>
          <w:sz w:val="24"/>
        </w:rPr>
      </w:pPr>
      <w:r w:rsidRPr="00F77093">
        <w:rPr>
          <w:rFonts w:ascii="Times New Roman" w:hAnsi="Times New Roman" w:cs="Times New Roman"/>
          <w:sz w:val="24"/>
        </w:rPr>
        <w:t xml:space="preserve">Posúdenie energetickej efektívnosti elektroenergetickej a plynárenskej infraštruktúry je </w:t>
      </w:r>
      <w:r w:rsidR="00031AC9">
        <w:rPr>
          <w:rFonts w:ascii="Times New Roman" w:hAnsi="Times New Roman" w:cs="Times New Roman"/>
          <w:sz w:val="24"/>
        </w:rPr>
        <w:t xml:space="preserve">zavedené </w:t>
      </w:r>
      <w:r w:rsidR="00235E26" w:rsidRPr="007577DE">
        <w:rPr>
          <w:rFonts w:ascii="Times New Roman" w:hAnsi="Times New Roman" w:cs="Times New Roman"/>
          <w:sz w:val="24"/>
        </w:rPr>
        <w:t xml:space="preserve">formou </w:t>
      </w:r>
      <w:r w:rsidR="00571A49" w:rsidRPr="007577DE">
        <w:rPr>
          <w:rFonts w:ascii="Times New Roman" w:hAnsi="Times New Roman" w:cs="Times New Roman"/>
          <w:sz w:val="24"/>
        </w:rPr>
        <w:t xml:space="preserve">povinnosti </w:t>
      </w:r>
      <w:r w:rsidR="00235E26" w:rsidRPr="007577DE">
        <w:rPr>
          <w:rFonts w:ascii="Times New Roman" w:hAnsi="Times New Roman" w:cs="Times New Roman"/>
          <w:sz w:val="24"/>
        </w:rPr>
        <w:t xml:space="preserve">pre jednotlivých účastníkov trhu, ktorí podnikajú v súlade s požiadavkami zákona č. 251/2012 Z. z. o energetike v oblasti elektroenergetiky a plynárenstva a prevádzkujú elektroenergetickú </w:t>
      </w:r>
      <w:r w:rsidR="0098537F" w:rsidRPr="007577DE">
        <w:rPr>
          <w:rFonts w:ascii="Times New Roman" w:hAnsi="Times New Roman" w:cs="Times New Roman"/>
          <w:sz w:val="24"/>
        </w:rPr>
        <w:t xml:space="preserve">alebo </w:t>
      </w:r>
      <w:r w:rsidR="00235E26" w:rsidRPr="007577DE">
        <w:rPr>
          <w:rFonts w:ascii="Times New Roman" w:hAnsi="Times New Roman" w:cs="Times New Roman"/>
          <w:sz w:val="24"/>
        </w:rPr>
        <w:t>plynárenskú infraštruktúru</w:t>
      </w:r>
      <w:r w:rsidR="001E72B7">
        <w:rPr>
          <w:rFonts w:ascii="Times New Roman" w:hAnsi="Times New Roman" w:cs="Times New Roman"/>
          <w:sz w:val="24"/>
        </w:rPr>
        <w:t xml:space="preserve">. </w:t>
      </w:r>
    </w:p>
    <w:p w14:paraId="3D662EAF" w14:textId="77777777" w:rsidR="001E72B7" w:rsidRDefault="001E72B7" w:rsidP="00082206">
      <w:pPr>
        <w:jc w:val="both"/>
        <w:rPr>
          <w:rFonts w:ascii="Times New Roman" w:hAnsi="Times New Roman" w:cs="Times New Roman"/>
          <w:b/>
          <w:bCs/>
          <w:sz w:val="24"/>
        </w:rPr>
      </w:pPr>
    </w:p>
    <w:p w14:paraId="5B5EA8CD" w14:textId="57B8DB34" w:rsidR="00082206" w:rsidRPr="00F77093" w:rsidRDefault="00082206" w:rsidP="00AF5415">
      <w:pPr>
        <w:rPr>
          <w:rFonts w:ascii="Times New Roman" w:hAnsi="Times New Roman" w:cs="Times New Roman"/>
          <w:b/>
          <w:bCs/>
          <w:sz w:val="24"/>
        </w:rPr>
      </w:pPr>
      <w:r w:rsidRPr="00F77093">
        <w:rPr>
          <w:rFonts w:ascii="Times New Roman" w:hAnsi="Times New Roman" w:cs="Times New Roman"/>
          <w:b/>
          <w:bCs/>
          <w:sz w:val="24"/>
        </w:rPr>
        <w:t>Elektroenergetika</w:t>
      </w:r>
    </w:p>
    <w:p w14:paraId="597EA21A" w14:textId="2E40C614" w:rsidR="00082206" w:rsidRPr="00F77093" w:rsidRDefault="00082206" w:rsidP="00082206">
      <w:pPr>
        <w:jc w:val="both"/>
        <w:rPr>
          <w:rFonts w:ascii="Times New Roman" w:hAnsi="Times New Roman" w:cs="Times New Roman"/>
          <w:sz w:val="24"/>
        </w:rPr>
      </w:pPr>
      <w:r w:rsidRPr="00F77093">
        <w:rPr>
          <w:rFonts w:ascii="Times New Roman" w:hAnsi="Times New Roman" w:cs="Times New Roman"/>
          <w:sz w:val="24"/>
        </w:rPr>
        <w:t>V oblasti elektroenergetiky boli hodnot</w:t>
      </w:r>
      <w:r w:rsidR="005577F9" w:rsidRPr="00F77093">
        <w:rPr>
          <w:rFonts w:ascii="Times New Roman" w:hAnsi="Times New Roman" w:cs="Times New Roman"/>
          <w:sz w:val="24"/>
        </w:rPr>
        <w:t>e</w:t>
      </w:r>
      <w:r w:rsidRPr="00F77093">
        <w:rPr>
          <w:rFonts w:ascii="Times New Roman" w:hAnsi="Times New Roman" w:cs="Times New Roman"/>
          <w:sz w:val="24"/>
        </w:rPr>
        <w:t xml:space="preserve">né potenciály energetickej efektívnosti prevádzkovateľa prenosovej sústavy a prevádzkovateľov distribučných sústav. Hodnotenie vykonali subjekty, ktoré sa podieľajú na prevádzke prenosovej sústavy a distribučných sústav. </w:t>
      </w:r>
    </w:p>
    <w:p w14:paraId="6A1DB348" w14:textId="6DA750EE" w:rsidR="00082206" w:rsidRPr="00F77093" w:rsidRDefault="00082206" w:rsidP="00082206">
      <w:pPr>
        <w:jc w:val="both"/>
        <w:rPr>
          <w:rFonts w:ascii="Times New Roman" w:hAnsi="Times New Roman" w:cs="Times New Roman"/>
          <w:sz w:val="24"/>
        </w:rPr>
      </w:pPr>
      <w:r w:rsidRPr="00F77093">
        <w:rPr>
          <w:rFonts w:ascii="Times New Roman" w:hAnsi="Times New Roman" w:cs="Times New Roman"/>
          <w:sz w:val="24"/>
        </w:rPr>
        <w:t>Prevádzkovateľ prenosovej sústavy, spoločnosť Slovenská elektrizačná prenosová sústava, a.</w:t>
      </w:r>
      <w:r w:rsidR="00AB502F" w:rsidRPr="00F77093">
        <w:rPr>
          <w:rFonts w:ascii="Times New Roman" w:hAnsi="Times New Roman" w:cs="Times New Roman"/>
          <w:sz w:val="24"/>
        </w:rPr>
        <w:t> </w:t>
      </w:r>
      <w:r w:rsidRPr="00F77093">
        <w:rPr>
          <w:rFonts w:ascii="Times New Roman" w:hAnsi="Times New Roman" w:cs="Times New Roman"/>
          <w:sz w:val="24"/>
        </w:rPr>
        <w:t xml:space="preserve">s. (SEPS) sa dlhodobo zaoberá opatreniami na zlepšenie energetickej efektívnosti a dosiahnutie úspor, pričom ale ako primárny cieľ zohľadňuje zabezpečenie bezpečnosti a spoľahlivosti dodávok  elektriny na vymedzenom území a plnenie medzinárodných záväzkov vyplývajúcich z členstva v ENTSOE. SEPS plánuje a realizuje investičné projekty tak, aby bola zabezpečená postupná obmena morálne a technicky zastaraných zariadení, boli zabezpečené znížené náklady na prevádzku a údržbu nových </w:t>
      </w:r>
      <w:r w:rsidR="00AB502F" w:rsidRPr="00F77093">
        <w:rPr>
          <w:rFonts w:ascii="Times New Roman" w:hAnsi="Times New Roman" w:cs="Times New Roman"/>
          <w:sz w:val="24"/>
        </w:rPr>
        <w:t xml:space="preserve">zariadení </w:t>
      </w:r>
      <w:r w:rsidRPr="00F77093">
        <w:rPr>
          <w:rFonts w:ascii="Times New Roman" w:hAnsi="Times New Roman" w:cs="Times New Roman"/>
          <w:sz w:val="24"/>
        </w:rPr>
        <w:t>a zvyšovala sa ekonomick</w:t>
      </w:r>
      <w:r w:rsidR="00AB502F" w:rsidRPr="00F77093">
        <w:rPr>
          <w:rFonts w:ascii="Times New Roman" w:hAnsi="Times New Roman" w:cs="Times New Roman"/>
          <w:sz w:val="24"/>
        </w:rPr>
        <w:t>á efektívnosť</w:t>
      </w:r>
      <w:r w:rsidRPr="00F77093">
        <w:rPr>
          <w:rFonts w:ascii="Times New Roman" w:hAnsi="Times New Roman" w:cs="Times New Roman"/>
          <w:sz w:val="24"/>
        </w:rPr>
        <w:t>. V rámci rozvoja sú uvádzané do prevádzky nové elektrické stanice.</w:t>
      </w:r>
    </w:p>
    <w:p w14:paraId="1073CA52" w14:textId="46D8B0FF" w:rsidR="00082206" w:rsidRPr="00F77093" w:rsidRDefault="00082206" w:rsidP="00082206">
      <w:pPr>
        <w:jc w:val="both"/>
        <w:rPr>
          <w:rFonts w:ascii="Times New Roman" w:hAnsi="Times New Roman" w:cs="Times New Roman"/>
          <w:sz w:val="24"/>
        </w:rPr>
      </w:pPr>
      <w:r w:rsidRPr="00F77093">
        <w:rPr>
          <w:rFonts w:ascii="Times New Roman" w:hAnsi="Times New Roman" w:cs="Times New Roman"/>
          <w:sz w:val="24"/>
        </w:rPr>
        <w:t xml:space="preserve">Je však potrebné </w:t>
      </w:r>
      <w:r w:rsidR="00AB502F" w:rsidRPr="00F77093">
        <w:rPr>
          <w:rFonts w:ascii="Times New Roman" w:hAnsi="Times New Roman" w:cs="Times New Roman"/>
          <w:sz w:val="24"/>
        </w:rPr>
        <w:t>zdôrazniť</w:t>
      </w:r>
      <w:r w:rsidRPr="00F77093">
        <w:rPr>
          <w:rFonts w:ascii="Times New Roman" w:hAnsi="Times New Roman" w:cs="Times New Roman"/>
          <w:sz w:val="24"/>
        </w:rPr>
        <w:t xml:space="preserve">, že je len obmedzená možnosť vplývať na straty na vedeniach, nakoľko tranzitné toky, ktoré sú spôsobené prepojením trhov v rámci Európy, sú mimo aktívneho dosahu. Navyše v súčasnosti prideľovaný systém kapacitných práv nezabezpečuje súlad obchodných a fyzikálnych tokov na cezhraničných profiloch a cez prenosovú sústavu SR. </w:t>
      </w:r>
    </w:p>
    <w:p w14:paraId="45255440" w14:textId="742B4A4B" w:rsidR="00082206" w:rsidRPr="00F77093" w:rsidRDefault="00082206" w:rsidP="00082206">
      <w:pPr>
        <w:jc w:val="both"/>
        <w:rPr>
          <w:rFonts w:ascii="Times New Roman" w:hAnsi="Times New Roman" w:cs="Times New Roman"/>
          <w:sz w:val="24"/>
        </w:rPr>
      </w:pPr>
      <w:r w:rsidRPr="00F77093">
        <w:rPr>
          <w:rFonts w:ascii="Times New Roman" w:hAnsi="Times New Roman" w:cs="Times New Roman"/>
          <w:sz w:val="24"/>
        </w:rPr>
        <w:t>Aj napriek tomu je zo strany SEPS vyvíjaná snah</w:t>
      </w:r>
      <w:r w:rsidR="00AB502F" w:rsidRPr="00F77093">
        <w:rPr>
          <w:rFonts w:ascii="Times New Roman" w:hAnsi="Times New Roman" w:cs="Times New Roman"/>
          <w:sz w:val="24"/>
        </w:rPr>
        <w:t xml:space="preserve">a </w:t>
      </w:r>
      <w:r w:rsidRPr="00F77093">
        <w:rPr>
          <w:rFonts w:ascii="Times New Roman" w:hAnsi="Times New Roman" w:cs="Times New Roman"/>
          <w:sz w:val="24"/>
        </w:rPr>
        <w:t>na znižovanie strát tým, že sú budované nové vedenia a obnovované staršie tak, aby bol zabezpečený pokles impedancie  pri prenose. Ďalším príspevkom pre znižovanie strát je postupné odstavovanie 220 kV systému a jeho náhrada 400 kV systémo</w:t>
      </w:r>
      <w:r w:rsidR="00AB502F" w:rsidRPr="00F77093">
        <w:rPr>
          <w:rFonts w:ascii="Times New Roman" w:hAnsi="Times New Roman" w:cs="Times New Roman"/>
          <w:sz w:val="24"/>
        </w:rPr>
        <w:t>m</w:t>
      </w:r>
      <w:r w:rsidRPr="00F77093">
        <w:rPr>
          <w:rFonts w:ascii="Times New Roman" w:hAnsi="Times New Roman" w:cs="Times New Roman"/>
          <w:sz w:val="24"/>
        </w:rPr>
        <w:t xml:space="preserve">, čo tiež pozitívne vplýva na </w:t>
      </w:r>
      <w:r w:rsidR="00AB502F" w:rsidRPr="00F77093">
        <w:rPr>
          <w:rFonts w:ascii="Times New Roman" w:hAnsi="Times New Roman" w:cs="Times New Roman"/>
          <w:sz w:val="24"/>
        </w:rPr>
        <w:t xml:space="preserve">znižovanie </w:t>
      </w:r>
      <w:r w:rsidRPr="00F77093">
        <w:rPr>
          <w:rFonts w:ascii="Times New Roman" w:hAnsi="Times New Roman" w:cs="Times New Roman"/>
          <w:sz w:val="24"/>
        </w:rPr>
        <w:t xml:space="preserve">strát v sústave. </w:t>
      </w:r>
    </w:p>
    <w:p w14:paraId="441DF863" w14:textId="759F8402" w:rsidR="00082206" w:rsidRPr="00F77093" w:rsidRDefault="00082206" w:rsidP="00082206">
      <w:pPr>
        <w:jc w:val="both"/>
        <w:rPr>
          <w:rFonts w:ascii="Times New Roman" w:hAnsi="Times New Roman" w:cs="Times New Roman"/>
          <w:sz w:val="24"/>
        </w:rPr>
      </w:pPr>
      <w:r w:rsidRPr="00F77093">
        <w:rPr>
          <w:rFonts w:ascii="Times New Roman" w:hAnsi="Times New Roman" w:cs="Times New Roman"/>
          <w:sz w:val="24"/>
        </w:rPr>
        <w:t xml:space="preserve">Energetická účinnosť prenosu elektriny sa hodnotí na základe ročných bilančných údajov za prenosovú sústavu.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3071"/>
      </w:tblGrid>
      <w:tr w:rsidR="00082206" w:rsidRPr="009F2998" w14:paraId="446AABB6" w14:textId="59D92183" w:rsidTr="00116B48">
        <w:tc>
          <w:tcPr>
            <w:tcW w:w="2268" w:type="dxa"/>
          </w:tcPr>
          <w:p w14:paraId="4CCEBF56" w14:textId="03982BF4"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Rok</w:t>
            </w:r>
          </w:p>
        </w:tc>
        <w:tc>
          <w:tcPr>
            <w:tcW w:w="3240" w:type="dxa"/>
          </w:tcPr>
          <w:p w14:paraId="328F2A1F" w14:textId="7FDAE06A"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Prenesená elektrina (GWh)</w:t>
            </w:r>
          </w:p>
        </w:tc>
        <w:tc>
          <w:tcPr>
            <w:tcW w:w="3071" w:type="dxa"/>
          </w:tcPr>
          <w:p w14:paraId="394FC5F9" w14:textId="0AE04C3B"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Podiel strát na prenesenej elektrine (%)</w:t>
            </w:r>
          </w:p>
        </w:tc>
      </w:tr>
      <w:tr w:rsidR="00082206" w:rsidRPr="009F2998" w14:paraId="39A3CEFF" w14:textId="25AB1F3A" w:rsidTr="00116B48">
        <w:tc>
          <w:tcPr>
            <w:tcW w:w="2268" w:type="dxa"/>
          </w:tcPr>
          <w:p w14:paraId="4B4A3F2E" w14:textId="79E793A0"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2012</w:t>
            </w:r>
          </w:p>
        </w:tc>
        <w:tc>
          <w:tcPr>
            <w:tcW w:w="3240" w:type="dxa"/>
          </w:tcPr>
          <w:p w14:paraId="7A66AE49" w14:textId="441756B0"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29314,204</w:t>
            </w:r>
          </w:p>
        </w:tc>
        <w:tc>
          <w:tcPr>
            <w:tcW w:w="3071" w:type="dxa"/>
          </w:tcPr>
          <w:p w14:paraId="503919E9" w14:textId="4E6577A0"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1,125</w:t>
            </w:r>
          </w:p>
        </w:tc>
      </w:tr>
      <w:tr w:rsidR="00082206" w:rsidRPr="009F2998" w14:paraId="0923F947" w14:textId="54B7766C" w:rsidTr="00116B48">
        <w:tc>
          <w:tcPr>
            <w:tcW w:w="2268" w:type="dxa"/>
          </w:tcPr>
          <w:p w14:paraId="5C48CDD3" w14:textId="30D9AF57"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2013</w:t>
            </w:r>
          </w:p>
        </w:tc>
        <w:tc>
          <w:tcPr>
            <w:tcW w:w="3240" w:type="dxa"/>
          </w:tcPr>
          <w:p w14:paraId="700CF28A" w14:textId="17FD01CA"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28276,81</w:t>
            </w:r>
            <w:r w:rsidR="00475C3F">
              <w:rPr>
                <w:rFonts w:ascii="Times New Roman" w:hAnsi="Times New Roman" w:cs="Times New Roman"/>
              </w:rPr>
              <w:t>0</w:t>
            </w:r>
          </w:p>
        </w:tc>
        <w:tc>
          <w:tcPr>
            <w:tcW w:w="3071" w:type="dxa"/>
          </w:tcPr>
          <w:p w14:paraId="3BC17EA3" w14:textId="6B7A7A6C"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0,975</w:t>
            </w:r>
          </w:p>
        </w:tc>
      </w:tr>
      <w:tr w:rsidR="00082206" w:rsidRPr="009F2998" w14:paraId="3AE57FB7" w14:textId="36DD5FE5" w:rsidTr="00116B48">
        <w:tc>
          <w:tcPr>
            <w:tcW w:w="2268" w:type="dxa"/>
          </w:tcPr>
          <w:p w14:paraId="441EC5E6" w14:textId="1D46EA5F"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2014</w:t>
            </w:r>
          </w:p>
        </w:tc>
        <w:tc>
          <w:tcPr>
            <w:tcW w:w="3240" w:type="dxa"/>
          </w:tcPr>
          <w:p w14:paraId="6B9AEFBB" w14:textId="449A0FE2"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29603,711</w:t>
            </w:r>
          </w:p>
        </w:tc>
        <w:tc>
          <w:tcPr>
            <w:tcW w:w="3071" w:type="dxa"/>
          </w:tcPr>
          <w:p w14:paraId="31EBB758" w14:textId="656034FB"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0,996</w:t>
            </w:r>
          </w:p>
        </w:tc>
      </w:tr>
    </w:tbl>
    <w:p w14:paraId="116153AB" w14:textId="65B49E72" w:rsidR="00082206" w:rsidRPr="009F2998" w:rsidRDefault="00082206" w:rsidP="00082206">
      <w:pPr>
        <w:spacing w:after="0"/>
        <w:jc w:val="both"/>
        <w:rPr>
          <w:rFonts w:ascii="Times New Roman" w:hAnsi="Times New Roman" w:cs="Times New Roman"/>
        </w:rPr>
      </w:pPr>
    </w:p>
    <w:p w14:paraId="5DD385D6" w14:textId="7BEF0FE5" w:rsidR="00082206" w:rsidRPr="000578FE" w:rsidRDefault="00082206" w:rsidP="00082206">
      <w:pPr>
        <w:jc w:val="both"/>
        <w:rPr>
          <w:rFonts w:ascii="Times New Roman" w:hAnsi="Times New Roman" w:cs="Times New Roman"/>
          <w:sz w:val="24"/>
          <w:szCs w:val="24"/>
        </w:rPr>
      </w:pPr>
      <w:r w:rsidRPr="000578FE">
        <w:rPr>
          <w:rFonts w:ascii="Times New Roman" w:hAnsi="Times New Roman" w:cs="Times New Roman"/>
          <w:sz w:val="24"/>
          <w:szCs w:val="24"/>
        </w:rPr>
        <w:lastRenderedPageBreak/>
        <w:t>Straty v prenosovej sústave sú delené podľa jednotlivých prvkov v prenosovom reťazci, v ktorých dochádza k stratám pri prenose elektriny.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3060"/>
      </w:tblGrid>
      <w:tr w:rsidR="00082206" w:rsidRPr="009F2998" w14:paraId="2A2D25F5" w14:textId="312A670D" w:rsidTr="00116B48">
        <w:tc>
          <w:tcPr>
            <w:tcW w:w="2268" w:type="dxa"/>
          </w:tcPr>
          <w:p w14:paraId="16C23DDC" w14:textId="1D41B795"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Zariadenie</w:t>
            </w:r>
          </w:p>
        </w:tc>
        <w:tc>
          <w:tcPr>
            <w:tcW w:w="3240" w:type="dxa"/>
          </w:tcPr>
          <w:p w14:paraId="34CBCF9A" w14:textId="7D2C9E79"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Stratový výkon (MW)</w:t>
            </w:r>
          </w:p>
        </w:tc>
        <w:tc>
          <w:tcPr>
            <w:tcW w:w="3060" w:type="dxa"/>
          </w:tcPr>
          <w:p w14:paraId="09E82702" w14:textId="33C895DF"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Straty elektriny (%)</w:t>
            </w:r>
          </w:p>
        </w:tc>
      </w:tr>
      <w:tr w:rsidR="00082206" w:rsidRPr="009F2998" w14:paraId="4C1B9C52" w14:textId="5539A194" w:rsidTr="00116B48">
        <w:tc>
          <w:tcPr>
            <w:tcW w:w="2268" w:type="dxa"/>
          </w:tcPr>
          <w:p w14:paraId="2116049E" w14:textId="42C02BCC"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Transformátory</w:t>
            </w:r>
          </w:p>
        </w:tc>
        <w:tc>
          <w:tcPr>
            <w:tcW w:w="3240" w:type="dxa"/>
          </w:tcPr>
          <w:p w14:paraId="64BBE85B" w14:textId="615D1549"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5,945</w:t>
            </w:r>
          </w:p>
        </w:tc>
        <w:tc>
          <w:tcPr>
            <w:tcW w:w="3060" w:type="dxa"/>
          </w:tcPr>
          <w:p w14:paraId="17CDC56D" w14:textId="4B068C1A"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18,29</w:t>
            </w:r>
          </w:p>
        </w:tc>
      </w:tr>
      <w:tr w:rsidR="00082206" w:rsidRPr="009F2998" w14:paraId="3893FA48" w14:textId="743D1F4A" w:rsidTr="00116B48">
        <w:tc>
          <w:tcPr>
            <w:tcW w:w="2268" w:type="dxa"/>
          </w:tcPr>
          <w:p w14:paraId="5A48D8B1" w14:textId="1EF88655"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Vedenia</w:t>
            </w:r>
          </w:p>
        </w:tc>
        <w:tc>
          <w:tcPr>
            <w:tcW w:w="3240" w:type="dxa"/>
          </w:tcPr>
          <w:p w14:paraId="37ADF583" w14:textId="3F461D02"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39,926</w:t>
            </w:r>
          </w:p>
        </w:tc>
        <w:tc>
          <w:tcPr>
            <w:tcW w:w="3060" w:type="dxa"/>
          </w:tcPr>
          <w:p w14:paraId="27B07C0E" w14:textId="7FD39D0E"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77,73</w:t>
            </w:r>
          </w:p>
        </w:tc>
      </w:tr>
      <w:tr w:rsidR="00082206" w:rsidRPr="009F2998" w14:paraId="4DE4A04F" w14:textId="65BA2672" w:rsidTr="00116B48">
        <w:tc>
          <w:tcPr>
            <w:tcW w:w="2268" w:type="dxa"/>
          </w:tcPr>
          <w:p w14:paraId="1FF563CA" w14:textId="67E647CD"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Tlmivky</w:t>
            </w:r>
          </w:p>
        </w:tc>
        <w:tc>
          <w:tcPr>
            <w:tcW w:w="3240" w:type="dxa"/>
          </w:tcPr>
          <w:p w14:paraId="240208BD" w14:textId="085D6F4C"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1,029</w:t>
            </w:r>
          </w:p>
        </w:tc>
        <w:tc>
          <w:tcPr>
            <w:tcW w:w="3060" w:type="dxa"/>
          </w:tcPr>
          <w:p w14:paraId="7D15F1A7" w14:textId="038378B3" w:rsidR="00082206" w:rsidRPr="009F2998" w:rsidRDefault="00082206" w:rsidP="00116B48">
            <w:pPr>
              <w:spacing w:after="0"/>
              <w:jc w:val="both"/>
              <w:rPr>
                <w:rFonts w:ascii="Times New Roman" w:hAnsi="Times New Roman" w:cs="Times New Roman"/>
              </w:rPr>
            </w:pPr>
            <w:r w:rsidRPr="009F2998">
              <w:rPr>
                <w:rFonts w:ascii="Times New Roman" w:hAnsi="Times New Roman" w:cs="Times New Roman"/>
              </w:rPr>
              <w:t>3,98</w:t>
            </w:r>
          </w:p>
        </w:tc>
      </w:tr>
    </w:tbl>
    <w:p w14:paraId="56E6CE4A" w14:textId="3161BED4" w:rsidR="00082206" w:rsidRPr="009F2998" w:rsidRDefault="00082206" w:rsidP="00082206">
      <w:pPr>
        <w:spacing w:after="0"/>
        <w:jc w:val="both"/>
        <w:rPr>
          <w:rFonts w:ascii="Times New Roman" w:hAnsi="Times New Roman" w:cs="Times New Roman"/>
        </w:rPr>
      </w:pPr>
      <w:r w:rsidRPr="009F2998">
        <w:rPr>
          <w:rFonts w:ascii="Times New Roman" w:hAnsi="Times New Roman" w:cs="Times New Roman"/>
        </w:rPr>
        <w:t xml:space="preserve">  </w:t>
      </w:r>
    </w:p>
    <w:p w14:paraId="6F84D3AF" w14:textId="70738B25" w:rsidR="00082206" w:rsidRPr="00F77093" w:rsidRDefault="00082206" w:rsidP="00082206">
      <w:pPr>
        <w:jc w:val="both"/>
        <w:rPr>
          <w:rFonts w:ascii="Times New Roman" w:hAnsi="Times New Roman" w:cs="Times New Roman"/>
          <w:sz w:val="24"/>
        </w:rPr>
      </w:pPr>
      <w:r w:rsidRPr="00F77093">
        <w:rPr>
          <w:rFonts w:ascii="Times New Roman" w:hAnsi="Times New Roman" w:cs="Times New Roman"/>
          <w:sz w:val="24"/>
        </w:rPr>
        <w:t xml:space="preserve">Investičné zámery sú definované v zákone o energetike podľa pravidiel vnútorného trhu a preto prevádzkovateľ prenosovej sústavy SEPS v novembri 2014 vypracoval Desaťročný plán rozvoja prenosovej sústavy na roky 2015-2024, v ktorom sú uvedené investičné zámery na najbližších 10 rokov pre požiadavky zabezpečenia prenosu elektriny, riadenia zaťaženia a interoperability siete. Plán obsahuje prehľad elektrických staníc, vedení, pripojení veľkých zdrojov do siete, cezhraničných prepojení, kompenzačných zariadení - tlmiviek a transformátorov s popisom ich životností, zostatkovej doby spoľahlivej prevádzky a projektovanej životnosti. Tento dokument je uvedený na web stránke: </w:t>
      </w:r>
      <w:hyperlink r:id="rId28" w:history="1">
        <w:r w:rsidRPr="00F77093">
          <w:rPr>
            <w:rStyle w:val="Hypertextovprepojenie"/>
            <w:rFonts w:ascii="Times New Roman" w:hAnsi="Times New Roman" w:cs="Times New Roman"/>
            <w:sz w:val="24"/>
          </w:rPr>
          <w:t>http://www.sepsas.sk/seps/Dokumenty/ProgRozvoj/2016/03/DPR_PS_2016_2025.pdf</w:t>
        </w:r>
      </w:hyperlink>
      <w:r w:rsidRPr="00F77093">
        <w:rPr>
          <w:rFonts w:ascii="Times New Roman" w:hAnsi="Times New Roman" w:cs="Times New Roman"/>
          <w:sz w:val="24"/>
        </w:rPr>
        <w:t xml:space="preserve"> </w:t>
      </w:r>
    </w:p>
    <w:p w14:paraId="2B01CFD1" w14:textId="5543CC9E" w:rsidR="001E72B7" w:rsidRDefault="00082206" w:rsidP="00082206">
      <w:pPr>
        <w:autoSpaceDE w:val="0"/>
        <w:autoSpaceDN w:val="0"/>
        <w:adjustRightInd w:val="0"/>
        <w:spacing w:after="0" w:line="240" w:lineRule="auto"/>
        <w:jc w:val="both"/>
        <w:rPr>
          <w:rFonts w:ascii="Times New Roman" w:hAnsi="Times New Roman" w:cs="Times New Roman"/>
          <w:sz w:val="24"/>
        </w:rPr>
      </w:pPr>
      <w:r w:rsidRPr="00F77093">
        <w:rPr>
          <w:rFonts w:ascii="Times New Roman" w:hAnsi="Times New Roman" w:cs="Times New Roman"/>
          <w:sz w:val="24"/>
        </w:rPr>
        <w:t xml:space="preserve">V Slovenskej republike je v súčasnosti </w:t>
      </w:r>
      <w:r w:rsidR="00AB502F" w:rsidRPr="00F77093">
        <w:rPr>
          <w:rFonts w:ascii="Times New Roman" w:hAnsi="Times New Roman" w:cs="Times New Roman"/>
          <w:sz w:val="24"/>
        </w:rPr>
        <w:t xml:space="preserve">distribúcia elektriny zabezpečená tromi regionálnymi </w:t>
      </w:r>
      <w:r w:rsidRPr="00F77093">
        <w:rPr>
          <w:rFonts w:ascii="Times New Roman" w:hAnsi="Times New Roman" w:cs="Times New Roman"/>
          <w:sz w:val="24"/>
        </w:rPr>
        <w:t xml:space="preserve"> distribučn</w:t>
      </w:r>
      <w:r w:rsidR="00AB502F" w:rsidRPr="00F77093">
        <w:rPr>
          <w:rFonts w:ascii="Times New Roman" w:hAnsi="Times New Roman" w:cs="Times New Roman"/>
          <w:sz w:val="24"/>
        </w:rPr>
        <w:t>ými s</w:t>
      </w:r>
      <w:r w:rsidRPr="00F77093">
        <w:rPr>
          <w:rFonts w:ascii="Times New Roman" w:hAnsi="Times New Roman" w:cs="Times New Roman"/>
          <w:sz w:val="24"/>
        </w:rPr>
        <w:t>ústav</w:t>
      </w:r>
      <w:r w:rsidR="00AB502F" w:rsidRPr="00F77093">
        <w:rPr>
          <w:rFonts w:ascii="Times New Roman" w:hAnsi="Times New Roman" w:cs="Times New Roman"/>
          <w:sz w:val="24"/>
        </w:rPr>
        <w:t xml:space="preserve">ami </w:t>
      </w:r>
      <w:r w:rsidRPr="00F77093">
        <w:rPr>
          <w:rFonts w:ascii="Times New Roman" w:hAnsi="Times New Roman" w:cs="Times New Roman"/>
          <w:sz w:val="24"/>
        </w:rPr>
        <w:t>(východ, stred a západ Slovenska) a cca 150 miestny</w:t>
      </w:r>
      <w:r w:rsidR="00AB502F" w:rsidRPr="00F77093">
        <w:rPr>
          <w:rFonts w:ascii="Times New Roman" w:hAnsi="Times New Roman" w:cs="Times New Roman"/>
          <w:sz w:val="24"/>
        </w:rPr>
        <w:t xml:space="preserve">mi </w:t>
      </w:r>
      <w:r w:rsidRPr="00F77093">
        <w:rPr>
          <w:rFonts w:ascii="Times New Roman" w:hAnsi="Times New Roman" w:cs="Times New Roman"/>
          <w:sz w:val="24"/>
        </w:rPr>
        <w:t>(lokálny</w:t>
      </w:r>
      <w:r w:rsidR="00AB502F" w:rsidRPr="00F77093">
        <w:rPr>
          <w:rFonts w:ascii="Times New Roman" w:hAnsi="Times New Roman" w:cs="Times New Roman"/>
          <w:sz w:val="24"/>
        </w:rPr>
        <w:t>mi</w:t>
      </w:r>
      <w:r w:rsidRPr="00F77093">
        <w:rPr>
          <w:rFonts w:ascii="Times New Roman" w:hAnsi="Times New Roman" w:cs="Times New Roman"/>
          <w:sz w:val="24"/>
        </w:rPr>
        <w:t>) distribučný</w:t>
      </w:r>
      <w:r w:rsidR="00372054" w:rsidRPr="00F77093">
        <w:rPr>
          <w:rFonts w:ascii="Times New Roman" w:hAnsi="Times New Roman" w:cs="Times New Roman"/>
          <w:sz w:val="24"/>
        </w:rPr>
        <w:t xml:space="preserve">mi </w:t>
      </w:r>
      <w:r w:rsidRPr="00F77093">
        <w:rPr>
          <w:rFonts w:ascii="Times New Roman" w:hAnsi="Times New Roman" w:cs="Times New Roman"/>
          <w:sz w:val="24"/>
        </w:rPr>
        <w:t>sústav</w:t>
      </w:r>
      <w:r w:rsidR="00372054" w:rsidRPr="00F77093">
        <w:rPr>
          <w:rFonts w:ascii="Times New Roman" w:hAnsi="Times New Roman" w:cs="Times New Roman"/>
          <w:sz w:val="24"/>
        </w:rPr>
        <w:t>ami</w:t>
      </w:r>
      <w:r w:rsidRPr="00F77093">
        <w:rPr>
          <w:rFonts w:ascii="Times New Roman" w:hAnsi="Times New Roman" w:cs="Times New Roman"/>
          <w:sz w:val="24"/>
        </w:rPr>
        <w:t>. Hodnotenie energetickej efektívnosti distribučných sústav sa vykonáva v súlade s požiadavkou zákona č. 321/2014 Z. z. o energetickej efektívnosti a vyhláškou MH SR č. 88/2015 Z. z., ktorou sa ustanovuje rozsah hodnotenia, spôsob výpočtu a hodnoty energetickej účinnosti zdrojov a rozvodov energie, ktorá nahradila vyhlášku č.</w:t>
      </w:r>
      <w:r w:rsidR="00372054" w:rsidRPr="00F77093">
        <w:rPr>
          <w:rFonts w:ascii="Times New Roman" w:hAnsi="Times New Roman" w:cs="Times New Roman"/>
          <w:sz w:val="24"/>
        </w:rPr>
        <w:t> </w:t>
      </w:r>
      <w:r w:rsidRPr="00F77093">
        <w:rPr>
          <w:rFonts w:ascii="Times New Roman" w:hAnsi="Times New Roman" w:cs="Times New Roman"/>
          <w:sz w:val="24"/>
        </w:rPr>
        <w:t>428/2010</w:t>
      </w:r>
      <w:r w:rsidR="00372054" w:rsidRPr="00F77093">
        <w:rPr>
          <w:rFonts w:ascii="Times New Roman" w:hAnsi="Times New Roman" w:cs="Times New Roman"/>
          <w:sz w:val="24"/>
        </w:rPr>
        <w:t> Z. z.</w:t>
      </w:r>
      <w:r w:rsidRPr="00F77093">
        <w:rPr>
          <w:rFonts w:ascii="Times New Roman" w:hAnsi="Times New Roman" w:cs="Times New Roman"/>
          <w:sz w:val="24"/>
        </w:rPr>
        <w:t>. Priemerné hodnoty energetickej účinnosti distribúcie elektriny v SR sú uvedené v</w:t>
      </w:r>
      <w:r w:rsidR="001E72B7">
        <w:rPr>
          <w:rFonts w:ascii="Times New Roman" w:hAnsi="Times New Roman" w:cs="Times New Roman"/>
          <w:sz w:val="24"/>
        </w:rPr>
        <w:t> </w:t>
      </w:r>
      <w:r w:rsidRPr="00F77093">
        <w:rPr>
          <w:rFonts w:ascii="Times New Roman" w:hAnsi="Times New Roman" w:cs="Times New Roman"/>
          <w:sz w:val="24"/>
        </w:rPr>
        <w:t>tabuľke</w:t>
      </w:r>
      <w:r w:rsidR="001E72B7">
        <w:rPr>
          <w:rFonts w:ascii="Times New Roman" w:hAnsi="Times New Roman" w:cs="Times New Roman"/>
          <w:sz w:val="24"/>
        </w:rPr>
        <w:t xml:space="preserve"> č. 19.</w:t>
      </w:r>
    </w:p>
    <w:p w14:paraId="10B45AF6" w14:textId="77777777" w:rsidR="001E72B7" w:rsidRDefault="001E72B7" w:rsidP="00082206">
      <w:pPr>
        <w:autoSpaceDE w:val="0"/>
        <w:autoSpaceDN w:val="0"/>
        <w:adjustRightInd w:val="0"/>
        <w:spacing w:after="0" w:line="240" w:lineRule="auto"/>
        <w:jc w:val="both"/>
        <w:rPr>
          <w:rFonts w:ascii="Times New Roman" w:hAnsi="Times New Roman" w:cs="Times New Roman"/>
          <w:sz w:val="24"/>
        </w:rPr>
      </w:pPr>
    </w:p>
    <w:p w14:paraId="2C3F3BEF" w14:textId="77777777" w:rsidR="001E72B7" w:rsidRPr="00F77093" w:rsidRDefault="001E72B7" w:rsidP="001E72B7">
      <w:pPr>
        <w:autoSpaceDE w:val="0"/>
        <w:autoSpaceDN w:val="0"/>
        <w:adjustRightInd w:val="0"/>
        <w:spacing w:after="0" w:line="240" w:lineRule="auto"/>
        <w:jc w:val="both"/>
        <w:rPr>
          <w:rFonts w:ascii="Times New Roman" w:hAnsi="Times New Roman" w:cs="Times New Roman"/>
          <w:sz w:val="24"/>
        </w:rPr>
      </w:pPr>
      <w:r w:rsidRPr="00F77093">
        <w:rPr>
          <w:rFonts w:ascii="Times New Roman" w:hAnsi="Times New Roman" w:cs="Times New Roman"/>
          <w:sz w:val="24"/>
        </w:rPr>
        <w:t xml:space="preserve">Prevádzkovateľ distribučnej sústavy je povinný prevádzkovať distribučnú sústavu bezpečne a spoľahlivo pri dodržaní platnej legislatívy SR. Opatrenia zlepšujúce energetickú efektívnosť sú definované v slovenskej legislatíve, a to najmä </w:t>
      </w:r>
    </w:p>
    <w:p w14:paraId="10EB1911" w14:textId="77777777" w:rsidR="001E72B7" w:rsidRPr="00F77093" w:rsidRDefault="001E72B7" w:rsidP="007157D7">
      <w:pPr>
        <w:numPr>
          <w:ilvl w:val="0"/>
          <w:numId w:val="7"/>
        </w:numPr>
        <w:autoSpaceDE w:val="0"/>
        <w:autoSpaceDN w:val="0"/>
        <w:adjustRightInd w:val="0"/>
        <w:spacing w:after="0" w:line="240" w:lineRule="auto"/>
        <w:jc w:val="both"/>
        <w:rPr>
          <w:rFonts w:ascii="Times New Roman" w:hAnsi="Times New Roman" w:cs="Times New Roman"/>
          <w:sz w:val="24"/>
        </w:rPr>
      </w:pPr>
      <w:r w:rsidRPr="00F77093">
        <w:rPr>
          <w:rFonts w:ascii="Times New Roman" w:hAnsi="Times New Roman" w:cs="Times New Roman"/>
          <w:sz w:val="24"/>
        </w:rPr>
        <w:t xml:space="preserve">Výpočet energetickej účinnosti distribučnej sústavy zasiela prevádzkovateľ do monitorovacieho systému energetickej efektívnosti, </w:t>
      </w:r>
    </w:p>
    <w:p w14:paraId="262D6177" w14:textId="77777777" w:rsidR="001E72B7" w:rsidRPr="00F77093" w:rsidRDefault="001E72B7" w:rsidP="007157D7">
      <w:pPr>
        <w:numPr>
          <w:ilvl w:val="0"/>
          <w:numId w:val="7"/>
        </w:numPr>
        <w:autoSpaceDE w:val="0"/>
        <w:autoSpaceDN w:val="0"/>
        <w:adjustRightInd w:val="0"/>
        <w:spacing w:after="0" w:line="240" w:lineRule="auto"/>
        <w:jc w:val="both"/>
        <w:rPr>
          <w:rFonts w:ascii="Times New Roman" w:hAnsi="Times New Roman" w:cs="Times New Roman"/>
          <w:sz w:val="24"/>
        </w:rPr>
      </w:pPr>
      <w:r w:rsidRPr="00F77093">
        <w:rPr>
          <w:rFonts w:ascii="Times New Roman" w:hAnsi="Times New Roman" w:cs="Times New Roman"/>
          <w:sz w:val="24"/>
        </w:rPr>
        <w:t xml:space="preserve">zavádzanie inteligentných meracích systémov podľa vyhlášky 358/2013, </w:t>
      </w:r>
    </w:p>
    <w:p w14:paraId="3600E63A" w14:textId="77777777" w:rsidR="001E72B7" w:rsidRPr="00F77093" w:rsidRDefault="001E72B7" w:rsidP="007157D7">
      <w:pPr>
        <w:numPr>
          <w:ilvl w:val="0"/>
          <w:numId w:val="7"/>
        </w:numPr>
        <w:autoSpaceDE w:val="0"/>
        <w:autoSpaceDN w:val="0"/>
        <w:adjustRightInd w:val="0"/>
        <w:spacing w:after="0" w:line="240" w:lineRule="auto"/>
        <w:jc w:val="both"/>
        <w:rPr>
          <w:rFonts w:ascii="Times New Roman" w:hAnsi="Times New Roman" w:cs="Times New Roman"/>
          <w:sz w:val="24"/>
        </w:rPr>
      </w:pPr>
      <w:r w:rsidRPr="00F77093">
        <w:rPr>
          <w:rFonts w:ascii="Times New Roman" w:hAnsi="Times New Roman" w:cs="Times New Roman"/>
          <w:sz w:val="24"/>
        </w:rPr>
        <w:t>inštalácia transformátorov VN/NN podľa nariadenia Komisie č. 548/2014, ktorým sa vykonáva smernica 2009/125/ES o ekodizajne s ohľadom na transformátory malého, stredného a veľkého výkonu,</w:t>
      </w:r>
    </w:p>
    <w:p w14:paraId="5B8D0A4C" w14:textId="77777777" w:rsidR="001E72B7" w:rsidRPr="00F77093" w:rsidRDefault="001E72B7" w:rsidP="007157D7">
      <w:pPr>
        <w:numPr>
          <w:ilvl w:val="0"/>
          <w:numId w:val="7"/>
        </w:numPr>
        <w:autoSpaceDE w:val="0"/>
        <w:autoSpaceDN w:val="0"/>
        <w:adjustRightInd w:val="0"/>
        <w:spacing w:after="0" w:line="240" w:lineRule="auto"/>
        <w:jc w:val="both"/>
        <w:rPr>
          <w:rFonts w:ascii="Times New Roman" w:hAnsi="Times New Roman" w:cs="Times New Roman"/>
          <w:sz w:val="24"/>
        </w:rPr>
      </w:pPr>
      <w:r w:rsidRPr="00F77093">
        <w:rPr>
          <w:rFonts w:ascii="Times New Roman" w:hAnsi="Times New Roman" w:cs="Times New Roman"/>
          <w:sz w:val="24"/>
        </w:rPr>
        <w:t>plán rozvoja distribučnej sústavy, ktorý musia každoročne podľa zákona o energetike zasielať na MH SR prevádzkovatelia distribučnej sústavy s viac ako 100 tisíc odbernými miestami,</w:t>
      </w:r>
    </w:p>
    <w:p w14:paraId="4CD0ED89" w14:textId="77777777" w:rsidR="001E72B7" w:rsidRPr="00F77093" w:rsidRDefault="001E72B7" w:rsidP="007157D7">
      <w:pPr>
        <w:numPr>
          <w:ilvl w:val="0"/>
          <w:numId w:val="7"/>
        </w:numPr>
        <w:autoSpaceDE w:val="0"/>
        <w:autoSpaceDN w:val="0"/>
        <w:adjustRightInd w:val="0"/>
        <w:spacing w:after="0" w:line="240" w:lineRule="auto"/>
        <w:jc w:val="both"/>
        <w:rPr>
          <w:rFonts w:ascii="Times New Roman" w:hAnsi="Times New Roman" w:cs="Times New Roman"/>
          <w:sz w:val="24"/>
        </w:rPr>
      </w:pPr>
      <w:r w:rsidRPr="00F77093">
        <w:rPr>
          <w:rFonts w:ascii="Times New Roman" w:hAnsi="Times New Roman" w:cs="Times New Roman"/>
          <w:sz w:val="24"/>
        </w:rPr>
        <w:t xml:space="preserve">Metodické usmernenie URSO č. 05/12/2015 z 11. júna 2015. </w:t>
      </w:r>
    </w:p>
    <w:p w14:paraId="4161ACBA" w14:textId="77777777" w:rsidR="001E72B7" w:rsidRDefault="001E72B7" w:rsidP="00082206">
      <w:pPr>
        <w:autoSpaceDE w:val="0"/>
        <w:autoSpaceDN w:val="0"/>
        <w:adjustRightInd w:val="0"/>
        <w:spacing w:after="0" w:line="240" w:lineRule="auto"/>
        <w:jc w:val="both"/>
        <w:rPr>
          <w:rFonts w:ascii="Times New Roman" w:hAnsi="Times New Roman" w:cs="Times New Roman"/>
          <w:sz w:val="24"/>
        </w:rPr>
      </w:pPr>
    </w:p>
    <w:p w14:paraId="791DC971" w14:textId="77777777" w:rsidR="001E72B7" w:rsidRDefault="001E72B7" w:rsidP="00082206">
      <w:pPr>
        <w:autoSpaceDE w:val="0"/>
        <w:autoSpaceDN w:val="0"/>
        <w:adjustRightInd w:val="0"/>
        <w:spacing w:after="0" w:line="240" w:lineRule="auto"/>
        <w:jc w:val="both"/>
        <w:rPr>
          <w:rFonts w:ascii="Times New Roman" w:hAnsi="Times New Roman" w:cs="Times New Roman"/>
          <w:sz w:val="24"/>
        </w:rPr>
      </w:pPr>
    </w:p>
    <w:p w14:paraId="55B9C281" w14:textId="4025FC1F" w:rsidR="00082206" w:rsidRPr="00F77093" w:rsidRDefault="001E72B7" w:rsidP="0008220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Tabuľka č. 19: Priemerné účinnosti distribúcie elektriny</w:t>
      </w:r>
    </w:p>
    <w:p w14:paraId="5267B849" w14:textId="5E52ADAB" w:rsidR="00082206" w:rsidRPr="009F2998" w:rsidRDefault="00082206" w:rsidP="00082206">
      <w:pPr>
        <w:autoSpaceDE w:val="0"/>
        <w:autoSpaceDN w:val="0"/>
        <w:adjustRightInd w:val="0"/>
        <w:spacing w:after="0" w:line="240" w:lineRule="auto"/>
        <w:jc w:val="both"/>
        <w:rPr>
          <w:rFonts w:ascii="Times New Roman" w:hAnsi="Times New Roman" w:cs="Times New Roman"/>
        </w:rPr>
      </w:pPr>
    </w:p>
    <w:tbl>
      <w:tblPr>
        <w:tblW w:w="0" w:type="auto"/>
        <w:tblInd w:w="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60"/>
      </w:tblGrid>
      <w:tr w:rsidR="00082206" w:rsidRPr="009F2998" w14:paraId="185D515E" w14:textId="0CB144B7" w:rsidTr="00116B48">
        <w:tc>
          <w:tcPr>
            <w:tcW w:w="1008" w:type="dxa"/>
          </w:tcPr>
          <w:p w14:paraId="7015B829" w14:textId="24DD53DC" w:rsidR="00082206" w:rsidRPr="009F2998" w:rsidRDefault="00082206" w:rsidP="00116B48">
            <w:pPr>
              <w:autoSpaceDE w:val="0"/>
              <w:autoSpaceDN w:val="0"/>
              <w:adjustRightInd w:val="0"/>
              <w:spacing w:after="0" w:line="240" w:lineRule="auto"/>
              <w:jc w:val="both"/>
              <w:rPr>
                <w:rFonts w:ascii="Times New Roman" w:hAnsi="Times New Roman" w:cs="Times New Roman"/>
              </w:rPr>
            </w:pPr>
            <w:r w:rsidRPr="009F2998">
              <w:rPr>
                <w:rFonts w:ascii="Times New Roman" w:hAnsi="Times New Roman" w:cs="Times New Roman"/>
              </w:rPr>
              <w:t>Rok</w:t>
            </w:r>
          </w:p>
        </w:tc>
        <w:tc>
          <w:tcPr>
            <w:tcW w:w="3960" w:type="dxa"/>
          </w:tcPr>
          <w:p w14:paraId="0C46EF77" w14:textId="59E6F77C" w:rsidR="00082206" w:rsidRPr="009F2998" w:rsidRDefault="00082206" w:rsidP="00116B48">
            <w:pPr>
              <w:autoSpaceDE w:val="0"/>
              <w:autoSpaceDN w:val="0"/>
              <w:adjustRightInd w:val="0"/>
              <w:spacing w:after="0" w:line="240" w:lineRule="auto"/>
              <w:jc w:val="both"/>
              <w:rPr>
                <w:rFonts w:ascii="Times New Roman" w:hAnsi="Times New Roman" w:cs="Times New Roman"/>
              </w:rPr>
            </w:pPr>
            <w:r w:rsidRPr="009F2998">
              <w:rPr>
                <w:rFonts w:ascii="Times New Roman" w:hAnsi="Times New Roman" w:cs="Times New Roman"/>
              </w:rPr>
              <w:t>Priemerná účinnosť distribúcie elektriny (%)</w:t>
            </w:r>
          </w:p>
        </w:tc>
      </w:tr>
      <w:tr w:rsidR="00082206" w:rsidRPr="009F2998" w14:paraId="0AB13228" w14:textId="452D8DA0" w:rsidTr="00116B48">
        <w:tc>
          <w:tcPr>
            <w:tcW w:w="1008" w:type="dxa"/>
          </w:tcPr>
          <w:p w14:paraId="4F075246" w14:textId="07A5CCD7" w:rsidR="00082206" w:rsidRPr="009F2998" w:rsidRDefault="00082206" w:rsidP="00116B48">
            <w:pPr>
              <w:autoSpaceDE w:val="0"/>
              <w:autoSpaceDN w:val="0"/>
              <w:adjustRightInd w:val="0"/>
              <w:spacing w:after="0" w:line="240" w:lineRule="auto"/>
              <w:jc w:val="both"/>
              <w:rPr>
                <w:rFonts w:ascii="Times New Roman" w:hAnsi="Times New Roman" w:cs="Times New Roman"/>
              </w:rPr>
            </w:pPr>
            <w:r w:rsidRPr="009F2998">
              <w:rPr>
                <w:rFonts w:ascii="Times New Roman" w:hAnsi="Times New Roman" w:cs="Times New Roman"/>
              </w:rPr>
              <w:t>2013</w:t>
            </w:r>
          </w:p>
        </w:tc>
        <w:tc>
          <w:tcPr>
            <w:tcW w:w="3960" w:type="dxa"/>
          </w:tcPr>
          <w:p w14:paraId="66EC1A13" w14:textId="7EB01BF5" w:rsidR="00082206" w:rsidRPr="009F2998" w:rsidRDefault="00082206" w:rsidP="00116B48">
            <w:pPr>
              <w:autoSpaceDE w:val="0"/>
              <w:autoSpaceDN w:val="0"/>
              <w:adjustRightInd w:val="0"/>
              <w:spacing w:after="0" w:line="240" w:lineRule="auto"/>
              <w:jc w:val="both"/>
              <w:rPr>
                <w:rFonts w:ascii="Times New Roman" w:hAnsi="Times New Roman" w:cs="Times New Roman"/>
              </w:rPr>
            </w:pPr>
            <w:r w:rsidRPr="009F2998">
              <w:rPr>
                <w:rFonts w:ascii="Times New Roman" w:hAnsi="Times New Roman" w:cs="Times New Roman"/>
              </w:rPr>
              <w:t>94,58</w:t>
            </w:r>
          </w:p>
        </w:tc>
      </w:tr>
      <w:tr w:rsidR="00082206" w:rsidRPr="009F2998" w14:paraId="6F4D779B" w14:textId="7DA91AA3" w:rsidTr="00116B48">
        <w:tc>
          <w:tcPr>
            <w:tcW w:w="1008" w:type="dxa"/>
          </w:tcPr>
          <w:p w14:paraId="4ADDE78C" w14:textId="7F9F0445" w:rsidR="00082206" w:rsidRPr="009F2998" w:rsidRDefault="00082206" w:rsidP="00116B48">
            <w:pPr>
              <w:autoSpaceDE w:val="0"/>
              <w:autoSpaceDN w:val="0"/>
              <w:adjustRightInd w:val="0"/>
              <w:spacing w:after="0" w:line="240" w:lineRule="auto"/>
              <w:jc w:val="both"/>
              <w:rPr>
                <w:rFonts w:ascii="Times New Roman" w:hAnsi="Times New Roman" w:cs="Times New Roman"/>
              </w:rPr>
            </w:pPr>
            <w:r w:rsidRPr="009F2998">
              <w:rPr>
                <w:rFonts w:ascii="Times New Roman" w:hAnsi="Times New Roman" w:cs="Times New Roman"/>
              </w:rPr>
              <w:t>2014</w:t>
            </w:r>
          </w:p>
        </w:tc>
        <w:tc>
          <w:tcPr>
            <w:tcW w:w="3960" w:type="dxa"/>
          </w:tcPr>
          <w:p w14:paraId="3E08B67C" w14:textId="1273C068" w:rsidR="00082206" w:rsidRPr="009F2998" w:rsidRDefault="00082206" w:rsidP="00116B48">
            <w:pPr>
              <w:autoSpaceDE w:val="0"/>
              <w:autoSpaceDN w:val="0"/>
              <w:adjustRightInd w:val="0"/>
              <w:spacing w:after="0" w:line="240" w:lineRule="auto"/>
              <w:jc w:val="both"/>
              <w:rPr>
                <w:rFonts w:ascii="Times New Roman" w:hAnsi="Times New Roman" w:cs="Times New Roman"/>
              </w:rPr>
            </w:pPr>
            <w:r w:rsidRPr="009F2998">
              <w:rPr>
                <w:rFonts w:ascii="Times New Roman" w:hAnsi="Times New Roman" w:cs="Times New Roman"/>
              </w:rPr>
              <w:t>95,47</w:t>
            </w:r>
          </w:p>
        </w:tc>
      </w:tr>
      <w:tr w:rsidR="00082206" w:rsidRPr="009F2998" w14:paraId="33381A31" w14:textId="104A68AD" w:rsidTr="00116B48">
        <w:tc>
          <w:tcPr>
            <w:tcW w:w="1008" w:type="dxa"/>
          </w:tcPr>
          <w:p w14:paraId="09F256DE" w14:textId="5B6FDCA5" w:rsidR="00082206" w:rsidRPr="009F2998" w:rsidRDefault="00082206" w:rsidP="00116B48">
            <w:pPr>
              <w:autoSpaceDE w:val="0"/>
              <w:autoSpaceDN w:val="0"/>
              <w:adjustRightInd w:val="0"/>
              <w:spacing w:after="0" w:line="240" w:lineRule="auto"/>
              <w:jc w:val="both"/>
              <w:rPr>
                <w:rFonts w:ascii="Times New Roman" w:hAnsi="Times New Roman" w:cs="Times New Roman"/>
              </w:rPr>
            </w:pPr>
            <w:r w:rsidRPr="009F2998">
              <w:rPr>
                <w:rFonts w:ascii="Times New Roman" w:hAnsi="Times New Roman" w:cs="Times New Roman"/>
              </w:rPr>
              <w:t>2015</w:t>
            </w:r>
          </w:p>
        </w:tc>
        <w:tc>
          <w:tcPr>
            <w:tcW w:w="3960" w:type="dxa"/>
          </w:tcPr>
          <w:p w14:paraId="30FB494F" w14:textId="6D70827A" w:rsidR="00082206" w:rsidRPr="009F2998" w:rsidRDefault="00082206" w:rsidP="00116B48">
            <w:pPr>
              <w:autoSpaceDE w:val="0"/>
              <w:autoSpaceDN w:val="0"/>
              <w:adjustRightInd w:val="0"/>
              <w:spacing w:after="0" w:line="240" w:lineRule="auto"/>
              <w:jc w:val="both"/>
              <w:rPr>
                <w:rFonts w:ascii="Times New Roman" w:hAnsi="Times New Roman" w:cs="Times New Roman"/>
              </w:rPr>
            </w:pPr>
            <w:r w:rsidRPr="009F2998">
              <w:rPr>
                <w:rFonts w:ascii="Times New Roman" w:hAnsi="Times New Roman" w:cs="Times New Roman"/>
              </w:rPr>
              <w:t>94,15</w:t>
            </w:r>
          </w:p>
        </w:tc>
      </w:tr>
    </w:tbl>
    <w:p w14:paraId="0A519003" w14:textId="119E6D1F" w:rsidR="00082206" w:rsidRPr="009F2998" w:rsidRDefault="00082206" w:rsidP="00082206">
      <w:pPr>
        <w:autoSpaceDE w:val="0"/>
        <w:autoSpaceDN w:val="0"/>
        <w:adjustRightInd w:val="0"/>
        <w:spacing w:after="0" w:line="240" w:lineRule="auto"/>
        <w:jc w:val="both"/>
        <w:rPr>
          <w:rFonts w:ascii="Times New Roman" w:hAnsi="Times New Roman" w:cs="Times New Roman"/>
        </w:rPr>
      </w:pPr>
    </w:p>
    <w:p w14:paraId="322A8BAC" w14:textId="2AF7D79B" w:rsidR="00082206" w:rsidRPr="00F77093" w:rsidRDefault="00082206" w:rsidP="00082206">
      <w:pPr>
        <w:autoSpaceDE w:val="0"/>
        <w:autoSpaceDN w:val="0"/>
        <w:adjustRightInd w:val="0"/>
        <w:spacing w:after="0" w:line="240" w:lineRule="auto"/>
        <w:jc w:val="both"/>
        <w:rPr>
          <w:rFonts w:ascii="Times New Roman" w:hAnsi="Times New Roman" w:cs="Times New Roman"/>
          <w:strike/>
          <w:color w:val="FF0000"/>
          <w:sz w:val="24"/>
        </w:rPr>
      </w:pPr>
    </w:p>
    <w:p w14:paraId="52F03A3F" w14:textId="67FDFF97" w:rsidR="00082206" w:rsidRPr="00F77093" w:rsidRDefault="00082206" w:rsidP="00082206">
      <w:pPr>
        <w:jc w:val="both"/>
        <w:rPr>
          <w:rFonts w:ascii="Times New Roman" w:hAnsi="Times New Roman" w:cs="Times New Roman"/>
          <w:sz w:val="24"/>
        </w:rPr>
      </w:pPr>
      <w:r w:rsidRPr="00F77093">
        <w:rPr>
          <w:rFonts w:ascii="Times New Roman" w:hAnsi="Times New Roman" w:cs="Times New Roman"/>
          <w:sz w:val="24"/>
        </w:rPr>
        <w:t>Med</w:t>
      </w:r>
      <w:r w:rsidR="00372054" w:rsidRPr="00F77093">
        <w:rPr>
          <w:rFonts w:ascii="Times New Roman" w:hAnsi="Times New Roman" w:cs="Times New Roman"/>
          <w:sz w:val="24"/>
        </w:rPr>
        <w:t>z</w:t>
      </w:r>
      <w:r w:rsidRPr="00F77093">
        <w:rPr>
          <w:rFonts w:ascii="Times New Roman" w:hAnsi="Times New Roman" w:cs="Times New Roman"/>
          <w:sz w:val="24"/>
        </w:rPr>
        <w:t xml:space="preserve">i základné opatrenia na  zlepšenie energetickej efektívnosti patria výmena </w:t>
      </w:r>
      <w:r w:rsidR="00372054" w:rsidRPr="00F77093">
        <w:rPr>
          <w:rFonts w:ascii="Times New Roman" w:hAnsi="Times New Roman" w:cs="Times New Roman"/>
          <w:sz w:val="24"/>
        </w:rPr>
        <w:t xml:space="preserve">a </w:t>
      </w:r>
      <w:r w:rsidRPr="00F77093">
        <w:rPr>
          <w:rFonts w:ascii="Times New Roman" w:hAnsi="Times New Roman" w:cs="Times New Roman"/>
          <w:sz w:val="24"/>
        </w:rPr>
        <w:t xml:space="preserve">modernizácia existujúcich zariadení, pričom sa jedná o opatrenia, ktorú sa vykonávajú po dobe životnosti zariadenia, alebo ak výmena zariadenia prinesie ekonomický efekt v krátkom čase od výmeny zariadenia. Jedná sa najmä o výmenu transformátorov, najčastejšie po dobe životnosti alebo pri rozširovaní sústavy, pričom nový transformátor musí plniť požiadavky nariadenia EK 548/2014. Medzi ďalšie opatrenia patrí inštalácia a zavádzanie inteligentných meracích systémov v sústavách, rekonštrukcia elektrických staníc, optimalizácia prevádzky a počtu transformátorov v závislosti od predpokladaného odberu elektriny v danej sústave, zavádzanie kontrolných a diagnostických procesov v sústave, kompenzácia jalového výkonu a zavádzanie automatického ovládania kompenzácie, výmena káblových rozvodov VVN, VN a NN, mapovanie rozvodov,  modernizácia rozvodných skríň, výmena svietidiel za LED osvetlenie a inštalácia snímačov pohybu pre osvetlenie, inštalácia zariadení na diaľkový zber údajov, ako aj zlepšenie energetickej efektívnosti stavieb, v ktorých sa tieto zariadenia nachádzajú.   </w:t>
      </w:r>
    </w:p>
    <w:p w14:paraId="7FE3E64B" w14:textId="6DE437F8" w:rsidR="00082206" w:rsidRPr="00F77093" w:rsidRDefault="00082206" w:rsidP="00082206">
      <w:pPr>
        <w:jc w:val="both"/>
        <w:rPr>
          <w:rFonts w:ascii="Times New Roman" w:hAnsi="Times New Roman" w:cs="Times New Roman"/>
          <w:sz w:val="24"/>
        </w:rPr>
      </w:pPr>
      <w:r w:rsidRPr="00F77093">
        <w:rPr>
          <w:rFonts w:ascii="Times New Roman" w:hAnsi="Times New Roman" w:cs="Times New Roman"/>
          <w:sz w:val="24"/>
        </w:rPr>
        <w:t>Výška investícií do týchto typov opatrení v regionálnych a aj miestnych (lokálnych) distribučných sústavách predstavuje ročne hodnotu približne 90 mil</w:t>
      </w:r>
      <w:r w:rsidR="000C2919">
        <w:rPr>
          <w:rFonts w:ascii="Times New Roman" w:hAnsi="Times New Roman" w:cs="Times New Roman"/>
          <w:sz w:val="24"/>
        </w:rPr>
        <w:t>.</w:t>
      </w:r>
      <w:r w:rsidRPr="00F77093">
        <w:rPr>
          <w:rFonts w:ascii="Times New Roman" w:hAnsi="Times New Roman" w:cs="Times New Roman"/>
          <w:sz w:val="24"/>
        </w:rPr>
        <w:t xml:space="preserve"> Eur, ktorá v naplánovaných rokoch osciluje okolo tejto hranice Je možné predpokladať udržanie tohto trendu aj v najbližších 10 rokoch. </w:t>
      </w:r>
    </w:p>
    <w:p w14:paraId="219F6BC6" w14:textId="18B2EB37" w:rsidR="00B239CD" w:rsidRPr="00F77093" w:rsidRDefault="00B239CD" w:rsidP="00082206">
      <w:pPr>
        <w:jc w:val="both"/>
        <w:rPr>
          <w:rFonts w:ascii="Times New Roman" w:hAnsi="Times New Roman" w:cs="Times New Roman"/>
          <w:sz w:val="24"/>
        </w:rPr>
      </w:pPr>
    </w:p>
    <w:p w14:paraId="6506B891" w14:textId="22F66091" w:rsidR="00082206" w:rsidRPr="00F77093" w:rsidRDefault="00082206" w:rsidP="00082206">
      <w:pPr>
        <w:jc w:val="both"/>
        <w:rPr>
          <w:rFonts w:ascii="Times New Roman" w:hAnsi="Times New Roman" w:cs="Times New Roman"/>
          <w:b/>
          <w:bCs/>
          <w:sz w:val="24"/>
        </w:rPr>
      </w:pPr>
      <w:r w:rsidRPr="00F77093">
        <w:rPr>
          <w:rFonts w:ascii="Times New Roman" w:hAnsi="Times New Roman" w:cs="Times New Roman"/>
          <w:b/>
          <w:bCs/>
          <w:sz w:val="24"/>
        </w:rPr>
        <w:t>Plynárenstvo</w:t>
      </w:r>
    </w:p>
    <w:p w14:paraId="4DE36D1D" w14:textId="3CA31C79" w:rsidR="00082206" w:rsidRPr="00F77093" w:rsidRDefault="00082206" w:rsidP="00082206">
      <w:pPr>
        <w:jc w:val="both"/>
        <w:rPr>
          <w:rFonts w:ascii="Times New Roman" w:hAnsi="Times New Roman" w:cs="Times New Roman"/>
          <w:sz w:val="24"/>
        </w:rPr>
      </w:pPr>
      <w:r w:rsidRPr="00F77093">
        <w:rPr>
          <w:rFonts w:ascii="Times New Roman" w:hAnsi="Times New Roman" w:cs="Times New Roman"/>
          <w:sz w:val="24"/>
        </w:rPr>
        <w:t xml:space="preserve">V oblasti plynárenstva vykonali hodnotenie prevádzkovatelia prenosových a distribučných plynárenských sietí a tiež prevádzkovatelia zásobníkov plynu. </w:t>
      </w:r>
    </w:p>
    <w:p w14:paraId="28DDD498" w14:textId="4CE0C3C4" w:rsidR="00082206" w:rsidRPr="00F77093" w:rsidRDefault="00082206" w:rsidP="00082206">
      <w:pPr>
        <w:jc w:val="both"/>
        <w:rPr>
          <w:rFonts w:ascii="Times New Roman" w:hAnsi="Times New Roman" w:cs="Times New Roman"/>
          <w:sz w:val="24"/>
        </w:rPr>
      </w:pPr>
      <w:r w:rsidRPr="00F77093">
        <w:rPr>
          <w:rFonts w:ascii="Times New Roman" w:hAnsi="Times New Roman" w:cs="Times New Roman"/>
          <w:sz w:val="24"/>
        </w:rPr>
        <w:t xml:space="preserve">Prevádzkovateľ </w:t>
      </w:r>
      <w:r w:rsidR="006D10D8" w:rsidRPr="00F77093">
        <w:rPr>
          <w:rFonts w:ascii="Times New Roman" w:hAnsi="Times New Roman" w:cs="Times New Roman"/>
          <w:sz w:val="24"/>
        </w:rPr>
        <w:t xml:space="preserve">prepravnej </w:t>
      </w:r>
      <w:r w:rsidRPr="00F77093">
        <w:rPr>
          <w:rFonts w:ascii="Times New Roman" w:hAnsi="Times New Roman" w:cs="Times New Roman"/>
          <w:sz w:val="24"/>
        </w:rPr>
        <w:t xml:space="preserve">siete eustream, a.s. vykonal väčšinu kľúčových opatrení v rokoch 2005-2015. Jednalo sa hlavne o optimalizáciu </w:t>
      </w:r>
      <w:r w:rsidR="006E636A" w:rsidRPr="006E636A">
        <w:rPr>
          <w:rFonts w:ascii="Times New Roman" w:hAnsi="Times New Roman" w:cs="Times New Roman"/>
          <w:sz w:val="24"/>
        </w:rPr>
        <w:t>prevádzky prepravnej siete</w:t>
      </w:r>
      <w:r w:rsidR="006E636A" w:rsidRPr="006E636A" w:rsidDel="006E636A">
        <w:rPr>
          <w:rFonts w:ascii="Times New Roman" w:hAnsi="Times New Roman" w:cs="Times New Roman"/>
          <w:sz w:val="24"/>
        </w:rPr>
        <w:t xml:space="preserve"> </w:t>
      </w:r>
      <w:r w:rsidRPr="00F77093">
        <w:rPr>
          <w:rFonts w:ascii="Times New Roman" w:hAnsi="Times New Roman" w:cs="Times New Roman"/>
          <w:sz w:val="24"/>
        </w:rPr>
        <w:t>a optimalizáciu kompresorovej technológie. S otvorením nového slovensko-maďarského prepojenia, slovensko-ukrajinského prepojenia a tiež po realizácií projektu slovensko-poľského prepojenia, ako aj ďalších projektov prepojujúcich susedné štáty tokmi plynu v oboch smeroch, ako napríklad plánovaný projekt eastring, bude potrebné realizovať možnosti optimalizácie prevádzky pri takto komplexnej sieti.</w:t>
      </w:r>
    </w:p>
    <w:p w14:paraId="613183A3" w14:textId="42CBAE7B" w:rsidR="00082206" w:rsidRPr="00F77093" w:rsidRDefault="00082206" w:rsidP="00082206">
      <w:pPr>
        <w:jc w:val="both"/>
        <w:rPr>
          <w:rFonts w:ascii="Times New Roman" w:hAnsi="Times New Roman" w:cs="Times New Roman"/>
          <w:sz w:val="24"/>
        </w:rPr>
      </w:pPr>
      <w:r w:rsidRPr="00F77093">
        <w:rPr>
          <w:rFonts w:ascii="Times New Roman" w:hAnsi="Times New Roman" w:cs="Times New Roman"/>
          <w:sz w:val="24"/>
        </w:rPr>
        <w:t xml:space="preserve">Optimalizácia prevádzky kompresorov umožnila výmenu zastaraných technológií za nové, čím sa výrazne zvýšila účinnosť kompresorov a znížili emisie. </w:t>
      </w:r>
      <w:r w:rsidR="006E636A" w:rsidRPr="006E636A">
        <w:rPr>
          <w:rFonts w:ascii="Times New Roman" w:hAnsi="Times New Roman" w:cs="Times New Roman"/>
          <w:sz w:val="24"/>
        </w:rPr>
        <w:t>Optimalizácia prevádzky umožňuje zvýšenie flexibility prevádzky kompresorových staníc a celej prepravnej siete, ako aj zabezpečenia bezpečnej, spoľahlivej a automatizovanej prevádzky</w:t>
      </w:r>
      <w:r w:rsidR="006E636A">
        <w:rPr>
          <w:rFonts w:ascii="Times New Roman" w:hAnsi="Times New Roman" w:cs="Times New Roman"/>
          <w:sz w:val="24"/>
        </w:rPr>
        <w:t>.</w:t>
      </w:r>
      <w:r w:rsidRPr="00F77093">
        <w:rPr>
          <w:rFonts w:ascii="Times New Roman" w:hAnsi="Times New Roman" w:cs="Times New Roman"/>
          <w:sz w:val="24"/>
        </w:rPr>
        <w:t xml:space="preserve"> V súvislosti s požiadavkami na emisie podľa európskej legislatívy bolo potrebné zabezpečiť významné znížení emisií, a tým aj zlepšiť efektívnosť prevádzky siete. </w:t>
      </w:r>
    </w:p>
    <w:p w14:paraId="4393FBCD" w14:textId="188799D4" w:rsidR="00082206" w:rsidRPr="00F77093" w:rsidRDefault="00082206" w:rsidP="00082206">
      <w:pPr>
        <w:jc w:val="both"/>
        <w:rPr>
          <w:rFonts w:ascii="Times New Roman" w:hAnsi="Times New Roman" w:cs="Times New Roman"/>
          <w:sz w:val="24"/>
        </w:rPr>
      </w:pPr>
      <w:r w:rsidRPr="00F77093">
        <w:rPr>
          <w:rFonts w:ascii="Times New Roman" w:hAnsi="Times New Roman" w:cs="Times New Roman"/>
          <w:sz w:val="24"/>
        </w:rPr>
        <w:t xml:space="preserve">V najbližších desiatich rokoch sa budú realizovať projekty týkajúce sa modernizácie a rekonštrukcie technológie na prepravu plynu, a to najmä modernizáciu riadiaceho systému kompresorových staníc, redizajn kompresorových staníc RENet, ďalšie zlepšovanie presnosti a objektivity meracích systémov a zvýšenie bezpečnosti prevádzky, ako aj zvýšenie flexibility prepravnej siete, spojenej s novými cezhraničným prepojeniami, ktoré boli v posledných troch rokoch otvorené, alebo sú na najbližšie obdobie plánované. </w:t>
      </w:r>
    </w:p>
    <w:p w14:paraId="722ADF79" w14:textId="72D33783" w:rsidR="001617F3" w:rsidRDefault="00082206" w:rsidP="00082206">
      <w:pPr>
        <w:jc w:val="both"/>
        <w:rPr>
          <w:rFonts w:ascii="Times New Roman" w:hAnsi="Times New Roman" w:cs="Times New Roman"/>
          <w:sz w:val="24"/>
        </w:rPr>
      </w:pPr>
      <w:r w:rsidRPr="00F77093">
        <w:rPr>
          <w:rFonts w:ascii="Times New Roman" w:hAnsi="Times New Roman" w:cs="Times New Roman"/>
          <w:sz w:val="24"/>
        </w:rPr>
        <w:lastRenderedPageBreak/>
        <w:t xml:space="preserve">Distribúciu plynu zabezpečuje približne </w:t>
      </w:r>
      <w:r w:rsidR="009F418C">
        <w:rPr>
          <w:rFonts w:ascii="Times New Roman" w:hAnsi="Times New Roman" w:cs="Times New Roman"/>
          <w:sz w:val="24"/>
        </w:rPr>
        <w:t>5</w:t>
      </w:r>
      <w:r w:rsidRPr="00F77093">
        <w:rPr>
          <w:rFonts w:ascii="Times New Roman" w:hAnsi="Times New Roman" w:cs="Times New Roman"/>
          <w:sz w:val="24"/>
        </w:rPr>
        <w:t xml:space="preserve">0 prevádzkovateľov distribučnej siete. Hodnotenie energetickej náročnosti distribúcie plynu sa vypracúva v súlade s vyhláškou MH SR č. 88/2015. </w:t>
      </w:r>
    </w:p>
    <w:p w14:paraId="1F2FBD6B" w14:textId="579242F3" w:rsidR="00082206" w:rsidRPr="00F77093" w:rsidRDefault="00082206" w:rsidP="00082206">
      <w:pPr>
        <w:jc w:val="both"/>
        <w:rPr>
          <w:rFonts w:ascii="Times New Roman" w:hAnsi="Times New Roman" w:cs="Times New Roman"/>
          <w:sz w:val="24"/>
        </w:rPr>
      </w:pPr>
      <w:r w:rsidRPr="00F77093">
        <w:rPr>
          <w:rFonts w:ascii="Times New Roman" w:hAnsi="Times New Roman" w:cs="Times New Roman"/>
          <w:sz w:val="24"/>
        </w:rPr>
        <w:t xml:space="preserve">Priemerná energetická náročnosť distribúcie plynu </w:t>
      </w:r>
      <w:r w:rsidR="001617F3">
        <w:rPr>
          <w:rFonts w:ascii="Times New Roman" w:hAnsi="Times New Roman" w:cs="Times New Roman"/>
          <w:sz w:val="24"/>
        </w:rPr>
        <w:t xml:space="preserve">v </w:t>
      </w:r>
      <w:r w:rsidR="001617F3" w:rsidRPr="00F77093">
        <w:rPr>
          <w:rFonts w:ascii="Times New Roman" w:hAnsi="Times New Roman" w:cs="Times New Roman"/>
          <w:sz w:val="24"/>
        </w:rPr>
        <w:t xml:space="preserve">MWh/MWh </w:t>
      </w:r>
      <w:r w:rsidRPr="00F77093">
        <w:rPr>
          <w:rFonts w:ascii="Times New Roman" w:hAnsi="Times New Roman" w:cs="Times New Roman"/>
          <w:sz w:val="24"/>
        </w:rPr>
        <w:t xml:space="preserve">bola </w:t>
      </w:r>
      <w:r w:rsidR="001617F3" w:rsidRPr="00F77093">
        <w:rPr>
          <w:rFonts w:ascii="Times New Roman" w:hAnsi="Times New Roman" w:cs="Times New Roman"/>
          <w:sz w:val="24"/>
        </w:rPr>
        <w:t xml:space="preserve">0,012 </w:t>
      </w:r>
      <w:r w:rsidRPr="00F77093">
        <w:rPr>
          <w:rFonts w:ascii="Times New Roman" w:hAnsi="Times New Roman" w:cs="Times New Roman"/>
          <w:sz w:val="24"/>
        </w:rPr>
        <w:t>v roku 2014 a </w:t>
      </w:r>
      <w:r w:rsidR="001617F3" w:rsidRPr="00F77093">
        <w:rPr>
          <w:rFonts w:ascii="Times New Roman" w:hAnsi="Times New Roman" w:cs="Times New Roman"/>
          <w:sz w:val="24"/>
        </w:rPr>
        <w:t xml:space="preserve">0,0006 </w:t>
      </w:r>
      <w:r w:rsidRPr="00F77093">
        <w:rPr>
          <w:rFonts w:ascii="Times New Roman" w:hAnsi="Times New Roman" w:cs="Times New Roman"/>
          <w:sz w:val="24"/>
        </w:rPr>
        <w:t xml:space="preserve">v roku 2015. </w:t>
      </w:r>
    </w:p>
    <w:p w14:paraId="05827277" w14:textId="1957B95D" w:rsidR="00082206" w:rsidRPr="00F77093" w:rsidRDefault="00082206" w:rsidP="00082206">
      <w:pPr>
        <w:jc w:val="both"/>
        <w:rPr>
          <w:rFonts w:ascii="Times New Roman" w:hAnsi="Times New Roman" w:cs="Times New Roman"/>
          <w:sz w:val="24"/>
        </w:rPr>
      </w:pPr>
      <w:r w:rsidRPr="00F77093">
        <w:rPr>
          <w:rFonts w:ascii="Times New Roman" w:hAnsi="Times New Roman" w:cs="Times New Roman"/>
          <w:sz w:val="24"/>
        </w:rPr>
        <w:t xml:space="preserve">Opatrenia, ktoré sa plánujú vykonať v najbližších desiatich rokoch sú najmä trvalé odstavenie ohrevu priestorov technologických miestností v regulačných staniciach a zavedenie režimu vypínania a zapínania ohrevu pretečeného objemu zemného plynu v závislosti od veľkosti distribúcie, výmena kotlov potrebných na ohrev plynu, rekonštrukcia regulačných staníc, optimalizácia výkonu kompresorov, </w:t>
      </w:r>
      <w:r w:rsidR="009F418C" w:rsidRPr="009F418C">
        <w:rPr>
          <w:rFonts w:ascii="Times New Roman" w:hAnsi="Times New Roman" w:cs="Times New Roman"/>
          <w:sz w:val="24"/>
        </w:rPr>
        <w:t>optimalizovanie merania a diaľkového prenosu dát</w:t>
      </w:r>
      <w:r w:rsidRPr="00F77093">
        <w:rPr>
          <w:rFonts w:ascii="Times New Roman" w:hAnsi="Times New Roman" w:cs="Times New Roman"/>
          <w:sz w:val="24"/>
        </w:rPr>
        <w:t xml:space="preserve">, optimalizácia výšky tlaku v sieti, izolácia potrubných rozvodov tepla a výmenníkov, zlepšenie energetickej efektívnosti prevádzky ohrevov v regulačných staniciach, kontrola nastavenia prepočítavačov plynu a predohrevu a ohrevu plynu, kontrola trasových uzáverov, kontrola tesnosti plynovodov a dodatočná izolácia plynovodov, kontrola vypínania osvetlenia a zavedenie inteligentných meracích systémov v distribúcii a dodávke plynu. </w:t>
      </w:r>
    </w:p>
    <w:p w14:paraId="786DE25E" w14:textId="0859CBBF" w:rsidR="00082206" w:rsidRPr="00F77093" w:rsidRDefault="00082206" w:rsidP="00082206">
      <w:pPr>
        <w:jc w:val="both"/>
        <w:rPr>
          <w:rFonts w:ascii="Times New Roman" w:hAnsi="Times New Roman" w:cs="Times New Roman"/>
          <w:sz w:val="24"/>
        </w:rPr>
      </w:pPr>
      <w:r w:rsidRPr="00F77093">
        <w:rPr>
          <w:rFonts w:ascii="Times New Roman" w:hAnsi="Times New Roman" w:cs="Times New Roman"/>
          <w:sz w:val="24"/>
        </w:rPr>
        <w:t>Prevádzkovatelia zásobníkov plynu ako svoje najdôležitejšie opatrenia identifikovali optimalizáciu prevádzky zásobníkov, modernizáciu systému monitorovania a riadenia produktivity strojov a technologických celkov a možnosť využitia technologického tepla v prevádzke. Prevádzkovatelia miestnych distribučných sietí s krátkou dĺžkou potrubia často nereportovali žiadne opatrenia, ktoré by mali plánovať v najbližších 10 rokoch.</w:t>
      </w:r>
    </w:p>
    <w:p w14:paraId="2A92379F" w14:textId="5FF0EFDC" w:rsidR="00082206" w:rsidRPr="00F77093" w:rsidRDefault="00082206" w:rsidP="00082206">
      <w:pPr>
        <w:jc w:val="both"/>
        <w:rPr>
          <w:rFonts w:ascii="Times New Roman" w:hAnsi="Times New Roman" w:cs="Times New Roman"/>
          <w:sz w:val="24"/>
        </w:rPr>
      </w:pPr>
      <w:r w:rsidRPr="00F77093">
        <w:rPr>
          <w:rFonts w:ascii="Times New Roman" w:hAnsi="Times New Roman" w:cs="Times New Roman"/>
          <w:sz w:val="24"/>
        </w:rPr>
        <w:t>Potrebné investície identifikované v plynárenstve sú vo výške cca 30 mil</w:t>
      </w:r>
      <w:r w:rsidR="000C2919">
        <w:rPr>
          <w:rFonts w:ascii="Times New Roman" w:hAnsi="Times New Roman" w:cs="Times New Roman"/>
          <w:sz w:val="24"/>
        </w:rPr>
        <w:t>.</w:t>
      </w:r>
      <w:r w:rsidRPr="00F77093">
        <w:rPr>
          <w:rFonts w:ascii="Times New Roman" w:hAnsi="Times New Roman" w:cs="Times New Roman"/>
          <w:sz w:val="24"/>
        </w:rPr>
        <w:t xml:space="preserve"> </w:t>
      </w:r>
      <w:r w:rsidR="000C2919">
        <w:rPr>
          <w:rFonts w:ascii="Times New Roman" w:hAnsi="Times New Roman" w:cs="Times New Roman"/>
          <w:sz w:val="24"/>
        </w:rPr>
        <w:t>Eur</w:t>
      </w:r>
      <w:r w:rsidRPr="00F77093">
        <w:rPr>
          <w:rFonts w:ascii="Times New Roman" w:hAnsi="Times New Roman" w:cs="Times New Roman"/>
          <w:sz w:val="24"/>
        </w:rPr>
        <w:t xml:space="preserve"> na celé desaťročné obdobie, ku ktorým je potrebné pripočítať veľké investičné projekty cezhraničných prepojení uvedené v desaťročnom pláne rozvoja plynárenskej</w:t>
      </w:r>
      <w:r w:rsidR="00221B6C">
        <w:rPr>
          <w:rFonts w:ascii="Times New Roman" w:hAnsi="Times New Roman" w:cs="Times New Roman"/>
          <w:sz w:val="24"/>
        </w:rPr>
        <w:t xml:space="preserve"> </w:t>
      </w:r>
      <w:r w:rsidR="00221B6C" w:rsidRPr="00CC5CF1">
        <w:rPr>
          <w:rFonts w:ascii="Times New Roman" w:hAnsi="Times New Roman"/>
        </w:rPr>
        <w:t>prepravnej</w:t>
      </w:r>
      <w:r w:rsidRPr="00F77093">
        <w:rPr>
          <w:rFonts w:ascii="Times New Roman" w:hAnsi="Times New Roman" w:cs="Times New Roman"/>
          <w:sz w:val="24"/>
        </w:rPr>
        <w:t xml:space="preserve"> siete (TYNDP).</w:t>
      </w:r>
    </w:p>
    <w:p w14:paraId="6DFB22AC" w14:textId="77777777" w:rsidR="00C23272" w:rsidRPr="009F2998" w:rsidRDefault="00C23272" w:rsidP="00C23272">
      <w:pPr>
        <w:rPr>
          <w:rFonts w:ascii="Times New Roman" w:hAnsi="Times New Roman" w:cs="Times New Roman"/>
        </w:rPr>
      </w:pPr>
    </w:p>
    <w:p w14:paraId="566E07BC" w14:textId="1F85BAED" w:rsidR="001D5205" w:rsidRPr="000578FE" w:rsidRDefault="001D5205" w:rsidP="007157D7">
      <w:pPr>
        <w:pStyle w:val="Nadpis3"/>
        <w:keepNext w:val="0"/>
        <w:keepLines w:val="0"/>
        <w:numPr>
          <w:ilvl w:val="2"/>
          <w:numId w:val="16"/>
        </w:numPr>
        <w:ind w:left="1276" w:hanging="567"/>
        <w:rPr>
          <w:rFonts w:ascii="Times New Roman" w:hAnsi="Times New Roman" w:cs="Times New Roman"/>
          <w:color w:val="auto"/>
        </w:rPr>
      </w:pPr>
      <w:bookmarkStart w:id="111" w:name="_Toc477345402"/>
      <w:r w:rsidRPr="000578FE">
        <w:rPr>
          <w:rFonts w:ascii="Times New Roman" w:hAnsi="Times New Roman" w:cs="Times New Roman"/>
          <w:color w:val="auto"/>
        </w:rPr>
        <w:t>Kritéria energetickej efektívnosti pri sieťových tarifách a sieťovej regulácii (článok 15 SEE)</w:t>
      </w:r>
      <w:bookmarkEnd w:id="111"/>
    </w:p>
    <w:p w14:paraId="562B9CD3" w14:textId="77777777" w:rsidR="00E4685A" w:rsidRPr="007345A8" w:rsidRDefault="00E4685A" w:rsidP="00E4685A">
      <w:pPr>
        <w:rPr>
          <w:rFonts w:ascii="Times New Roman" w:hAnsi="Times New Roman" w:cs="Times New Roman"/>
        </w:rPr>
      </w:pPr>
    </w:p>
    <w:p w14:paraId="622C2936" w14:textId="546C698C" w:rsidR="00E4685A" w:rsidRPr="000578FE" w:rsidRDefault="00BF460E" w:rsidP="007157D7">
      <w:pPr>
        <w:pStyle w:val="Nadpis4"/>
        <w:numPr>
          <w:ilvl w:val="3"/>
          <w:numId w:val="16"/>
        </w:numPr>
        <w:rPr>
          <w:rFonts w:ascii="Times New Roman" w:eastAsia="Times New Roman" w:hAnsi="Times New Roman" w:cs="Times New Roman"/>
          <w:i w:val="0"/>
          <w:color w:val="auto"/>
          <w:lang w:eastAsia="sk-SK"/>
        </w:rPr>
      </w:pPr>
      <w:bookmarkStart w:id="112" w:name="_Toc477345403"/>
      <w:r w:rsidRPr="000578FE">
        <w:rPr>
          <w:rFonts w:ascii="Times New Roman" w:eastAsia="Times New Roman" w:hAnsi="Times New Roman" w:cs="Times New Roman"/>
          <w:i w:val="0"/>
          <w:color w:val="auto"/>
          <w:lang w:eastAsia="sk-SK"/>
        </w:rPr>
        <w:t xml:space="preserve">Opis </w:t>
      </w:r>
      <w:r w:rsidR="00E4685A" w:rsidRPr="000578FE">
        <w:rPr>
          <w:rFonts w:ascii="Times New Roman" w:eastAsia="Times New Roman" w:hAnsi="Times New Roman" w:cs="Times New Roman"/>
          <w:i w:val="0"/>
          <w:color w:val="auto"/>
          <w:lang w:eastAsia="sk-SK"/>
        </w:rPr>
        <w:t>plánovan</w:t>
      </w:r>
      <w:r w:rsidRPr="000578FE">
        <w:rPr>
          <w:rFonts w:ascii="Times New Roman" w:eastAsia="Times New Roman" w:hAnsi="Times New Roman" w:cs="Times New Roman"/>
          <w:i w:val="0"/>
          <w:color w:val="auto"/>
          <w:lang w:eastAsia="sk-SK"/>
        </w:rPr>
        <w:t>ých</w:t>
      </w:r>
      <w:r w:rsidR="00E4685A" w:rsidRPr="000578FE">
        <w:rPr>
          <w:rFonts w:ascii="Times New Roman" w:eastAsia="Times New Roman" w:hAnsi="Times New Roman" w:cs="Times New Roman"/>
          <w:i w:val="0"/>
          <w:color w:val="auto"/>
          <w:lang w:eastAsia="sk-SK"/>
        </w:rPr>
        <w:t xml:space="preserve"> alebo prijat</w:t>
      </w:r>
      <w:r w:rsidRPr="000578FE">
        <w:rPr>
          <w:rFonts w:ascii="Times New Roman" w:eastAsia="Times New Roman" w:hAnsi="Times New Roman" w:cs="Times New Roman"/>
          <w:i w:val="0"/>
          <w:color w:val="auto"/>
          <w:lang w:eastAsia="sk-SK"/>
        </w:rPr>
        <w:t>ých</w:t>
      </w:r>
      <w:r w:rsidR="00E4685A" w:rsidRPr="000578FE">
        <w:rPr>
          <w:rFonts w:ascii="Times New Roman" w:eastAsia="Times New Roman" w:hAnsi="Times New Roman" w:cs="Times New Roman"/>
          <w:i w:val="0"/>
          <w:color w:val="auto"/>
          <w:lang w:eastAsia="sk-SK"/>
        </w:rPr>
        <w:t xml:space="preserve"> opatren</w:t>
      </w:r>
      <w:r w:rsidRPr="000578FE">
        <w:rPr>
          <w:rFonts w:ascii="Times New Roman" w:eastAsia="Times New Roman" w:hAnsi="Times New Roman" w:cs="Times New Roman"/>
          <w:i w:val="0"/>
          <w:color w:val="auto"/>
          <w:lang w:eastAsia="sk-SK"/>
        </w:rPr>
        <w:t>í</w:t>
      </w:r>
      <w:r w:rsidR="00E4685A" w:rsidRPr="000578FE">
        <w:rPr>
          <w:rFonts w:ascii="Times New Roman" w:eastAsia="Times New Roman" w:hAnsi="Times New Roman" w:cs="Times New Roman"/>
          <w:i w:val="0"/>
          <w:color w:val="auto"/>
          <w:lang w:eastAsia="sk-SK"/>
        </w:rPr>
        <w:t xml:space="preserve"> na zabezpečenie toho, aby sa odstránili stimuly v tarifách, ktoré poškodzujú celkovú efektívnosť výroby, prenosu, distribúcie a dodávky elektriny (článok 15 ods.</w:t>
      </w:r>
      <w:r w:rsidR="00F26279">
        <w:rPr>
          <w:rFonts w:ascii="Times New Roman" w:eastAsia="Times New Roman" w:hAnsi="Times New Roman" w:cs="Times New Roman"/>
          <w:i w:val="0"/>
          <w:color w:val="auto"/>
          <w:lang w:eastAsia="sk-SK"/>
        </w:rPr>
        <w:t xml:space="preserve"> </w:t>
      </w:r>
      <w:r w:rsidR="00E4685A" w:rsidRPr="000578FE">
        <w:rPr>
          <w:rFonts w:ascii="Times New Roman" w:eastAsia="Times New Roman" w:hAnsi="Times New Roman" w:cs="Times New Roman"/>
          <w:i w:val="0"/>
          <w:color w:val="auto"/>
          <w:lang w:eastAsia="sk-SK"/>
        </w:rPr>
        <w:t>4 SEE)</w:t>
      </w:r>
      <w:bookmarkEnd w:id="112"/>
    </w:p>
    <w:p w14:paraId="4597DF5B" w14:textId="193246BD" w:rsidR="00E048AD" w:rsidRPr="00F77093" w:rsidRDefault="00E048AD" w:rsidP="0080114C">
      <w:pPr>
        <w:rPr>
          <w:rFonts w:ascii="Times New Roman" w:hAnsi="Times New Roman" w:cs="Times New Roman"/>
          <w:sz w:val="24"/>
          <w:lang w:eastAsia="sk-SK"/>
        </w:rPr>
      </w:pPr>
      <w:r w:rsidRPr="00F77093">
        <w:rPr>
          <w:rFonts w:ascii="Times New Roman" w:hAnsi="Times New Roman" w:cs="Times New Roman"/>
          <w:sz w:val="24"/>
          <w:lang w:eastAsia="sk-SK"/>
        </w:rPr>
        <w:t xml:space="preserve">Podľa § 11 ods. 1 písm. podlieha cenovej regulácii aj prístup do prenosovej sústavy a prenos elektriny (písm. d) a prístup do distribučnej sústavy a distribúcia elektriny (písm. e). </w:t>
      </w:r>
      <w:r w:rsidR="00586C53" w:rsidRPr="00F77093">
        <w:rPr>
          <w:rFonts w:ascii="Times New Roman" w:hAnsi="Times New Roman" w:cs="Times New Roman"/>
          <w:sz w:val="24"/>
          <w:lang w:eastAsia="sk-SK"/>
        </w:rPr>
        <w:t>Spôsob výpočtu maximálnej ceny je uvedený vo vyhláške ÚRSO</w:t>
      </w:r>
      <w:r w:rsidR="002722FF" w:rsidRPr="00F77093">
        <w:rPr>
          <w:rFonts w:ascii="Times New Roman" w:hAnsi="Times New Roman" w:cs="Times New Roman"/>
          <w:sz w:val="24"/>
          <w:lang w:eastAsia="sk-SK"/>
        </w:rPr>
        <w:t>.</w:t>
      </w:r>
      <w:bookmarkStart w:id="113" w:name="_Ref474760092"/>
      <w:r w:rsidR="00586C53" w:rsidRPr="00F77093">
        <w:rPr>
          <w:rStyle w:val="Odkaznapoznmkupodiarou"/>
          <w:rFonts w:ascii="Times New Roman" w:hAnsi="Times New Roman" w:cs="Times New Roman"/>
          <w:sz w:val="24"/>
          <w:lang w:eastAsia="sk-SK"/>
        </w:rPr>
        <w:footnoteReference w:id="38"/>
      </w:r>
      <w:bookmarkEnd w:id="113"/>
    </w:p>
    <w:p w14:paraId="53C7A444" w14:textId="77777777" w:rsidR="00E048AD" w:rsidRPr="009F2998" w:rsidRDefault="00E048AD" w:rsidP="0080114C">
      <w:pPr>
        <w:rPr>
          <w:rFonts w:ascii="Times New Roman" w:hAnsi="Times New Roman" w:cs="Times New Roman"/>
          <w:lang w:eastAsia="sk-SK"/>
        </w:rPr>
      </w:pPr>
    </w:p>
    <w:p w14:paraId="5335DF4C" w14:textId="1A388468" w:rsidR="00E4685A" w:rsidRPr="000578FE" w:rsidRDefault="00BF460E" w:rsidP="007157D7">
      <w:pPr>
        <w:pStyle w:val="Nadpis4"/>
        <w:numPr>
          <w:ilvl w:val="3"/>
          <w:numId w:val="16"/>
        </w:numPr>
        <w:rPr>
          <w:rFonts w:ascii="Times New Roman" w:eastAsia="Times New Roman" w:hAnsi="Times New Roman" w:cs="Times New Roman"/>
          <w:i w:val="0"/>
          <w:color w:val="auto"/>
          <w:lang w:eastAsia="sk-SK"/>
        </w:rPr>
      </w:pPr>
      <w:bookmarkStart w:id="114" w:name="_Toc477345404"/>
      <w:r w:rsidRPr="000578FE">
        <w:rPr>
          <w:rFonts w:ascii="Times New Roman" w:eastAsia="Times New Roman" w:hAnsi="Times New Roman" w:cs="Times New Roman"/>
          <w:i w:val="0"/>
          <w:color w:val="auto"/>
          <w:lang w:eastAsia="sk-SK"/>
        </w:rPr>
        <w:t xml:space="preserve">Opis plánovaných alebo prijatých opatrení </w:t>
      </w:r>
      <w:r w:rsidR="00E4685A" w:rsidRPr="000578FE">
        <w:rPr>
          <w:rFonts w:ascii="Times New Roman" w:eastAsia="Times New Roman" w:hAnsi="Times New Roman" w:cs="Times New Roman"/>
          <w:i w:val="0"/>
          <w:color w:val="auto"/>
          <w:lang w:eastAsia="sk-SK"/>
        </w:rPr>
        <w:t>na stimuláciu prevádzkovateľov sietí zvyšovať efektívnosť pri navrhovaní a prevádzke infraštruktúry (článok 15 ods.4 SEE)</w:t>
      </w:r>
      <w:bookmarkEnd w:id="114"/>
    </w:p>
    <w:p w14:paraId="0FDAA263" w14:textId="58401D45" w:rsidR="002722FF" w:rsidRPr="00F77093" w:rsidRDefault="00C422F6" w:rsidP="0080114C">
      <w:pPr>
        <w:jc w:val="both"/>
        <w:rPr>
          <w:rFonts w:ascii="Times New Roman" w:hAnsi="Times New Roman" w:cs="Times New Roman"/>
          <w:sz w:val="24"/>
          <w:lang w:eastAsia="sk-SK"/>
        </w:rPr>
      </w:pPr>
      <w:r w:rsidRPr="00F77093">
        <w:rPr>
          <w:rFonts w:ascii="Times New Roman" w:hAnsi="Times New Roman" w:cs="Times New Roman"/>
          <w:sz w:val="24"/>
          <w:lang w:eastAsia="sk-SK"/>
        </w:rPr>
        <w:t>P</w:t>
      </w:r>
      <w:r w:rsidR="002722FF" w:rsidRPr="00F77093">
        <w:rPr>
          <w:rFonts w:ascii="Times New Roman" w:hAnsi="Times New Roman" w:cs="Times New Roman"/>
          <w:sz w:val="24"/>
          <w:lang w:eastAsia="sk-SK"/>
        </w:rPr>
        <w:t xml:space="preserve">odľa § 9 ods. 1 písm. e) zákona č. 251/2012 Z. z. Úrad pre reguláciu sieťových odvetví </w:t>
      </w:r>
      <w:r w:rsidR="002722FF" w:rsidRPr="00F77093">
        <w:rPr>
          <w:rFonts w:ascii="Times New Roman" w:hAnsi="Times New Roman" w:cs="Times New Roman"/>
          <w:sz w:val="24"/>
        </w:rPr>
        <w:t>organizuje výberové</w:t>
      </w:r>
      <w:r w:rsidRPr="00F77093">
        <w:rPr>
          <w:rFonts w:ascii="Times New Roman" w:hAnsi="Times New Roman" w:cs="Times New Roman"/>
          <w:sz w:val="24"/>
        </w:rPr>
        <w:t xml:space="preserve"> konanie </w:t>
      </w:r>
      <w:r w:rsidR="002722FF" w:rsidRPr="00F77093">
        <w:rPr>
          <w:rFonts w:ascii="Times New Roman" w:hAnsi="Times New Roman" w:cs="Times New Roman"/>
          <w:sz w:val="24"/>
        </w:rPr>
        <w:t>na</w:t>
      </w:r>
      <w:r w:rsidRPr="00F77093">
        <w:rPr>
          <w:rFonts w:ascii="Times New Roman" w:hAnsi="Times New Roman" w:cs="Times New Roman"/>
          <w:sz w:val="24"/>
        </w:rPr>
        <w:t xml:space="preserve"> </w:t>
      </w:r>
      <w:r w:rsidR="002722FF" w:rsidRPr="00F77093">
        <w:rPr>
          <w:rFonts w:ascii="Times New Roman" w:hAnsi="Times New Roman" w:cs="Times New Roman"/>
          <w:sz w:val="24"/>
        </w:rPr>
        <w:t>dodávateľa</w:t>
      </w:r>
      <w:r w:rsidRPr="00F77093">
        <w:rPr>
          <w:rFonts w:ascii="Times New Roman" w:hAnsi="Times New Roman" w:cs="Times New Roman"/>
          <w:sz w:val="24"/>
        </w:rPr>
        <w:t xml:space="preserve"> </w:t>
      </w:r>
      <w:r w:rsidR="002722FF" w:rsidRPr="00F77093">
        <w:rPr>
          <w:rFonts w:ascii="Times New Roman" w:hAnsi="Times New Roman" w:cs="Times New Roman"/>
          <w:sz w:val="24"/>
        </w:rPr>
        <w:t>technológie,</w:t>
      </w:r>
      <w:r w:rsidRPr="00F77093">
        <w:rPr>
          <w:rFonts w:ascii="Times New Roman" w:hAnsi="Times New Roman" w:cs="Times New Roman"/>
          <w:sz w:val="24"/>
        </w:rPr>
        <w:t xml:space="preserve"> </w:t>
      </w:r>
      <w:r w:rsidR="002722FF" w:rsidRPr="00F77093">
        <w:rPr>
          <w:rFonts w:ascii="Times New Roman" w:hAnsi="Times New Roman" w:cs="Times New Roman"/>
          <w:sz w:val="24"/>
        </w:rPr>
        <w:t>ktorá</w:t>
      </w:r>
      <w:r w:rsidRPr="00F77093">
        <w:rPr>
          <w:rFonts w:ascii="Times New Roman" w:hAnsi="Times New Roman" w:cs="Times New Roman"/>
          <w:sz w:val="24"/>
          <w:lang w:eastAsia="sk-SK"/>
        </w:rPr>
        <w:t xml:space="preserve"> </w:t>
      </w:r>
      <w:r w:rsidR="002722FF" w:rsidRPr="00F77093">
        <w:rPr>
          <w:rFonts w:ascii="Times New Roman" w:hAnsi="Times New Roman" w:cs="Times New Roman"/>
          <w:sz w:val="24"/>
        </w:rPr>
        <w:t>zabezpečí</w:t>
      </w:r>
      <w:r w:rsidRPr="00F77093">
        <w:rPr>
          <w:rFonts w:ascii="Times New Roman" w:hAnsi="Times New Roman" w:cs="Times New Roman"/>
          <w:sz w:val="24"/>
        </w:rPr>
        <w:t xml:space="preserve"> </w:t>
      </w:r>
      <w:r w:rsidR="002722FF" w:rsidRPr="00F77093">
        <w:rPr>
          <w:rFonts w:ascii="Times New Roman" w:hAnsi="Times New Roman" w:cs="Times New Roman"/>
          <w:sz w:val="24"/>
        </w:rPr>
        <w:t>zvýšenie</w:t>
      </w:r>
      <w:r w:rsidRPr="00F77093">
        <w:rPr>
          <w:rFonts w:ascii="Times New Roman" w:hAnsi="Times New Roman" w:cs="Times New Roman"/>
          <w:sz w:val="24"/>
        </w:rPr>
        <w:t xml:space="preserve"> </w:t>
      </w:r>
      <w:r w:rsidR="002722FF" w:rsidRPr="00F77093">
        <w:rPr>
          <w:rFonts w:ascii="Times New Roman" w:hAnsi="Times New Roman" w:cs="Times New Roman"/>
          <w:sz w:val="24"/>
        </w:rPr>
        <w:t>energetickej</w:t>
      </w:r>
      <w:r w:rsidRPr="00F77093">
        <w:rPr>
          <w:rFonts w:ascii="Times New Roman" w:hAnsi="Times New Roman" w:cs="Times New Roman"/>
          <w:sz w:val="24"/>
        </w:rPr>
        <w:t xml:space="preserve"> </w:t>
      </w:r>
      <w:r w:rsidR="002722FF" w:rsidRPr="00F77093">
        <w:rPr>
          <w:rFonts w:ascii="Times New Roman" w:hAnsi="Times New Roman" w:cs="Times New Roman"/>
          <w:sz w:val="24"/>
        </w:rPr>
        <w:t>efektívnosti</w:t>
      </w:r>
      <w:r w:rsidRPr="00F77093">
        <w:rPr>
          <w:rFonts w:ascii="Times New Roman" w:hAnsi="Times New Roman" w:cs="Times New Roman"/>
          <w:sz w:val="24"/>
        </w:rPr>
        <w:t xml:space="preserve"> </w:t>
      </w:r>
      <w:r w:rsidR="002722FF" w:rsidRPr="00F77093">
        <w:rPr>
          <w:rFonts w:ascii="Times New Roman" w:hAnsi="Times New Roman" w:cs="Times New Roman"/>
          <w:sz w:val="24"/>
        </w:rPr>
        <w:t>sústavy</w:t>
      </w:r>
      <w:r w:rsidRPr="00F77093">
        <w:rPr>
          <w:rFonts w:ascii="Times New Roman" w:hAnsi="Times New Roman" w:cs="Times New Roman"/>
          <w:sz w:val="24"/>
        </w:rPr>
        <w:t xml:space="preserve"> </w:t>
      </w:r>
      <w:r w:rsidR="002722FF" w:rsidRPr="00F77093">
        <w:rPr>
          <w:rFonts w:ascii="Times New Roman" w:hAnsi="Times New Roman" w:cs="Times New Roman"/>
          <w:sz w:val="24"/>
        </w:rPr>
        <w:t>alebo</w:t>
      </w:r>
      <w:r w:rsidRPr="00F77093">
        <w:rPr>
          <w:rFonts w:ascii="Times New Roman" w:hAnsi="Times New Roman" w:cs="Times New Roman"/>
          <w:sz w:val="24"/>
        </w:rPr>
        <w:t xml:space="preserve"> </w:t>
      </w:r>
      <w:r w:rsidR="002722FF" w:rsidRPr="00F77093">
        <w:rPr>
          <w:rFonts w:ascii="Times New Roman" w:hAnsi="Times New Roman" w:cs="Times New Roman"/>
          <w:sz w:val="24"/>
        </w:rPr>
        <w:t>zníženie</w:t>
      </w:r>
      <w:r w:rsidRPr="00F77093">
        <w:rPr>
          <w:rFonts w:ascii="Times New Roman" w:hAnsi="Times New Roman" w:cs="Times New Roman"/>
          <w:sz w:val="24"/>
        </w:rPr>
        <w:t xml:space="preserve"> </w:t>
      </w:r>
      <w:r w:rsidR="002722FF" w:rsidRPr="00F77093">
        <w:rPr>
          <w:rFonts w:ascii="Times New Roman" w:hAnsi="Times New Roman" w:cs="Times New Roman"/>
          <w:sz w:val="24"/>
        </w:rPr>
        <w:t>spotreby</w:t>
      </w:r>
      <w:r w:rsidRPr="00F77093">
        <w:rPr>
          <w:rFonts w:ascii="Times New Roman" w:hAnsi="Times New Roman" w:cs="Times New Roman"/>
          <w:sz w:val="24"/>
        </w:rPr>
        <w:t xml:space="preserve"> </w:t>
      </w:r>
      <w:r w:rsidR="002722FF" w:rsidRPr="00F77093">
        <w:rPr>
          <w:rFonts w:ascii="Times New Roman" w:hAnsi="Times New Roman" w:cs="Times New Roman"/>
          <w:sz w:val="24"/>
        </w:rPr>
        <w:t>elektriny</w:t>
      </w:r>
      <w:r w:rsidRPr="00F77093">
        <w:rPr>
          <w:rFonts w:ascii="Times New Roman" w:hAnsi="Times New Roman" w:cs="Times New Roman"/>
          <w:sz w:val="24"/>
        </w:rPr>
        <w:t xml:space="preserve"> </w:t>
      </w:r>
      <w:r w:rsidR="002722FF" w:rsidRPr="00F77093">
        <w:rPr>
          <w:rFonts w:ascii="Times New Roman" w:hAnsi="Times New Roman" w:cs="Times New Roman"/>
          <w:sz w:val="24"/>
        </w:rPr>
        <w:t>a</w:t>
      </w:r>
      <w:r w:rsidRPr="00F77093">
        <w:rPr>
          <w:rFonts w:ascii="Times New Roman" w:hAnsi="Times New Roman" w:cs="Times New Roman"/>
          <w:sz w:val="24"/>
          <w:lang w:eastAsia="sk-SK"/>
        </w:rPr>
        <w:t xml:space="preserve"> </w:t>
      </w:r>
      <w:r w:rsidR="002722FF" w:rsidRPr="00F77093">
        <w:rPr>
          <w:rFonts w:ascii="Times New Roman" w:hAnsi="Times New Roman" w:cs="Times New Roman"/>
          <w:sz w:val="24"/>
        </w:rPr>
        <w:t>dodávateľ</w:t>
      </w:r>
      <w:r w:rsidRPr="00F77093">
        <w:rPr>
          <w:rFonts w:ascii="Times New Roman" w:hAnsi="Times New Roman" w:cs="Times New Roman"/>
          <w:sz w:val="24"/>
        </w:rPr>
        <w:t xml:space="preserve">a, </w:t>
      </w:r>
      <w:r w:rsidR="002722FF" w:rsidRPr="00F77093">
        <w:rPr>
          <w:rFonts w:ascii="Times New Roman" w:hAnsi="Times New Roman" w:cs="Times New Roman"/>
          <w:sz w:val="24"/>
        </w:rPr>
        <w:t>ktorý</w:t>
      </w:r>
      <w:r w:rsidRPr="00F77093">
        <w:rPr>
          <w:rFonts w:ascii="Times New Roman" w:hAnsi="Times New Roman" w:cs="Times New Roman"/>
          <w:sz w:val="24"/>
        </w:rPr>
        <w:t xml:space="preserve"> </w:t>
      </w:r>
      <w:r w:rsidR="002722FF" w:rsidRPr="00F77093">
        <w:rPr>
          <w:rFonts w:ascii="Times New Roman" w:hAnsi="Times New Roman" w:cs="Times New Roman"/>
          <w:sz w:val="24"/>
        </w:rPr>
        <w:t>zabezpečuje</w:t>
      </w:r>
      <w:r w:rsidRPr="00F77093">
        <w:rPr>
          <w:rFonts w:ascii="Times New Roman" w:hAnsi="Times New Roman" w:cs="Times New Roman"/>
          <w:sz w:val="24"/>
        </w:rPr>
        <w:t xml:space="preserve"> </w:t>
      </w:r>
      <w:r w:rsidR="002722FF" w:rsidRPr="00F77093">
        <w:rPr>
          <w:rFonts w:ascii="Times New Roman" w:hAnsi="Times New Roman" w:cs="Times New Roman"/>
          <w:sz w:val="24"/>
        </w:rPr>
        <w:t>prípravu</w:t>
      </w:r>
      <w:r w:rsidRPr="00F77093">
        <w:rPr>
          <w:rFonts w:ascii="Times New Roman" w:hAnsi="Times New Roman" w:cs="Times New Roman"/>
          <w:sz w:val="24"/>
        </w:rPr>
        <w:t xml:space="preserve"> </w:t>
      </w:r>
      <w:r w:rsidR="002722FF" w:rsidRPr="00F77093">
        <w:rPr>
          <w:rFonts w:ascii="Times New Roman" w:hAnsi="Times New Roman" w:cs="Times New Roman"/>
          <w:sz w:val="24"/>
        </w:rPr>
        <w:lastRenderedPageBreak/>
        <w:t>výstavby</w:t>
      </w:r>
      <w:r w:rsidRPr="00F77093">
        <w:rPr>
          <w:rFonts w:ascii="Times New Roman" w:hAnsi="Times New Roman" w:cs="Times New Roman"/>
          <w:sz w:val="24"/>
        </w:rPr>
        <w:t xml:space="preserve"> </w:t>
      </w:r>
      <w:r w:rsidR="002722FF" w:rsidRPr="00F77093">
        <w:rPr>
          <w:rFonts w:ascii="Times New Roman" w:hAnsi="Times New Roman" w:cs="Times New Roman"/>
          <w:sz w:val="24"/>
        </w:rPr>
        <w:t>a</w:t>
      </w:r>
      <w:r w:rsidRPr="00F77093">
        <w:rPr>
          <w:rFonts w:ascii="Times New Roman" w:hAnsi="Times New Roman" w:cs="Times New Roman"/>
          <w:sz w:val="24"/>
        </w:rPr>
        <w:t> </w:t>
      </w:r>
      <w:r w:rsidR="002722FF" w:rsidRPr="00F77093">
        <w:rPr>
          <w:rFonts w:ascii="Times New Roman" w:hAnsi="Times New Roman" w:cs="Times New Roman"/>
          <w:sz w:val="24"/>
        </w:rPr>
        <w:t>výstavbu</w:t>
      </w:r>
      <w:r w:rsidRPr="00F77093">
        <w:rPr>
          <w:rFonts w:ascii="Times New Roman" w:hAnsi="Times New Roman" w:cs="Times New Roman"/>
          <w:sz w:val="24"/>
        </w:rPr>
        <w:t xml:space="preserve"> </w:t>
      </w:r>
      <w:r w:rsidR="002722FF" w:rsidRPr="00F77093">
        <w:rPr>
          <w:rFonts w:ascii="Times New Roman" w:hAnsi="Times New Roman" w:cs="Times New Roman"/>
          <w:sz w:val="24"/>
        </w:rPr>
        <w:t>nových</w:t>
      </w:r>
      <w:r w:rsidRPr="00F77093">
        <w:rPr>
          <w:rFonts w:ascii="Times New Roman" w:hAnsi="Times New Roman" w:cs="Times New Roman"/>
          <w:sz w:val="24"/>
        </w:rPr>
        <w:t xml:space="preserve"> </w:t>
      </w:r>
      <w:r w:rsidR="002722FF" w:rsidRPr="00F77093">
        <w:rPr>
          <w:rFonts w:ascii="Times New Roman" w:hAnsi="Times New Roman" w:cs="Times New Roman"/>
          <w:sz w:val="24"/>
        </w:rPr>
        <w:t>elektroenergetických</w:t>
      </w:r>
      <w:r w:rsidRPr="00F77093">
        <w:rPr>
          <w:rFonts w:ascii="Times New Roman" w:hAnsi="Times New Roman" w:cs="Times New Roman"/>
          <w:sz w:val="24"/>
          <w:lang w:eastAsia="sk-SK"/>
        </w:rPr>
        <w:t xml:space="preserve"> </w:t>
      </w:r>
      <w:r w:rsidR="002722FF" w:rsidRPr="00F77093">
        <w:rPr>
          <w:rFonts w:ascii="Times New Roman" w:hAnsi="Times New Roman" w:cs="Times New Roman"/>
          <w:sz w:val="24"/>
        </w:rPr>
        <w:t>zariadení, na</w:t>
      </w:r>
      <w:r w:rsidRPr="00F77093">
        <w:rPr>
          <w:rFonts w:ascii="Times New Roman" w:hAnsi="Times New Roman" w:cs="Times New Roman"/>
          <w:sz w:val="24"/>
        </w:rPr>
        <w:t xml:space="preserve"> </w:t>
      </w:r>
      <w:r w:rsidR="002722FF" w:rsidRPr="00F77093">
        <w:rPr>
          <w:rFonts w:ascii="Times New Roman" w:hAnsi="Times New Roman" w:cs="Times New Roman"/>
          <w:sz w:val="24"/>
        </w:rPr>
        <w:t>ktoré</w:t>
      </w:r>
      <w:r w:rsidRPr="00F77093">
        <w:rPr>
          <w:rFonts w:ascii="Times New Roman" w:hAnsi="Times New Roman" w:cs="Times New Roman"/>
          <w:sz w:val="24"/>
        </w:rPr>
        <w:t xml:space="preserve"> </w:t>
      </w:r>
      <w:r w:rsidR="002722FF" w:rsidRPr="00F77093">
        <w:rPr>
          <w:rFonts w:ascii="Times New Roman" w:hAnsi="Times New Roman" w:cs="Times New Roman"/>
          <w:sz w:val="24"/>
        </w:rPr>
        <w:t>sa</w:t>
      </w:r>
      <w:r w:rsidRPr="00F77093">
        <w:rPr>
          <w:rFonts w:ascii="Times New Roman" w:hAnsi="Times New Roman" w:cs="Times New Roman"/>
          <w:sz w:val="24"/>
        </w:rPr>
        <w:t xml:space="preserve"> </w:t>
      </w:r>
      <w:r w:rsidR="002722FF" w:rsidRPr="00F77093">
        <w:rPr>
          <w:rFonts w:ascii="Times New Roman" w:hAnsi="Times New Roman" w:cs="Times New Roman"/>
          <w:sz w:val="24"/>
        </w:rPr>
        <w:t>poskytujú</w:t>
      </w:r>
      <w:r w:rsidRPr="00F77093">
        <w:rPr>
          <w:rFonts w:ascii="Times New Roman" w:hAnsi="Times New Roman" w:cs="Times New Roman"/>
          <w:sz w:val="24"/>
        </w:rPr>
        <w:t xml:space="preserve"> </w:t>
      </w:r>
      <w:r w:rsidR="002722FF" w:rsidRPr="00F77093">
        <w:rPr>
          <w:rFonts w:ascii="Times New Roman" w:hAnsi="Times New Roman" w:cs="Times New Roman"/>
          <w:sz w:val="24"/>
        </w:rPr>
        <w:t>ekonomické</w:t>
      </w:r>
      <w:r w:rsidRPr="00F77093">
        <w:rPr>
          <w:rFonts w:ascii="Times New Roman" w:hAnsi="Times New Roman" w:cs="Times New Roman"/>
          <w:sz w:val="24"/>
        </w:rPr>
        <w:t xml:space="preserve"> </w:t>
      </w:r>
      <w:r w:rsidR="002722FF" w:rsidRPr="00F77093">
        <w:rPr>
          <w:rFonts w:ascii="Times New Roman" w:hAnsi="Times New Roman" w:cs="Times New Roman"/>
          <w:sz w:val="24"/>
        </w:rPr>
        <w:t>s</w:t>
      </w:r>
      <w:r w:rsidRPr="00F77093">
        <w:rPr>
          <w:rFonts w:ascii="Times New Roman" w:hAnsi="Times New Roman" w:cs="Times New Roman"/>
          <w:sz w:val="24"/>
        </w:rPr>
        <w:t>timuly.</w:t>
      </w:r>
    </w:p>
    <w:p w14:paraId="16721929" w14:textId="77777777" w:rsidR="00AC64F1" w:rsidRPr="009F2998" w:rsidRDefault="00AC64F1" w:rsidP="0080114C">
      <w:pPr>
        <w:rPr>
          <w:rFonts w:ascii="Times New Roman" w:hAnsi="Times New Roman" w:cs="Times New Roman"/>
          <w:lang w:eastAsia="sk-SK"/>
        </w:rPr>
      </w:pPr>
    </w:p>
    <w:p w14:paraId="54C448EA" w14:textId="40DA8C46" w:rsidR="00E4685A" w:rsidRPr="000578FE" w:rsidRDefault="00BF460E" w:rsidP="007157D7">
      <w:pPr>
        <w:pStyle w:val="Nadpis4"/>
        <w:numPr>
          <w:ilvl w:val="3"/>
          <w:numId w:val="16"/>
        </w:numPr>
        <w:rPr>
          <w:rFonts w:ascii="Times New Roman" w:eastAsia="Times New Roman" w:hAnsi="Times New Roman" w:cs="Times New Roman"/>
          <w:i w:val="0"/>
          <w:color w:val="auto"/>
          <w:lang w:eastAsia="sk-SK"/>
        </w:rPr>
      </w:pPr>
      <w:bookmarkStart w:id="115" w:name="_Toc477345405"/>
      <w:r w:rsidRPr="000578FE">
        <w:rPr>
          <w:rFonts w:ascii="Times New Roman" w:eastAsia="Times New Roman" w:hAnsi="Times New Roman" w:cs="Times New Roman"/>
          <w:i w:val="0"/>
          <w:color w:val="auto"/>
          <w:lang w:eastAsia="sk-SK"/>
        </w:rPr>
        <w:t xml:space="preserve">Opis plánovaných alebo prijatých opatrení </w:t>
      </w:r>
      <w:r w:rsidR="00E4685A" w:rsidRPr="000578FE">
        <w:rPr>
          <w:rFonts w:ascii="Times New Roman" w:eastAsia="Times New Roman" w:hAnsi="Times New Roman" w:cs="Times New Roman"/>
          <w:i w:val="0"/>
          <w:color w:val="auto"/>
          <w:lang w:eastAsia="sk-SK"/>
        </w:rPr>
        <w:t>na zabezpečenie toho, aby sa prostredníctvom taríf dodávateľom umožnilo zlepšiť účasť odberateľov na efektívnosti systému vrátane reakcie strany spotreby (článok 15 ods.4 SEE)</w:t>
      </w:r>
      <w:bookmarkEnd w:id="115"/>
      <w:r w:rsidR="00E4685A" w:rsidRPr="000578FE">
        <w:rPr>
          <w:rFonts w:ascii="Times New Roman" w:eastAsia="Times New Roman" w:hAnsi="Times New Roman" w:cs="Times New Roman"/>
          <w:i w:val="0"/>
          <w:color w:val="auto"/>
          <w:lang w:eastAsia="sk-SK"/>
        </w:rPr>
        <w:t xml:space="preserve"> </w:t>
      </w:r>
    </w:p>
    <w:p w14:paraId="1EE53F15" w14:textId="6326184E" w:rsidR="000223AB" w:rsidRPr="00F77093" w:rsidRDefault="000223AB" w:rsidP="000223AB">
      <w:pPr>
        <w:pStyle w:val="odsek"/>
        <w:spacing w:before="0" w:after="0"/>
        <w:ind w:firstLine="0"/>
        <w:jc w:val="left"/>
        <w:rPr>
          <w:color w:val="231F20"/>
          <w:szCs w:val="22"/>
        </w:rPr>
      </w:pPr>
      <w:r w:rsidRPr="00F77093">
        <w:rPr>
          <w:szCs w:val="22"/>
        </w:rPr>
        <w:t xml:space="preserve">Vyhláška ÚRSO o cenovej regulácii v elektroenergetike zvýhodňuje </w:t>
      </w:r>
      <w:r w:rsidRPr="00F77093">
        <w:rPr>
          <w:color w:val="231F20"/>
          <w:szCs w:val="22"/>
        </w:rPr>
        <w:t>pre individuálne sadzby taríf koncových odberateľov elektriny priamo pripojených do prenosovej sústavy.</w:t>
      </w:r>
      <w:r w:rsidR="00F059CA" w:rsidRPr="00F77093">
        <w:rPr>
          <w:color w:val="231F20"/>
          <w:szCs w:val="22"/>
        </w:rPr>
        <w:fldChar w:fldCharType="begin"/>
      </w:r>
      <w:r w:rsidR="00F059CA" w:rsidRPr="00F77093">
        <w:rPr>
          <w:color w:val="231F20"/>
          <w:szCs w:val="22"/>
        </w:rPr>
        <w:instrText xml:space="preserve"> NOTEREF _Ref474760092 \h  \* MERGEFORMAT </w:instrText>
      </w:r>
      <w:r w:rsidR="00F059CA" w:rsidRPr="00F77093">
        <w:rPr>
          <w:color w:val="231F20"/>
          <w:szCs w:val="22"/>
        </w:rPr>
      </w:r>
      <w:r w:rsidR="00F059CA" w:rsidRPr="00F77093">
        <w:rPr>
          <w:color w:val="231F20"/>
          <w:szCs w:val="22"/>
        </w:rPr>
        <w:fldChar w:fldCharType="separate"/>
      </w:r>
      <w:r w:rsidR="007C62A8" w:rsidRPr="007C62A8">
        <w:rPr>
          <w:color w:val="231F20"/>
          <w:szCs w:val="22"/>
          <w:vertAlign w:val="superscript"/>
        </w:rPr>
        <w:t>38</w:t>
      </w:r>
      <w:r w:rsidR="00F059CA" w:rsidRPr="00F77093">
        <w:rPr>
          <w:color w:val="231F20"/>
          <w:szCs w:val="22"/>
        </w:rPr>
        <w:fldChar w:fldCharType="end"/>
      </w:r>
      <w:r w:rsidRPr="00F77093">
        <w:rPr>
          <w:color w:val="231F20"/>
          <w:szCs w:val="22"/>
        </w:rPr>
        <w:t xml:space="preserve"> </w:t>
      </w:r>
    </w:p>
    <w:p w14:paraId="092E1ED7" w14:textId="208EF4CE" w:rsidR="00E4685A" w:rsidRPr="009F2998" w:rsidRDefault="00E4685A" w:rsidP="00E4685A">
      <w:pPr>
        <w:rPr>
          <w:rFonts w:ascii="Times New Roman" w:hAnsi="Times New Roman" w:cs="Times New Roman"/>
        </w:rPr>
      </w:pPr>
    </w:p>
    <w:p w14:paraId="4961CBD0" w14:textId="77777777" w:rsidR="001D5205" w:rsidRPr="000578FE" w:rsidRDefault="001D5205" w:rsidP="007157D7">
      <w:pPr>
        <w:pStyle w:val="Nadpis3"/>
        <w:keepNext w:val="0"/>
        <w:keepLines w:val="0"/>
        <w:numPr>
          <w:ilvl w:val="2"/>
          <w:numId w:val="16"/>
        </w:numPr>
        <w:ind w:left="1276" w:hanging="567"/>
        <w:rPr>
          <w:rFonts w:ascii="Times New Roman" w:hAnsi="Times New Roman" w:cs="Times New Roman"/>
          <w:color w:val="auto"/>
        </w:rPr>
      </w:pPr>
      <w:bookmarkStart w:id="116" w:name="_Toc477345406"/>
      <w:r w:rsidRPr="000578FE">
        <w:rPr>
          <w:rFonts w:ascii="Times New Roman" w:hAnsi="Times New Roman" w:cs="Times New Roman"/>
          <w:color w:val="auto"/>
        </w:rPr>
        <w:t>Uľahčenie a podpora reakcie strany spotreby (článok 15 SEE)</w:t>
      </w:r>
      <w:bookmarkEnd w:id="116"/>
    </w:p>
    <w:p w14:paraId="40BC5AC9" w14:textId="77777777" w:rsidR="00AC64F1" w:rsidRPr="00F77093" w:rsidRDefault="00AC64F1" w:rsidP="0080114C">
      <w:pPr>
        <w:rPr>
          <w:rFonts w:ascii="Times New Roman" w:hAnsi="Times New Roman" w:cs="Times New Roman"/>
          <w:sz w:val="24"/>
        </w:rPr>
      </w:pPr>
    </w:p>
    <w:p w14:paraId="09A10ED1" w14:textId="74FCCC68" w:rsidR="00F059CA" w:rsidRPr="00F77093" w:rsidRDefault="00F059CA">
      <w:pPr>
        <w:pStyle w:val="odsek"/>
        <w:spacing w:before="0" w:after="0"/>
        <w:ind w:firstLine="0"/>
        <w:rPr>
          <w:szCs w:val="22"/>
        </w:rPr>
      </w:pPr>
      <w:r w:rsidRPr="00F77093">
        <w:rPr>
          <w:szCs w:val="22"/>
        </w:rPr>
        <w:t xml:space="preserve">Podľa § 9 ods. 3 písm. a) zákona č. 250/2012 Z. z., ÚRSO  </w:t>
      </w:r>
      <w:r w:rsidRPr="00F77093">
        <w:rPr>
          <w:color w:val="000000"/>
          <w:szCs w:val="22"/>
        </w:rPr>
        <w:t xml:space="preserve">do 31. decembra </w:t>
      </w:r>
      <w:smartTag w:uri="urn:schemas-microsoft-com:office:smarttags" w:element="metricconverter">
        <w:smartTagPr>
          <w:attr w:name="ProductID" w:val="2013 a"/>
        </w:smartTagPr>
        <w:r w:rsidRPr="00F77093">
          <w:rPr>
            <w:color w:val="000000"/>
            <w:szCs w:val="22"/>
          </w:rPr>
          <w:t>2013 a</w:t>
        </w:r>
      </w:smartTag>
      <w:r w:rsidRPr="00F77093">
        <w:rPr>
          <w:color w:val="000000"/>
          <w:szCs w:val="22"/>
        </w:rPr>
        <w:t xml:space="preserve"> následne každé dva roky vždy k 30. júnu aktualizuje v spolupráci s MH SR metodické usmernenie pre elektroenergetické podniky a plynárenské podniky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w:t>
      </w:r>
      <w:bookmarkStart w:id="117" w:name="_Ref474762186"/>
      <w:r w:rsidRPr="00F77093">
        <w:rPr>
          <w:rStyle w:val="Odkaznapoznmkupodiarou"/>
          <w:color w:val="000000"/>
          <w:szCs w:val="22"/>
        </w:rPr>
        <w:footnoteReference w:id="39"/>
      </w:r>
      <w:bookmarkEnd w:id="117"/>
    </w:p>
    <w:p w14:paraId="14F3A10C" w14:textId="77777777" w:rsidR="00AC64F1" w:rsidRPr="009F2998" w:rsidRDefault="00AC64F1" w:rsidP="0080114C">
      <w:pPr>
        <w:rPr>
          <w:rFonts w:ascii="Times New Roman" w:hAnsi="Times New Roman" w:cs="Times New Roman"/>
        </w:rPr>
      </w:pPr>
    </w:p>
    <w:p w14:paraId="47D4BCC2" w14:textId="77777777" w:rsidR="001D5205" w:rsidRPr="000578FE" w:rsidRDefault="00341C70" w:rsidP="007157D7">
      <w:pPr>
        <w:pStyle w:val="Nadpis3"/>
        <w:keepNext w:val="0"/>
        <w:keepLines w:val="0"/>
        <w:numPr>
          <w:ilvl w:val="2"/>
          <w:numId w:val="16"/>
        </w:numPr>
        <w:ind w:left="1276" w:hanging="567"/>
        <w:rPr>
          <w:rFonts w:ascii="Times New Roman" w:hAnsi="Times New Roman" w:cs="Times New Roman"/>
          <w:color w:val="auto"/>
        </w:rPr>
      </w:pPr>
      <w:bookmarkStart w:id="118" w:name="_Toc477345407"/>
      <w:r w:rsidRPr="000578FE">
        <w:rPr>
          <w:rFonts w:ascii="Times New Roman" w:hAnsi="Times New Roman" w:cs="Times New Roman"/>
          <w:color w:val="auto"/>
        </w:rPr>
        <w:t>Energetická efektívnosť</w:t>
      </w:r>
      <w:r w:rsidR="001D5205" w:rsidRPr="000578FE">
        <w:rPr>
          <w:rFonts w:ascii="Times New Roman" w:hAnsi="Times New Roman" w:cs="Times New Roman"/>
          <w:color w:val="auto"/>
        </w:rPr>
        <w:t xml:space="preserve"> pri vytváraní a regulácií sietí (článok 15 SEE)</w:t>
      </w:r>
      <w:bookmarkEnd w:id="118"/>
    </w:p>
    <w:p w14:paraId="475A4248" w14:textId="784E47B0" w:rsidR="00A42CF0" w:rsidRPr="007577DE" w:rsidRDefault="00960A8B" w:rsidP="007577DE">
      <w:pPr>
        <w:rPr>
          <w:rFonts w:ascii="Times New Roman" w:hAnsi="Times New Roman" w:cs="Times New Roman"/>
          <w:sz w:val="24"/>
          <w:lang w:eastAsia="sk-SK"/>
        </w:rPr>
      </w:pPr>
      <w:r w:rsidRPr="007577DE">
        <w:rPr>
          <w:rFonts w:ascii="Times New Roman" w:hAnsi="Times New Roman" w:cs="Times New Roman"/>
          <w:sz w:val="24"/>
          <w:lang w:eastAsia="sk-SK"/>
        </w:rPr>
        <w:t xml:space="preserve">Podrobnosti sú uvedené v metodickom </w:t>
      </w:r>
      <w:r w:rsidR="00A06490" w:rsidRPr="007577DE">
        <w:rPr>
          <w:rFonts w:ascii="Times New Roman" w:hAnsi="Times New Roman" w:cs="Times New Roman"/>
          <w:sz w:val="24"/>
          <w:lang w:eastAsia="sk-SK"/>
        </w:rPr>
        <w:t>pokyne Úradu pre reguláciu sieťových odvetví.</w:t>
      </w:r>
      <w:r w:rsidR="00A06490" w:rsidRPr="004E746F">
        <w:rPr>
          <w:rFonts w:ascii="Times New Roman" w:hAnsi="Times New Roman" w:cs="Times New Roman"/>
          <w:sz w:val="24"/>
          <w:vertAlign w:val="superscript"/>
          <w:lang w:eastAsia="sk-SK"/>
        </w:rPr>
        <w:fldChar w:fldCharType="begin"/>
      </w:r>
      <w:r w:rsidR="00A06490" w:rsidRPr="004E746F">
        <w:rPr>
          <w:rFonts w:ascii="Times New Roman" w:hAnsi="Times New Roman" w:cs="Times New Roman"/>
          <w:sz w:val="24"/>
          <w:vertAlign w:val="superscript"/>
          <w:lang w:eastAsia="sk-SK"/>
        </w:rPr>
        <w:instrText xml:space="preserve"> NOTEREF _Ref474762186 \h  \* MERGEFORMAT </w:instrText>
      </w:r>
      <w:r w:rsidR="00A06490" w:rsidRPr="004E746F">
        <w:rPr>
          <w:rFonts w:ascii="Times New Roman" w:hAnsi="Times New Roman" w:cs="Times New Roman"/>
          <w:sz w:val="24"/>
          <w:vertAlign w:val="superscript"/>
          <w:lang w:eastAsia="sk-SK"/>
        </w:rPr>
      </w:r>
      <w:r w:rsidR="00A06490" w:rsidRPr="004E746F">
        <w:rPr>
          <w:rFonts w:ascii="Times New Roman" w:hAnsi="Times New Roman" w:cs="Times New Roman"/>
          <w:sz w:val="24"/>
          <w:vertAlign w:val="superscript"/>
          <w:lang w:eastAsia="sk-SK"/>
        </w:rPr>
        <w:fldChar w:fldCharType="separate"/>
      </w:r>
      <w:r w:rsidR="007C62A8">
        <w:rPr>
          <w:rFonts w:ascii="Times New Roman" w:hAnsi="Times New Roman" w:cs="Times New Roman"/>
          <w:sz w:val="24"/>
          <w:vertAlign w:val="superscript"/>
          <w:lang w:eastAsia="sk-SK"/>
        </w:rPr>
        <w:t>39</w:t>
      </w:r>
      <w:r w:rsidR="00A06490" w:rsidRPr="004E746F">
        <w:rPr>
          <w:rFonts w:ascii="Times New Roman" w:hAnsi="Times New Roman" w:cs="Times New Roman"/>
          <w:sz w:val="24"/>
          <w:vertAlign w:val="superscript"/>
          <w:lang w:eastAsia="sk-SK"/>
        </w:rPr>
        <w:fldChar w:fldCharType="end"/>
      </w:r>
    </w:p>
    <w:p w14:paraId="57BBAD4D" w14:textId="77777777" w:rsidR="00485DB2" w:rsidRDefault="00960A8B">
      <w:pPr>
        <w:rPr>
          <w:rFonts w:ascii="Times New Roman" w:hAnsi="Times New Roman" w:cs="Times New Roman"/>
        </w:rPr>
        <w:sectPr w:rsidR="00485DB2" w:rsidSect="00245F4D">
          <w:pgSz w:w="11906" w:h="16838"/>
          <w:pgMar w:top="1417" w:right="1417" w:bottom="1417" w:left="1417" w:header="708" w:footer="708" w:gutter="0"/>
          <w:pgBorders w:offsetFrom="page">
            <w:top w:val="single" w:sz="4" w:space="24" w:color="FFFFFF"/>
            <w:left w:val="single" w:sz="4" w:space="24" w:color="FFFFFF"/>
            <w:bottom w:val="single" w:sz="4" w:space="24" w:color="FFFFFF"/>
            <w:right w:val="single" w:sz="4" w:space="24" w:color="FFFFFF"/>
          </w:pgBorders>
          <w:cols w:space="708"/>
          <w:docGrid w:linePitch="360"/>
        </w:sectPr>
      </w:pPr>
      <w:r w:rsidRPr="009F2998">
        <w:rPr>
          <w:rFonts w:ascii="Times New Roman" w:hAnsi="Times New Roman" w:cs="Times New Roman"/>
        </w:rPr>
        <w:t xml:space="preserve"> </w:t>
      </w:r>
    </w:p>
    <w:p w14:paraId="6CAD9BE5" w14:textId="2B31F601" w:rsidR="001D5205" w:rsidRPr="001B1483" w:rsidRDefault="001D5205" w:rsidP="004A66C0">
      <w:pPr>
        <w:pStyle w:val="Nadpis1"/>
        <w:keepNext w:val="0"/>
        <w:keepLines w:val="0"/>
        <w:numPr>
          <w:ilvl w:val="0"/>
          <w:numId w:val="0"/>
        </w:numPr>
        <w:tabs>
          <w:tab w:val="left" w:pos="1365"/>
        </w:tabs>
        <w:ind w:left="432" w:hanging="432"/>
        <w:rPr>
          <w:rFonts w:ascii="Times New Roman" w:hAnsi="Times New Roman" w:cs="Times New Roman"/>
          <w:b/>
          <w:color w:val="auto"/>
        </w:rPr>
      </w:pPr>
      <w:bookmarkStart w:id="119" w:name="_Toc477345408"/>
      <w:r w:rsidRPr="001B1483">
        <w:rPr>
          <w:rFonts w:ascii="Times New Roman" w:hAnsi="Times New Roman" w:cs="Times New Roman"/>
          <w:b/>
          <w:color w:val="auto"/>
        </w:rPr>
        <w:lastRenderedPageBreak/>
        <w:t>Záver</w:t>
      </w:r>
      <w:bookmarkEnd w:id="119"/>
      <w:r w:rsidR="004A66C0" w:rsidRPr="001B1483">
        <w:rPr>
          <w:rFonts w:ascii="Times New Roman" w:hAnsi="Times New Roman" w:cs="Times New Roman"/>
          <w:b/>
          <w:color w:val="auto"/>
        </w:rPr>
        <w:tab/>
      </w:r>
    </w:p>
    <w:p w14:paraId="7B1B4E55" w14:textId="77777777" w:rsidR="00F01807" w:rsidRPr="009F2998" w:rsidRDefault="00F01807" w:rsidP="004A66C0">
      <w:pPr>
        <w:jc w:val="both"/>
        <w:rPr>
          <w:rFonts w:ascii="Times New Roman" w:hAnsi="Times New Roman" w:cs="Times New Roman"/>
        </w:rPr>
      </w:pPr>
    </w:p>
    <w:p w14:paraId="503F3AE8" w14:textId="3DDA82DC" w:rsidR="00F01807" w:rsidRPr="00F77093" w:rsidRDefault="00ED3085" w:rsidP="00F01807">
      <w:pPr>
        <w:jc w:val="both"/>
        <w:rPr>
          <w:rFonts w:ascii="Times New Roman" w:hAnsi="Times New Roman" w:cs="Times New Roman"/>
          <w:sz w:val="24"/>
        </w:rPr>
      </w:pPr>
      <w:r w:rsidRPr="00F77093">
        <w:rPr>
          <w:rFonts w:ascii="Times New Roman" w:hAnsi="Times New Roman" w:cs="Times New Roman"/>
          <w:sz w:val="24"/>
        </w:rPr>
        <w:t>Štvrtý akčný plán energetickej efektívnosti n</w:t>
      </w:r>
      <w:r w:rsidR="00F01807" w:rsidRPr="00F77093">
        <w:rPr>
          <w:rFonts w:ascii="Times New Roman" w:hAnsi="Times New Roman" w:cs="Times New Roman"/>
          <w:sz w:val="24"/>
        </w:rPr>
        <w:t>a jednej strane vyhodnocuje opatrenia energetickej efektívnosti za obdobie 2014-2016</w:t>
      </w:r>
      <w:r w:rsidRPr="00F77093">
        <w:rPr>
          <w:rFonts w:ascii="Times New Roman" w:hAnsi="Times New Roman" w:cs="Times New Roman"/>
          <w:sz w:val="24"/>
        </w:rPr>
        <w:t>, vyhodnocuje plnenie stanovených cieľov v oblasti úspor energie</w:t>
      </w:r>
      <w:r w:rsidR="00F01807" w:rsidRPr="00F77093">
        <w:rPr>
          <w:rFonts w:ascii="Times New Roman" w:hAnsi="Times New Roman" w:cs="Times New Roman"/>
          <w:sz w:val="24"/>
        </w:rPr>
        <w:t xml:space="preserve"> a </w:t>
      </w:r>
      <w:r w:rsidRPr="00F77093">
        <w:rPr>
          <w:rFonts w:ascii="Times New Roman" w:hAnsi="Times New Roman" w:cs="Times New Roman"/>
          <w:sz w:val="24"/>
        </w:rPr>
        <w:t xml:space="preserve">navrhuje plánované opatrenia energetickej efektívnosti  na ďalšie trojročné obdobie </w:t>
      </w:r>
      <w:r w:rsidR="00F01807" w:rsidRPr="00F77093">
        <w:rPr>
          <w:rFonts w:ascii="Times New Roman" w:hAnsi="Times New Roman" w:cs="Times New Roman"/>
          <w:sz w:val="24"/>
        </w:rPr>
        <w:t>s výhľadom do roku 2020</w:t>
      </w:r>
      <w:r w:rsidRPr="00F77093">
        <w:rPr>
          <w:rFonts w:ascii="Times New Roman" w:hAnsi="Times New Roman" w:cs="Times New Roman"/>
          <w:sz w:val="24"/>
        </w:rPr>
        <w:t xml:space="preserve"> tak, aby bolo možné plniť záväzky SR do roku 2020</w:t>
      </w:r>
      <w:r w:rsidR="00F01807" w:rsidRPr="00F77093">
        <w:rPr>
          <w:rFonts w:ascii="Times New Roman" w:hAnsi="Times New Roman" w:cs="Times New Roman"/>
          <w:sz w:val="24"/>
        </w:rPr>
        <w:t xml:space="preserve">. </w:t>
      </w:r>
      <w:r w:rsidRPr="00F77093">
        <w:rPr>
          <w:rFonts w:ascii="Times New Roman" w:hAnsi="Times New Roman" w:cs="Times New Roman"/>
          <w:sz w:val="24"/>
        </w:rPr>
        <w:t>D</w:t>
      </w:r>
      <w:r w:rsidR="00F01807" w:rsidRPr="00F77093">
        <w:rPr>
          <w:rFonts w:ascii="Times New Roman" w:hAnsi="Times New Roman" w:cs="Times New Roman"/>
          <w:sz w:val="24"/>
        </w:rPr>
        <w:t xml:space="preserve">ôraz </w:t>
      </w:r>
      <w:r w:rsidRPr="00F77093">
        <w:rPr>
          <w:rFonts w:ascii="Times New Roman" w:hAnsi="Times New Roman" w:cs="Times New Roman"/>
          <w:sz w:val="24"/>
        </w:rPr>
        <w:t xml:space="preserve">sa kladie </w:t>
      </w:r>
      <w:r w:rsidR="00F01807" w:rsidRPr="00F77093">
        <w:rPr>
          <w:rFonts w:ascii="Times New Roman" w:hAnsi="Times New Roman" w:cs="Times New Roman"/>
          <w:sz w:val="24"/>
        </w:rPr>
        <w:t xml:space="preserve">na vyhodnocovanie opatrení energetickej efektívnosti zdola nahor na základe konkrétnych projektov a na podrobný opis metodiky vyhodnocovania. </w:t>
      </w:r>
      <w:r w:rsidRPr="00F77093">
        <w:rPr>
          <w:rFonts w:ascii="Times New Roman" w:hAnsi="Times New Roman" w:cs="Times New Roman"/>
          <w:sz w:val="24"/>
        </w:rPr>
        <w:t xml:space="preserve">Štvrtý </w:t>
      </w:r>
      <w:r w:rsidR="00F01807" w:rsidRPr="00F77093">
        <w:rPr>
          <w:rFonts w:ascii="Times New Roman" w:hAnsi="Times New Roman" w:cs="Times New Roman"/>
          <w:sz w:val="24"/>
        </w:rPr>
        <w:t>akčný plán okrem opatrení na strane spotreby</w:t>
      </w:r>
      <w:r w:rsidRPr="00F77093">
        <w:rPr>
          <w:rFonts w:ascii="Times New Roman" w:hAnsi="Times New Roman" w:cs="Times New Roman"/>
          <w:sz w:val="24"/>
        </w:rPr>
        <w:t xml:space="preserve"> energie</w:t>
      </w:r>
      <w:r w:rsidR="00F01807" w:rsidRPr="00F77093">
        <w:rPr>
          <w:rFonts w:ascii="Times New Roman" w:hAnsi="Times New Roman" w:cs="Times New Roman"/>
          <w:sz w:val="24"/>
        </w:rPr>
        <w:t xml:space="preserve"> zahŕňa aj opatrenia na strane premeny, prenosu a distribúcie energie.</w:t>
      </w:r>
    </w:p>
    <w:p w14:paraId="788B3FB9" w14:textId="41C7EC7D" w:rsidR="00DF3EC4" w:rsidRDefault="00942810" w:rsidP="00EC14E2">
      <w:pPr>
        <w:jc w:val="both"/>
        <w:rPr>
          <w:rFonts w:ascii="Times New Roman" w:hAnsi="Times New Roman" w:cs="Times New Roman"/>
          <w:sz w:val="24"/>
        </w:rPr>
      </w:pPr>
      <w:r>
        <w:rPr>
          <w:rFonts w:ascii="Times New Roman" w:hAnsi="Times New Roman" w:cs="Times New Roman"/>
          <w:sz w:val="24"/>
        </w:rPr>
        <w:t xml:space="preserve">Vo vyhodnocovacej časti v rámci kapitoly 1 boli </w:t>
      </w:r>
      <w:r w:rsidR="00C63D74">
        <w:rPr>
          <w:rFonts w:ascii="Times New Roman" w:hAnsi="Times New Roman" w:cs="Times New Roman"/>
          <w:sz w:val="24"/>
        </w:rPr>
        <w:t xml:space="preserve">vyhodnocované </w:t>
      </w:r>
      <w:r>
        <w:rPr>
          <w:rFonts w:ascii="Times New Roman" w:hAnsi="Times New Roman" w:cs="Times New Roman"/>
          <w:sz w:val="24"/>
        </w:rPr>
        <w:t>jednotliv</w:t>
      </w:r>
      <w:r w:rsidR="00C63D74">
        <w:rPr>
          <w:rFonts w:ascii="Times New Roman" w:hAnsi="Times New Roman" w:cs="Times New Roman"/>
          <w:sz w:val="24"/>
        </w:rPr>
        <w:t>é</w:t>
      </w:r>
      <w:r>
        <w:rPr>
          <w:rFonts w:ascii="Times New Roman" w:hAnsi="Times New Roman" w:cs="Times New Roman"/>
          <w:sz w:val="24"/>
        </w:rPr>
        <w:t xml:space="preserve"> cie</w:t>
      </w:r>
      <w:r w:rsidR="00C63D74">
        <w:rPr>
          <w:rFonts w:ascii="Times New Roman" w:hAnsi="Times New Roman" w:cs="Times New Roman"/>
          <w:sz w:val="24"/>
        </w:rPr>
        <w:t>le</w:t>
      </w:r>
      <w:r>
        <w:rPr>
          <w:rFonts w:ascii="Times New Roman" w:hAnsi="Times New Roman" w:cs="Times New Roman"/>
          <w:sz w:val="24"/>
        </w:rPr>
        <w:t xml:space="preserve"> podľa smerníc 2006/32/ES a 2012/27/EÚ</w:t>
      </w:r>
      <w:r w:rsidR="00DF3EC4">
        <w:rPr>
          <w:rFonts w:ascii="Times New Roman" w:hAnsi="Times New Roman" w:cs="Times New Roman"/>
          <w:sz w:val="24"/>
        </w:rPr>
        <w:t xml:space="preserve"> vrátane odôvodnenia.</w:t>
      </w:r>
    </w:p>
    <w:p w14:paraId="2A5C38F4" w14:textId="369D02DF" w:rsidR="008F4A21" w:rsidRDefault="00942810" w:rsidP="008F4A21">
      <w:pPr>
        <w:jc w:val="both"/>
        <w:rPr>
          <w:rFonts w:ascii="Times New Roman" w:hAnsi="Times New Roman" w:cs="Times New Roman"/>
          <w:sz w:val="24"/>
          <w:szCs w:val="24"/>
        </w:rPr>
      </w:pPr>
      <w:r w:rsidRPr="00A622E5">
        <w:rPr>
          <w:rFonts w:ascii="Times New Roman" w:hAnsi="Times New Roman" w:cs="Times New Roman"/>
          <w:sz w:val="24"/>
          <w:szCs w:val="24"/>
        </w:rPr>
        <w:t xml:space="preserve">Na základe dostupných údajov pre rok 2016 je možné konštatovať, že </w:t>
      </w:r>
      <w:r w:rsidRPr="001B1483">
        <w:rPr>
          <w:rFonts w:ascii="Times New Roman" w:hAnsi="Times New Roman" w:cs="Times New Roman"/>
          <w:b/>
          <w:sz w:val="24"/>
          <w:szCs w:val="24"/>
        </w:rPr>
        <w:t>cieľ úspor energie podľa smernice 2006/32/ES</w:t>
      </w:r>
      <w:r w:rsidR="00765FF8">
        <w:rPr>
          <w:rFonts w:ascii="Times New Roman" w:hAnsi="Times New Roman" w:cs="Times New Roman"/>
          <w:b/>
          <w:sz w:val="24"/>
          <w:szCs w:val="24"/>
        </w:rPr>
        <w:t xml:space="preserve"> stanovený do roku 2016</w:t>
      </w:r>
      <w:r w:rsidRPr="001B1483">
        <w:rPr>
          <w:rFonts w:ascii="Times New Roman" w:hAnsi="Times New Roman" w:cs="Times New Roman"/>
          <w:b/>
          <w:sz w:val="24"/>
          <w:szCs w:val="24"/>
        </w:rPr>
        <w:t xml:space="preserve"> vo výške 28 098 TJ nebol naplnený</w:t>
      </w:r>
      <w:r w:rsidRPr="00A622E5">
        <w:rPr>
          <w:rFonts w:ascii="Times New Roman" w:hAnsi="Times New Roman" w:cs="Times New Roman"/>
          <w:sz w:val="24"/>
          <w:szCs w:val="24"/>
        </w:rPr>
        <w:t>.</w:t>
      </w:r>
      <w:r w:rsidR="00765FF8">
        <w:rPr>
          <w:rFonts w:ascii="Times New Roman" w:hAnsi="Times New Roman" w:cs="Times New Roman"/>
          <w:sz w:val="24"/>
          <w:szCs w:val="24"/>
        </w:rPr>
        <w:t xml:space="preserve"> Tento cieľ bol</w:t>
      </w:r>
      <w:r w:rsidRPr="00A622E5">
        <w:rPr>
          <w:rFonts w:ascii="Times New Roman" w:hAnsi="Times New Roman" w:cs="Times New Roman"/>
          <w:sz w:val="24"/>
          <w:szCs w:val="24"/>
        </w:rPr>
        <w:t xml:space="preserve"> plnený vo výške </w:t>
      </w:r>
      <w:r w:rsidR="00517672" w:rsidRPr="00AF5415">
        <w:rPr>
          <w:rFonts w:ascii="Times New Roman" w:hAnsi="Times New Roman" w:cs="Times New Roman"/>
          <w:b/>
          <w:sz w:val="24"/>
          <w:szCs w:val="24"/>
        </w:rPr>
        <w:t>26 158</w:t>
      </w:r>
      <w:r w:rsidRPr="00AF5415">
        <w:rPr>
          <w:rFonts w:ascii="Times New Roman" w:hAnsi="Times New Roman" w:cs="Times New Roman"/>
          <w:b/>
          <w:sz w:val="24"/>
          <w:szCs w:val="24"/>
        </w:rPr>
        <w:t xml:space="preserve"> TJ</w:t>
      </w:r>
      <w:r w:rsidRPr="00A622E5">
        <w:rPr>
          <w:rFonts w:ascii="Times New Roman" w:hAnsi="Times New Roman" w:cs="Times New Roman"/>
          <w:sz w:val="24"/>
          <w:szCs w:val="24"/>
        </w:rPr>
        <w:t xml:space="preserve"> (</w:t>
      </w:r>
      <w:r w:rsidR="00517672" w:rsidRPr="00AF5415">
        <w:rPr>
          <w:rFonts w:ascii="Times New Roman" w:hAnsi="Times New Roman" w:cs="Times New Roman"/>
          <w:b/>
          <w:sz w:val="24"/>
          <w:szCs w:val="24"/>
        </w:rPr>
        <w:t>93,1%</w:t>
      </w:r>
      <w:r w:rsidRPr="00A622E5">
        <w:rPr>
          <w:rFonts w:ascii="Times New Roman" w:hAnsi="Times New Roman" w:cs="Times New Roman"/>
          <w:sz w:val="24"/>
          <w:szCs w:val="24"/>
        </w:rPr>
        <w:t xml:space="preserve">). Čo sa týka plnenia cieľov </w:t>
      </w:r>
      <w:r w:rsidR="00EC14E2" w:rsidRPr="00A622E5">
        <w:rPr>
          <w:rFonts w:ascii="Times New Roman" w:hAnsi="Times New Roman" w:cs="Times New Roman"/>
          <w:sz w:val="24"/>
          <w:szCs w:val="24"/>
        </w:rPr>
        <w:t xml:space="preserve">pre rok 2016 </w:t>
      </w:r>
      <w:r w:rsidRPr="00A622E5">
        <w:rPr>
          <w:rFonts w:ascii="Times New Roman" w:hAnsi="Times New Roman" w:cs="Times New Roman"/>
          <w:sz w:val="24"/>
          <w:szCs w:val="24"/>
        </w:rPr>
        <w:t xml:space="preserve">podľa </w:t>
      </w:r>
      <w:r w:rsidR="00B363DE" w:rsidRPr="00A622E5">
        <w:rPr>
          <w:rFonts w:ascii="Times New Roman" w:hAnsi="Times New Roman" w:cs="Times New Roman"/>
          <w:sz w:val="24"/>
          <w:szCs w:val="24"/>
        </w:rPr>
        <w:t xml:space="preserve">jednotlivých článkov </w:t>
      </w:r>
      <w:r w:rsidRPr="00A622E5">
        <w:rPr>
          <w:rFonts w:ascii="Times New Roman" w:hAnsi="Times New Roman" w:cs="Times New Roman"/>
          <w:sz w:val="24"/>
          <w:szCs w:val="24"/>
        </w:rPr>
        <w:t xml:space="preserve">smernice 2012/27/EÚ </w:t>
      </w:r>
      <w:r w:rsidR="0015005C" w:rsidRPr="00A622E5">
        <w:rPr>
          <w:rFonts w:ascii="Times New Roman" w:hAnsi="Times New Roman" w:cs="Times New Roman"/>
          <w:sz w:val="24"/>
          <w:szCs w:val="24"/>
        </w:rPr>
        <w:t xml:space="preserve">je možné konštatovať, že </w:t>
      </w:r>
      <w:r w:rsidR="00765FF8">
        <w:rPr>
          <w:rFonts w:ascii="Times New Roman" w:hAnsi="Times New Roman" w:cs="Times New Roman"/>
          <w:sz w:val="24"/>
          <w:szCs w:val="24"/>
        </w:rPr>
        <w:t xml:space="preserve">úroveň energetickej spotreby v SR je zatiaľ v rámci stanoveného </w:t>
      </w:r>
      <w:r w:rsidR="0015005C" w:rsidRPr="001B1483">
        <w:rPr>
          <w:rFonts w:ascii="Times New Roman" w:hAnsi="Times New Roman" w:cs="Times New Roman"/>
          <w:b/>
          <w:sz w:val="24"/>
          <w:szCs w:val="24"/>
        </w:rPr>
        <w:t>národn</w:t>
      </w:r>
      <w:r w:rsidR="00765FF8">
        <w:rPr>
          <w:rFonts w:ascii="Times New Roman" w:hAnsi="Times New Roman" w:cs="Times New Roman"/>
          <w:b/>
          <w:sz w:val="24"/>
          <w:szCs w:val="24"/>
        </w:rPr>
        <w:t>ého</w:t>
      </w:r>
      <w:r w:rsidR="0015005C" w:rsidRPr="001B1483">
        <w:rPr>
          <w:rFonts w:ascii="Times New Roman" w:hAnsi="Times New Roman" w:cs="Times New Roman"/>
          <w:b/>
          <w:sz w:val="24"/>
          <w:szCs w:val="24"/>
        </w:rPr>
        <w:t xml:space="preserve"> indikatívn</w:t>
      </w:r>
      <w:r w:rsidR="00765FF8">
        <w:rPr>
          <w:rFonts w:ascii="Times New Roman" w:hAnsi="Times New Roman" w:cs="Times New Roman"/>
          <w:b/>
          <w:sz w:val="24"/>
          <w:szCs w:val="24"/>
        </w:rPr>
        <w:t>eho</w:t>
      </w:r>
      <w:r w:rsidR="0015005C" w:rsidRPr="001B1483">
        <w:rPr>
          <w:rFonts w:ascii="Times New Roman" w:hAnsi="Times New Roman" w:cs="Times New Roman"/>
          <w:b/>
          <w:sz w:val="24"/>
          <w:szCs w:val="24"/>
        </w:rPr>
        <w:t xml:space="preserve"> cieľ</w:t>
      </w:r>
      <w:r w:rsidR="00765FF8">
        <w:rPr>
          <w:rFonts w:ascii="Times New Roman" w:hAnsi="Times New Roman" w:cs="Times New Roman"/>
          <w:b/>
          <w:sz w:val="24"/>
          <w:szCs w:val="24"/>
        </w:rPr>
        <w:t>a</w:t>
      </w:r>
      <w:r w:rsidR="0015005C" w:rsidRPr="001B1483">
        <w:rPr>
          <w:rFonts w:ascii="Times New Roman" w:hAnsi="Times New Roman" w:cs="Times New Roman"/>
          <w:b/>
          <w:sz w:val="24"/>
          <w:szCs w:val="24"/>
        </w:rPr>
        <w:t xml:space="preserve"> energetickej efektívnosti podľa čl. 3 </w:t>
      </w:r>
      <w:r w:rsidR="00765FF8">
        <w:rPr>
          <w:rFonts w:ascii="Times New Roman" w:hAnsi="Times New Roman" w:cs="Times New Roman"/>
          <w:b/>
          <w:sz w:val="24"/>
          <w:szCs w:val="24"/>
        </w:rPr>
        <w:t xml:space="preserve">do roku 2020, avšak bez zásadných zmien môže byť plnenie tohto cieľa </w:t>
      </w:r>
      <w:r w:rsidR="0015005C" w:rsidRPr="001B1483">
        <w:rPr>
          <w:rFonts w:ascii="Times New Roman" w:hAnsi="Times New Roman" w:cs="Times New Roman"/>
          <w:b/>
          <w:sz w:val="24"/>
          <w:szCs w:val="24"/>
        </w:rPr>
        <w:t>ohrozen</w:t>
      </w:r>
      <w:r w:rsidR="00765FF8">
        <w:rPr>
          <w:rFonts w:ascii="Times New Roman" w:hAnsi="Times New Roman" w:cs="Times New Roman"/>
          <w:b/>
          <w:sz w:val="24"/>
          <w:szCs w:val="24"/>
        </w:rPr>
        <w:t>é</w:t>
      </w:r>
      <w:r w:rsidR="0015005C" w:rsidRPr="001B1483">
        <w:rPr>
          <w:rFonts w:ascii="Times New Roman" w:hAnsi="Times New Roman" w:cs="Times New Roman"/>
          <w:b/>
          <w:sz w:val="24"/>
          <w:szCs w:val="24"/>
        </w:rPr>
        <w:t>.</w:t>
      </w:r>
      <w:r w:rsidR="0015005C" w:rsidRPr="00A622E5">
        <w:rPr>
          <w:rFonts w:ascii="Times New Roman" w:hAnsi="Times New Roman" w:cs="Times New Roman"/>
          <w:sz w:val="24"/>
          <w:szCs w:val="24"/>
        </w:rPr>
        <w:t xml:space="preserve"> </w:t>
      </w:r>
      <w:r w:rsidR="00B363DE" w:rsidRPr="00A622E5">
        <w:rPr>
          <w:rFonts w:ascii="Times New Roman" w:hAnsi="Times New Roman" w:cs="Times New Roman"/>
          <w:sz w:val="24"/>
          <w:szCs w:val="24"/>
        </w:rPr>
        <w:t>Ďalším hodnoteným cieľom bol</w:t>
      </w:r>
      <w:r w:rsidR="00765FF8">
        <w:rPr>
          <w:rFonts w:ascii="Times New Roman" w:hAnsi="Times New Roman" w:cs="Times New Roman"/>
          <w:sz w:val="24"/>
          <w:szCs w:val="24"/>
        </w:rPr>
        <w:t xml:space="preserve"> cieľ </w:t>
      </w:r>
      <w:r w:rsidR="00B363DE" w:rsidRPr="00A622E5">
        <w:rPr>
          <w:rFonts w:ascii="Times New Roman" w:hAnsi="Times New Roman" w:cs="Times New Roman"/>
          <w:sz w:val="24"/>
          <w:szCs w:val="24"/>
        </w:rPr>
        <w:t xml:space="preserve"> úspor energie </w:t>
      </w:r>
      <w:r w:rsidR="00765FF8">
        <w:rPr>
          <w:rFonts w:ascii="Times New Roman" w:hAnsi="Times New Roman" w:cs="Times New Roman"/>
          <w:sz w:val="24"/>
          <w:szCs w:val="24"/>
        </w:rPr>
        <w:t> </w:t>
      </w:r>
      <w:r w:rsidR="00B363DE" w:rsidRPr="00A622E5">
        <w:rPr>
          <w:rFonts w:ascii="Times New Roman" w:hAnsi="Times New Roman" w:cs="Times New Roman"/>
          <w:sz w:val="24"/>
          <w:szCs w:val="24"/>
        </w:rPr>
        <w:t>budov</w:t>
      </w:r>
      <w:r w:rsidR="00765FF8">
        <w:rPr>
          <w:rFonts w:ascii="Times New Roman" w:hAnsi="Times New Roman" w:cs="Times New Roman"/>
          <w:sz w:val="24"/>
          <w:szCs w:val="24"/>
        </w:rPr>
        <w:t xml:space="preserve">, pričom </w:t>
      </w:r>
      <w:r w:rsidR="00765FF8">
        <w:rPr>
          <w:rFonts w:ascii="Times New Roman" w:hAnsi="Times New Roman" w:cs="Times New Roman"/>
          <w:b/>
          <w:sz w:val="24"/>
          <w:szCs w:val="24"/>
        </w:rPr>
        <w:t>tento</w:t>
      </w:r>
      <w:r w:rsidR="00B363DE" w:rsidRPr="001B1483">
        <w:rPr>
          <w:rFonts w:ascii="Times New Roman" w:hAnsi="Times New Roman" w:cs="Times New Roman"/>
          <w:b/>
          <w:sz w:val="24"/>
          <w:szCs w:val="24"/>
        </w:rPr>
        <w:t xml:space="preserve"> cieľ </w:t>
      </w:r>
      <w:r w:rsidR="00765FF8">
        <w:rPr>
          <w:rFonts w:ascii="Times New Roman" w:hAnsi="Times New Roman" w:cs="Times New Roman"/>
          <w:b/>
          <w:sz w:val="24"/>
          <w:szCs w:val="24"/>
        </w:rPr>
        <w:t xml:space="preserve"> stanovený </w:t>
      </w:r>
      <w:r w:rsidR="00B363DE" w:rsidRPr="001B1483">
        <w:rPr>
          <w:rFonts w:ascii="Times New Roman" w:hAnsi="Times New Roman" w:cs="Times New Roman"/>
          <w:b/>
          <w:sz w:val="24"/>
          <w:szCs w:val="24"/>
        </w:rPr>
        <w:t xml:space="preserve"> podľa čl. 5 </w:t>
      </w:r>
      <w:r w:rsidR="00765FF8">
        <w:rPr>
          <w:rFonts w:ascii="Times New Roman" w:hAnsi="Times New Roman" w:cs="Times New Roman"/>
          <w:b/>
          <w:sz w:val="24"/>
          <w:szCs w:val="24"/>
        </w:rPr>
        <w:t xml:space="preserve">smernice </w:t>
      </w:r>
      <w:r w:rsidR="00B363DE" w:rsidRPr="001B1483">
        <w:rPr>
          <w:rFonts w:ascii="Times New Roman" w:hAnsi="Times New Roman" w:cs="Times New Roman"/>
          <w:b/>
          <w:sz w:val="24"/>
          <w:szCs w:val="24"/>
        </w:rPr>
        <w:t>nebol  naplnený.</w:t>
      </w:r>
      <w:r w:rsidR="00B363DE" w:rsidRPr="00A622E5">
        <w:rPr>
          <w:rFonts w:ascii="Times New Roman" w:hAnsi="Times New Roman" w:cs="Times New Roman"/>
          <w:sz w:val="24"/>
          <w:szCs w:val="24"/>
        </w:rPr>
        <w:t xml:space="preserve"> </w:t>
      </w:r>
      <w:r w:rsidR="008F4A21">
        <w:rPr>
          <w:rFonts w:ascii="Times New Roman" w:hAnsi="Times New Roman" w:cs="Times New Roman"/>
          <w:sz w:val="24"/>
          <w:szCs w:val="24"/>
        </w:rPr>
        <w:t xml:space="preserve">Je preto nevyhnutné, aby Ministerstvo dopravy a výstavby Slovenskej republiky, ktoré je podľa zákona č. 575/2001 Z. z. </w:t>
      </w:r>
      <w:r w:rsidR="008F4A21" w:rsidRPr="008F4A21">
        <w:rPr>
          <w:rFonts w:ascii="Times New Roman" w:hAnsi="Times New Roman" w:cs="Times New Roman"/>
          <w:sz w:val="24"/>
          <w:szCs w:val="24"/>
        </w:rPr>
        <w:t>o organizácii činnosti vlády a organizácii ústrednej štátnej sprá</w:t>
      </w:r>
      <w:r w:rsidR="008F4A21">
        <w:rPr>
          <w:rFonts w:ascii="Times New Roman" w:hAnsi="Times New Roman" w:cs="Times New Roman"/>
          <w:sz w:val="24"/>
          <w:szCs w:val="24"/>
        </w:rPr>
        <w:t xml:space="preserve">vy v znení neskorších predpisov zodpovedné za oblasť energetickej hospodárnosti budov, </w:t>
      </w:r>
      <w:r w:rsidR="008A64AA">
        <w:rPr>
          <w:rFonts w:ascii="Times New Roman" w:hAnsi="Times New Roman" w:cs="Times New Roman"/>
          <w:sz w:val="24"/>
          <w:szCs w:val="24"/>
        </w:rPr>
        <w:t xml:space="preserve">navrhlo </w:t>
      </w:r>
      <w:r w:rsidR="008F4A21" w:rsidRPr="001B1483">
        <w:rPr>
          <w:rFonts w:ascii="Times New Roman" w:hAnsi="Times New Roman" w:cs="Times New Roman"/>
          <w:b/>
          <w:sz w:val="24"/>
          <w:szCs w:val="24"/>
        </w:rPr>
        <w:t>adekvátne opatrenia na plnenie tohto cieľa</w:t>
      </w:r>
      <w:r w:rsidR="008F4A21">
        <w:rPr>
          <w:rFonts w:ascii="Times New Roman" w:hAnsi="Times New Roman" w:cs="Times New Roman"/>
          <w:sz w:val="24"/>
          <w:szCs w:val="24"/>
        </w:rPr>
        <w:t>.</w:t>
      </w:r>
    </w:p>
    <w:p w14:paraId="727BDA7F" w14:textId="0F866973" w:rsidR="00C63D74" w:rsidRDefault="00B363DE" w:rsidP="00942810">
      <w:pPr>
        <w:jc w:val="both"/>
        <w:rPr>
          <w:rFonts w:ascii="Times New Roman" w:hAnsi="Times New Roman" w:cs="Times New Roman"/>
          <w:sz w:val="24"/>
          <w:szCs w:val="24"/>
        </w:rPr>
      </w:pPr>
      <w:r w:rsidRPr="00A622E5">
        <w:rPr>
          <w:rFonts w:ascii="Times New Roman" w:hAnsi="Times New Roman" w:cs="Times New Roman"/>
          <w:sz w:val="24"/>
          <w:szCs w:val="24"/>
        </w:rPr>
        <w:t>Posledným hodnoteným cieľom podľa tejto smernice je cieľ úspor energie u konečného spotrebiteľa</w:t>
      </w:r>
      <w:r w:rsidR="00EC14E2" w:rsidRPr="00A622E5">
        <w:rPr>
          <w:rFonts w:ascii="Times New Roman" w:hAnsi="Times New Roman" w:cs="Times New Roman"/>
          <w:sz w:val="24"/>
          <w:szCs w:val="24"/>
        </w:rPr>
        <w:t xml:space="preserve">, pričom bolo vyčíslené, že </w:t>
      </w:r>
      <w:r w:rsidR="00EC14E2" w:rsidRPr="001B1483">
        <w:rPr>
          <w:rFonts w:ascii="Times New Roman" w:hAnsi="Times New Roman" w:cs="Times New Roman"/>
          <w:b/>
          <w:sz w:val="24"/>
          <w:szCs w:val="24"/>
        </w:rPr>
        <w:t>cieľ úspor energie u</w:t>
      </w:r>
      <w:r w:rsidR="00EC14E2" w:rsidRPr="001B1483">
        <w:rPr>
          <w:rFonts w:ascii="Times New Roman" w:eastAsiaTheme="majorEastAsia" w:hAnsi="Times New Roman" w:cs="Times New Roman"/>
          <w:b/>
          <w:bCs/>
          <w:sz w:val="24"/>
          <w:szCs w:val="24"/>
        </w:rPr>
        <w:t xml:space="preserve"> konečného spotrebiteľa podľa čl. 7 n</w:t>
      </w:r>
      <w:r w:rsidR="00EC14E2" w:rsidRPr="001B1483">
        <w:rPr>
          <w:rFonts w:ascii="Times New Roman" w:hAnsi="Times New Roman" w:cs="Times New Roman"/>
          <w:b/>
          <w:sz w:val="24"/>
          <w:szCs w:val="24"/>
        </w:rPr>
        <w:t>ebol v roku 2016 naplnený.</w:t>
      </w:r>
      <w:r w:rsidR="00EC14E2" w:rsidRPr="00A622E5">
        <w:rPr>
          <w:rFonts w:ascii="Times New Roman" w:hAnsi="Times New Roman" w:cs="Times New Roman"/>
          <w:sz w:val="24"/>
          <w:szCs w:val="24"/>
        </w:rPr>
        <w:t xml:space="preserve"> Z toho </w:t>
      </w:r>
      <w:r w:rsidR="00EC14E2" w:rsidRPr="00A622E5">
        <w:rPr>
          <w:rFonts w:ascii="Times New Roman" w:eastAsiaTheme="majorEastAsia" w:hAnsi="Times New Roman" w:cs="Times New Roman"/>
          <w:bCs/>
          <w:sz w:val="24"/>
          <w:szCs w:val="24"/>
        </w:rPr>
        <w:t>dôvodu bolo potrebné  prepočítať hodnotu ročného cieľa na obdobie rokov 2017-2020, pričom táto bola zvýšená z </w:t>
      </w:r>
      <w:r w:rsidR="00EC14E2" w:rsidRPr="001B1483">
        <w:rPr>
          <w:rFonts w:ascii="Times New Roman" w:eastAsiaTheme="majorEastAsia" w:hAnsi="Times New Roman" w:cs="Times New Roman"/>
          <w:b/>
          <w:bCs/>
          <w:sz w:val="24"/>
          <w:szCs w:val="24"/>
        </w:rPr>
        <w:t xml:space="preserve">959,84 GWh/rok </w:t>
      </w:r>
      <w:r w:rsidR="00EC14E2" w:rsidRPr="00A622E5">
        <w:rPr>
          <w:rFonts w:ascii="Times New Roman" w:eastAsiaTheme="majorEastAsia" w:hAnsi="Times New Roman" w:cs="Times New Roman"/>
          <w:bCs/>
          <w:sz w:val="24"/>
          <w:szCs w:val="24"/>
        </w:rPr>
        <w:t>(</w:t>
      </w:r>
      <w:r w:rsidR="00EC14E2" w:rsidRPr="001B1483">
        <w:rPr>
          <w:rFonts w:ascii="Times New Roman" w:eastAsiaTheme="majorEastAsia" w:hAnsi="Times New Roman" w:cs="Times New Roman"/>
          <w:bCs/>
          <w:sz w:val="24"/>
          <w:szCs w:val="24"/>
        </w:rPr>
        <w:t>počítaná k</w:t>
      </w:r>
      <w:r w:rsidR="00765FF8">
        <w:rPr>
          <w:rFonts w:ascii="Times New Roman" w:eastAsiaTheme="majorEastAsia" w:hAnsi="Times New Roman" w:cs="Times New Roman"/>
          <w:bCs/>
          <w:sz w:val="24"/>
          <w:szCs w:val="24"/>
        </w:rPr>
        <w:t xml:space="preserve"> roku </w:t>
      </w:r>
      <w:r w:rsidR="00EC14E2" w:rsidRPr="00A622E5">
        <w:rPr>
          <w:rFonts w:ascii="Times New Roman" w:eastAsiaTheme="majorEastAsia" w:hAnsi="Times New Roman" w:cs="Times New Roman"/>
          <w:bCs/>
          <w:sz w:val="24"/>
          <w:szCs w:val="24"/>
        </w:rPr>
        <w:t>2016) na hodnotu</w:t>
      </w:r>
      <w:r w:rsidR="00EC14E2" w:rsidRPr="00A622E5">
        <w:rPr>
          <w:rFonts w:ascii="Times New Roman" w:hAnsi="Times New Roman" w:cs="Times New Roman"/>
          <w:bCs/>
          <w:sz w:val="24"/>
          <w:szCs w:val="24"/>
        </w:rPr>
        <w:t xml:space="preserve"> </w:t>
      </w:r>
      <w:r w:rsidR="00EC14E2" w:rsidRPr="00A622E5">
        <w:rPr>
          <w:rFonts w:ascii="Times New Roman" w:hAnsi="Times New Roman" w:cs="Times New Roman"/>
          <w:b/>
          <w:sz w:val="24"/>
          <w:szCs w:val="24"/>
        </w:rPr>
        <w:t xml:space="preserve">1 </w:t>
      </w:r>
      <w:r w:rsidR="00C350B0">
        <w:rPr>
          <w:rFonts w:ascii="Times New Roman" w:hAnsi="Times New Roman" w:cs="Times New Roman"/>
          <w:b/>
          <w:sz w:val="24"/>
          <w:szCs w:val="24"/>
        </w:rPr>
        <w:t>022</w:t>
      </w:r>
      <w:r w:rsidR="00C350B0" w:rsidRPr="00A622E5">
        <w:rPr>
          <w:rFonts w:ascii="Times New Roman" w:hAnsi="Times New Roman" w:cs="Times New Roman"/>
          <w:b/>
          <w:sz w:val="24"/>
          <w:szCs w:val="24"/>
        </w:rPr>
        <w:t xml:space="preserve"> </w:t>
      </w:r>
      <w:r w:rsidR="00EC14E2" w:rsidRPr="00A622E5">
        <w:rPr>
          <w:rFonts w:ascii="Times New Roman" w:hAnsi="Times New Roman" w:cs="Times New Roman"/>
          <w:b/>
          <w:sz w:val="24"/>
          <w:szCs w:val="24"/>
        </w:rPr>
        <w:t xml:space="preserve">GWh/rok </w:t>
      </w:r>
      <w:r w:rsidR="00EC14E2" w:rsidRPr="001B1483">
        <w:rPr>
          <w:rFonts w:ascii="Times New Roman" w:hAnsi="Times New Roman" w:cs="Times New Roman"/>
          <w:sz w:val="24"/>
          <w:szCs w:val="24"/>
        </w:rPr>
        <w:t xml:space="preserve">(počítaná k </w:t>
      </w:r>
      <w:r w:rsidR="00765FF8">
        <w:rPr>
          <w:rFonts w:ascii="Times New Roman" w:hAnsi="Times New Roman" w:cs="Times New Roman"/>
          <w:sz w:val="24"/>
          <w:szCs w:val="24"/>
        </w:rPr>
        <w:t xml:space="preserve">roku </w:t>
      </w:r>
      <w:r w:rsidR="00EC14E2" w:rsidRPr="001B1483">
        <w:rPr>
          <w:rFonts w:ascii="Times New Roman" w:hAnsi="Times New Roman" w:cs="Times New Roman"/>
          <w:sz w:val="24"/>
          <w:szCs w:val="24"/>
        </w:rPr>
        <w:t>2017)</w:t>
      </w:r>
      <w:r w:rsidR="00EC14E2" w:rsidRPr="00A622E5">
        <w:rPr>
          <w:rFonts w:ascii="Times New Roman" w:hAnsi="Times New Roman" w:cs="Times New Roman"/>
          <w:sz w:val="24"/>
          <w:szCs w:val="24"/>
        </w:rPr>
        <w:t xml:space="preserve">. </w:t>
      </w:r>
      <w:r w:rsidRPr="00856490">
        <w:rPr>
          <w:rFonts w:ascii="Times New Roman" w:hAnsi="Times New Roman" w:cs="Times New Roman"/>
          <w:sz w:val="24"/>
          <w:szCs w:val="24"/>
        </w:rPr>
        <w:t>Jedným z hlavných dôvodov neplnenia cie</w:t>
      </w:r>
      <w:r w:rsidR="00EC14E2">
        <w:rPr>
          <w:rFonts w:ascii="Times New Roman" w:hAnsi="Times New Roman" w:cs="Times New Roman"/>
          <w:sz w:val="24"/>
          <w:szCs w:val="24"/>
        </w:rPr>
        <w:t>ľov</w:t>
      </w:r>
      <w:r w:rsidRPr="00856490">
        <w:rPr>
          <w:rFonts w:ascii="Times New Roman" w:hAnsi="Times New Roman" w:cs="Times New Roman"/>
          <w:sz w:val="24"/>
          <w:szCs w:val="24"/>
        </w:rPr>
        <w:t xml:space="preserve"> v roku 2016 je </w:t>
      </w:r>
      <w:r>
        <w:rPr>
          <w:rFonts w:ascii="Times New Roman" w:hAnsi="Times New Roman" w:cs="Times New Roman"/>
          <w:sz w:val="24"/>
          <w:szCs w:val="24"/>
        </w:rPr>
        <w:t>pretrvávajúci nedostatok verejných zdrojov</w:t>
      </w:r>
      <w:r w:rsidR="00765FF8">
        <w:rPr>
          <w:rFonts w:ascii="Times New Roman" w:hAnsi="Times New Roman" w:cs="Times New Roman"/>
          <w:sz w:val="24"/>
          <w:szCs w:val="24"/>
        </w:rPr>
        <w:t xml:space="preserve"> na opatrenia energetickej efektívnosti</w:t>
      </w:r>
      <w:r w:rsidR="008A64AA">
        <w:rPr>
          <w:rFonts w:ascii="Times New Roman" w:hAnsi="Times New Roman" w:cs="Times New Roman"/>
          <w:sz w:val="24"/>
          <w:szCs w:val="24"/>
        </w:rPr>
        <w:t xml:space="preserve"> (vrátane zdrojov na obnovu budov ÚOŠS)</w:t>
      </w:r>
      <w:r>
        <w:rPr>
          <w:rFonts w:ascii="Times New Roman" w:hAnsi="Times New Roman" w:cs="Times New Roman"/>
          <w:sz w:val="24"/>
          <w:szCs w:val="24"/>
        </w:rPr>
        <w:t xml:space="preserve">, ako aj </w:t>
      </w:r>
      <w:r w:rsidRPr="003B1856">
        <w:rPr>
          <w:rFonts w:ascii="Times New Roman" w:hAnsi="Times New Roman" w:cs="Times New Roman"/>
          <w:sz w:val="24"/>
          <w:szCs w:val="24"/>
        </w:rPr>
        <w:t xml:space="preserve">oneskorené začatie realizácie projektov </w:t>
      </w:r>
      <w:r w:rsidR="00EC14E2">
        <w:rPr>
          <w:rFonts w:ascii="Times New Roman" w:hAnsi="Times New Roman" w:cs="Times New Roman"/>
          <w:sz w:val="24"/>
          <w:szCs w:val="24"/>
        </w:rPr>
        <w:t>financovaných z</w:t>
      </w:r>
      <w:r w:rsidR="00765FF8">
        <w:rPr>
          <w:rFonts w:ascii="Times New Roman" w:hAnsi="Times New Roman" w:cs="Times New Roman"/>
          <w:sz w:val="24"/>
          <w:szCs w:val="24"/>
        </w:rPr>
        <w:t xml:space="preserve"> európskych</w:t>
      </w:r>
      <w:r w:rsidR="00EC14E2">
        <w:rPr>
          <w:rFonts w:ascii="Times New Roman" w:hAnsi="Times New Roman" w:cs="Times New Roman"/>
          <w:sz w:val="24"/>
          <w:szCs w:val="24"/>
        </w:rPr>
        <w:t xml:space="preserve"> štrukturálnych </w:t>
      </w:r>
      <w:r w:rsidR="00765FF8">
        <w:rPr>
          <w:rFonts w:ascii="Times New Roman" w:hAnsi="Times New Roman" w:cs="Times New Roman"/>
          <w:sz w:val="24"/>
          <w:szCs w:val="24"/>
        </w:rPr>
        <w:t xml:space="preserve">a investičných </w:t>
      </w:r>
      <w:r w:rsidR="00EC14E2">
        <w:rPr>
          <w:rFonts w:ascii="Times New Roman" w:hAnsi="Times New Roman" w:cs="Times New Roman"/>
          <w:sz w:val="24"/>
          <w:szCs w:val="24"/>
        </w:rPr>
        <w:t xml:space="preserve">fondov. Určité nedostatky v realizácii opatrení sa objavili aj v sektoroch priemyslu a dopravy. Je potrebné konštatovať, že </w:t>
      </w:r>
      <w:r w:rsidR="00C63D74" w:rsidRPr="001B1483">
        <w:rPr>
          <w:rFonts w:ascii="Times New Roman" w:hAnsi="Times New Roman" w:cs="Times New Roman"/>
          <w:b/>
          <w:sz w:val="24"/>
          <w:szCs w:val="24"/>
        </w:rPr>
        <w:t>bez zabezpečenia včasného a plného čerpania štrukturálnych fondov a iných podporných mechanizmov</w:t>
      </w:r>
      <w:r w:rsidR="00C63D74">
        <w:rPr>
          <w:rFonts w:ascii="Times New Roman" w:hAnsi="Times New Roman" w:cs="Times New Roman"/>
          <w:sz w:val="24"/>
          <w:szCs w:val="24"/>
        </w:rPr>
        <w:t xml:space="preserve"> môže byť cieľ pre čl. 7 smernice ohrozený. </w:t>
      </w:r>
    </w:p>
    <w:p w14:paraId="0985704B" w14:textId="2050EEC1" w:rsidR="004A66C0" w:rsidRPr="00F77093" w:rsidRDefault="00DF3EC4" w:rsidP="000578FE">
      <w:pPr>
        <w:jc w:val="both"/>
        <w:rPr>
          <w:rFonts w:ascii="Times New Roman" w:hAnsi="Times New Roman" w:cs="Times New Roman"/>
          <w:sz w:val="24"/>
        </w:rPr>
      </w:pPr>
      <w:r>
        <w:rPr>
          <w:rFonts w:ascii="Times New Roman" w:hAnsi="Times New Roman" w:cs="Times New Roman"/>
          <w:sz w:val="24"/>
        </w:rPr>
        <w:t>V druhej časti sa dokument zaoberal samotným akčným plánom na roky 2017-2019 s výhľadom do roku 2020.</w:t>
      </w:r>
      <w:r w:rsidR="00C63D74">
        <w:rPr>
          <w:rFonts w:ascii="Times New Roman" w:hAnsi="Times New Roman" w:cs="Times New Roman"/>
          <w:sz w:val="24"/>
        </w:rPr>
        <w:t xml:space="preserve"> </w:t>
      </w:r>
      <w:r w:rsidR="00F01807" w:rsidRPr="00F77093">
        <w:rPr>
          <w:rFonts w:ascii="Times New Roman" w:hAnsi="Times New Roman" w:cs="Times New Roman"/>
          <w:sz w:val="24"/>
        </w:rPr>
        <w:t xml:space="preserve">Pri navrhovaní </w:t>
      </w:r>
      <w:r w:rsidR="00ED3085" w:rsidRPr="00F77093">
        <w:rPr>
          <w:rFonts w:ascii="Times New Roman" w:hAnsi="Times New Roman" w:cs="Times New Roman"/>
          <w:sz w:val="24"/>
        </w:rPr>
        <w:t>plánovaných</w:t>
      </w:r>
      <w:r w:rsidR="00F01807" w:rsidRPr="00F77093">
        <w:rPr>
          <w:rFonts w:ascii="Times New Roman" w:hAnsi="Times New Roman" w:cs="Times New Roman"/>
          <w:sz w:val="24"/>
        </w:rPr>
        <w:t xml:space="preserve"> opatrení </w:t>
      </w:r>
      <w:r w:rsidR="00ED3085" w:rsidRPr="00F77093">
        <w:rPr>
          <w:rFonts w:ascii="Times New Roman" w:hAnsi="Times New Roman" w:cs="Times New Roman"/>
          <w:sz w:val="24"/>
        </w:rPr>
        <w:t xml:space="preserve">energetickej efektívnosti </w:t>
      </w:r>
      <w:r w:rsidR="00F01807" w:rsidRPr="00F77093">
        <w:rPr>
          <w:rFonts w:ascii="Times New Roman" w:hAnsi="Times New Roman" w:cs="Times New Roman"/>
          <w:sz w:val="24"/>
        </w:rPr>
        <w:t>na roky 2017-2019</w:t>
      </w:r>
      <w:r w:rsidR="00ED3085" w:rsidRPr="00F77093">
        <w:rPr>
          <w:rFonts w:ascii="Times New Roman" w:hAnsi="Times New Roman" w:cs="Times New Roman"/>
          <w:sz w:val="24"/>
        </w:rPr>
        <w:t>, resp. do roku 2020</w:t>
      </w:r>
      <w:r w:rsidR="003E0471" w:rsidRPr="00F77093">
        <w:rPr>
          <w:rFonts w:ascii="Times New Roman" w:hAnsi="Times New Roman" w:cs="Times New Roman"/>
          <w:sz w:val="24"/>
        </w:rPr>
        <w:t>,</w:t>
      </w:r>
      <w:r w:rsidR="00F01807" w:rsidRPr="00F77093">
        <w:rPr>
          <w:rFonts w:ascii="Times New Roman" w:hAnsi="Times New Roman" w:cs="Times New Roman"/>
          <w:sz w:val="24"/>
        </w:rPr>
        <w:t xml:space="preserve"> sa</w:t>
      </w:r>
      <w:r w:rsidR="003E0471" w:rsidRPr="00F77093">
        <w:rPr>
          <w:rFonts w:ascii="Times New Roman" w:hAnsi="Times New Roman" w:cs="Times New Roman"/>
          <w:sz w:val="24"/>
        </w:rPr>
        <w:t xml:space="preserve"> </w:t>
      </w:r>
      <w:r w:rsidR="00F01807" w:rsidRPr="00F77093">
        <w:rPr>
          <w:rFonts w:ascii="Times New Roman" w:hAnsi="Times New Roman" w:cs="Times New Roman"/>
          <w:sz w:val="24"/>
        </w:rPr>
        <w:t>vychádzalo z konkrétnych projektov a</w:t>
      </w:r>
      <w:r w:rsidR="00ED3085" w:rsidRPr="00F77093">
        <w:rPr>
          <w:rFonts w:ascii="Times New Roman" w:hAnsi="Times New Roman" w:cs="Times New Roman"/>
          <w:sz w:val="24"/>
        </w:rPr>
        <w:t xml:space="preserve"> podporných</w:t>
      </w:r>
      <w:r w:rsidR="00F01807" w:rsidRPr="00F77093">
        <w:rPr>
          <w:rFonts w:ascii="Times New Roman" w:hAnsi="Times New Roman" w:cs="Times New Roman"/>
          <w:sz w:val="24"/>
        </w:rPr>
        <w:t> programov</w:t>
      </w:r>
      <w:r>
        <w:rPr>
          <w:rFonts w:ascii="Times New Roman" w:hAnsi="Times New Roman" w:cs="Times New Roman"/>
          <w:sz w:val="24"/>
        </w:rPr>
        <w:t xml:space="preserve"> v rámci jednotlivých sektorov. Plánovanie bolo nastavené tak, aby vo všetkých segmentoch národného hospodárstva bolo zabezpečené plnenie cieľov podľa jednotlivých článkov smernice 2012/27/EÚ.</w:t>
      </w:r>
      <w:r w:rsidR="00C63D74">
        <w:rPr>
          <w:rFonts w:ascii="Times New Roman" w:hAnsi="Times New Roman" w:cs="Times New Roman"/>
          <w:sz w:val="24"/>
        </w:rPr>
        <w:t xml:space="preserve"> </w:t>
      </w:r>
      <w:r w:rsidR="00F01807" w:rsidRPr="00F77093">
        <w:rPr>
          <w:rFonts w:ascii="Times New Roman" w:hAnsi="Times New Roman" w:cs="Times New Roman"/>
          <w:sz w:val="24"/>
        </w:rPr>
        <w:t xml:space="preserve">V budúcnosti je </w:t>
      </w:r>
      <w:r w:rsidR="003E0471" w:rsidRPr="00F77093">
        <w:rPr>
          <w:rFonts w:ascii="Times New Roman" w:hAnsi="Times New Roman" w:cs="Times New Roman"/>
          <w:sz w:val="24"/>
        </w:rPr>
        <w:t xml:space="preserve">preto </w:t>
      </w:r>
      <w:r>
        <w:rPr>
          <w:rFonts w:ascii="Times New Roman" w:hAnsi="Times New Roman" w:cs="Times New Roman"/>
          <w:sz w:val="24"/>
        </w:rPr>
        <w:t xml:space="preserve">potrebné sa zamerať na dôkladnú implementáciu podporných mechanizmov a </w:t>
      </w:r>
      <w:r w:rsidR="00F01807" w:rsidRPr="00F77093">
        <w:rPr>
          <w:rFonts w:ascii="Times New Roman" w:hAnsi="Times New Roman" w:cs="Times New Roman"/>
          <w:sz w:val="24"/>
        </w:rPr>
        <w:t xml:space="preserve">aktívnejšie presadzovať využívanie existujúcich </w:t>
      </w:r>
      <w:r>
        <w:rPr>
          <w:rFonts w:ascii="Times New Roman" w:hAnsi="Times New Roman" w:cs="Times New Roman"/>
          <w:sz w:val="24"/>
        </w:rPr>
        <w:t>finančných mechanizmov.</w:t>
      </w:r>
      <w:r w:rsidRPr="001B1483">
        <w:rPr>
          <w:rFonts w:ascii="Times New Roman" w:hAnsi="Times New Roman" w:cs="Times New Roman"/>
          <w:sz w:val="24"/>
        </w:rPr>
        <w:t xml:space="preserve"> </w:t>
      </w:r>
      <w:r>
        <w:rPr>
          <w:rFonts w:ascii="Times New Roman" w:hAnsi="Times New Roman" w:cs="Times New Roman"/>
          <w:sz w:val="24"/>
        </w:rPr>
        <w:t>Najvýznamnejší</w:t>
      </w:r>
      <w:r w:rsidRPr="00DF3EC4">
        <w:rPr>
          <w:rFonts w:ascii="Times New Roman" w:hAnsi="Times New Roman" w:cs="Times New Roman"/>
          <w:sz w:val="24"/>
        </w:rPr>
        <w:t xml:space="preserve"> potenciál úspor energie </w:t>
      </w:r>
      <w:r>
        <w:rPr>
          <w:rFonts w:ascii="Times New Roman" w:hAnsi="Times New Roman" w:cs="Times New Roman"/>
          <w:sz w:val="24"/>
        </w:rPr>
        <w:t xml:space="preserve">pretrváva naďalej </w:t>
      </w:r>
      <w:r w:rsidR="006131F5">
        <w:rPr>
          <w:rFonts w:ascii="Times New Roman" w:hAnsi="Times New Roman" w:cs="Times New Roman"/>
          <w:sz w:val="24"/>
        </w:rPr>
        <w:t>v priemysle a v budovách.</w:t>
      </w:r>
    </w:p>
    <w:sectPr w:rsidR="004A66C0" w:rsidRPr="00F77093" w:rsidSect="00245F4D">
      <w:pgSz w:w="11906" w:h="16838"/>
      <w:pgMar w:top="1417" w:right="1417" w:bottom="1417" w:left="1417" w:header="708" w:footer="708"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F70A5" w14:textId="77777777" w:rsidR="00560387" w:rsidRDefault="00560387" w:rsidP="000B4A2F">
      <w:pPr>
        <w:spacing w:after="0" w:line="240" w:lineRule="auto"/>
      </w:pPr>
      <w:r>
        <w:separator/>
      </w:r>
    </w:p>
  </w:endnote>
  <w:endnote w:type="continuationSeparator" w:id="0">
    <w:p w14:paraId="696C52EE" w14:textId="77777777" w:rsidR="00560387" w:rsidRDefault="00560387" w:rsidP="000B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74058"/>
      <w:docPartObj>
        <w:docPartGallery w:val="Page Numbers (Bottom of Page)"/>
        <w:docPartUnique/>
      </w:docPartObj>
    </w:sdtPr>
    <w:sdtEndPr>
      <w:rPr>
        <w:rFonts w:ascii="Times New Roman" w:hAnsi="Times New Roman" w:cs="Times New Roman"/>
      </w:rPr>
    </w:sdtEndPr>
    <w:sdtContent>
      <w:p w14:paraId="62F64A9D" w14:textId="356A3571" w:rsidR="00CB1B49" w:rsidRPr="001B1483" w:rsidRDefault="00CB1B49">
        <w:pPr>
          <w:pStyle w:val="Pta"/>
          <w:jc w:val="right"/>
          <w:rPr>
            <w:rFonts w:ascii="Times New Roman" w:hAnsi="Times New Roman" w:cs="Times New Roman"/>
          </w:rPr>
        </w:pPr>
        <w:r w:rsidRPr="001B1483">
          <w:rPr>
            <w:rFonts w:ascii="Times New Roman" w:hAnsi="Times New Roman" w:cs="Times New Roman"/>
          </w:rPr>
          <w:fldChar w:fldCharType="begin"/>
        </w:r>
        <w:r w:rsidRPr="001B1483">
          <w:rPr>
            <w:rFonts w:ascii="Times New Roman" w:hAnsi="Times New Roman" w:cs="Times New Roman"/>
          </w:rPr>
          <w:instrText>PAGE   \* MERGEFORMAT</w:instrText>
        </w:r>
        <w:r w:rsidRPr="001B1483">
          <w:rPr>
            <w:rFonts w:ascii="Times New Roman" w:hAnsi="Times New Roman" w:cs="Times New Roman"/>
          </w:rPr>
          <w:fldChar w:fldCharType="separate"/>
        </w:r>
        <w:r w:rsidR="00971C94">
          <w:rPr>
            <w:rFonts w:ascii="Times New Roman" w:hAnsi="Times New Roman" w:cs="Times New Roman"/>
            <w:noProof/>
          </w:rPr>
          <w:t>29</w:t>
        </w:r>
        <w:r w:rsidRPr="001B1483">
          <w:rPr>
            <w:rFonts w:ascii="Times New Roman" w:hAnsi="Times New Roman" w:cs="Times New Roman"/>
          </w:rPr>
          <w:fldChar w:fldCharType="end"/>
        </w:r>
      </w:p>
    </w:sdtContent>
  </w:sdt>
  <w:p w14:paraId="22DF3A03" w14:textId="77777777" w:rsidR="00CB1B49" w:rsidRDefault="00CB1B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32D97" w14:textId="77777777" w:rsidR="00560387" w:rsidRDefault="00560387" w:rsidP="000B4A2F">
      <w:pPr>
        <w:spacing w:after="0" w:line="240" w:lineRule="auto"/>
      </w:pPr>
      <w:r>
        <w:separator/>
      </w:r>
    </w:p>
  </w:footnote>
  <w:footnote w:type="continuationSeparator" w:id="0">
    <w:p w14:paraId="31C63C45" w14:textId="77777777" w:rsidR="00560387" w:rsidRDefault="00560387" w:rsidP="000B4A2F">
      <w:pPr>
        <w:spacing w:after="0" w:line="240" w:lineRule="auto"/>
      </w:pPr>
      <w:r>
        <w:continuationSeparator/>
      </w:r>
    </w:p>
  </w:footnote>
  <w:footnote w:id="1">
    <w:p w14:paraId="24C9F091" w14:textId="1431CD97" w:rsidR="00CB1B49" w:rsidRPr="00DD2C1A" w:rsidRDefault="00CB1B49" w:rsidP="00922ACD">
      <w:pPr>
        <w:pStyle w:val="Textpoznmkypodiarou"/>
        <w:jc w:val="both"/>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Smernica Európskeho parlamentu a Rady 2012/27/EÚ z 25. októbra 2012 o energetickej efektívnosti, ktorou sa menia a dopĺňajú smernice 2009/125/ES a 2010/30/EÚ a ktorou sa zrušujú smernice 2004/8/ES a 2006/32/ES.</w:t>
      </w:r>
    </w:p>
    <w:p w14:paraId="55A8DF03" w14:textId="77777777" w:rsidR="00CB1B49" w:rsidRPr="00DD2C1A" w:rsidRDefault="00CB1B49" w:rsidP="00922ACD">
      <w:pPr>
        <w:pStyle w:val="Textpoznmkypodiarou"/>
        <w:jc w:val="both"/>
        <w:rPr>
          <w:rFonts w:ascii="Times New Roman" w:hAnsi="Times New Roman" w:cs="Times New Roman"/>
        </w:rPr>
      </w:pPr>
    </w:p>
  </w:footnote>
  <w:footnote w:id="2">
    <w:p w14:paraId="1D73CB66" w14:textId="28E1A4DB" w:rsidR="00CB1B49" w:rsidRPr="007577DE" w:rsidRDefault="00CB1B49" w:rsidP="00922ACD">
      <w:pPr>
        <w:pStyle w:val="Textpoznmkypodiarou"/>
        <w:jc w:val="both"/>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Smernica Európskeho parlamentu a Rady 2006/32/ES z 5. apríla 2006 o energetickej účinnosti konečného využitia energie a energetických službách, a ktorou sa zrušuje smernica Rady 93/76/EHS</w:t>
      </w:r>
      <w:r>
        <w:rPr>
          <w:rFonts w:ascii="Times New Roman" w:hAnsi="Times New Roman" w:cs="Times New Roman"/>
        </w:rPr>
        <w:t xml:space="preserve"> („smernica o energetických službách“)</w:t>
      </w:r>
    </w:p>
  </w:footnote>
  <w:footnote w:id="3">
    <w:p w14:paraId="3129F2AE" w14:textId="77777777" w:rsidR="00CB1B49" w:rsidRPr="00DD2C1A" w:rsidRDefault="00CB1B49" w:rsidP="00FD6B11">
      <w:pPr>
        <w:pStyle w:val="Textpoznmkypodiarou"/>
        <w:jc w:val="both"/>
        <w:rPr>
          <w:rFonts w:ascii="Times New Roman" w:hAnsi="Times New Roman" w:cs="Times New Roman"/>
        </w:rPr>
      </w:pPr>
      <w:r w:rsidRPr="007577DE">
        <w:rPr>
          <w:rStyle w:val="Odkaznapoznmkupodiarou"/>
          <w:rFonts w:ascii="Times New Roman" w:hAnsi="Times New Roman" w:cs="Times New Roman"/>
        </w:rPr>
        <w:footnoteRef/>
      </w:r>
      <w:r w:rsidRPr="007577DE">
        <w:rPr>
          <w:rFonts w:ascii="Times New Roman" w:hAnsi="Times New Roman" w:cs="Times New Roman"/>
        </w:rPr>
        <w:t xml:space="preserve"> </w:t>
      </w:r>
      <w:r w:rsidRPr="00DD2C1A">
        <w:rPr>
          <w:rFonts w:ascii="Times New Roman" w:hAnsi="Times New Roman" w:cs="Times New Roman"/>
        </w:rPr>
        <w:t xml:space="preserve">Ciele úspor energie stanovené na základe smernice 2006/32/ES platia do 01.01.2017 (čl. 27 smernice 2012/27/EÚ). </w:t>
      </w:r>
    </w:p>
  </w:footnote>
  <w:footnote w:id="4">
    <w:p w14:paraId="314FD567" w14:textId="77777777" w:rsidR="00CB1B49" w:rsidRPr="00DD2C1A" w:rsidRDefault="00CB1B49" w:rsidP="00FD6B11">
      <w:pPr>
        <w:pStyle w:val="Textpoznmkypodiarou"/>
        <w:jc w:val="both"/>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Smernica 2003/87/ES Európskeho parlamentu a Rady z 13. októbra 2003, o vytvorení systému obchodovania s emisnými kvótami skleníkových plynov v spoločenstve, a ktorou sa mení a dopĺňa smernica Rady 96/61/ES.</w:t>
      </w:r>
    </w:p>
  </w:footnote>
  <w:footnote w:id="5">
    <w:p w14:paraId="25DF86A7" w14:textId="77777777" w:rsidR="00CB1B49" w:rsidRPr="00DD2C1A" w:rsidRDefault="00CB1B49" w:rsidP="007F10A4">
      <w:pPr>
        <w:pStyle w:val="Textpoznmkypodiarou"/>
        <w:jc w:val="both"/>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Uvedené ciele úspor energie sú očistené od vplyvu spoločností, ktoré sa podieľajú na obchodovaní s emisnými kvótami skleníkových plynov podľa smernice 2003/87/ES Európskeho parlamentu a Rady z 13. októbra 2003, o vytvorení systému obchodovania s emisnými kvótami skleníkových plynov v spoločenstve, a ktorou sa mení a dopĺňa smernica Rady 96/61/ES.</w:t>
      </w:r>
    </w:p>
  </w:footnote>
  <w:footnote w:id="6">
    <w:p w14:paraId="5EBAA23D" w14:textId="77777777" w:rsidR="00CB1B49" w:rsidRPr="00DD2C1A" w:rsidRDefault="00CB1B49" w:rsidP="00FD6B11">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ciele sú stanovené ku koncu uvedeného roka, t. j. vrátane roka, ku ktorému sa viaže cieľ.</w:t>
      </w:r>
    </w:p>
  </w:footnote>
  <w:footnote w:id="7">
    <w:p w14:paraId="38EEE57D" w14:textId="413DE7B3" w:rsidR="00CB1B49" w:rsidRPr="00DD2C1A" w:rsidRDefault="00CB1B49" w:rsidP="00FD6B11">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w:t>
      </w:r>
      <w:r w:rsidRPr="004E746F">
        <w:rPr>
          <w:rFonts w:ascii="Times New Roman" w:hAnsi="Times New Roman" w:cs="Times New Roman"/>
        </w:rPr>
        <w:t>Druhý</w:t>
      </w:r>
      <w:r w:rsidRPr="00DD2C1A">
        <w:rPr>
          <w:rFonts w:ascii="Times New Roman" w:hAnsi="Times New Roman" w:cs="Times New Roman"/>
        </w:rPr>
        <w:t xml:space="preserve"> akčný plán vyhodnotil 1. AP</w:t>
      </w:r>
    </w:p>
  </w:footnote>
  <w:footnote w:id="8">
    <w:p w14:paraId="3FE6B265" w14:textId="079373C2" w:rsidR="00CB1B49" w:rsidRPr="00DD2C1A" w:rsidRDefault="00CB1B49" w:rsidP="00FD6B11">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w:t>
      </w:r>
      <w:r w:rsidRPr="004E746F">
        <w:rPr>
          <w:rFonts w:ascii="Times New Roman" w:hAnsi="Times New Roman" w:cs="Times New Roman"/>
        </w:rPr>
        <w:t>Tretí</w:t>
      </w:r>
      <w:r w:rsidRPr="00DD2C1A">
        <w:rPr>
          <w:rFonts w:ascii="Times New Roman" w:hAnsi="Times New Roman" w:cs="Times New Roman"/>
        </w:rPr>
        <w:t xml:space="preserve"> akčný plán vyhodnotil 2. AP</w:t>
      </w:r>
      <w:r>
        <w:rPr>
          <w:rFonts w:ascii="Times New Roman" w:hAnsi="Times New Roman" w:cs="Times New Roman"/>
        </w:rPr>
        <w:t>.</w:t>
      </w:r>
    </w:p>
  </w:footnote>
  <w:footnote w:id="9">
    <w:p w14:paraId="10569932" w14:textId="386EAB5D" w:rsidR="00CB1B49" w:rsidRPr="00DD2C1A" w:rsidRDefault="00CB1B49" w:rsidP="00FD6B11">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Stav plnenia 3. AP k 31.</w:t>
      </w:r>
      <w:r>
        <w:rPr>
          <w:rFonts w:ascii="Times New Roman" w:hAnsi="Times New Roman" w:cs="Times New Roman"/>
        </w:rPr>
        <w:t xml:space="preserve"> </w:t>
      </w:r>
      <w:r w:rsidRPr="00DD2C1A">
        <w:rPr>
          <w:rFonts w:ascii="Times New Roman" w:hAnsi="Times New Roman" w:cs="Times New Roman"/>
        </w:rPr>
        <w:t>12.</w:t>
      </w:r>
      <w:r>
        <w:rPr>
          <w:rFonts w:ascii="Times New Roman" w:hAnsi="Times New Roman" w:cs="Times New Roman"/>
        </w:rPr>
        <w:t xml:space="preserve"> </w:t>
      </w:r>
      <w:r w:rsidRPr="00DD2C1A">
        <w:rPr>
          <w:rFonts w:ascii="Times New Roman" w:hAnsi="Times New Roman" w:cs="Times New Roman"/>
        </w:rPr>
        <w:t>2016 podľa dostupných údajov k 25.</w:t>
      </w:r>
      <w:r>
        <w:rPr>
          <w:rFonts w:ascii="Times New Roman" w:hAnsi="Times New Roman" w:cs="Times New Roman"/>
        </w:rPr>
        <w:t xml:space="preserve"> 0</w:t>
      </w:r>
      <w:r w:rsidRPr="00DD2C1A">
        <w:rPr>
          <w:rFonts w:ascii="Times New Roman" w:hAnsi="Times New Roman" w:cs="Times New Roman"/>
        </w:rPr>
        <w:t>1.</w:t>
      </w:r>
      <w:r>
        <w:rPr>
          <w:rFonts w:ascii="Times New Roman" w:hAnsi="Times New Roman" w:cs="Times New Roman"/>
        </w:rPr>
        <w:t xml:space="preserve"> </w:t>
      </w:r>
      <w:r w:rsidRPr="00DD2C1A">
        <w:rPr>
          <w:rFonts w:ascii="Times New Roman" w:hAnsi="Times New Roman" w:cs="Times New Roman"/>
        </w:rPr>
        <w:t>2017</w:t>
      </w:r>
      <w:r>
        <w:rPr>
          <w:rFonts w:ascii="Times New Roman" w:hAnsi="Times New Roman" w:cs="Times New Roman"/>
        </w:rPr>
        <w:t>.</w:t>
      </w:r>
    </w:p>
  </w:footnote>
  <w:footnote w:id="10">
    <w:p w14:paraId="5D52151E" w14:textId="41183296" w:rsidR="00CB1B49" w:rsidRPr="00DD2C1A" w:rsidRDefault="00CB1B49" w:rsidP="00FD6B11">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w:t>
      </w:r>
      <w:r w:rsidRPr="004E746F">
        <w:rPr>
          <w:rFonts w:ascii="Times New Roman" w:hAnsi="Times New Roman" w:cs="Times New Roman"/>
        </w:rPr>
        <w:t>Hodnoty</w:t>
      </w:r>
      <w:r w:rsidRPr="00DD2C1A">
        <w:rPr>
          <w:rFonts w:ascii="Times New Roman" w:hAnsi="Times New Roman" w:cs="Times New Roman"/>
        </w:rPr>
        <w:t xml:space="preserve"> korigované ku dňu 25.</w:t>
      </w:r>
      <w:r>
        <w:rPr>
          <w:rFonts w:ascii="Times New Roman" w:hAnsi="Times New Roman" w:cs="Times New Roman"/>
        </w:rPr>
        <w:t xml:space="preserve"> 0</w:t>
      </w:r>
      <w:r w:rsidRPr="00DD2C1A">
        <w:rPr>
          <w:rFonts w:ascii="Times New Roman" w:hAnsi="Times New Roman" w:cs="Times New Roman"/>
        </w:rPr>
        <w:t>1.</w:t>
      </w:r>
      <w:r>
        <w:rPr>
          <w:rFonts w:ascii="Times New Roman" w:hAnsi="Times New Roman" w:cs="Times New Roman"/>
        </w:rPr>
        <w:t xml:space="preserve"> </w:t>
      </w:r>
      <w:r w:rsidRPr="00DD2C1A">
        <w:rPr>
          <w:rFonts w:ascii="Times New Roman" w:hAnsi="Times New Roman" w:cs="Times New Roman"/>
        </w:rPr>
        <w:t>2017 (T-2)</w:t>
      </w:r>
    </w:p>
  </w:footnote>
  <w:footnote w:id="11">
    <w:p w14:paraId="3100F82A" w14:textId="2B10ADC2" w:rsidR="00CB1B49" w:rsidRPr="007577DE" w:rsidRDefault="00CB1B49" w:rsidP="00FD6B11">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w:t>
      </w:r>
      <w:r w:rsidRPr="004E746F">
        <w:rPr>
          <w:rFonts w:ascii="Times New Roman" w:hAnsi="Times New Roman" w:cs="Times New Roman"/>
        </w:rPr>
        <w:t>Hodnoty</w:t>
      </w:r>
      <w:r w:rsidRPr="00DD2C1A">
        <w:rPr>
          <w:rFonts w:ascii="Times New Roman" w:hAnsi="Times New Roman" w:cs="Times New Roman"/>
        </w:rPr>
        <w:t xml:space="preserve"> dostupné ku dňu 25.</w:t>
      </w:r>
      <w:r>
        <w:rPr>
          <w:rFonts w:ascii="Times New Roman" w:hAnsi="Times New Roman" w:cs="Times New Roman"/>
        </w:rPr>
        <w:t xml:space="preserve"> 0</w:t>
      </w:r>
      <w:r w:rsidRPr="00DD2C1A">
        <w:rPr>
          <w:rFonts w:ascii="Times New Roman" w:hAnsi="Times New Roman" w:cs="Times New Roman"/>
        </w:rPr>
        <w:t>1.</w:t>
      </w:r>
      <w:r>
        <w:rPr>
          <w:rFonts w:ascii="Times New Roman" w:hAnsi="Times New Roman" w:cs="Times New Roman"/>
        </w:rPr>
        <w:t xml:space="preserve"> </w:t>
      </w:r>
      <w:r w:rsidRPr="00DD2C1A">
        <w:rPr>
          <w:rFonts w:ascii="Times New Roman" w:hAnsi="Times New Roman" w:cs="Times New Roman"/>
        </w:rPr>
        <w:t>2017 (T-1)</w:t>
      </w:r>
    </w:p>
  </w:footnote>
  <w:footnote w:id="12">
    <w:p w14:paraId="02E5B8BB" w14:textId="21DA44C9" w:rsidR="00CB1B49" w:rsidRPr="00DD2C1A" w:rsidRDefault="00CB1B49">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v porovnaní s referenčným scenárom PRIMES 2007 pre rok 2020</w:t>
      </w:r>
    </w:p>
  </w:footnote>
  <w:footnote w:id="13">
    <w:p w14:paraId="7B721DDA" w14:textId="77777777" w:rsidR="00CB1B49" w:rsidRPr="007577DE" w:rsidRDefault="00CB1B49" w:rsidP="00E60DE4">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Notifikačná správa k alternatívnemu prístupu podľa článku 5 smernice 2012/27/EÚ o energetickej efektívnosti (zaslaná Európskej komisii v roku 2013).</w:t>
      </w:r>
    </w:p>
  </w:footnote>
  <w:footnote w:id="14">
    <w:p w14:paraId="4309A31D" w14:textId="77777777" w:rsidR="00CB1B49" w:rsidRPr="00DD2C1A" w:rsidRDefault="00CB1B49" w:rsidP="00D73888">
      <w:pPr>
        <w:pStyle w:val="Textpoznmkypodiarou"/>
        <w:jc w:val="both"/>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Ročný cieľ bol stanovený ako 1,5 % z konečnej energetickej spotreby bez spotreby dopravy za roky 2010 až 2012. Na základe hodnoty ročného cieľa bola vypočítaná kumulatívna hodnota cieľa do roku 2020.</w:t>
      </w:r>
    </w:p>
  </w:footnote>
  <w:footnote w:id="15">
    <w:p w14:paraId="5E443B2F" w14:textId="571B6FC3" w:rsidR="00CB1B49" w:rsidRPr="001B1483" w:rsidRDefault="00CB1B49">
      <w:pPr>
        <w:pStyle w:val="Textpoznmkypodiarou"/>
        <w:rPr>
          <w:rFonts w:ascii="Times New Roman" w:hAnsi="Times New Roman" w:cs="Times New Roman"/>
        </w:rPr>
      </w:pPr>
      <w:r w:rsidRPr="001B1483">
        <w:rPr>
          <w:rStyle w:val="Odkaznapoznmkupodiarou"/>
          <w:rFonts w:ascii="Times New Roman" w:hAnsi="Times New Roman" w:cs="Times New Roman"/>
        </w:rPr>
        <w:footnoteRef/>
      </w:r>
      <w:r w:rsidRPr="001B1483">
        <w:rPr>
          <w:rFonts w:ascii="Times New Roman" w:hAnsi="Times New Roman" w:cs="Times New Roman"/>
        </w:rPr>
        <w:t xml:space="preserve"> Hodnota plnenia na rok 2016 bude korigovaná počas roka 2017 na základe aktualizovaných údajov. </w:t>
      </w:r>
    </w:p>
  </w:footnote>
  <w:footnote w:id="16">
    <w:p w14:paraId="4999F3D1" w14:textId="24EB999E" w:rsidR="00CB1B49" w:rsidRPr="00DD2C1A" w:rsidRDefault="00CB1B49">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na základe dostupných údajov k 25.1.2017, rok 2016 bude aktualizovaný.</w:t>
      </w:r>
    </w:p>
  </w:footnote>
  <w:footnote w:id="17">
    <w:p w14:paraId="6E635D45" w14:textId="77777777" w:rsidR="00CB1B49" w:rsidRPr="00DD2C1A" w:rsidRDefault="00CB1B49" w:rsidP="00227988">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Zákon č. 476/2008 Z. z. o energetickej efektívnosti</w:t>
      </w:r>
    </w:p>
  </w:footnote>
  <w:footnote w:id="18">
    <w:p w14:paraId="74FE0032" w14:textId="77777777" w:rsidR="00CB1B49" w:rsidRPr="00DD2C1A" w:rsidRDefault="00CB1B49" w:rsidP="00227988">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Do konca roku 2013 bolo vypracovaných 145 energetických auditov</w:t>
      </w:r>
    </w:p>
  </w:footnote>
  <w:footnote w:id="19">
    <w:p w14:paraId="4F5A802A" w14:textId="77777777" w:rsidR="00CB1B49" w:rsidRPr="007577DE" w:rsidRDefault="00CB1B49" w:rsidP="00227988">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 14 zákona č. 321/2014 Z. z. o energetickej efektívnosti</w:t>
      </w:r>
    </w:p>
  </w:footnote>
  <w:footnote w:id="20">
    <w:p w14:paraId="5D73D8DC" w14:textId="615E0A77" w:rsidR="00CB1B49" w:rsidRPr="00DD2C1A" w:rsidRDefault="00CB1B49">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Partnerská dohoda 06/2014.</w:t>
      </w:r>
    </w:p>
  </w:footnote>
  <w:footnote w:id="21">
    <w:p w14:paraId="423B1E7E" w14:textId="0E508BE0" w:rsidR="00CB1B49" w:rsidRPr="007577DE" w:rsidRDefault="00CB1B49">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7.12.2015 vyhlásila SIEA výzvu na „Zníženie spotreby energie pri prevádzke verejných budov“  s indikatívnym rozpočtom 150 mil. eur.</w:t>
      </w:r>
    </w:p>
  </w:footnote>
  <w:footnote w:id="22">
    <w:p w14:paraId="4A5FC185" w14:textId="77777777" w:rsidR="00CB1B49" w:rsidRPr="00316509" w:rsidRDefault="00CB1B49" w:rsidP="008029A8">
      <w:pPr>
        <w:jc w:val="both"/>
        <w:rPr>
          <w:rFonts w:ascii="Times New Roman" w:hAnsi="Times New Roman" w:cs="Times New Roman"/>
          <w:sz w:val="20"/>
          <w:szCs w:val="20"/>
        </w:rPr>
      </w:pPr>
      <w:r w:rsidRPr="00DD2C1A">
        <w:rPr>
          <w:rStyle w:val="Odkaznapoznmkupodiarou"/>
          <w:rFonts w:ascii="Times New Roman" w:hAnsi="Times New Roman" w:cs="Times New Roman"/>
          <w:sz w:val="20"/>
          <w:szCs w:val="20"/>
        </w:rPr>
        <w:footnoteRef/>
      </w:r>
      <w:r w:rsidRPr="00DD2C1A">
        <w:rPr>
          <w:rFonts w:ascii="Times New Roman" w:hAnsi="Times New Roman" w:cs="Times New Roman"/>
          <w:sz w:val="20"/>
          <w:szCs w:val="20"/>
        </w:rPr>
        <w:t xml:space="preserve"> Vyhodnotenie opatrení na strane premeny, prenosu a distribúcie energie za rok 2016 nie je dostupné k termínu uzávierky </w:t>
      </w:r>
      <w:r w:rsidRPr="007577DE">
        <w:rPr>
          <w:rFonts w:ascii="Times New Roman" w:hAnsi="Times New Roman" w:cs="Times New Roman"/>
          <w:sz w:val="20"/>
          <w:szCs w:val="20"/>
        </w:rPr>
        <w:t>25.01.2017</w:t>
      </w:r>
      <w:r w:rsidRPr="00DD2C1A">
        <w:rPr>
          <w:rFonts w:ascii="Times New Roman" w:hAnsi="Times New Roman" w:cs="Times New Roman"/>
          <w:sz w:val="20"/>
          <w:szCs w:val="20"/>
        </w:rPr>
        <w:t>, nakoľko termín pre poskytnutie údajov je v zmysle zákona č. 321/2014 Z. z. o energetickej efektívnosti do 30. aprí</w:t>
      </w:r>
      <w:r w:rsidRPr="00316509">
        <w:rPr>
          <w:rFonts w:ascii="Times New Roman" w:hAnsi="Times New Roman" w:cs="Times New Roman"/>
          <w:sz w:val="20"/>
          <w:szCs w:val="20"/>
        </w:rPr>
        <w:t>la.</w:t>
      </w:r>
    </w:p>
    <w:p w14:paraId="62DDBF7E" w14:textId="03BED0E0" w:rsidR="00CB1B49" w:rsidRPr="007577DE" w:rsidRDefault="00CB1B49">
      <w:pPr>
        <w:pStyle w:val="Textpoznmkypodiarou"/>
        <w:rPr>
          <w:rFonts w:ascii="Times New Roman" w:hAnsi="Times New Roman" w:cs="Times New Roman"/>
        </w:rPr>
      </w:pPr>
    </w:p>
  </w:footnote>
  <w:footnote w:id="23">
    <w:p w14:paraId="79AC13FA" w14:textId="13AEF9DA" w:rsidR="00CB1B49" w:rsidRPr="00316509" w:rsidRDefault="00CB1B49">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Úspora energie za rok 2016 bola započítaná len na základe dostupných údajov k </w:t>
      </w:r>
      <w:r w:rsidRPr="007577DE">
        <w:rPr>
          <w:rFonts w:ascii="Times New Roman" w:hAnsi="Times New Roman" w:cs="Times New Roman"/>
        </w:rPr>
        <w:t>25.1.2017</w:t>
      </w:r>
      <w:r w:rsidRPr="00DD2C1A">
        <w:rPr>
          <w:rFonts w:ascii="Times New Roman" w:hAnsi="Times New Roman" w:cs="Times New Roman"/>
        </w:rPr>
        <w:t xml:space="preserve"> a predpokladá sa kladná korekcia po aktualizovaní údaj</w:t>
      </w:r>
      <w:r w:rsidRPr="00316509">
        <w:rPr>
          <w:rFonts w:ascii="Times New Roman" w:hAnsi="Times New Roman" w:cs="Times New Roman"/>
        </w:rPr>
        <w:t>ov za rok 2016 v nasledujúcej ročnej správe vypracovanej v roku 2018.</w:t>
      </w:r>
    </w:p>
  </w:footnote>
  <w:footnote w:id="24">
    <w:p w14:paraId="3386B834" w14:textId="77777777" w:rsidR="00CB1B49" w:rsidRPr="00316509" w:rsidRDefault="00CB1B49" w:rsidP="00062715">
      <w:pPr>
        <w:jc w:val="both"/>
        <w:rPr>
          <w:rFonts w:ascii="Times New Roman" w:hAnsi="Times New Roman" w:cs="Times New Roman"/>
          <w:sz w:val="20"/>
          <w:szCs w:val="20"/>
        </w:rPr>
      </w:pPr>
      <w:r w:rsidRPr="007577DE">
        <w:rPr>
          <w:rStyle w:val="Odkaznapoznmkupodiarou"/>
          <w:rFonts w:ascii="Times New Roman" w:hAnsi="Times New Roman" w:cs="Times New Roman"/>
        </w:rPr>
        <w:footnoteRef/>
      </w:r>
      <w:r w:rsidRPr="007577DE">
        <w:rPr>
          <w:rFonts w:ascii="Times New Roman" w:hAnsi="Times New Roman" w:cs="Times New Roman"/>
        </w:rPr>
        <w:t xml:space="preserve"> </w:t>
      </w:r>
      <w:r w:rsidRPr="00DD2C1A">
        <w:rPr>
          <w:rFonts w:ascii="Times New Roman" w:hAnsi="Times New Roman" w:cs="Times New Roman"/>
          <w:sz w:val="20"/>
          <w:szCs w:val="20"/>
        </w:rPr>
        <w:t xml:space="preserve">Vyhodnotenie ES za rok 2016 nie je kompletné k termínu uzávierky 25.1.2017, preto sa dá očakávať jeho väčší prínos. Ich podiel sa dá očakávať podobný ako uvádza </w:t>
      </w:r>
      <w:r w:rsidRPr="00316509">
        <w:rPr>
          <w:rFonts w:ascii="Times New Roman" w:hAnsi="Times New Roman" w:cs="Times New Roman"/>
          <w:i/>
          <w:sz w:val="20"/>
          <w:szCs w:val="20"/>
        </w:rPr>
        <w:t>graf 2.3.-3 za rok 2015.</w:t>
      </w:r>
    </w:p>
    <w:p w14:paraId="6416563B" w14:textId="69992754" w:rsidR="00CB1B49" w:rsidRPr="007577DE" w:rsidRDefault="00CB1B49">
      <w:pPr>
        <w:pStyle w:val="Textpoznmkypodiarou"/>
        <w:rPr>
          <w:rFonts w:ascii="Times New Roman" w:hAnsi="Times New Roman" w:cs="Times New Roman"/>
        </w:rPr>
      </w:pPr>
    </w:p>
  </w:footnote>
  <w:footnote w:id="25">
    <w:p w14:paraId="22323AAE" w14:textId="77777777" w:rsidR="00CB1B49" w:rsidRPr="00DD2C1A" w:rsidRDefault="00CB1B49" w:rsidP="00BB33A1">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Ciele sú stanovené na základe čl. 3 a 7 smernice 2012/27/EÚ o energetickej efektívnosti.</w:t>
      </w:r>
    </w:p>
  </w:footnote>
  <w:footnote w:id="26">
    <w:p w14:paraId="74EA2EF8" w14:textId="77777777" w:rsidR="00CB1B49" w:rsidRPr="00DD2C1A" w:rsidRDefault="00CB1B49" w:rsidP="007170F1">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Informácia o uplatnení odseku 2 článku 7 smernice 2012/27/EÚ o energetickej efektívnosti v podmienkach Slovenskej republiky (MH SR, 2014).</w:t>
      </w:r>
    </w:p>
  </w:footnote>
  <w:footnote w:id="27">
    <w:p w14:paraId="647617BF" w14:textId="08D50617" w:rsidR="00CB1B49" w:rsidRPr="00DD2C1A" w:rsidRDefault="00CB1B49">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Pre vyhodnotenie ro</w:t>
      </w:r>
      <w:r w:rsidRPr="00316509">
        <w:rPr>
          <w:rFonts w:ascii="Times New Roman" w:hAnsi="Times New Roman" w:cs="Times New Roman"/>
        </w:rPr>
        <w:t>ku 2016 boli spracované údaje, ktoré boli k dispozícii k </w:t>
      </w:r>
      <w:r w:rsidRPr="007577DE">
        <w:rPr>
          <w:rFonts w:ascii="Times New Roman" w:hAnsi="Times New Roman" w:cs="Times New Roman"/>
        </w:rPr>
        <w:t>25.01.2017</w:t>
      </w:r>
      <w:r w:rsidRPr="00DD2C1A">
        <w:rPr>
          <w:rFonts w:ascii="Times New Roman" w:hAnsi="Times New Roman" w:cs="Times New Roman"/>
        </w:rPr>
        <w:t>, teda nepredstavujú konečné číslo.</w:t>
      </w:r>
    </w:p>
  </w:footnote>
  <w:footnote w:id="28">
    <w:p w14:paraId="16C66841" w14:textId="77777777" w:rsidR="00CB1B49" w:rsidRPr="00316509" w:rsidRDefault="00CB1B49" w:rsidP="009135F1">
      <w:pPr>
        <w:pStyle w:val="Textpoznmkypodiarou"/>
        <w:jc w:val="both"/>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Príloha I nariadenia Komisie (EÚ) č. 651/2014 zo dňa 17. júna 2014  o vyhlásení určitých kategórií pomoci za zlučiteľné s vnútorným trhom podľa článkov</w:t>
      </w:r>
      <w:r w:rsidRPr="00316509">
        <w:rPr>
          <w:rFonts w:ascii="Times New Roman" w:hAnsi="Times New Roman" w:cs="Times New Roman"/>
        </w:rPr>
        <w:t xml:space="preserve"> 107 a 108 zmluvy (Text s významom pre EHP) (Úradný vestník EÚ L 187, 26.6.2014). </w:t>
      </w:r>
    </w:p>
  </w:footnote>
  <w:footnote w:id="29">
    <w:p w14:paraId="28A07C37" w14:textId="474FE88F" w:rsidR="00CB1B49" w:rsidRPr="007577DE" w:rsidRDefault="00CB1B49">
      <w:pPr>
        <w:pStyle w:val="Textpoznmkypodiarou"/>
        <w:rPr>
          <w:rFonts w:ascii="Times New Roman" w:hAnsi="Times New Roman" w:cs="Times New Roman"/>
        </w:rPr>
      </w:pPr>
      <w:r w:rsidRPr="007577DE">
        <w:rPr>
          <w:rStyle w:val="Odkaznapoznmkupodiarou"/>
          <w:rFonts w:ascii="Times New Roman" w:hAnsi="Times New Roman" w:cs="Times New Roman"/>
        </w:rPr>
        <w:footnoteRef/>
      </w:r>
      <w:r w:rsidRPr="007577DE">
        <w:rPr>
          <w:rFonts w:ascii="Times New Roman" w:hAnsi="Times New Roman" w:cs="Times New Roman"/>
        </w:rPr>
        <w:t xml:space="preserve"> Stav počtu auditov ku dňu 25.1.2017. Vznikne aj doplnenie po 30. januári 2017 nakoľko je 30 dňová lehota pre VP na zaslanie údajov. Konečný počet bude dostupný v hodnotení až v roku 2018</w:t>
      </w:r>
    </w:p>
  </w:footnote>
  <w:footnote w:id="30">
    <w:p w14:paraId="674CE8A3" w14:textId="3402E0D6" w:rsidR="00CB1B49" w:rsidRPr="00DD2C1A" w:rsidRDefault="00CB1B49">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Stav k uzávierke údajov </w:t>
      </w:r>
      <w:r w:rsidRPr="007577DE">
        <w:rPr>
          <w:rFonts w:ascii="Times New Roman" w:hAnsi="Times New Roman" w:cs="Times New Roman"/>
        </w:rPr>
        <w:t>25.1.2017</w:t>
      </w:r>
    </w:p>
  </w:footnote>
  <w:footnote w:id="31">
    <w:p w14:paraId="376EF8AD" w14:textId="77777777" w:rsidR="00CB1B49" w:rsidRPr="00316509" w:rsidRDefault="00CB1B49" w:rsidP="00CB175F">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Relevantnou budovou sa rozumie  budova v správe ústredného orgánu štátnej správy (ďalej aj „ÚOŠS“), ktorá k 1. januáru príslušného kalendárneho roka nespĺňa minimálne požiadavky na energetickú hospodárn</w:t>
      </w:r>
      <w:r w:rsidRPr="00316509">
        <w:rPr>
          <w:rFonts w:ascii="Times New Roman" w:hAnsi="Times New Roman" w:cs="Times New Roman"/>
        </w:rPr>
        <w:t>osť budovy podľa § 4 ods. 3 zákona č. 555/2005 Z. z. o energetickej hospodárnosti budov v znení zákona č. 300/2012 Z. z. a ktorej celková podlahová plocha je väčšia ako 250 m</w:t>
      </w:r>
      <w:r w:rsidRPr="00316509">
        <w:rPr>
          <w:rFonts w:ascii="Times New Roman" w:hAnsi="Times New Roman" w:cs="Times New Roman"/>
          <w:vertAlign w:val="superscript"/>
        </w:rPr>
        <w:t>2</w:t>
      </w:r>
      <w:r w:rsidRPr="00316509">
        <w:rPr>
          <w:rFonts w:ascii="Times New Roman" w:hAnsi="Times New Roman" w:cs="Times New Roman"/>
        </w:rPr>
        <w:t>.</w:t>
      </w:r>
    </w:p>
  </w:footnote>
  <w:footnote w:id="32">
    <w:p w14:paraId="3746E881" w14:textId="77777777" w:rsidR="00CB1B49" w:rsidRPr="00DD2C1A" w:rsidRDefault="00CB1B49" w:rsidP="00CB175F">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http://www.telecom.gov.sk/index/index.php?ids=170474</w:t>
      </w:r>
    </w:p>
  </w:footnote>
  <w:footnote w:id="33">
    <w:p w14:paraId="123984BE" w14:textId="35B29AD1" w:rsidR="00CB1B49" w:rsidRPr="007577DE" w:rsidRDefault="00CB1B49" w:rsidP="00CB175F">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Notifikačná správa k a</w:t>
      </w:r>
      <w:r w:rsidRPr="00316509">
        <w:rPr>
          <w:rFonts w:ascii="Times New Roman" w:hAnsi="Times New Roman" w:cs="Times New Roman"/>
        </w:rPr>
        <w:t>lternatívnemu prístupu podľa článku 5 smernice 2012/27/EÚ o energetickej efektívnosti, december 2013</w:t>
      </w:r>
      <w:r>
        <w:rPr>
          <w:rFonts w:ascii="Times New Roman" w:hAnsi="Times New Roman" w:cs="Times New Roman"/>
        </w:rPr>
        <w:t>.</w:t>
      </w:r>
    </w:p>
  </w:footnote>
  <w:footnote w:id="34">
    <w:p w14:paraId="7F4C06CA" w14:textId="52E714B1" w:rsidR="00CB1B49" w:rsidRPr="007577DE" w:rsidRDefault="00CB1B49">
      <w:pPr>
        <w:pStyle w:val="Textpoznmkypodiarou"/>
        <w:rPr>
          <w:rFonts w:ascii="Times New Roman" w:hAnsi="Times New Roman" w:cs="Times New Roman"/>
        </w:rPr>
      </w:pPr>
      <w:r w:rsidRPr="007577DE">
        <w:rPr>
          <w:rStyle w:val="Odkaznapoznmkupodiarou"/>
          <w:rFonts w:ascii="Times New Roman" w:hAnsi="Times New Roman" w:cs="Times New Roman"/>
        </w:rPr>
        <w:footnoteRef/>
      </w:r>
      <w:r w:rsidRPr="007577DE">
        <w:rPr>
          <w:rFonts w:ascii="Times New Roman" w:hAnsi="Times New Roman" w:cs="Times New Roman"/>
        </w:rPr>
        <w:t xml:space="preserve"> Pre potreby vyčíslenia úspor energie bol pre administratívne budovy uvažovaný podiel verejných budov vo výške 50% zo všetkých administratívnych budov v databáze certifikátov. </w:t>
      </w:r>
    </w:p>
  </w:footnote>
  <w:footnote w:id="35">
    <w:p w14:paraId="1EA9FB64" w14:textId="77777777" w:rsidR="00CB1B49" w:rsidRPr="00DD2C1A" w:rsidRDefault="00CB1B49" w:rsidP="00E43041">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w:t>
      </w:r>
      <w:r w:rsidRPr="007577DE">
        <w:rPr>
          <w:rFonts w:ascii="Times New Roman" w:hAnsi="Times New Roman" w:cs="Times New Roman"/>
        </w:rPr>
        <w:t>Ekonomicko-technické hodnotenie uplatnenia CZT v SR a komplexné posúdenie národného potenciálu pre uplatnenie CZT. Komplexné posúdenie národného potenciálu pre uplatnenie vysoko účinnej kombinovanej výroby., December 2015</w:t>
      </w:r>
    </w:p>
  </w:footnote>
  <w:footnote w:id="36">
    <w:p w14:paraId="7A1DED56" w14:textId="77777777" w:rsidR="00CB1B49" w:rsidRPr="007577DE" w:rsidRDefault="00CB1B49" w:rsidP="00E43041">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Operačný program Kvalita životného prostredia, prioritná os 4, Investičná priorita 4.4., opatrenie 4.4.1A</w:t>
      </w:r>
    </w:p>
  </w:footnote>
  <w:footnote w:id="37">
    <w:p w14:paraId="6926FD6B" w14:textId="77777777" w:rsidR="00CB1B49" w:rsidRPr="00316509" w:rsidRDefault="00CB1B49" w:rsidP="00E43041">
      <w:pPr>
        <w:pStyle w:val="Textpoznmkypodiarou"/>
        <w:rPr>
          <w:rFonts w:ascii="Times New Roman" w:hAnsi="Times New Roman" w:cs="Times New Roman"/>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Operačný program Kvalita životného prostredia, prioritná os 4, Investič</w:t>
      </w:r>
      <w:r w:rsidRPr="00316509">
        <w:rPr>
          <w:rFonts w:ascii="Times New Roman" w:hAnsi="Times New Roman" w:cs="Times New Roman"/>
        </w:rPr>
        <w:t>ná priorita 4.1. a 4.5.</w:t>
      </w:r>
    </w:p>
  </w:footnote>
  <w:footnote w:id="38">
    <w:p w14:paraId="6FC1A101" w14:textId="6BDEB66F" w:rsidR="00CB1B49" w:rsidRPr="00316509" w:rsidRDefault="00CB1B49" w:rsidP="0080114C">
      <w:pPr>
        <w:autoSpaceDE w:val="0"/>
        <w:autoSpaceDN w:val="0"/>
        <w:adjustRightInd w:val="0"/>
        <w:spacing w:after="0" w:line="240" w:lineRule="auto"/>
        <w:rPr>
          <w:rFonts w:ascii="Times New Roman" w:hAnsi="Times New Roman" w:cs="Times New Roman"/>
          <w:bCs/>
        </w:rPr>
      </w:pPr>
      <w:r w:rsidRPr="00DD2C1A">
        <w:rPr>
          <w:rStyle w:val="Odkaznapoznmkupodiarou"/>
          <w:rFonts w:ascii="Times New Roman" w:hAnsi="Times New Roman" w:cs="Times New Roman"/>
        </w:rPr>
        <w:footnoteRef/>
      </w:r>
      <w:r w:rsidRPr="00DD2C1A">
        <w:rPr>
          <w:rFonts w:ascii="Times New Roman" w:hAnsi="Times New Roman" w:cs="Times New Roman"/>
        </w:rPr>
        <w:t xml:space="preserve"> Napr. Vyhláška úradu pre reguláciu sieťových odvetví č. 17/2017 Z. z., </w:t>
      </w:r>
      <w:r w:rsidRPr="00316509">
        <w:rPr>
          <w:rFonts w:ascii="Times New Roman" w:hAnsi="Times New Roman" w:cs="Times New Roman"/>
          <w:bCs/>
        </w:rPr>
        <w:t>ktorou sa ustanovuje cenová regulácia v elektroenergetike a niektoré podmienky vykonávania regulovaných činností v elektroenergetike</w:t>
      </w:r>
    </w:p>
  </w:footnote>
  <w:footnote w:id="39">
    <w:p w14:paraId="213AAE64" w14:textId="3B7BE910" w:rsidR="00CB1B49" w:rsidRPr="00316509" w:rsidRDefault="00CB1B49" w:rsidP="0080114C">
      <w:pPr>
        <w:pStyle w:val="Default"/>
        <w:rPr>
          <w:sz w:val="20"/>
          <w:szCs w:val="20"/>
        </w:rPr>
      </w:pPr>
      <w:r w:rsidRPr="00DD2C1A">
        <w:rPr>
          <w:rStyle w:val="Odkaznapoznmkupodiarou"/>
          <w:sz w:val="20"/>
          <w:szCs w:val="20"/>
        </w:rPr>
        <w:footnoteRef/>
      </w:r>
      <w:r w:rsidRPr="00DD2C1A">
        <w:rPr>
          <w:sz w:val="20"/>
          <w:szCs w:val="20"/>
        </w:rPr>
        <w:t xml:space="preserve"> Napr. </w:t>
      </w:r>
      <w:r w:rsidRPr="00316509">
        <w:rPr>
          <w:bCs/>
          <w:sz w:val="20"/>
          <w:szCs w:val="20"/>
        </w:rPr>
        <w:t>Metodické usmernenie č. 05/12/2015  z 11. júna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FFB"/>
    <w:multiLevelType w:val="multilevel"/>
    <w:tmpl w:val="4B6A99A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0A21CB"/>
    <w:multiLevelType w:val="multilevel"/>
    <w:tmpl w:val="26E448F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434A6"/>
    <w:multiLevelType w:val="multilevel"/>
    <w:tmpl w:val="26304C6A"/>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093B85"/>
    <w:multiLevelType w:val="hybridMultilevel"/>
    <w:tmpl w:val="7F24F830"/>
    <w:lvl w:ilvl="0" w:tplc="6276CFC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25416B"/>
    <w:multiLevelType w:val="hybridMultilevel"/>
    <w:tmpl w:val="B6C2DC18"/>
    <w:lvl w:ilvl="0" w:tplc="FFC4AA8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856A33"/>
    <w:multiLevelType w:val="hybridMultilevel"/>
    <w:tmpl w:val="7068CC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9D0F7E"/>
    <w:multiLevelType w:val="hybridMultilevel"/>
    <w:tmpl w:val="E65CE26E"/>
    <w:lvl w:ilvl="0" w:tplc="53ECD55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2573C1"/>
    <w:multiLevelType w:val="hybridMultilevel"/>
    <w:tmpl w:val="24CCF474"/>
    <w:lvl w:ilvl="0" w:tplc="5072756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3C8711F"/>
    <w:multiLevelType w:val="hybridMultilevel"/>
    <w:tmpl w:val="3686308C"/>
    <w:lvl w:ilvl="0" w:tplc="F9ACF7C6">
      <w:start w:val="1"/>
      <w:numFmt w:val="decimal"/>
      <w:pStyle w:val="Nadpis1"/>
      <w:lvlText w:val="%1."/>
      <w:lvlJc w:val="left"/>
      <w:pPr>
        <w:ind w:left="644"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D00913"/>
    <w:multiLevelType w:val="multilevel"/>
    <w:tmpl w:val="841810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7F2F43"/>
    <w:multiLevelType w:val="hybridMultilevel"/>
    <w:tmpl w:val="ABDE191A"/>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33823AD6"/>
    <w:multiLevelType w:val="hybridMultilevel"/>
    <w:tmpl w:val="02C82B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8D767C"/>
    <w:multiLevelType w:val="hybridMultilevel"/>
    <w:tmpl w:val="5F7A57D0"/>
    <w:lvl w:ilvl="0" w:tplc="92C055E4">
      <w:start w:val="3"/>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B0306AF"/>
    <w:multiLevelType w:val="multilevel"/>
    <w:tmpl w:val="417451B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B52AFD"/>
    <w:multiLevelType w:val="hybridMultilevel"/>
    <w:tmpl w:val="E2F0C1B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62CA0"/>
    <w:multiLevelType w:val="multilevel"/>
    <w:tmpl w:val="5804171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E60CCC"/>
    <w:multiLevelType w:val="hybridMultilevel"/>
    <w:tmpl w:val="399CA178"/>
    <w:lvl w:ilvl="0" w:tplc="FFC4AA88">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56ED79E2"/>
    <w:multiLevelType w:val="hybridMultilevel"/>
    <w:tmpl w:val="076AD732"/>
    <w:lvl w:ilvl="0" w:tplc="A88A35D2">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F846892"/>
    <w:multiLevelType w:val="multilevel"/>
    <w:tmpl w:val="9B6AD5AC"/>
    <w:lvl w:ilvl="0">
      <w:start w:val="2"/>
      <w:numFmt w:val="decimal"/>
      <w:lvlText w:val="%1"/>
      <w:lvlJc w:val="left"/>
      <w:pPr>
        <w:ind w:left="432" w:hanging="432"/>
      </w:pPr>
      <w:rPr>
        <w:rFonts w:hint="default"/>
        <w:b w:val="0"/>
        <w:bCs w:val="0"/>
        <w:i w:val="0"/>
        <w:iCs w:val="0"/>
        <w:caps w:val="0"/>
        <w:smallCaps w:val="0"/>
        <w:strike w:val="0"/>
        <w:dstrike w:val="0"/>
        <w:noProof w:val="0"/>
        <w:vanish w:val="0"/>
        <w:color w:val="2F5496" w:themeColor="accent5"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rFonts w:ascii="Times New Roman" w:hAnsi="Times New Roman" w:cs="Times New Roman" w:hint="default"/>
        <w:b/>
      </w:rPr>
    </w:lvl>
    <w:lvl w:ilvl="2">
      <w:start w:val="1"/>
      <w:numFmt w:val="decimal"/>
      <w:pStyle w:val="Nadpis3"/>
      <w:lvlText w:val="%1.%2.%3"/>
      <w:lvlJc w:val="left"/>
      <w:pPr>
        <w:ind w:left="720" w:hanging="720"/>
      </w:pPr>
      <w:rPr>
        <w:rFonts w:hint="default"/>
        <w:i w:val="0"/>
      </w:rPr>
    </w:lvl>
    <w:lvl w:ilvl="3">
      <w:start w:val="1"/>
      <w:numFmt w:val="decimal"/>
      <w:pStyle w:val="Nadpis4"/>
      <w:lvlText w:val="%1.%2.%3.%4"/>
      <w:lvlJc w:val="left"/>
      <w:pPr>
        <w:ind w:left="864" w:hanging="864"/>
      </w:pPr>
      <w:rPr>
        <w:rFonts w:hint="default"/>
        <w:i w:val="0"/>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9" w15:restartNumberingAfterBreak="0">
    <w:nsid w:val="780952CC"/>
    <w:multiLevelType w:val="hybridMultilevel"/>
    <w:tmpl w:val="59581B5A"/>
    <w:lvl w:ilvl="0" w:tplc="DC6E1BA8">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BEC62BB"/>
    <w:multiLevelType w:val="hybridMultilevel"/>
    <w:tmpl w:val="3E6414B8"/>
    <w:lvl w:ilvl="0" w:tplc="95CC444A">
      <w:start w:val="3"/>
      <w:numFmt w:val="bullet"/>
      <w:lvlText w:val="-"/>
      <w:lvlJc w:val="left"/>
      <w:pPr>
        <w:ind w:left="948" w:hanging="360"/>
      </w:pPr>
      <w:rPr>
        <w:rFonts w:ascii="Calibri" w:eastAsiaTheme="minorHAnsi" w:hAnsi="Calibri" w:cstheme="minorBidi" w:hint="default"/>
      </w:rPr>
    </w:lvl>
    <w:lvl w:ilvl="1" w:tplc="041B0003" w:tentative="1">
      <w:start w:val="1"/>
      <w:numFmt w:val="bullet"/>
      <w:lvlText w:val="o"/>
      <w:lvlJc w:val="left"/>
      <w:pPr>
        <w:ind w:left="1668" w:hanging="360"/>
      </w:pPr>
      <w:rPr>
        <w:rFonts w:ascii="Courier New" w:hAnsi="Courier New" w:cs="Courier New" w:hint="default"/>
      </w:rPr>
    </w:lvl>
    <w:lvl w:ilvl="2" w:tplc="041B0005" w:tentative="1">
      <w:start w:val="1"/>
      <w:numFmt w:val="bullet"/>
      <w:lvlText w:val=""/>
      <w:lvlJc w:val="left"/>
      <w:pPr>
        <w:ind w:left="2388" w:hanging="360"/>
      </w:pPr>
      <w:rPr>
        <w:rFonts w:ascii="Wingdings" w:hAnsi="Wingdings" w:hint="default"/>
      </w:rPr>
    </w:lvl>
    <w:lvl w:ilvl="3" w:tplc="041B0001" w:tentative="1">
      <w:start w:val="1"/>
      <w:numFmt w:val="bullet"/>
      <w:lvlText w:val=""/>
      <w:lvlJc w:val="left"/>
      <w:pPr>
        <w:ind w:left="3108" w:hanging="360"/>
      </w:pPr>
      <w:rPr>
        <w:rFonts w:ascii="Symbol" w:hAnsi="Symbol" w:hint="default"/>
      </w:rPr>
    </w:lvl>
    <w:lvl w:ilvl="4" w:tplc="041B0003" w:tentative="1">
      <w:start w:val="1"/>
      <w:numFmt w:val="bullet"/>
      <w:lvlText w:val="o"/>
      <w:lvlJc w:val="left"/>
      <w:pPr>
        <w:ind w:left="3828" w:hanging="360"/>
      </w:pPr>
      <w:rPr>
        <w:rFonts w:ascii="Courier New" w:hAnsi="Courier New" w:cs="Courier New" w:hint="default"/>
      </w:rPr>
    </w:lvl>
    <w:lvl w:ilvl="5" w:tplc="041B0005" w:tentative="1">
      <w:start w:val="1"/>
      <w:numFmt w:val="bullet"/>
      <w:lvlText w:val=""/>
      <w:lvlJc w:val="left"/>
      <w:pPr>
        <w:ind w:left="4548" w:hanging="360"/>
      </w:pPr>
      <w:rPr>
        <w:rFonts w:ascii="Wingdings" w:hAnsi="Wingdings" w:hint="default"/>
      </w:rPr>
    </w:lvl>
    <w:lvl w:ilvl="6" w:tplc="041B0001" w:tentative="1">
      <w:start w:val="1"/>
      <w:numFmt w:val="bullet"/>
      <w:lvlText w:val=""/>
      <w:lvlJc w:val="left"/>
      <w:pPr>
        <w:ind w:left="5268" w:hanging="360"/>
      </w:pPr>
      <w:rPr>
        <w:rFonts w:ascii="Symbol" w:hAnsi="Symbol" w:hint="default"/>
      </w:rPr>
    </w:lvl>
    <w:lvl w:ilvl="7" w:tplc="041B0003" w:tentative="1">
      <w:start w:val="1"/>
      <w:numFmt w:val="bullet"/>
      <w:lvlText w:val="o"/>
      <w:lvlJc w:val="left"/>
      <w:pPr>
        <w:ind w:left="5988" w:hanging="360"/>
      </w:pPr>
      <w:rPr>
        <w:rFonts w:ascii="Courier New" w:hAnsi="Courier New" w:cs="Courier New" w:hint="default"/>
      </w:rPr>
    </w:lvl>
    <w:lvl w:ilvl="8" w:tplc="041B0005" w:tentative="1">
      <w:start w:val="1"/>
      <w:numFmt w:val="bullet"/>
      <w:lvlText w:val=""/>
      <w:lvlJc w:val="left"/>
      <w:pPr>
        <w:ind w:left="6708" w:hanging="360"/>
      </w:pPr>
      <w:rPr>
        <w:rFonts w:ascii="Wingdings" w:hAnsi="Wingdings" w:hint="default"/>
      </w:rPr>
    </w:lvl>
  </w:abstractNum>
  <w:num w:numId="1">
    <w:abstractNumId w:val="18"/>
  </w:num>
  <w:num w:numId="2">
    <w:abstractNumId w:val="12"/>
  </w:num>
  <w:num w:numId="3">
    <w:abstractNumId w:val="5"/>
  </w:num>
  <w:num w:numId="4">
    <w:abstractNumId w:val="6"/>
  </w:num>
  <w:num w:numId="5">
    <w:abstractNumId w:val="16"/>
  </w:num>
  <w:num w:numId="6">
    <w:abstractNumId w:val="4"/>
  </w:num>
  <w:num w:numId="7">
    <w:abstractNumId w:val="17"/>
  </w:num>
  <w:num w:numId="8">
    <w:abstractNumId w:val="20"/>
  </w:num>
  <w:num w:numId="9">
    <w:abstractNumId w:val="14"/>
  </w:num>
  <w:num w:numId="10">
    <w:abstractNumId w:val="19"/>
  </w:num>
  <w:num w:numId="11">
    <w:abstractNumId w:val="11"/>
  </w:num>
  <w:num w:numId="12">
    <w:abstractNumId w:val="10"/>
  </w:num>
  <w:num w:numId="13">
    <w:abstractNumId w:val="7"/>
  </w:num>
  <w:num w:numId="14">
    <w:abstractNumId w:va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15"/>
  </w:num>
  <w:num w:numId="19">
    <w:abstractNumId w:val="8"/>
  </w:num>
  <w:num w:numId="20">
    <w:abstractNumId w:val="18"/>
  </w:num>
  <w:num w:numId="21">
    <w:abstractNumId w:val="18"/>
  </w:num>
  <w:num w:numId="22">
    <w:abstractNumId w:val="18"/>
  </w:num>
  <w:num w:numId="23">
    <w:abstractNumId w:val="8"/>
  </w:num>
  <w:num w:numId="24">
    <w:abstractNumId w:val="18"/>
    <w:lvlOverride w:ilvl="0">
      <w:startOverride w:val="2"/>
    </w:lvlOverride>
    <w:lvlOverride w:ilvl="1">
      <w:startOverride w:val="1"/>
    </w:lvlOverride>
  </w:num>
  <w:num w:numId="25">
    <w:abstractNumId w:val="18"/>
    <w:lvlOverride w:ilvl="0">
      <w:startOverride w:val="2"/>
    </w:lvlOverride>
    <w:lvlOverride w:ilvl="1">
      <w:startOverride w:val="1"/>
    </w:lvlOverride>
  </w:num>
  <w:num w:numId="26">
    <w:abstractNumId w:val="18"/>
  </w:num>
  <w:num w:numId="27">
    <w:abstractNumId w:val="8"/>
  </w:num>
  <w:num w:numId="28">
    <w:abstractNumId w:val="8"/>
  </w:num>
  <w:num w:numId="29">
    <w:abstractNumId w:val="3"/>
  </w:num>
  <w:num w:numId="30">
    <w:abstractNumId w:val="9"/>
  </w:num>
  <w:num w:numId="31">
    <w:abstractNumId w:val="0"/>
  </w:num>
  <w:num w:numId="3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39"/>
    <w:rsid w:val="00000C2A"/>
    <w:rsid w:val="000023F7"/>
    <w:rsid w:val="000041F2"/>
    <w:rsid w:val="000062FB"/>
    <w:rsid w:val="00006C85"/>
    <w:rsid w:val="00011C7A"/>
    <w:rsid w:val="00013057"/>
    <w:rsid w:val="000155A6"/>
    <w:rsid w:val="0001635C"/>
    <w:rsid w:val="00017016"/>
    <w:rsid w:val="000223AB"/>
    <w:rsid w:val="00022EEB"/>
    <w:rsid w:val="00025512"/>
    <w:rsid w:val="00025572"/>
    <w:rsid w:val="00031099"/>
    <w:rsid w:val="00031AC9"/>
    <w:rsid w:val="0003297C"/>
    <w:rsid w:val="00036138"/>
    <w:rsid w:val="000377CB"/>
    <w:rsid w:val="000378F3"/>
    <w:rsid w:val="00040946"/>
    <w:rsid w:val="00042158"/>
    <w:rsid w:val="00044016"/>
    <w:rsid w:val="00044366"/>
    <w:rsid w:val="00050066"/>
    <w:rsid w:val="00051381"/>
    <w:rsid w:val="00052505"/>
    <w:rsid w:val="00056B5E"/>
    <w:rsid w:val="000576BD"/>
    <w:rsid w:val="000576F8"/>
    <w:rsid w:val="000578FE"/>
    <w:rsid w:val="00057AE1"/>
    <w:rsid w:val="000610D8"/>
    <w:rsid w:val="000619AE"/>
    <w:rsid w:val="00062715"/>
    <w:rsid w:val="0006281A"/>
    <w:rsid w:val="00063ACC"/>
    <w:rsid w:val="00063AF1"/>
    <w:rsid w:val="0006480B"/>
    <w:rsid w:val="000658FB"/>
    <w:rsid w:val="00067565"/>
    <w:rsid w:val="00067E85"/>
    <w:rsid w:val="000723D1"/>
    <w:rsid w:val="0007368A"/>
    <w:rsid w:val="00074593"/>
    <w:rsid w:val="000745A8"/>
    <w:rsid w:val="000749D6"/>
    <w:rsid w:val="0007724F"/>
    <w:rsid w:val="00082206"/>
    <w:rsid w:val="00082781"/>
    <w:rsid w:val="000838F5"/>
    <w:rsid w:val="00083A8F"/>
    <w:rsid w:val="00086BB0"/>
    <w:rsid w:val="00087249"/>
    <w:rsid w:val="00090EBE"/>
    <w:rsid w:val="00092122"/>
    <w:rsid w:val="00092585"/>
    <w:rsid w:val="00092ED7"/>
    <w:rsid w:val="00094C8F"/>
    <w:rsid w:val="000A1B1D"/>
    <w:rsid w:val="000A3BE2"/>
    <w:rsid w:val="000A4E10"/>
    <w:rsid w:val="000A6611"/>
    <w:rsid w:val="000A6B26"/>
    <w:rsid w:val="000B039D"/>
    <w:rsid w:val="000B15D7"/>
    <w:rsid w:val="000B168C"/>
    <w:rsid w:val="000B19E2"/>
    <w:rsid w:val="000B1AAD"/>
    <w:rsid w:val="000B38DB"/>
    <w:rsid w:val="000B4A2F"/>
    <w:rsid w:val="000B74BF"/>
    <w:rsid w:val="000C195E"/>
    <w:rsid w:val="000C25E1"/>
    <w:rsid w:val="000C2919"/>
    <w:rsid w:val="000C593C"/>
    <w:rsid w:val="000D0415"/>
    <w:rsid w:val="000D07E7"/>
    <w:rsid w:val="000D1C56"/>
    <w:rsid w:val="000D333E"/>
    <w:rsid w:val="000D43C4"/>
    <w:rsid w:val="000D4F80"/>
    <w:rsid w:val="000D5267"/>
    <w:rsid w:val="000D7909"/>
    <w:rsid w:val="000E01BC"/>
    <w:rsid w:val="000E078E"/>
    <w:rsid w:val="000E20F4"/>
    <w:rsid w:val="000E28C4"/>
    <w:rsid w:val="000E2AED"/>
    <w:rsid w:val="000E5385"/>
    <w:rsid w:val="000E60A6"/>
    <w:rsid w:val="000F0201"/>
    <w:rsid w:val="000F0397"/>
    <w:rsid w:val="000F1098"/>
    <w:rsid w:val="000F1F42"/>
    <w:rsid w:val="000F213B"/>
    <w:rsid w:val="000F45A9"/>
    <w:rsid w:val="000F708C"/>
    <w:rsid w:val="001011B6"/>
    <w:rsid w:val="00102D11"/>
    <w:rsid w:val="0010480F"/>
    <w:rsid w:val="00107947"/>
    <w:rsid w:val="00110CB9"/>
    <w:rsid w:val="0011464D"/>
    <w:rsid w:val="00114C2E"/>
    <w:rsid w:val="00116B48"/>
    <w:rsid w:val="001170C3"/>
    <w:rsid w:val="00120E23"/>
    <w:rsid w:val="00120EB2"/>
    <w:rsid w:val="00121D42"/>
    <w:rsid w:val="00122C99"/>
    <w:rsid w:val="001235B1"/>
    <w:rsid w:val="001261F1"/>
    <w:rsid w:val="00126284"/>
    <w:rsid w:val="00130482"/>
    <w:rsid w:val="001323EF"/>
    <w:rsid w:val="001327AD"/>
    <w:rsid w:val="001328B6"/>
    <w:rsid w:val="001330C9"/>
    <w:rsid w:val="0014115F"/>
    <w:rsid w:val="00141EDF"/>
    <w:rsid w:val="001424BA"/>
    <w:rsid w:val="0014292B"/>
    <w:rsid w:val="00144256"/>
    <w:rsid w:val="0014464F"/>
    <w:rsid w:val="001448E1"/>
    <w:rsid w:val="00145DDD"/>
    <w:rsid w:val="001460AF"/>
    <w:rsid w:val="0015005C"/>
    <w:rsid w:val="0015115A"/>
    <w:rsid w:val="00152D97"/>
    <w:rsid w:val="00154BA0"/>
    <w:rsid w:val="001570B9"/>
    <w:rsid w:val="00160590"/>
    <w:rsid w:val="001607E1"/>
    <w:rsid w:val="0016099E"/>
    <w:rsid w:val="001617F3"/>
    <w:rsid w:val="0016249C"/>
    <w:rsid w:val="001630D5"/>
    <w:rsid w:val="00163C77"/>
    <w:rsid w:val="00164003"/>
    <w:rsid w:val="001653AA"/>
    <w:rsid w:val="00165501"/>
    <w:rsid w:val="0016691E"/>
    <w:rsid w:val="00167FF2"/>
    <w:rsid w:val="00170557"/>
    <w:rsid w:val="001713A5"/>
    <w:rsid w:val="00171805"/>
    <w:rsid w:val="00176FFE"/>
    <w:rsid w:val="00177B2A"/>
    <w:rsid w:val="001810F4"/>
    <w:rsid w:val="00181D8C"/>
    <w:rsid w:val="00183883"/>
    <w:rsid w:val="001857DD"/>
    <w:rsid w:val="00186D97"/>
    <w:rsid w:val="00190578"/>
    <w:rsid w:val="00190D8C"/>
    <w:rsid w:val="00192844"/>
    <w:rsid w:val="00193CEF"/>
    <w:rsid w:val="00193FAC"/>
    <w:rsid w:val="001941F3"/>
    <w:rsid w:val="001947AB"/>
    <w:rsid w:val="00195DB5"/>
    <w:rsid w:val="0019682E"/>
    <w:rsid w:val="0019712E"/>
    <w:rsid w:val="0019763B"/>
    <w:rsid w:val="001978DE"/>
    <w:rsid w:val="001978E8"/>
    <w:rsid w:val="001A0A0B"/>
    <w:rsid w:val="001A12AB"/>
    <w:rsid w:val="001A19D8"/>
    <w:rsid w:val="001A2FDF"/>
    <w:rsid w:val="001A49B3"/>
    <w:rsid w:val="001A6EE1"/>
    <w:rsid w:val="001A7158"/>
    <w:rsid w:val="001B097E"/>
    <w:rsid w:val="001B1483"/>
    <w:rsid w:val="001B1788"/>
    <w:rsid w:val="001B2DCB"/>
    <w:rsid w:val="001B4397"/>
    <w:rsid w:val="001C3BC0"/>
    <w:rsid w:val="001C4BCA"/>
    <w:rsid w:val="001C4FEA"/>
    <w:rsid w:val="001C6037"/>
    <w:rsid w:val="001C663A"/>
    <w:rsid w:val="001C68B1"/>
    <w:rsid w:val="001C7F95"/>
    <w:rsid w:val="001D06C9"/>
    <w:rsid w:val="001D0FF0"/>
    <w:rsid w:val="001D12B1"/>
    <w:rsid w:val="001D1334"/>
    <w:rsid w:val="001D299D"/>
    <w:rsid w:val="001D5205"/>
    <w:rsid w:val="001D57FF"/>
    <w:rsid w:val="001D712C"/>
    <w:rsid w:val="001D7BB1"/>
    <w:rsid w:val="001E01DC"/>
    <w:rsid w:val="001E06BE"/>
    <w:rsid w:val="001E3C1A"/>
    <w:rsid w:val="001E72B7"/>
    <w:rsid w:val="001F0BC6"/>
    <w:rsid w:val="001F1175"/>
    <w:rsid w:val="001F521B"/>
    <w:rsid w:val="00200F3D"/>
    <w:rsid w:val="00201233"/>
    <w:rsid w:val="002043A2"/>
    <w:rsid w:val="0020448C"/>
    <w:rsid w:val="002057FE"/>
    <w:rsid w:val="0020622D"/>
    <w:rsid w:val="00206BE1"/>
    <w:rsid w:val="00207D7D"/>
    <w:rsid w:val="00211EA2"/>
    <w:rsid w:val="002122EA"/>
    <w:rsid w:val="0021292E"/>
    <w:rsid w:val="00212D73"/>
    <w:rsid w:val="00212F82"/>
    <w:rsid w:val="0021587A"/>
    <w:rsid w:val="00217086"/>
    <w:rsid w:val="002200AF"/>
    <w:rsid w:val="0022093A"/>
    <w:rsid w:val="00221B6C"/>
    <w:rsid w:val="00222B70"/>
    <w:rsid w:val="00222F9E"/>
    <w:rsid w:val="002257A5"/>
    <w:rsid w:val="00225D0C"/>
    <w:rsid w:val="00226A84"/>
    <w:rsid w:val="00226BDC"/>
    <w:rsid w:val="00227988"/>
    <w:rsid w:val="00227F72"/>
    <w:rsid w:val="00231C03"/>
    <w:rsid w:val="002324F3"/>
    <w:rsid w:val="00233B8A"/>
    <w:rsid w:val="00234BB3"/>
    <w:rsid w:val="00235E26"/>
    <w:rsid w:val="00236ABD"/>
    <w:rsid w:val="00237183"/>
    <w:rsid w:val="0024031B"/>
    <w:rsid w:val="0024151F"/>
    <w:rsid w:val="002417CE"/>
    <w:rsid w:val="00242B16"/>
    <w:rsid w:val="00245F4D"/>
    <w:rsid w:val="002467B1"/>
    <w:rsid w:val="00253CC3"/>
    <w:rsid w:val="00255D17"/>
    <w:rsid w:val="00256725"/>
    <w:rsid w:val="00257371"/>
    <w:rsid w:val="0026011A"/>
    <w:rsid w:val="00260158"/>
    <w:rsid w:val="00260953"/>
    <w:rsid w:val="002619DA"/>
    <w:rsid w:val="00262A93"/>
    <w:rsid w:val="00263650"/>
    <w:rsid w:val="00264653"/>
    <w:rsid w:val="002706C2"/>
    <w:rsid w:val="00270B06"/>
    <w:rsid w:val="00270DC6"/>
    <w:rsid w:val="002722FF"/>
    <w:rsid w:val="00272B39"/>
    <w:rsid w:val="0027324F"/>
    <w:rsid w:val="002739B6"/>
    <w:rsid w:val="00274656"/>
    <w:rsid w:val="002761B3"/>
    <w:rsid w:val="0027754C"/>
    <w:rsid w:val="0027778D"/>
    <w:rsid w:val="002814F6"/>
    <w:rsid w:val="00283209"/>
    <w:rsid w:val="00284240"/>
    <w:rsid w:val="00284FC6"/>
    <w:rsid w:val="0028637B"/>
    <w:rsid w:val="00286E91"/>
    <w:rsid w:val="002872A4"/>
    <w:rsid w:val="00287526"/>
    <w:rsid w:val="00290693"/>
    <w:rsid w:val="00290CC5"/>
    <w:rsid w:val="00291460"/>
    <w:rsid w:val="00291743"/>
    <w:rsid w:val="00291CAB"/>
    <w:rsid w:val="00292998"/>
    <w:rsid w:val="00293169"/>
    <w:rsid w:val="00293EB5"/>
    <w:rsid w:val="00294E6D"/>
    <w:rsid w:val="00297F16"/>
    <w:rsid w:val="002A147B"/>
    <w:rsid w:val="002A2475"/>
    <w:rsid w:val="002A3F0E"/>
    <w:rsid w:val="002A4C88"/>
    <w:rsid w:val="002A51D8"/>
    <w:rsid w:val="002A6C30"/>
    <w:rsid w:val="002A7050"/>
    <w:rsid w:val="002B1C61"/>
    <w:rsid w:val="002B4689"/>
    <w:rsid w:val="002B4E99"/>
    <w:rsid w:val="002B6270"/>
    <w:rsid w:val="002B694F"/>
    <w:rsid w:val="002B6F5B"/>
    <w:rsid w:val="002C0493"/>
    <w:rsid w:val="002C0B26"/>
    <w:rsid w:val="002C2653"/>
    <w:rsid w:val="002C3DCB"/>
    <w:rsid w:val="002C4F05"/>
    <w:rsid w:val="002C51A0"/>
    <w:rsid w:val="002C6664"/>
    <w:rsid w:val="002D4424"/>
    <w:rsid w:val="002D4A51"/>
    <w:rsid w:val="002D541C"/>
    <w:rsid w:val="002D7E76"/>
    <w:rsid w:val="002E09E2"/>
    <w:rsid w:val="002E1403"/>
    <w:rsid w:val="002E1E7B"/>
    <w:rsid w:val="002E26D4"/>
    <w:rsid w:val="002E3164"/>
    <w:rsid w:val="002E5130"/>
    <w:rsid w:val="002E53C2"/>
    <w:rsid w:val="002E59DE"/>
    <w:rsid w:val="002E66F3"/>
    <w:rsid w:val="002E7442"/>
    <w:rsid w:val="002F00EA"/>
    <w:rsid w:val="002F0B21"/>
    <w:rsid w:val="002F3068"/>
    <w:rsid w:val="002F4575"/>
    <w:rsid w:val="002F4BB2"/>
    <w:rsid w:val="003025E4"/>
    <w:rsid w:val="00302F2B"/>
    <w:rsid w:val="0030375D"/>
    <w:rsid w:val="0030624E"/>
    <w:rsid w:val="00316131"/>
    <w:rsid w:val="00316509"/>
    <w:rsid w:val="00317D98"/>
    <w:rsid w:val="00320E31"/>
    <w:rsid w:val="003240D7"/>
    <w:rsid w:val="0032515F"/>
    <w:rsid w:val="00325933"/>
    <w:rsid w:val="0032671C"/>
    <w:rsid w:val="003274B3"/>
    <w:rsid w:val="00327DF6"/>
    <w:rsid w:val="0033038C"/>
    <w:rsid w:val="00332237"/>
    <w:rsid w:val="00332E77"/>
    <w:rsid w:val="003340A2"/>
    <w:rsid w:val="00334CCC"/>
    <w:rsid w:val="00337323"/>
    <w:rsid w:val="003379E3"/>
    <w:rsid w:val="00341365"/>
    <w:rsid w:val="00341C70"/>
    <w:rsid w:val="00343C0F"/>
    <w:rsid w:val="0034469B"/>
    <w:rsid w:val="0034698B"/>
    <w:rsid w:val="0034717A"/>
    <w:rsid w:val="0034774C"/>
    <w:rsid w:val="003504A2"/>
    <w:rsid w:val="00350659"/>
    <w:rsid w:val="00351460"/>
    <w:rsid w:val="003523EB"/>
    <w:rsid w:val="003526E3"/>
    <w:rsid w:val="00353519"/>
    <w:rsid w:val="00353D21"/>
    <w:rsid w:val="0035512F"/>
    <w:rsid w:val="003553AA"/>
    <w:rsid w:val="003565BB"/>
    <w:rsid w:val="003605FE"/>
    <w:rsid w:val="00360C5B"/>
    <w:rsid w:val="0036420D"/>
    <w:rsid w:val="003654F7"/>
    <w:rsid w:val="00367620"/>
    <w:rsid w:val="00370A1A"/>
    <w:rsid w:val="00372054"/>
    <w:rsid w:val="00372526"/>
    <w:rsid w:val="00372C60"/>
    <w:rsid w:val="0037348A"/>
    <w:rsid w:val="00374779"/>
    <w:rsid w:val="00375311"/>
    <w:rsid w:val="00375411"/>
    <w:rsid w:val="00375545"/>
    <w:rsid w:val="00376E21"/>
    <w:rsid w:val="0037763C"/>
    <w:rsid w:val="00380558"/>
    <w:rsid w:val="00382EAD"/>
    <w:rsid w:val="003840EF"/>
    <w:rsid w:val="00384B4D"/>
    <w:rsid w:val="00386325"/>
    <w:rsid w:val="003902B3"/>
    <w:rsid w:val="003904C9"/>
    <w:rsid w:val="00390E24"/>
    <w:rsid w:val="003932FA"/>
    <w:rsid w:val="00393905"/>
    <w:rsid w:val="003945E7"/>
    <w:rsid w:val="003A0C07"/>
    <w:rsid w:val="003A20B9"/>
    <w:rsid w:val="003A2A04"/>
    <w:rsid w:val="003A4236"/>
    <w:rsid w:val="003A4BD2"/>
    <w:rsid w:val="003A691E"/>
    <w:rsid w:val="003A71A9"/>
    <w:rsid w:val="003A7AA4"/>
    <w:rsid w:val="003B12AE"/>
    <w:rsid w:val="003B1A29"/>
    <w:rsid w:val="003B1FC9"/>
    <w:rsid w:val="003B25ED"/>
    <w:rsid w:val="003B4825"/>
    <w:rsid w:val="003B49EA"/>
    <w:rsid w:val="003B6B3A"/>
    <w:rsid w:val="003B747B"/>
    <w:rsid w:val="003B752D"/>
    <w:rsid w:val="003C0D64"/>
    <w:rsid w:val="003C1BF9"/>
    <w:rsid w:val="003C4E15"/>
    <w:rsid w:val="003C6682"/>
    <w:rsid w:val="003C7725"/>
    <w:rsid w:val="003D09A8"/>
    <w:rsid w:val="003D0A97"/>
    <w:rsid w:val="003D2ED6"/>
    <w:rsid w:val="003D328A"/>
    <w:rsid w:val="003D6195"/>
    <w:rsid w:val="003D6404"/>
    <w:rsid w:val="003E0471"/>
    <w:rsid w:val="003E1EB3"/>
    <w:rsid w:val="003E274A"/>
    <w:rsid w:val="003E4614"/>
    <w:rsid w:val="003E73B5"/>
    <w:rsid w:val="003E7C46"/>
    <w:rsid w:val="003F29ED"/>
    <w:rsid w:val="003F3F7A"/>
    <w:rsid w:val="003F4AC4"/>
    <w:rsid w:val="003F72CE"/>
    <w:rsid w:val="003F7FAC"/>
    <w:rsid w:val="004037C8"/>
    <w:rsid w:val="00404367"/>
    <w:rsid w:val="00406E97"/>
    <w:rsid w:val="004104C9"/>
    <w:rsid w:val="00411EEA"/>
    <w:rsid w:val="00413353"/>
    <w:rsid w:val="0041389B"/>
    <w:rsid w:val="004145B3"/>
    <w:rsid w:val="004215C0"/>
    <w:rsid w:val="0042175E"/>
    <w:rsid w:val="0042238F"/>
    <w:rsid w:val="00423004"/>
    <w:rsid w:val="004244EF"/>
    <w:rsid w:val="00424D9C"/>
    <w:rsid w:val="00425F0A"/>
    <w:rsid w:val="0042671C"/>
    <w:rsid w:val="004310DE"/>
    <w:rsid w:val="00434D49"/>
    <w:rsid w:val="00435601"/>
    <w:rsid w:val="00435891"/>
    <w:rsid w:val="00437885"/>
    <w:rsid w:val="0044012B"/>
    <w:rsid w:val="0044103A"/>
    <w:rsid w:val="004414FA"/>
    <w:rsid w:val="00447F33"/>
    <w:rsid w:val="00452AED"/>
    <w:rsid w:val="0045445B"/>
    <w:rsid w:val="00454B7B"/>
    <w:rsid w:val="00454B9B"/>
    <w:rsid w:val="00457222"/>
    <w:rsid w:val="004579D1"/>
    <w:rsid w:val="004600C9"/>
    <w:rsid w:val="004625A0"/>
    <w:rsid w:val="004654E7"/>
    <w:rsid w:val="00470935"/>
    <w:rsid w:val="004719E1"/>
    <w:rsid w:val="004720F1"/>
    <w:rsid w:val="004739F4"/>
    <w:rsid w:val="00474145"/>
    <w:rsid w:val="00475C3F"/>
    <w:rsid w:val="004764B9"/>
    <w:rsid w:val="00477903"/>
    <w:rsid w:val="00477DFA"/>
    <w:rsid w:val="00480C73"/>
    <w:rsid w:val="0048249F"/>
    <w:rsid w:val="00482ACC"/>
    <w:rsid w:val="00485DB2"/>
    <w:rsid w:val="00486646"/>
    <w:rsid w:val="00486657"/>
    <w:rsid w:val="0048675B"/>
    <w:rsid w:val="00486EFA"/>
    <w:rsid w:val="004870E6"/>
    <w:rsid w:val="004878B1"/>
    <w:rsid w:val="00487C8C"/>
    <w:rsid w:val="00490AAD"/>
    <w:rsid w:val="00493D49"/>
    <w:rsid w:val="0049533A"/>
    <w:rsid w:val="004958B7"/>
    <w:rsid w:val="004A0796"/>
    <w:rsid w:val="004A17E8"/>
    <w:rsid w:val="004A1855"/>
    <w:rsid w:val="004A1C77"/>
    <w:rsid w:val="004A579A"/>
    <w:rsid w:val="004A66C0"/>
    <w:rsid w:val="004A79EA"/>
    <w:rsid w:val="004B22FA"/>
    <w:rsid w:val="004B5768"/>
    <w:rsid w:val="004B5939"/>
    <w:rsid w:val="004C03DD"/>
    <w:rsid w:val="004C0FCC"/>
    <w:rsid w:val="004C2160"/>
    <w:rsid w:val="004C28B8"/>
    <w:rsid w:val="004C3A87"/>
    <w:rsid w:val="004C3D40"/>
    <w:rsid w:val="004C542E"/>
    <w:rsid w:val="004D041D"/>
    <w:rsid w:val="004D219D"/>
    <w:rsid w:val="004D3B97"/>
    <w:rsid w:val="004D4277"/>
    <w:rsid w:val="004E0139"/>
    <w:rsid w:val="004E2942"/>
    <w:rsid w:val="004E3B63"/>
    <w:rsid w:val="004E481D"/>
    <w:rsid w:val="004E52AE"/>
    <w:rsid w:val="004E56B1"/>
    <w:rsid w:val="004E5E83"/>
    <w:rsid w:val="004E62B9"/>
    <w:rsid w:val="004E720D"/>
    <w:rsid w:val="004E746F"/>
    <w:rsid w:val="004E7541"/>
    <w:rsid w:val="004F1695"/>
    <w:rsid w:val="004F4A3D"/>
    <w:rsid w:val="004F5C29"/>
    <w:rsid w:val="004F6621"/>
    <w:rsid w:val="004F6A3D"/>
    <w:rsid w:val="004F7EAE"/>
    <w:rsid w:val="0050393B"/>
    <w:rsid w:val="00505211"/>
    <w:rsid w:val="00505551"/>
    <w:rsid w:val="00505580"/>
    <w:rsid w:val="005102A3"/>
    <w:rsid w:val="0051066D"/>
    <w:rsid w:val="00510AA3"/>
    <w:rsid w:val="0051358B"/>
    <w:rsid w:val="00516B6C"/>
    <w:rsid w:val="00517672"/>
    <w:rsid w:val="00520E43"/>
    <w:rsid w:val="005216A8"/>
    <w:rsid w:val="00521990"/>
    <w:rsid w:val="00521AA7"/>
    <w:rsid w:val="00522888"/>
    <w:rsid w:val="0052342F"/>
    <w:rsid w:val="00525505"/>
    <w:rsid w:val="00525DB4"/>
    <w:rsid w:val="0052740A"/>
    <w:rsid w:val="005303D3"/>
    <w:rsid w:val="005311CA"/>
    <w:rsid w:val="00531444"/>
    <w:rsid w:val="00535CE7"/>
    <w:rsid w:val="005408ED"/>
    <w:rsid w:val="005434D7"/>
    <w:rsid w:val="00543AD0"/>
    <w:rsid w:val="0054515C"/>
    <w:rsid w:val="00545AC6"/>
    <w:rsid w:val="00545FF9"/>
    <w:rsid w:val="00546CCF"/>
    <w:rsid w:val="0055058A"/>
    <w:rsid w:val="00550B0C"/>
    <w:rsid w:val="005537EC"/>
    <w:rsid w:val="00554A46"/>
    <w:rsid w:val="0055544A"/>
    <w:rsid w:val="005577F9"/>
    <w:rsid w:val="00560387"/>
    <w:rsid w:val="00564A2F"/>
    <w:rsid w:val="00567A8F"/>
    <w:rsid w:val="00570508"/>
    <w:rsid w:val="0057167A"/>
    <w:rsid w:val="00571A49"/>
    <w:rsid w:val="00574E0D"/>
    <w:rsid w:val="0057589A"/>
    <w:rsid w:val="00576921"/>
    <w:rsid w:val="00577310"/>
    <w:rsid w:val="0058300B"/>
    <w:rsid w:val="00583428"/>
    <w:rsid w:val="0058350E"/>
    <w:rsid w:val="005849D3"/>
    <w:rsid w:val="00584CCB"/>
    <w:rsid w:val="00586C53"/>
    <w:rsid w:val="00587F38"/>
    <w:rsid w:val="0059016B"/>
    <w:rsid w:val="005917FC"/>
    <w:rsid w:val="00591854"/>
    <w:rsid w:val="00592376"/>
    <w:rsid w:val="00593D68"/>
    <w:rsid w:val="005952E9"/>
    <w:rsid w:val="0059545F"/>
    <w:rsid w:val="00595BD5"/>
    <w:rsid w:val="00597849"/>
    <w:rsid w:val="005A1218"/>
    <w:rsid w:val="005A17E5"/>
    <w:rsid w:val="005A1C5F"/>
    <w:rsid w:val="005A7F6A"/>
    <w:rsid w:val="005B2D63"/>
    <w:rsid w:val="005B34C7"/>
    <w:rsid w:val="005B589E"/>
    <w:rsid w:val="005B5AFC"/>
    <w:rsid w:val="005B6AF2"/>
    <w:rsid w:val="005B7B53"/>
    <w:rsid w:val="005C0492"/>
    <w:rsid w:val="005C0AE2"/>
    <w:rsid w:val="005C1F39"/>
    <w:rsid w:val="005C2DC3"/>
    <w:rsid w:val="005C3233"/>
    <w:rsid w:val="005C3B18"/>
    <w:rsid w:val="005C3F22"/>
    <w:rsid w:val="005C5DE4"/>
    <w:rsid w:val="005C7730"/>
    <w:rsid w:val="005C7771"/>
    <w:rsid w:val="005D15F7"/>
    <w:rsid w:val="005D46BD"/>
    <w:rsid w:val="005D4FC5"/>
    <w:rsid w:val="005D4FD0"/>
    <w:rsid w:val="005D5525"/>
    <w:rsid w:val="005E0010"/>
    <w:rsid w:val="005E0873"/>
    <w:rsid w:val="005E10C0"/>
    <w:rsid w:val="005E2501"/>
    <w:rsid w:val="005E4412"/>
    <w:rsid w:val="005E6A70"/>
    <w:rsid w:val="005F05AE"/>
    <w:rsid w:val="005F20C0"/>
    <w:rsid w:val="005F3849"/>
    <w:rsid w:val="005F43AF"/>
    <w:rsid w:val="005F4C0E"/>
    <w:rsid w:val="005F5020"/>
    <w:rsid w:val="005F66C7"/>
    <w:rsid w:val="006005BE"/>
    <w:rsid w:val="00600B6A"/>
    <w:rsid w:val="00603509"/>
    <w:rsid w:val="00603A56"/>
    <w:rsid w:val="00605701"/>
    <w:rsid w:val="00606092"/>
    <w:rsid w:val="00606A46"/>
    <w:rsid w:val="0061148E"/>
    <w:rsid w:val="006119A5"/>
    <w:rsid w:val="00611A0E"/>
    <w:rsid w:val="00612879"/>
    <w:rsid w:val="006131F5"/>
    <w:rsid w:val="006145C9"/>
    <w:rsid w:val="00615528"/>
    <w:rsid w:val="0061794C"/>
    <w:rsid w:val="00620D43"/>
    <w:rsid w:val="00621E18"/>
    <w:rsid w:val="006233C5"/>
    <w:rsid w:val="006241D3"/>
    <w:rsid w:val="00625AAE"/>
    <w:rsid w:val="0063086F"/>
    <w:rsid w:val="00631731"/>
    <w:rsid w:val="00631EEF"/>
    <w:rsid w:val="00632FEA"/>
    <w:rsid w:val="006334C4"/>
    <w:rsid w:val="0063397C"/>
    <w:rsid w:val="00637612"/>
    <w:rsid w:val="00637EEE"/>
    <w:rsid w:val="00637FD2"/>
    <w:rsid w:val="0064102D"/>
    <w:rsid w:val="0064155A"/>
    <w:rsid w:val="006418AA"/>
    <w:rsid w:val="00642064"/>
    <w:rsid w:val="006423AA"/>
    <w:rsid w:val="006439C3"/>
    <w:rsid w:val="0064642E"/>
    <w:rsid w:val="006471BF"/>
    <w:rsid w:val="006471C6"/>
    <w:rsid w:val="00647C09"/>
    <w:rsid w:val="0065196D"/>
    <w:rsid w:val="00651CE6"/>
    <w:rsid w:val="00654604"/>
    <w:rsid w:val="00655038"/>
    <w:rsid w:val="006555F5"/>
    <w:rsid w:val="006603F5"/>
    <w:rsid w:val="0066158A"/>
    <w:rsid w:val="00661C72"/>
    <w:rsid w:val="006636BE"/>
    <w:rsid w:val="00666498"/>
    <w:rsid w:val="0066777E"/>
    <w:rsid w:val="006715B9"/>
    <w:rsid w:val="00671AC0"/>
    <w:rsid w:val="00671B38"/>
    <w:rsid w:val="00672612"/>
    <w:rsid w:val="0067404C"/>
    <w:rsid w:val="0067687B"/>
    <w:rsid w:val="006816FD"/>
    <w:rsid w:val="00682DC8"/>
    <w:rsid w:val="00685531"/>
    <w:rsid w:val="00685BB9"/>
    <w:rsid w:val="00691879"/>
    <w:rsid w:val="00694ACC"/>
    <w:rsid w:val="00697FB2"/>
    <w:rsid w:val="006A2B1C"/>
    <w:rsid w:val="006A3B5C"/>
    <w:rsid w:val="006A704E"/>
    <w:rsid w:val="006A71E3"/>
    <w:rsid w:val="006B0863"/>
    <w:rsid w:val="006B2030"/>
    <w:rsid w:val="006B228F"/>
    <w:rsid w:val="006B3A55"/>
    <w:rsid w:val="006B475D"/>
    <w:rsid w:val="006B55EF"/>
    <w:rsid w:val="006C0217"/>
    <w:rsid w:val="006C0CBF"/>
    <w:rsid w:val="006C1628"/>
    <w:rsid w:val="006C29BC"/>
    <w:rsid w:val="006C2BD9"/>
    <w:rsid w:val="006C33D5"/>
    <w:rsid w:val="006C3CEE"/>
    <w:rsid w:val="006C62E5"/>
    <w:rsid w:val="006D08E2"/>
    <w:rsid w:val="006D10D8"/>
    <w:rsid w:val="006D11E7"/>
    <w:rsid w:val="006D138F"/>
    <w:rsid w:val="006D14AB"/>
    <w:rsid w:val="006D1D38"/>
    <w:rsid w:val="006D50E3"/>
    <w:rsid w:val="006E0645"/>
    <w:rsid w:val="006E118F"/>
    <w:rsid w:val="006E1413"/>
    <w:rsid w:val="006E2BE9"/>
    <w:rsid w:val="006E3BB6"/>
    <w:rsid w:val="006E44EA"/>
    <w:rsid w:val="006E636A"/>
    <w:rsid w:val="006E68B7"/>
    <w:rsid w:val="006E7D04"/>
    <w:rsid w:val="006F3E8B"/>
    <w:rsid w:val="006F670D"/>
    <w:rsid w:val="006F75ED"/>
    <w:rsid w:val="0070005B"/>
    <w:rsid w:val="00700BEC"/>
    <w:rsid w:val="0070149C"/>
    <w:rsid w:val="00701956"/>
    <w:rsid w:val="00704150"/>
    <w:rsid w:val="00705B01"/>
    <w:rsid w:val="00706225"/>
    <w:rsid w:val="00706F26"/>
    <w:rsid w:val="0070773B"/>
    <w:rsid w:val="00710B73"/>
    <w:rsid w:val="007148B7"/>
    <w:rsid w:val="007157D7"/>
    <w:rsid w:val="00715D31"/>
    <w:rsid w:val="007170D9"/>
    <w:rsid w:val="007170F1"/>
    <w:rsid w:val="00720ED4"/>
    <w:rsid w:val="007218E7"/>
    <w:rsid w:val="00721A5E"/>
    <w:rsid w:val="00726488"/>
    <w:rsid w:val="0072665B"/>
    <w:rsid w:val="00732389"/>
    <w:rsid w:val="007325B5"/>
    <w:rsid w:val="007329CB"/>
    <w:rsid w:val="007341C6"/>
    <w:rsid w:val="00734362"/>
    <w:rsid w:val="007345A8"/>
    <w:rsid w:val="0073521A"/>
    <w:rsid w:val="0073550F"/>
    <w:rsid w:val="00736531"/>
    <w:rsid w:val="00740195"/>
    <w:rsid w:val="00740771"/>
    <w:rsid w:val="00740B73"/>
    <w:rsid w:val="007474CD"/>
    <w:rsid w:val="00750AD3"/>
    <w:rsid w:val="00751440"/>
    <w:rsid w:val="00752288"/>
    <w:rsid w:val="00753713"/>
    <w:rsid w:val="00755855"/>
    <w:rsid w:val="007569E0"/>
    <w:rsid w:val="00756ED8"/>
    <w:rsid w:val="0075718E"/>
    <w:rsid w:val="007577DE"/>
    <w:rsid w:val="00760AC8"/>
    <w:rsid w:val="00761BDB"/>
    <w:rsid w:val="00762423"/>
    <w:rsid w:val="00764BB6"/>
    <w:rsid w:val="00765FF8"/>
    <w:rsid w:val="007666A5"/>
    <w:rsid w:val="00766F13"/>
    <w:rsid w:val="00776B16"/>
    <w:rsid w:val="00777BB0"/>
    <w:rsid w:val="00780375"/>
    <w:rsid w:val="00780D08"/>
    <w:rsid w:val="007832D5"/>
    <w:rsid w:val="00783505"/>
    <w:rsid w:val="0078371A"/>
    <w:rsid w:val="007853A3"/>
    <w:rsid w:val="00785ABF"/>
    <w:rsid w:val="00787246"/>
    <w:rsid w:val="00790F11"/>
    <w:rsid w:val="007916D4"/>
    <w:rsid w:val="00793FF4"/>
    <w:rsid w:val="00794E1A"/>
    <w:rsid w:val="0079627B"/>
    <w:rsid w:val="007A0490"/>
    <w:rsid w:val="007A6251"/>
    <w:rsid w:val="007A6997"/>
    <w:rsid w:val="007B08C0"/>
    <w:rsid w:val="007B1B1D"/>
    <w:rsid w:val="007B3AED"/>
    <w:rsid w:val="007B6126"/>
    <w:rsid w:val="007C0275"/>
    <w:rsid w:val="007C08B1"/>
    <w:rsid w:val="007C2040"/>
    <w:rsid w:val="007C4228"/>
    <w:rsid w:val="007C54F1"/>
    <w:rsid w:val="007C62A8"/>
    <w:rsid w:val="007C6E1B"/>
    <w:rsid w:val="007C743D"/>
    <w:rsid w:val="007D0813"/>
    <w:rsid w:val="007D0E21"/>
    <w:rsid w:val="007D1591"/>
    <w:rsid w:val="007D2579"/>
    <w:rsid w:val="007D2758"/>
    <w:rsid w:val="007D29DB"/>
    <w:rsid w:val="007D3B6E"/>
    <w:rsid w:val="007D403A"/>
    <w:rsid w:val="007D49D0"/>
    <w:rsid w:val="007E1009"/>
    <w:rsid w:val="007E2DDF"/>
    <w:rsid w:val="007E4A95"/>
    <w:rsid w:val="007F058E"/>
    <w:rsid w:val="007F09F3"/>
    <w:rsid w:val="007F10A4"/>
    <w:rsid w:val="007F1999"/>
    <w:rsid w:val="007F2F8B"/>
    <w:rsid w:val="007F33B5"/>
    <w:rsid w:val="007F477D"/>
    <w:rsid w:val="007F5FAB"/>
    <w:rsid w:val="007F7379"/>
    <w:rsid w:val="007F7F65"/>
    <w:rsid w:val="0080114C"/>
    <w:rsid w:val="008029A8"/>
    <w:rsid w:val="008037E9"/>
    <w:rsid w:val="00803927"/>
    <w:rsid w:val="00804074"/>
    <w:rsid w:val="008041B9"/>
    <w:rsid w:val="00804795"/>
    <w:rsid w:val="00810B52"/>
    <w:rsid w:val="00810FA0"/>
    <w:rsid w:val="00812280"/>
    <w:rsid w:val="00815782"/>
    <w:rsid w:val="00817327"/>
    <w:rsid w:val="0081746D"/>
    <w:rsid w:val="00821128"/>
    <w:rsid w:val="00821A1D"/>
    <w:rsid w:val="008272DA"/>
    <w:rsid w:val="00831110"/>
    <w:rsid w:val="008324FB"/>
    <w:rsid w:val="00832752"/>
    <w:rsid w:val="008335BA"/>
    <w:rsid w:val="00836DD0"/>
    <w:rsid w:val="00837791"/>
    <w:rsid w:val="00843FE6"/>
    <w:rsid w:val="00845D05"/>
    <w:rsid w:val="0084671D"/>
    <w:rsid w:val="00846E40"/>
    <w:rsid w:val="00850ACA"/>
    <w:rsid w:val="00854C73"/>
    <w:rsid w:val="00856490"/>
    <w:rsid w:val="00861028"/>
    <w:rsid w:val="00861CB5"/>
    <w:rsid w:val="00862144"/>
    <w:rsid w:val="008625D9"/>
    <w:rsid w:val="008633C7"/>
    <w:rsid w:val="00864046"/>
    <w:rsid w:val="00866168"/>
    <w:rsid w:val="00866F5F"/>
    <w:rsid w:val="0087345F"/>
    <w:rsid w:val="00877161"/>
    <w:rsid w:val="008802AF"/>
    <w:rsid w:val="00880DBD"/>
    <w:rsid w:val="0088106D"/>
    <w:rsid w:val="00881B20"/>
    <w:rsid w:val="0088291A"/>
    <w:rsid w:val="00887867"/>
    <w:rsid w:val="0089008D"/>
    <w:rsid w:val="00890358"/>
    <w:rsid w:val="0089091E"/>
    <w:rsid w:val="0089194E"/>
    <w:rsid w:val="00891E5D"/>
    <w:rsid w:val="0089322D"/>
    <w:rsid w:val="00893E0D"/>
    <w:rsid w:val="008942BC"/>
    <w:rsid w:val="00894A93"/>
    <w:rsid w:val="00895591"/>
    <w:rsid w:val="008963D9"/>
    <w:rsid w:val="0089777B"/>
    <w:rsid w:val="008A0A9C"/>
    <w:rsid w:val="008A248E"/>
    <w:rsid w:val="008A4CCD"/>
    <w:rsid w:val="008A5186"/>
    <w:rsid w:val="008A64AA"/>
    <w:rsid w:val="008A67DD"/>
    <w:rsid w:val="008B42CB"/>
    <w:rsid w:val="008B4CAD"/>
    <w:rsid w:val="008C0C59"/>
    <w:rsid w:val="008C136E"/>
    <w:rsid w:val="008C2F7E"/>
    <w:rsid w:val="008C47DF"/>
    <w:rsid w:val="008C48EE"/>
    <w:rsid w:val="008C65CB"/>
    <w:rsid w:val="008D044D"/>
    <w:rsid w:val="008D0D57"/>
    <w:rsid w:val="008D1A3A"/>
    <w:rsid w:val="008D273A"/>
    <w:rsid w:val="008D2DA9"/>
    <w:rsid w:val="008D57E9"/>
    <w:rsid w:val="008D65F1"/>
    <w:rsid w:val="008D68ED"/>
    <w:rsid w:val="008D69F8"/>
    <w:rsid w:val="008D6A96"/>
    <w:rsid w:val="008D6FD5"/>
    <w:rsid w:val="008E2B7E"/>
    <w:rsid w:val="008E31AE"/>
    <w:rsid w:val="008E585E"/>
    <w:rsid w:val="008F024C"/>
    <w:rsid w:val="008F11AC"/>
    <w:rsid w:val="008F19ED"/>
    <w:rsid w:val="008F368C"/>
    <w:rsid w:val="008F3B95"/>
    <w:rsid w:val="008F4A21"/>
    <w:rsid w:val="008F6AC3"/>
    <w:rsid w:val="008F7C07"/>
    <w:rsid w:val="00901190"/>
    <w:rsid w:val="00902157"/>
    <w:rsid w:val="00902A93"/>
    <w:rsid w:val="00903DF0"/>
    <w:rsid w:val="00904F7C"/>
    <w:rsid w:val="00906729"/>
    <w:rsid w:val="0091015B"/>
    <w:rsid w:val="00911B2D"/>
    <w:rsid w:val="009135F1"/>
    <w:rsid w:val="00913BCF"/>
    <w:rsid w:val="00914629"/>
    <w:rsid w:val="00921F40"/>
    <w:rsid w:val="00922ACD"/>
    <w:rsid w:val="00923B4F"/>
    <w:rsid w:val="009240A9"/>
    <w:rsid w:val="00925A3F"/>
    <w:rsid w:val="0093098D"/>
    <w:rsid w:val="00930BD4"/>
    <w:rsid w:val="0093333F"/>
    <w:rsid w:val="00933491"/>
    <w:rsid w:val="00936AB5"/>
    <w:rsid w:val="00936C2E"/>
    <w:rsid w:val="00940967"/>
    <w:rsid w:val="00941A29"/>
    <w:rsid w:val="009425E3"/>
    <w:rsid w:val="00942810"/>
    <w:rsid w:val="00942C13"/>
    <w:rsid w:val="00943154"/>
    <w:rsid w:val="00943E1C"/>
    <w:rsid w:val="00944ED8"/>
    <w:rsid w:val="00945A4B"/>
    <w:rsid w:val="0094663B"/>
    <w:rsid w:val="0095045B"/>
    <w:rsid w:val="00950906"/>
    <w:rsid w:val="00951485"/>
    <w:rsid w:val="00952652"/>
    <w:rsid w:val="00952A16"/>
    <w:rsid w:val="00952A6F"/>
    <w:rsid w:val="009534D8"/>
    <w:rsid w:val="00953A4F"/>
    <w:rsid w:val="00955F76"/>
    <w:rsid w:val="00960A8B"/>
    <w:rsid w:val="00960F09"/>
    <w:rsid w:val="0096241D"/>
    <w:rsid w:val="00963BD8"/>
    <w:rsid w:val="00964DC1"/>
    <w:rsid w:val="00965D08"/>
    <w:rsid w:val="00966496"/>
    <w:rsid w:val="00971C94"/>
    <w:rsid w:val="00972D8A"/>
    <w:rsid w:val="00975C7D"/>
    <w:rsid w:val="00976C57"/>
    <w:rsid w:val="0097720B"/>
    <w:rsid w:val="00980AF7"/>
    <w:rsid w:val="009830E4"/>
    <w:rsid w:val="009844A7"/>
    <w:rsid w:val="0098537F"/>
    <w:rsid w:val="0098619E"/>
    <w:rsid w:val="00987140"/>
    <w:rsid w:val="00987231"/>
    <w:rsid w:val="009878F8"/>
    <w:rsid w:val="009927E4"/>
    <w:rsid w:val="00994B68"/>
    <w:rsid w:val="00994DF6"/>
    <w:rsid w:val="009950BA"/>
    <w:rsid w:val="009954C1"/>
    <w:rsid w:val="009955EB"/>
    <w:rsid w:val="009959E6"/>
    <w:rsid w:val="009A2549"/>
    <w:rsid w:val="009A4A3B"/>
    <w:rsid w:val="009A75E2"/>
    <w:rsid w:val="009A7601"/>
    <w:rsid w:val="009A77EB"/>
    <w:rsid w:val="009A7B12"/>
    <w:rsid w:val="009A7C57"/>
    <w:rsid w:val="009B01FF"/>
    <w:rsid w:val="009B2F02"/>
    <w:rsid w:val="009B3754"/>
    <w:rsid w:val="009B3799"/>
    <w:rsid w:val="009B5DD3"/>
    <w:rsid w:val="009B60E0"/>
    <w:rsid w:val="009C101F"/>
    <w:rsid w:val="009C730B"/>
    <w:rsid w:val="009D1C0F"/>
    <w:rsid w:val="009D1CDB"/>
    <w:rsid w:val="009D3EA8"/>
    <w:rsid w:val="009D47A5"/>
    <w:rsid w:val="009D6113"/>
    <w:rsid w:val="009E267F"/>
    <w:rsid w:val="009E3113"/>
    <w:rsid w:val="009E33CD"/>
    <w:rsid w:val="009E4B1E"/>
    <w:rsid w:val="009E5490"/>
    <w:rsid w:val="009E7AFC"/>
    <w:rsid w:val="009E7DCA"/>
    <w:rsid w:val="009E7DEC"/>
    <w:rsid w:val="009F2210"/>
    <w:rsid w:val="009F2998"/>
    <w:rsid w:val="009F418C"/>
    <w:rsid w:val="009F4A8F"/>
    <w:rsid w:val="009F4E95"/>
    <w:rsid w:val="009F5BA2"/>
    <w:rsid w:val="00A026D5"/>
    <w:rsid w:val="00A02A4B"/>
    <w:rsid w:val="00A02FBC"/>
    <w:rsid w:val="00A06490"/>
    <w:rsid w:val="00A1306C"/>
    <w:rsid w:val="00A15120"/>
    <w:rsid w:val="00A176B2"/>
    <w:rsid w:val="00A17E88"/>
    <w:rsid w:val="00A17EC1"/>
    <w:rsid w:val="00A20786"/>
    <w:rsid w:val="00A2103D"/>
    <w:rsid w:val="00A22E7D"/>
    <w:rsid w:val="00A26253"/>
    <w:rsid w:val="00A266C5"/>
    <w:rsid w:val="00A267BF"/>
    <w:rsid w:val="00A31B3F"/>
    <w:rsid w:val="00A34300"/>
    <w:rsid w:val="00A3552C"/>
    <w:rsid w:val="00A360A9"/>
    <w:rsid w:val="00A363ED"/>
    <w:rsid w:val="00A40560"/>
    <w:rsid w:val="00A422DC"/>
    <w:rsid w:val="00A42CF0"/>
    <w:rsid w:val="00A43C0B"/>
    <w:rsid w:val="00A50800"/>
    <w:rsid w:val="00A52A72"/>
    <w:rsid w:val="00A5382F"/>
    <w:rsid w:val="00A53C3A"/>
    <w:rsid w:val="00A56725"/>
    <w:rsid w:val="00A6128F"/>
    <w:rsid w:val="00A615A8"/>
    <w:rsid w:val="00A622E5"/>
    <w:rsid w:val="00A639A7"/>
    <w:rsid w:val="00A67637"/>
    <w:rsid w:val="00A67E1C"/>
    <w:rsid w:val="00A70731"/>
    <w:rsid w:val="00A7115B"/>
    <w:rsid w:val="00A728F6"/>
    <w:rsid w:val="00A763CB"/>
    <w:rsid w:val="00A76ADD"/>
    <w:rsid w:val="00A8183F"/>
    <w:rsid w:val="00A8429F"/>
    <w:rsid w:val="00A877CB"/>
    <w:rsid w:val="00A9147C"/>
    <w:rsid w:val="00A914C9"/>
    <w:rsid w:val="00A91550"/>
    <w:rsid w:val="00A97816"/>
    <w:rsid w:val="00AA3A9B"/>
    <w:rsid w:val="00AA4C5B"/>
    <w:rsid w:val="00AA5333"/>
    <w:rsid w:val="00AA62B2"/>
    <w:rsid w:val="00AA6B00"/>
    <w:rsid w:val="00AA76BB"/>
    <w:rsid w:val="00AB13BB"/>
    <w:rsid w:val="00AB18E0"/>
    <w:rsid w:val="00AB2B16"/>
    <w:rsid w:val="00AB502F"/>
    <w:rsid w:val="00AC0239"/>
    <w:rsid w:val="00AC0638"/>
    <w:rsid w:val="00AC0683"/>
    <w:rsid w:val="00AC1965"/>
    <w:rsid w:val="00AC19B2"/>
    <w:rsid w:val="00AC1C96"/>
    <w:rsid w:val="00AC1D7F"/>
    <w:rsid w:val="00AC30F3"/>
    <w:rsid w:val="00AC4E1E"/>
    <w:rsid w:val="00AC64F1"/>
    <w:rsid w:val="00AC7961"/>
    <w:rsid w:val="00AC7FF7"/>
    <w:rsid w:val="00AD037D"/>
    <w:rsid w:val="00AD0491"/>
    <w:rsid w:val="00AD151D"/>
    <w:rsid w:val="00AD1953"/>
    <w:rsid w:val="00AD1B36"/>
    <w:rsid w:val="00AD1D8E"/>
    <w:rsid w:val="00AD6E54"/>
    <w:rsid w:val="00AD7D52"/>
    <w:rsid w:val="00AD7E8F"/>
    <w:rsid w:val="00AE0013"/>
    <w:rsid w:val="00AE14F1"/>
    <w:rsid w:val="00AE29B1"/>
    <w:rsid w:val="00AE3718"/>
    <w:rsid w:val="00AE42A2"/>
    <w:rsid w:val="00AE4445"/>
    <w:rsid w:val="00AE51B7"/>
    <w:rsid w:val="00AE5D35"/>
    <w:rsid w:val="00AE7EF0"/>
    <w:rsid w:val="00AF0114"/>
    <w:rsid w:val="00AF0B65"/>
    <w:rsid w:val="00AF1287"/>
    <w:rsid w:val="00AF4351"/>
    <w:rsid w:val="00AF4D6C"/>
    <w:rsid w:val="00AF5415"/>
    <w:rsid w:val="00AF6574"/>
    <w:rsid w:val="00AF6A03"/>
    <w:rsid w:val="00B0013F"/>
    <w:rsid w:val="00B01694"/>
    <w:rsid w:val="00B04B9E"/>
    <w:rsid w:val="00B0531B"/>
    <w:rsid w:val="00B05645"/>
    <w:rsid w:val="00B06359"/>
    <w:rsid w:val="00B0680D"/>
    <w:rsid w:val="00B117FC"/>
    <w:rsid w:val="00B121B9"/>
    <w:rsid w:val="00B12D6B"/>
    <w:rsid w:val="00B1341C"/>
    <w:rsid w:val="00B15B1E"/>
    <w:rsid w:val="00B17C1D"/>
    <w:rsid w:val="00B211F2"/>
    <w:rsid w:val="00B2131A"/>
    <w:rsid w:val="00B21432"/>
    <w:rsid w:val="00B214D5"/>
    <w:rsid w:val="00B215D3"/>
    <w:rsid w:val="00B239CD"/>
    <w:rsid w:val="00B24827"/>
    <w:rsid w:val="00B260C5"/>
    <w:rsid w:val="00B26755"/>
    <w:rsid w:val="00B26989"/>
    <w:rsid w:val="00B30BD9"/>
    <w:rsid w:val="00B35E06"/>
    <w:rsid w:val="00B363DE"/>
    <w:rsid w:val="00B3719B"/>
    <w:rsid w:val="00B40851"/>
    <w:rsid w:val="00B42341"/>
    <w:rsid w:val="00B45FDC"/>
    <w:rsid w:val="00B46E0D"/>
    <w:rsid w:val="00B46ED1"/>
    <w:rsid w:val="00B50D0E"/>
    <w:rsid w:val="00B513EE"/>
    <w:rsid w:val="00B51C42"/>
    <w:rsid w:val="00B52EDE"/>
    <w:rsid w:val="00B535B7"/>
    <w:rsid w:val="00B55B8E"/>
    <w:rsid w:val="00B55FEA"/>
    <w:rsid w:val="00B56904"/>
    <w:rsid w:val="00B60651"/>
    <w:rsid w:val="00B60CF8"/>
    <w:rsid w:val="00B60E06"/>
    <w:rsid w:val="00B60FEB"/>
    <w:rsid w:val="00B639A9"/>
    <w:rsid w:val="00B64D7F"/>
    <w:rsid w:val="00B65298"/>
    <w:rsid w:val="00B65746"/>
    <w:rsid w:val="00B66E83"/>
    <w:rsid w:val="00B7021D"/>
    <w:rsid w:val="00B71CFF"/>
    <w:rsid w:val="00B71DFA"/>
    <w:rsid w:val="00B72FDD"/>
    <w:rsid w:val="00B732B6"/>
    <w:rsid w:val="00B73547"/>
    <w:rsid w:val="00B7519B"/>
    <w:rsid w:val="00B776B1"/>
    <w:rsid w:val="00B81032"/>
    <w:rsid w:val="00B81488"/>
    <w:rsid w:val="00B8156E"/>
    <w:rsid w:val="00B82096"/>
    <w:rsid w:val="00B82458"/>
    <w:rsid w:val="00B83509"/>
    <w:rsid w:val="00B8363C"/>
    <w:rsid w:val="00B83924"/>
    <w:rsid w:val="00B854CC"/>
    <w:rsid w:val="00B85763"/>
    <w:rsid w:val="00B8578A"/>
    <w:rsid w:val="00B857A5"/>
    <w:rsid w:val="00B86B4E"/>
    <w:rsid w:val="00B874F5"/>
    <w:rsid w:val="00B917C2"/>
    <w:rsid w:val="00B920A9"/>
    <w:rsid w:val="00B94F9B"/>
    <w:rsid w:val="00B959E3"/>
    <w:rsid w:val="00BA3505"/>
    <w:rsid w:val="00BA3878"/>
    <w:rsid w:val="00BA447D"/>
    <w:rsid w:val="00BA46C8"/>
    <w:rsid w:val="00BA5996"/>
    <w:rsid w:val="00BB3100"/>
    <w:rsid w:val="00BB33A1"/>
    <w:rsid w:val="00BB7D17"/>
    <w:rsid w:val="00BC13E5"/>
    <w:rsid w:val="00BC2A5D"/>
    <w:rsid w:val="00BC3D5F"/>
    <w:rsid w:val="00BC5470"/>
    <w:rsid w:val="00BC5E23"/>
    <w:rsid w:val="00BC68B0"/>
    <w:rsid w:val="00BC6E06"/>
    <w:rsid w:val="00BD0131"/>
    <w:rsid w:val="00BD1237"/>
    <w:rsid w:val="00BD159E"/>
    <w:rsid w:val="00BD309C"/>
    <w:rsid w:val="00BD30B5"/>
    <w:rsid w:val="00BD3250"/>
    <w:rsid w:val="00BD4CDC"/>
    <w:rsid w:val="00BD71BC"/>
    <w:rsid w:val="00BD7EC2"/>
    <w:rsid w:val="00BE0764"/>
    <w:rsid w:val="00BE2428"/>
    <w:rsid w:val="00BE27E4"/>
    <w:rsid w:val="00BE3148"/>
    <w:rsid w:val="00BE3E43"/>
    <w:rsid w:val="00BE5BFF"/>
    <w:rsid w:val="00BE75F1"/>
    <w:rsid w:val="00BE79E5"/>
    <w:rsid w:val="00BF0868"/>
    <w:rsid w:val="00BF0E59"/>
    <w:rsid w:val="00BF111E"/>
    <w:rsid w:val="00BF12F6"/>
    <w:rsid w:val="00BF2A21"/>
    <w:rsid w:val="00BF3C8D"/>
    <w:rsid w:val="00BF3E63"/>
    <w:rsid w:val="00BF460E"/>
    <w:rsid w:val="00C023E7"/>
    <w:rsid w:val="00C03405"/>
    <w:rsid w:val="00C03847"/>
    <w:rsid w:val="00C04BBE"/>
    <w:rsid w:val="00C108A2"/>
    <w:rsid w:val="00C10BCE"/>
    <w:rsid w:val="00C15827"/>
    <w:rsid w:val="00C20BB6"/>
    <w:rsid w:val="00C225EB"/>
    <w:rsid w:val="00C23272"/>
    <w:rsid w:val="00C24FB4"/>
    <w:rsid w:val="00C25D90"/>
    <w:rsid w:val="00C26529"/>
    <w:rsid w:val="00C3075F"/>
    <w:rsid w:val="00C328C6"/>
    <w:rsid w:val="00C34FEF"/>
    <w:rsid w:val="00C350B0"/>
    <w:rsid w:val="00C40BE8"/>
    <w:rsid w:val="00C40D78"/>
    <w:rsid w:val="00C41A07"/>
    <w:rsid w:val="00C41D80"/>
    <w:rsid w:val="00C41EA4"/>
    <w:rsid w:val="00C422F6"/>
    <w:rsid w:val="00C4360F"/>
    <w:rsid w:val="00C45CB7"/>
    <w:rsid w:val="00C50BBB"/>
    <w:rsid w:val="00C51ADD"/>
    <w:rsid w:val="00C5213D"/>
    <w:rsid w:val="00C52647"/>
    <w:rsid w:val="00C5297D"/>
    <w:rsid w:val="00C5546D"/>
    <w:rsid w:val="00C559C2"/>
    <w:rsid w:val="00C559E6"/>
    <w:rsid w:val="00C60696"/>
    <w:rsid w:val="00C607AF"/>
    <w:rsid w:val="00C61956"/>
    <w:rsid w:val="00C62440"/>
    <w:rsid w:val="00C6290D"/>
    <w:rsid w:val="00C63D74"/>
    <w:rsid w:val="00C640F9"/>
    <w:rsid w:val="00C64DB2"/>
    <w:rsid w:val="00C66B77"/>
    <w:rsid w:val="00C705E7"/>
    <w:rsid w:val="00C72064"/>
    <w:rsid w:val="00C76805"/>
    <w:rsid w:val="00C80BED"/>
    <w:rsid w:val="00C837D5"/>
    <w:rsid w:val="00C83F68"/>
    <w:rsid w:val="00C8661C"/>
    <w:rsid w:val="00C914F7"/>
    <w:rsid w:val="00C92C39"/>
    <w:rsid w:val="00C9531C"/>
    <w:rsid w:val="00C959B7"/>
    <w:rsid w:val="00C95F16"/>
    <w:rsid w:val="00C960DA"/>
    <w:rsid w:val="00C97A78"/>
    <w:rsid w:val="00C97ED0"/>
    <w:rsid w:val="00CA1A8D"/>
    <w:rsid w:val="00CA49D6"/>
    <w:rsid w:val="00CA5DEE"/>
    <w:rsid w:val="00CA6BDA"/>
    <w:rsid w:val="00CA6E08"/>
    <w:rsid w:val="00CB175F"/>
    <w:rsid w:val="00CB1B49"/>
    <w:rsid w:val="00CB1BA9"/>
    <w:rsid w:val="00CB388B"/>
    <w:rsid w:val="00CB4F37"/>
    <w:rsid w:val="00CB6891"/>
    <w:rsid w:val="00CB7CE8"/>
    <w:rsid w:val="00CC00A3"/>
    <w:rsid w:val="00CC11E5"/>
    <w:rsid w:val="00CC1D25"/>
    <w:rsid w:val="00CC3518"/>
    <w:rsid w:val="00CC47FD"/>
    <w:rsid w:val="00CC6CA6"/>
    <w:rsid w:val="00CD05EA"/>
    <w:rsid w:val="00CD07E8"/>
    <w:rsid w:val="00CD2515"/>
    <w:rsid w:val="00CD46E3"/>
    <w:rsid w:val="00CD4818"/>
    <w:rsid w:val="00CD51B8"/>
    <w:rsid w:val="00CD5F96"/>
    <w:rsid w:val="00CD71FE"/>
    <w:rsid w:val="00CD7212"/>
    <w:rsid w:val="00CE2A36"/>
    <w:rsid w:val="00CE4199"/>
    <w:rsid w:val="00CE443B"/>
    <w:rsid w:val="00CE4862"/>
    <w:rsid w:val="00CE6355"/>
    <w:rsid w:val="00CF17EC"/>
    <w:rsid w:val="00CF1AB8"/>
    <w:rsid w:val="00CF3334"/>
    <w:rsid w:val="00CF4754"/>
    <w:rsid w:val="00CF5C81"/>
    <w:rsid w:val="00D012B6"/>
    <w:rsid w:val="00D02069"/>
    <w:rsid w:val="00D03BEB"/>
    <w:rsid w:val="00D03CA0"/>
    <w:rsid w:val="00D04983"/>
    <w:rsid w:val="00D06079"/>
    <w:rsid w:val="00D07B39"/>
    <w:rsid w:val="00D11389"/>
    <w:rsid w:val="00D12B23"/>
    <w:rsid w:val="00D12DE0"/>
    <w:rsid w:val="00D138E0"/>
    <w:rsid w:val="00D16621"/>
    <w:rsid w:val="00D16B3A"/>
    <w:rsid w:val="00D20B44"/>
    <w:rsid w:val="00D20D75"/>
    <w:rsid w:val="00D239CB"/>
    <w:rsid w:val="00D24658"/>
    <w:rsid w:val="00D25DC1"/>
    <w:rsid w:val="00D26A01"/>
    <w:rsid w:val="00D2718C"/>
    <w:rsid w:val="00D311ED"/>
    <w:rsid w:val="00D3154B"/>
    <w:rsid w:val="00D31B2D"/>
    <w:rsid w:val="00D3286B"/>
    <w:rsid w:val="00D32F3F"/>
    <w:rsid w:val="00D35A85"/>
    <w:rsid w:val="00D400D0"/>
    <w:rsid w:val="00D44064"/>
    <w:rsid w:val="00D44677"/>
    <w:rsid w:val="00D471E9"/>
    <w:rsid w:val="00D50BB7"/>
    <w:rsid w:val="00D5133F"/>
    <w:rsid w:val="00D51F59"/>
    <w:rsid w:val="00D555FE"/>
    <w:rsid w:val="00D56045"/>
    <w:rsid w:val="00D577C9"/>
    <w:rsid w:val="00D57C08"/>
    <w:rsid w:val="00D60653"/>
    <w:rsid w:val="00D65116"/>
    <w:rsid w:val="00D6552E"/>
    <w:rsid w:val="00D6734F"/>
    <w:rsid w:val="00D72408"/>
    <w:rsid w:val="00D72CAC"/>
    <w:rsid w:val="00D73888"/>
    <w:rsid w:val="00D74F59"/>
    <w:rsid w:val="00D8220B"/>
    <w:rsid w:val="00D82BE7"/>
    <w:rsid w:val="00D839AD"/>
    <w:rsid w:val="00D84B93"/>
    <w:rsid w:val="00D9028B"/>
    <w:rsid w:val="00D91AE8"/>
    <w:rsid w:val="00DA0FF2"/>
    <w:rsid w:val="00DA2157"/>
    <w:rsid w:val="00DA4FEE"/>
    <w:rsid w:val="00DA558A"/>
    <w:rsid w:val="00DA7A8F"/>
    <w:rsid w:val="00DB12DC"/>
    <w:rsid w:val="00DB3273"/>
    <w:rsid w:val="00DB3331"/>
    <w:rsid w:val="00DB4D39"/>
    <w:rsid w:val="00DB6D8C"/>
    <w:rsid w:val="00DB6FFC"/>
    <w:rsid w:val="00DB70A8"/>
    <w:rsid w:val="00DB76DA"/>
    <w:rsid w:val="00DC130A"/>
    <w:rsid w:val="00DC146B"/>
    <w:rsid w:val="00DC2B0F"/>
    <w:rsid w:val="00DC3DFB"/>
    <w:rsid w:val="00DC4844"/>
    <w:rsid w:val="00DC5CD2"/>
    <w:rsid w:val="00DC5D49"/>
    <w:rsid w:val="00DC6919"/>
    <w:rsid w:val="00DC6977"/>
    <w:rsid w:val="00DC798D"/>
    <w:rsid w:val="00DC7F88"/>
    <w:rsid w:val="00DC7FAD"/>
    <w:rsid w:val="00DD1E1F"/>
    <w:rsid w:val="00DD2A78"/>
    <w:rsid w:val="00DD2C1A"/>
    <w:rsid w:val="00DD2EA8"/>
    <w:rsid w:val="00DD3A0B"/>
    <w:rsid w:val="00DD3E87"/>
    <w:rsid w:val="00DD6089"/>
    <w:rsid w:val="00DD60BC"/>
    <w:rsid w:val="00DE1305"/>
    <w:rsid w:val="00DE1E98"/>
    <w:rsid w:val="00DE2381"/>
    <w:rsid w:val="00DE2B59"/>
    <w:rsid w:val="00DE4CD0"/>
    <w:rsid w:val="00DE4F39"/>
    <w:rsid w:val="00DE5531"/>
    <w:rsid w:val="00DF28D3"/>
    <w:rsid w:val="00DF3038"/>
    <w:rsid w:val="00DF3E6E"/>
    <w:rsid w:val="00DF3EC4"/>
    <w:rsid w:val="00DF60D9"/>
    <w:rsid w:val="00DF618A"/>
    <w:rsid w:val="00DF6362"/>
    <w:rsid w:val="00DF6AB1"/>
    <w:rsid w:val="00DF6EE1"/>
    <w:rsid w:val="00DF744B"/>
    <w:rsid w:val="00E00713"/>
    <w:rsid w:val="00E00C7C"/>
    <w:rsid w:val="00E048AD"/>
    <w:rsid w:val="00E054DC"/>
    <w:rsid w:val="00E0600D"/>
    <w:rsid w:val="00E064E6"/>
    <w:rsid w:val="00E0724E"/>
    <w:rsid w:val="00E07EE2"/>
    <w:rsid w:val="00E102DB"/>
    <w:rsid w:val="00E11A78"/>
    <w:rsid w:val="00E12A85"/>
    <w:rsid w:val="00E135AA"/>
    <w:rsid w:val="00E13AF7"/>
    <w:rsid w:val="00E144F2"/>
    <w:rsid w:val="00E14BDC"/>
    <w:rsid w:val="00E167B6"/>
    <w:rsid w:val="00E16EEA"/>
    <w:rsid w:val="00E16FFA"/>
    <w:rsid w:val="00E17394"/>
    <w:rsid w:val="00E1739F"/>
    <w:rsid w:val="00E178C9"/>
    <w:rsid w:val="00E20926"/>
    <w:rsid w:val="00E21826"/>
    <w:rsid w:val="00E22DCC"/>
    <w:rsid w:val="00E25557"/>
    <w:rsid w:val="00E25C10"/>
    <w:rsid w:val="00E3015F"/>
    <w:rsid w:val="00E30C0E"/>
    <w:rsid w:val="00E30E91"/>
    <w:rsid w:val="00E30EE9"/>
    <w:rsid w:val="00E33F7F"/>
    <w:rsid w:val="00E42EF6"/>
    <w:rsid w:val="00E43041"/>
    <w:rsid w:val="00E447C0"/>
    <w:rsid w:val="00E45161"/>
    <w:rsid w:val="00E4685A"/>
    <w:rsid w:val="00E468BD"/>
    <w:rsid w:val="00E475C3"/>
    <w:rsid w:val="00E47CA6"/>
    <w:rsid w:val="00E50714"/>
    <w:rsid w:val="00E508C2"/>
    <w:rsid w:val="00E539F5"/>
    <w:rsid w:val="00E5437E"/>
    <w:rsid w:val="00E558BD"/>
    <w:rsid w:val="00E5754E"/>
    <w:rsid w:val="00E577B7"/>
    <w:rsid w:val="00E57BAD"/>
    <w:rsid w:val="00E6065D"/>
    <w:rsid w:val="00E60DE4"/>
    <w:rsid w:val="00E6252B"/>
    <w:rsid w:val="00E62C96"/>
    <w:rsid w:val="00E63250"/>
    <w:rsid w:val="00E6517E"/>
    <w:rsid w:val="00E65A8D"/>
    <w:rsid w:val="00E65E1D"/>
    <w:rsid w:val="00E66159"/>
    <w:rsid w:val="00E66870"/>
    <w:rsid w:val="00E66DEB"/>
    <w:rsid w:val="00E670AA"/>
    <w:rsid w:val="00E67FF3"/>
    <w:rsid w:val="00E7151B"/>
    <w:rsid w:val="00E719EC"/>
    <w:rsid w:val="00E71F94"/>
    <w:rsid w:val="00E72DF6"/>
    <w:rsid w:val="00E73341"/>
    <w:rsid w:val="00E74209"/>
    <w:rsid w:val="00E76E36"/>
    <w:rsid w:val="00E770CF"/>
    <w:rsid w:val="00E77F75"/>
    <w:rsid w:val="00E812BE"/>
    <w:rsid w:val="00E8211C"/>
    <w:rsid w:val="00E84E0B"/>
    <w:rsid w:val="00E85780"/>
    <w:rsid w:val="00E86B71"/>
    <w:rsid w:val="00E97BB6"/>
    <w:rsid w:val="00EA1633"/>
    <w:rsid w:val="00EA16CC"/>
    <w:rsid w:val="00EA16E4"/>
    <w:rsid w:val="00EA440D"/>
    <w:rsid w:val="00EA44E3"/>
    <w:rsid w:val="00EA4F55"/>
    <w:rsid w:val="00EA574B"/>
    <w:rsid w:val="00EA7AE0"/>
    <w:rsid w:val="00EB0C2D"/>
    <w:rsid w:val="00EB0F4B"/>
    <w:rsid w:val="00EB1161"/>
    <w:rsid w:val="00EB25A4"/>
    <w:rsid w:val="00EB601D"/>
    <w:rsid w:val="00EC03C0"/>
    <w:rsid w:val="00EC1003"/>
    <w:rsid w:val="00EC14E2"/>
    <w:rsid w:val="00EC1727"/>
    <w:rsid w:val="00EC2475"/>
    <w:rsid w:val="00EC2CAA"/>
    <w:rsid w:val="00EC4175"/>
    <w:rsid w:val="00ED15C7"/>
    <w:rsid w:val="00ED24A4"/>
    <w:rsid w:val="00ED3085"/>
    <w:rsid w:val="00ED3099"/>
    <w:rsid w:val="00ED31CE"/>
    <w:rsid w:val="00ED343A"/>
    <w:rsid w:val="00ED4867"/>
    <w:rsid w:val="00ED6186"/>
    <w:rsid w:val="00ED7AE8"/>
    <w:rsid w:val="00EE01C3"/>
    <w:rsid w:val="00EE16F1"/>
    <w:rsid w:val="00EE18EC"/>
    <w:rsid w:val="00EE31FD"/>
    <w:rsid w:val="00EE3CD6"/>
    <w:rsid w:val="00EE49FB"/>
    <w:rsid w:val="00EE4D91"/>
    <w:rsid w:val="00EE58B9"/>
    <w:rsid w:val="00EE72FA"/>
    <w:rsid w:val="00EE7874"/>
    <w:rsid w:val="00EF00DA"/>
    <w:rsid w:val="00EF2ED4"/>
    <w:rsid w:val="00EF7C14"/>
    <w:rsid w:val="00EF7D7E"/>
    <w:rsid w:val="00F00C63"/>
    <w:rsid w:val="00F00E9F"/>
    <w:rsid w:val="00F01807"/>
    <w:rsid w:val="00F033E7"/>
    <w:rsid w:val="00F0365E"/>
    <w:rsid w:val="00F059CA"/>
    <w:rsid w:val="00F11A14"/>
    <w:rsid w:val="00F16ABB"/>
    <w:rsid w:val="00F21579"/>
    <w:rsid w:val="00F233C7"/>
    <w:rsid w:val="00F23CC4"/>
    <w:rsid w:val="00F24351"/>
    <w:rsid w:val="00F25336"/>
    <w:rsid w:val="00F25B12"/>
    <w:rsid w:val="00F26279"/>
    <w:rsid w:val="00F2680C"/>
    <w:rsid w:val="00F27BBA"/>
    <w:rsid w:val="00F31186"/>
    <w:rsid w:val="00F31533"/>
    <w:rsid w:val="00F31AFF"/>
    <w:rsid w:val="00F34267"/>
    <w:rsid w:val="00F365AD"/>
    <w:rsid w:val="00F3715B"/>
    <w:rsid w:val="00F37357"/>
    <w:rsid w:val="00F424C1"/>
    <w:rsid w:val="00F43446"/>
    <w:rsid w:val="00F4361A"/>
    <w:rsid w:val="00F43C78"/>
    <w:rsid w:val="00F44D47"/>
    <w:rsid w:val="00F45A18"/>
    <w:rsid w:val="00F46296"/>
    <w:rsid w:val="00F46A88"/>
    <w:rsid w:val="00F50FCB"/>
    <w:rsid w:val="00F51EAD"/>
    <w:rsid w:val="00F53B5F"/>
    <w:rsid w:val="00F53CE5"/>
    <w:rsid w:val="00F5488C"/>
    <w:rsid w:val="00F54B2C"/>
    <w:rsid w:val="00F54FBD"/>
    <w:rsid w:val="00F55C79"/>
    <w:rsid w:val="00F5709B"/>
    <w:rsid w:val="00F577A8"/>
    <w:rsid w:val="00F57E6E"/>
    <w:rsid w:val="00F61485"/>
    <w:rsid w:val="00F631F6"/>
    <w:rsid w:val="00F63625"/>
    <w:rsid w:val="00F652B5"/>
    <w:rsid w:val="00F65D89"/>
    <w:rsid w:val="00F67897"/>
    <w:rsid w:val="00F67BDC"/>
    <w:rsid w:val="00F70FE0"/>
    <w:rsid w:val="00F712EF"/>
    <w:rsid w:val="00F7234C"/>
    <w:rsid w:val="00F734CA"/>
    <w:rsid w:val="00F73D52"/>
    <w:rsid w:val="00F744BD"/>
    <w:rsid w:val="00F74DE6"/>
    <w:rsid w:val="00F77093"/>
    <w:rsid w:val="00F814E8"/>
    <w:rsid w:val="00F81A11"/>
    <w:rsid w:val="00F82C99"/>
    <w:rsid w:val="00F848DC"/>
    <w:rsid w:val="00F849C6"/>
    <w:rsid w:val="00F85967"/>
    <w:rsid w:val="00F85B60"/>
    <w:rsid w:val="00F8616B"/>
    <w:rsid w:val="00F86437"/>
    <w:rsid w:val="00F877E1"/>
    <w:rsid w:val="00F903EA"/>
    <w:rsid w:val="00F90593"/>
    <w:rsid w:val="00F92F1C"/>
    <w:rsid w:val="00F9314F"/>
    <w:rsid w:val="00F967C1"/>
    <w:rsid w:val="00F97441"/>
    <w:rsid w:val="00F9784A"/>
    <w:rsid w:val="00F97B68"/>
    <w:rsid w:val="00FA10EC"/>
    <w:rsid w:val="00FA13D8"/>
    <w:rsid w:val="00FA2085"/>
    <w:rsid w:val="00FA4C7B"/>
    <w:rsid w:val="00FA5C93"/>
    <w:rsid w:val="00FA629D"/>
    <w:rsid w:val="00FA6D31"/>
    <w:rsid w:val="00FB03BB"/>
    <w:rsid w:val="00FB2E60"/>
    <w:rsid w:val="00FB4388"/>
    <w:rsid w:val="00FB5BD5"/>
    <w:rsid w:val="00FC0D73"/>
    <w:rsid w:val="00FC1022"/>
    <w:rsid w:val="00FC5292"/>
    <w:rsid w:val="00FC5F6D"/>
    <w:rsid w:val="00FD056A"/>
    <w:rsid w:val="00FD36F1"/>
    <w:rsid w:val="00FD588C"/>
    <w:rsid w:val="00FD6B11"/>
    <w:rsid w:val="00FD714A"/>
    <w:rsid w:val="00FD7BBD"/>
    <w:rsid w:val="00FE1572"/>
    <w:rsid w:val="00FE231A"/>
    <w:rsid w:val="00FE2427"/>
    <w:rsid w:val="00FE2931"/>
    <w:rsid w:val="00FE353B"/>
    <w:rsid w:val="00FE5933"/>
    <w:rsid w:val="00FE5986"/>
    <w:rsid w:val="00FE6C21"/>
    <w:rsid w:val="00FE7D6B"/>
    <w:rsid w:val="00FF1C74"/>
    <w:rsid w:val="00FF2E34"/>
    <w:rsid w:val="00FF3F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095576"/>
  <w15:docId w15:val="{2B6A1F43-DE79-4090-8FF5-309E8A1D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B6891"/>
  </w:style>
  <w:style w:type="paragraph" w:styleId="Nadpis1">
    <w:name w:val="heading 1"/>
    <w:basedOn w:val="Normlny"/>
    <w:next w:val="Normlny"/>
    <w:link w:val="Nadpis1Char"/>
    <w:uiPriority w:val="9"/>
    <w:qFormat/>
    <w:rsid w:val="00E6252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A42CF0"/>
    <w:pPr>
      <w:keepNext/>
      <w:keepLines/>
      <w:numPr>
        <w:ilvl w:val="1"/>
        <w:numId w:val="26"/>
      </w:numPr>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3C1BF9"/>
    <w:pPr>
      <w:keepNext/>
      <w:keepLines/>
      <w:numPr>
        <w:ilvl w:val="2"/>
        <w:numId w:val="26"/>
      </w:numPr>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740771"/>
    <w:pPr>
      <w:keepNext/>
      <w:keepLines/>
      <w:numPr>
        <w:ilvl w:val="3"/>
        <w:numId w:val="26"/>
      </w:numPr>
      <w:spacing w:before="200" w:after="0"/>
      <w:outlineLvl w:val="3"/>
    </w:pPr>
    <w:rPr>
      <w:rFonts w:asciiTheme="majorHAnsi" w:eastAsiaTheme="majorEastAsia" w:hAnsiTheme="majorHAnsi" w:cstheme="majorBidi"/>
      <w:b/>
      <w:bCs/>
      <w:i/>
      <w:iCs/>
      <w:color w:val="5B9BD5" w:themeColor="accent1"/>
    </w:rPr>
  </w:style>
  <w:style w:type="paragraph" w:styleId="Nadpis5">
    <w:name w:val="heading 5"/>
    <w:basedOn w:val="Normlny"/>
    <w:next w:val="Normlny"/>
    <w:link w:val="Nadpis5Char"/>
    <w:uiPriority w:val="9"/>
    <w:unhideWhenUsed/>
    <w:qFormat/>
    <w:rsid w:val="00A42CF0"/>
    <w:pPr>
      <w:keepNext/>
      <w:keepLines/>
      <w:numPr>
        <w:ilvl w:val="4"/>
        <w:numId w:val="26"/>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y"/>
    <w:next w:val="Normlny"/>
    <w:link w:val="Nadpis6Char"/>
    <w:uiPriority w:val="9"/>
    <w:unhideWhenUsed/>
    <w:qFormat/>
    <w:rsid w:val="00A42CF0"/>
    <w:pPr>
      <w:keepNext/>
      <w:keepLines/>
      <w:numPr>
        <w:ilvl w:val="5"/>
        <w:numId w:val="26"/>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y"/>
    <w:next w:val="Normlny"/>
    <w:link w:val="Nadpis7Char"/>
    <w:uiPriority w:val="9"/>
    <w:semiHidden/>
    <w:unhideWhenUsed/>
    <w:qFormat/>
    <w:rsid w:val="00A42CF0"/>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A42CF0"/>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A42CF0"/>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D5205"/>
    <w:pPr>
      <w:ind w:left="720"/>
      <w:contextualSpacing/>
    </w:pPr>
  </w:style>
  <w:style w:type="character" w:customStyle="1" w:styleId="Nadpis1Char">
    <w:name w:val="Nadpis 1 Char"/>
    <w:basedOn w:val="Predvolenpsmoodseku"/>
    <w:link w:val="Nadpis1"/>
    <w:uiPriority w:val="9"/>
    <w:rsid w:val="005D46BD"/>
    <w:rPr>
      <w:rFonts w:asciiTheme="majorHAnsi" w:eastAsiaTheme="majorEastAsia" w:hAnsiTheme="majorHAnsi" w:cstheme="majorBidi"/>
      <w:color w:val="2E74B5" w:themeColor="accent1" w:themeShade="BF"/>
      <w:sz w:val="32"/>
      <w:szCs w:val="32"/>
    </w:rPr>
  </w:style>
  <w:style w:type="paragraph" w:styleId="Hlavikaobsahu">
    <w:name w:val="TOC Heading"/>
    <w:basedOn w:val="Nadpis1"/>
    <w:next w:val="Normlny"/>
    <w:uiPriority w:val="39"/>
    <w:unhideWhenUsed/>
    <w:qFormat/>
    <w:rsid w:val="005D46BD"/>
    <w:pPr>
      <w:outlineLvl w:val="9"/>
    </w:pPr>
    <w:rPr>
      <w:lang w:eastAsia="sk-SK"/>
    </w:rPr>
  </w:style>
  <w:style w:type="paragraph" w:styleId="Textbubliny">
    <w:name w:val="Balloon Text"/>
    <w:basedOn w:val="Normlny"/>
    <w:link w:val="TextbublinyChar"/>
    <w:uiPriority w:val="99"/>
    <w:semiHidden/>
    <w:unhideWhenUsed/>
    <w:rsid w:val="00341C7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41C70"/>
    <w:rPr>
      <w:rFonts w:ascii="Segoe UI" w:hAnsi="Segoe UI" w:cs="Segoe UI"/>
      <w:sz w:val="18"/>
      <w:szCs w:val="18"/>
    </w:rPr>
  </w:style>
  <w:style w:type="character" w:customStyle="1" w:styleId="Nadpis2Char">
    <w:name w:val="Nadpis 2 Char"/>
    <w:basedOn w:val="Predvolenpsmoodseku"/>
    <w:link w:val="Nadpis2"/>
    <w:uiPriority w:val="9"/>
    <w:rsid w:val="00A42CF0"/>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3C1BF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740771"/>
    <w:rPr>
      <w:rFonts w:asciiTheme="majorHAnsi" w:eastAsiaTheme="majorEastAsia" w:hAnsiTheme="majorHAnsi" w:cstheme="majorBidi"/>
      <w:b/>
      <w:bCs/>
      <w:i/>
      <w:iCs/>
      <w:color w:val="5B9BD5" w:themeColor="accent1"/>
    </w:rPr>
  </w:style>
  <w:style w:type="character" w:customStyle="1" w:styleId="Nadpis5Char">
    <w:name w:val="Nadpis 5 Char"/>
    <w:basedOn w:val="Predvolenpsmoodseku"/>
    <w:link w:val="Nadpis5"/>
    <w:uiPriority w:val="9"/>
    <w:rsid w:val="00A42CF0"/>
    <w:rPr>
      <w:rFonts w:asciiTheme="majorHAnsi" w:eastAsiaTheme="majorEastAsia" w:hAnsiTheme="majorHAnsi" w:cstheme="majorBidi"/>
      <w:color w:val="1F4D78" w:themeColor="accent1" w:themeShade="7F"/>
    </w:rPr>
  </w:style>
  <w:style w:type="character" w:customStyle="1" w:styleId="Nadpis6Char">
    <w:name w:val="Nadpis 6 Char"/>
    <w:basedOn w:val="Predvolenpsmoodseku"/>
    <w:link w:val="Nadpis6"/>
    <w:uiPriority w:val="9"/>
    <w:rsid w:val="00A42CF0"/>
    <w:rPr>
      <w:rFonts w:asciiTheme="majorHAnsi" w:eastAsiaTheme="majorEastAsia" w:hAnsiTheme="majorHAnsi" w:cstheme="majorBidi"/>
      <w:i/>
      <w:iCs/>
      <w:color w:val="1F4D78" w:themeColor="accent1" w:themeShade="7F"/>
    </w:rPr>
  </w:style>
  <w:style w:type="character" w:customStyle="1" w:styleId="Nadpis7Char">
    <w:name w:val="Nadpis 7 Char"/>
    <w:basedOn w:val="Predvolenpsmoodseku"/>
    <w:link w:val="Nadpis7"/>
    <w:uiPriority w:val="9"/>
    <w:semiHidden/>
    <w:rsid w:val="00A42CF0"/>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A42CF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A42CF0"/>
    <w:rPr>
      <w:rFonts w:asciiTheme="majorHAnsi" w:eastAsiaTheme="majorEastAsia" w:hAnsiTheme="majorHAnsi" w:cstheme="majorBidi"/>
      <w:i/>
      <w:iCs/>
      <w:color w:val="404040" w:themeColor="text1" w:themeTint="BF"/>
      <w:sz w:val="20"/>
      <w:szCs w:val="20"/>
    </w:rPr>
  </w:style>
  <w:style w:type="paragraph" w:styleId="Nzov">
    <w:name w:val="Title"/>
    <w:basedOn w:val="Normlny"/>
    <w:next w:val="Normlny"/>
    <w:link w:val="NzovChar"/>
    <w:uiPriority w:val="10"/>
    <w:qFormat/>
    <w:rsid w:val="00A42CF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A42CF0"/>
    <w:rPr>
      <w:rFonts w:asciiTheme="majorHAnsi" w:eastAsiaTheme="majorEastAsia" w:hAnsiTheme="majorHAnsi" w:cstheme="majorBidi"/>
      <w:color w:val="323E4F" w:themeColor="text2" w:themeShade="BF"/>
      <w:spacing w:val="5"/>
      <w:kern w:val="28"/>
      <w:sz w:val="52"/>
      <w:szCs w:val="52"/>
    </w:rPr>
  </w:style>
  <w:style w:type="character" w:styleId="Hypertextovprepojenie">
    <w:name w:val="Hyperlink"/>
    <w:basedOn w:val="Predvolenpsmoodseku"/>
    <w:uiPriority w:val="99"/>
    <w:unhideWhenUsed/>
    <w:rsid w:val="000B4A2F"/>
    <w:rPr>
      <w:color w:val="0000FF"/>
      <w:u w:val="single"/>
    </w:rPr>
  </w:style>
  <w:style w:type="paragraph" w:styleId="Textpoznmkypodiarou">
    <w:name w:val="footnote text"/>
    <w:aliases w:val="Footnote Text Char,Znak,Text poznámky pod čiarou 007,Text pozn. pod čarou Char,Schriftart: 8 pt,Text pozn. pod čarou Char1,Text pozn. pod čarou Char2 Char,Text pozn. pod čarou Char Char1 Char,Text pozn. pod čarou Char1 Char Char"/>
    <w:basedOn w:val="Normlny"/>
    <w:link w:val="TextpoznmkypodiarouChar"/>
    <w:unhideWhenUsed/>
    <w:rsid w:val="000B4A2F"/>
    <w:pPr>
      <w:spacing w:after="0" w:line="240" w:lineRule="auto"/>
    </w:pPr>
    <w:rPr>
      <w:sz w:val="20"/>
      <w:szCs w:val="20"/>
    </w:rPr>
  </w:style>
  <w:style w:type="character" w:customStyle="1" w:styleId="TextpoznmkypodiarouChar">
    <w:name w:val="Text poznámky pod čiarou Char"/>
    <w:aliases w:val="Footnote Text Char Char,Znak Char,Text poznámky pod čiarou 007 Char,Text pozn. pod čarou Char Char,Schriftart: 8 pt Char,Text pozn. pod čarou Char1 Char,Text pozn. pod čarou Char2 Char Char"/>
    <w:basedOn w:val="Predvolenpsmoodseku"/>
    <w:link w:val="Textpoznmkypodiarou"/>
    <w:rsid w:val="000B4A2F"/>
    <w:rPr>
      <w:sz w:val="20"/>
      <w:szCs w:val="20"/>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nhideWhenUsed/>
    <w:rsid w:val="000B4A2F"/>
    <w:rPr>
      <w:vertAlign w:val="superscript"/>
    </w:rPr>
  </w:style>
  <w:style w:type="paragraph" w:styleId="Pta">
    <w:name w:val="footer"/>
    <w:basedOn w:val="Normlny"/>
    <w:link w:val="PtaChar"/>
    <w:uiPriority w:val="99"/>
    <w:unhideWhenUsed/>
    <w:rsid w:val="002D541C"/>
    <w:pPr>
      <w:tabs>
        <w:tab w:val="center" w:pos="4536"/>
        <w:tab w:val="right" w:pos="9072"/>
      </w:tabs>
      <w:spacing w:after="0" w:line="240" w:lineRule="auto"/>
    </w:pPr>
  </w:style>
  <w:style w:type="character" w:customStyle="1" w:styleId="PtaChar">
    <w:name w:val="Päta Char"/>
    <w:basedOn w:val="Predvolenpsmoodseku"/>
    <w:link w:val="Pta"/>
    <w:uiPriority w:val="99"/>
    <w:rsid w:val="002D541C"/>
  </w:style>
  <w:style w:type="character" w:styleId="Odkaznakomentr">
    <w:name w:val="annotation reference"/>
    <w:basedOn w:val="Predvolenpsmoodseku"/>
    <w:uiPriority w:val="99"/>
    <w:semiHidden/>
    <w:unhideWhenUsed/>
    <w:rsid w:val="007329CB"/>
    <w:rPr>
      <w:sz w:val="16"/>
      <w:szCs w:val="16"/>
    </w:rPr>
  </w:style>
  <w:style w:type="paragraph" w:styleId="Textkomentra">
    <w:name w:val="annotation text"/>
    <w:basedOn w:val="Normlny"/>
    <w:link w:val="TextkomentraChar"/>
    <w:uiPriority w:val="99"/>
    <w:unhideWhenUsed/>
    <w:rsid w:val="007329CB"/>
    <w:pPr>
      <w:spacing w:after="200" w:line="240" w:lineRule="auto"/>
    </w:pPr>
    <w:rPr>
      <w:sz w:val="20"/>
      <w:szCs w:val="20"/>
    </w:rPr>
  </w:style>
  <w:style w:type="character" w:customStyle="1" w:styleId="TextkomentraChar">
    <w:name w:val="Text komentára Char"/>
    <w:basedOn w:val="Predvolenpsmoodseku"/>
    <w:link w:val="Textkomentra"/>
    <w:uiPriority w:val="99"/>
    <w:rsid w:val="007329CB"/>
    <w:rPr>
      <w:sz w:val="20"/>
      <w:szCs w:val="20"/>
    </w:rPr>
  </w:style>
  <w:style w:type="paragraph" w:styleId="Predmetkomentra">
    <w:name w:val="annotation subject"/>
    <w:basedOn w:val="Textkomentra"/>
    <w:next w:val="Textkomentra"/>
    <w:link w:val="PredmetkomentraChar"/>
    <w:uiPriority w:val="99"/>
    <w:semiHidden/>
    <w:unhideWhenUsed/>
    <w:rsid w:val="007329CB"/>
    <w:rPr>
      <w:b/>
      <w:bCs/>
    </w:rPr>
  </w:style>
  <w:style w:type="character" w:customStyle="1" w:styleId="PredmetkomentraChar">
    <w:name w:val="Predmet komentára Char"/>
    <w:basedOn w:val="TextkomentraChar"/>
    <w:link w:val="Predmetkomentra"/>
    <w:uiPriority w:val="99"/>
    <w:semiHidden/>
    <w:rsid w:val="007329CB"/>
    <w:rPr>
      <w:b/>
      <w:bCs/>
      <w:sz w:val="20"/>
      <w:szCs w:val="20"/>
    </w:rPr>
  </w:style>
  <w:style w:type="character" w:styleId="PouitHypertextovPrepojenie">
    <w:name w:val="FollowedHyperlink"/>
    <w:basedOn w:val="Predvolenpsmoodseku"/>
    <w:uiPriority w:val="99"/>
    <w:semiHidden/>
    <w:unhideWhenUsed/>
    <w:rsid w:val="007329CB"/>
    <w:rPr>
      <w:color w:val="954F72" w:themeColor="followedHyperlink"/>
      <w:u w:val="single"/>
    </w:rPr>
  </w:style>
  <w:style w:type="paragraph" w:styleId="Revzia">
    <w:name w:val="Revision"/>
    <w:hidden/>
    <w:uiPriority w:val="99"/>
    <w:semiHidden/>
    <w:rsid w:val="007329CB"/>
    <w:pPr>
      <w:spacing w:after="0" w:line="240" w:lineRule="auto"/>
    </w:pPr>
  </w:style>
  <w:style w:type="table" w:styleId="Mriekatabuky">
    <w:name w:val="Table Grid"/>
    <w:basedOn w:val="Normlnatabuka"/>
    <w:uiPriority w:val="59"/>
    <w:rsid w:val="00732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lny"/>
    <w:next w:val="Normlny"/>
    <w:uiPriority w:val="99"/>
    <w:rsid w:val="007329CB"/>
    <w:pPr>
      <w:autoSpaceDE w:val="0"/>
      <w:autoSpaceDN w:val="0"/>
      <w:adjustRightInd w:val="0"/>
      <w:spacing w:after="0" w:line="240" w:lineRule="auto"/>
    </w:pPr>
    <w:rPr>
      <w:rFonts w:ascii="EUAlbertina" w:hAnsi="EUAlbertina"/>
      <w:sz w:val="24"/>
      <w:szCs w:val="24"/>
    </w:rPr>
  </w:style>
  <w:style w:type="paragraph" w:styleId="Hlavika">
    <w:name w:val="header"/>
    <w:basedOn w:val="Normlny"/>
    <w:link w:val="HlavikaChar"/>
    <w:uiPriority w:val="99"/>
    <w:unhideWhenUsed/>
    <w:rsid w:val="007329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29CB"/>
  </w:style>
  <w:style w:type="paragraph" w:styleId="Obsah1">
    <w:name w:val="toc 1"/>
    <w:basedOn w:val="Normlny"/>
    <w:next w:val="Normlny"/>
    <w:autoRedefine/>
    <w:uiPriority w:val="39"/>
    <w:unhideWhenUsed/>
    <w:rsid w:val="007329CB"/>
    <w:pPr>
      <w:spacing w:after="100" w:line="276" w:lineRule="auto"/>
    </w:pPr>
  </w:style>
  <w:style w:type="paragraph" w:styleId="Obsah2">
    <w:name w:val="toc 2"/>
    <w:basedOn w:val="Normlny"/>
    <w:next w:val="Normlny"/>
    <w:autoRedefine/>
    <w:uiPriority w:val="39"/>
    <w:unhideWhenUsed/>
    <w:rsid w:val="00505551"/>
    <w:pPr>
      <w:tabs>
        <w:tab w:val="right" w:leader="dot" w:pos="9062"/>
      </w:tabs>
      <w:spacing w:after="100" w:line="276" w:lineRule="auto"/>
      <w:ind w:left="220"/>
    </w:pPr>
  </w:style>
  <w:style w:type="paragraph" w:styleId="Obsah3">
    <w:name w:val="toc 3"/>
    <w:basedOn w:val="Normlny"/>
    <w:next w:val="Normlny"/>
    <w:autoRedefine/>
    <w:uiPriority w:val="39"/>
    <w:unhideWhenUsed/>
    <w:rsid w:val="00505551"/>
    <w:pPr>
      <w:tabs>
        <w:tab w:val="left" w:pos="1320"/>
        <w:tab w:val="right" w:leader="dot" w:pos="9062"/>
      </w:tabs>
      <w:spacing w:after="100" w:line="276" w:lineRule="auto"/>
      <w:ind w:left="440"/>
    </w:pPr>
  </w:style>
  <w:style w:type="paragraph" w:styleId="Bezriadkovania">
    <w:name w:val="No Spacing"/>
    <w:uiPriority w:val="1"/>
    <w:qFormat/>
    <w:rsid w:val="007329CB"/>
    <w:pPr>
      <w:spacing w:after="0" w:line="240" w:lineRule="auto"/>
    </w:pPr>
  </w:style>
  <w:style w:type="character" w:customStyle="1" w:styleId="italic1">
    <w:name w:val="italic1"/>
    <w:basedOn w:val="Predvolenpsmoodseku"/>
    <w:rsid w:val="00A70731"/>
    <w:rPr>
      <w:i/>
      <w:iCs/>
    </w:rPr>
  </w:style>
  <w:style w:type="character" w:styleId="Siln">
    <w:name w:val="Strong"/>
    <w:basedOn w:val="Predvolenpsmoodseku"/>
    <w:uiPriority w:val="22"/>
    <w:qFormat/>
    <w:rsid w:val="008C0C59"/>
    <w:rPr>
      <w:b/>
      <w:bCs/>
    </w:rPr>
  </w:style>
  <w:style w:type="paragraph" w:styleId="Popis">
    <w:name w:val="caption"/>
    <w:aliases w:val="Tabulka"/>
    <w:basedOn w:val="Normlny"/>
    <w:next w:val="Normlny"/>
    <w:unhideWhenUsed/>
    <w:qFormat/>
    <w:rsid w:val="00752288"/>
    <w:pPr>
      <w:spacing w:after="200" w:line="276" w:lineRule="auto"/>
    </w:pPr>
    <w:rPr>
      <w:rFonts w:eastAsiaTheme="majorEastAsia" w:cstheme="majorBidi"/>
      <w:caps/>
      <w:spacing w:val="10"/>
      <w:sz w:val="18"/>
      <w:szCs w:val="18"/>
    </w:rPr>
  </w:style>
  <w:style w:type="paragraph" w:styleId="Zkladntext3">
    <w:name w:val="Body Text 3"/>
    <w:basedOn w:val="Normlny"/>
    <w:link w:val="Zkladntext3Char"/>
    <w:uiPriority w:val="99"/>
    <w:semiHidden/>
    <w:unhideWhenUsed/>
    <w:rsid w:val="00752288"/>
    <w:pPr>
      <w:spacing w:after="120" w:line="276" w:lineRule="auto"/>
    </w:pPr>
    <w:rPr>
      <w:rFonts w:eastAsiaTheme="majorEastAsia" w:cstheme="majorBidi"/>
      <w:sz w:val="16"/>
      <w:szCs w:val="16"/>
    </w:rPr>
  </w:style>
  <w:style w:type="character" w:customStyle="1" w:styleId="Zkladntext3Char">
    <w:name w:val="Základný text 3 Char"/>
    <w:basedOn w:val="Predvolenpsmoodseku"/>
    <w:link w:val="Zkladntext3"/>
    <w:uiPriority w:val="99"/>
    <w:semiHidden/>
    <w:rsid w:val="00752288"/>
    <w:rPr>
      <w:rFonts w:eastAsiaTheme="majorEastAsia" w:cstheme="majorBidi"/>
      <w:sz w:val="16"/>
      <w:szCs w:val="16"/>
    </w:rPr>
  </w:style>
  <w:style w:type="paragraph" w:styleId="Textvysvetlivky">
    <w:name w:val="endnote text"/>
    <w:basedOn w:val="Normlny"/>
    <w:link w:val="TextvysvetlivkyChar"/>
    <w:uiPriority w:val="99"/>
    <w:semiHidden/>
    <w:unhideWhenUsed/>
    <w:rsid w:val="00EE58B9"/>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EE58B9"/>
    <w:rPr>
      <w:sz w:val="20"/>
      <w:szCs w:val="20"/>
    </w:rPr>
  </w:style>
  <w:style w:type="character" w:styleId="Odkaznavysvetlivku">
    <w:name w:val="endnote reference"/>
    <w:basedOn w:val="Predvolenpsmoodseku"/>
    <w:uiPriority w:val="99"/>
    <w:semiHidden/>
    <w:unhideWhenUsed/>
    <w:rsid w:val="00EE58B9"/>
    <w:rPr>
      <w:vertAlign w:val="superscript"/>
    </w:rPr>
  </w:style>
  <w:style w:type="paragraph" w:styleId="Zkladntext">
    <w:name w:val="Body Text"/>
    <w:basedOn w:val="Normlny"/>
    <w:link w:val="ZkladntextChar"/>
    <w:uiPriority w:val="99"/>
    <w:unhideWhenUsed/>
    <w:rsid w:val="00E43041"/>
    <w:pPr>
      <w:spacing w:after="120"/>
    </w:pPr>
  </w:style>
  <w:style w:type="character" w:customStyle="1" w:styleId="ZkladntextChar">
    <w:name w:val="Základný text Char"/>
    <w:basedOn w:val="Predvolenpsmoodseku"/>
    <w:link w:val="Zkladntext"/>
    <w:uiPriority w:val="99"/>
    <w:rsid w:val="00E43041"/>
  </w:style>
  <w:style w:type="character" w:customStyle="1" w:styleId="spanr">
    <w:name w:val="span_r"/>
    <w:basedOn w:val="Predvolenpsmoodseku"/>
    <w:rsid w:val="009135F1"/>
  </w:style>
  <w:style w:type="paragraph" w:styleId="Obsah4">
    <w:name w:val="toc 4"/>
    <w:basedOn w:val="Normlny"/>
    <w:next w:val="Normlny"/>
    <w:autoRedefine/>
    <w:uiPriority w:val="39"/>
    <w:unhideWhenUsed/>
    <w:rsid w:val="00505551"/>
    <w:pPr>
      <w:tabs>
        <w:tab w:val="left" w:pos="1760"/>
        <w:tab w:val="right" w:leader="dot" w:pos="9062"/>
      </w:tabs>
      <w:spacing w:after="100"/>
      <w:ind w:left="660"/>
    </w:pPr>
  </w:style>
  <w:style w:type="paragraph" w:customStyle="1" w:styleId="odsek">
    <w:name w:val="odsek"/>
    <w:basedOn w:val="Normlny"/>
    <w:rsid w:val="000223AB"/>
    <w:pPr>
      <w:keepNext/>
      <w:spacing w:before="60" w:after="60" w:line="240" w:lineRule="auto"/>
      <w:ind w:firstLine="709"/>
      <w:jc w:val="both"/>
    </w:pPr>
    <w:rPr>
      <w:rFonts w:ascii="Times New Roman" w:eastAsia="Times New Roman" w:hAnsi="Times New Roman" w:cs="Times New Roman"/>
      <w:sz w:val="24"/>
      <w:szCs w:val="24"/>
      <w:lang w:eastAsia="sk-SK"/>
    </w:rPr>
  </w:style>
  <w:style w:type="paragraph" w:customStyle="1" w:styleId="Default">
    <w:name w:val="Default"/>
    <w:rsid w:val="00F059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929">
      <w:bodyDiv w:val="1"/>
      <w:marLeft w:val="0"/>
      <w:marRight w:val="0"/>
      <w:marTop w:val="0"/>
      <w:marBottom w:val="0"/>
      <w:divBdr>
        <w:top w:val="none" w:sz="0" w:space="0" w:color="auto"/>
        <w:left w:val="none" w:sz="0" w:space="0" w:color="auto"/>
        <w:bottom w:val="none" w:sz="0" w:space="0" w:color="auto"/>
        <w:right w:val="none" w:sz="0" w:space="0" w:color="auto"/>
      </w:divBdr>
    </w:div>
    <w:div w:id="27264445">
      <w:bodyDiv w:val="1"/>
      <w:marLeft w:val="0"/>
      <w:marRight w:val="0"/>
      <w:marTop w:val="0"/>
      <w:marBottom w:val="0"/>
      <w:divBdr>
        <w:top w:val="none" w:sz="0" w:space="0" w:color="auto"/>
        <w:left w:val="none" w:sz="0" w:space="0" w:color="auto"/>
        <w:bottom w:val="none" w:sz="0" w:space="0" w:color="auto"/>
        <w:right w:val="none" w:sz="0" w:space="0" w:color="auto"/>
      </w:divBdr>
    </w:div>
    <w:div w:id="45954964">
      <w:bodyDiv w:val="1"/>
      <w:marLeft w:val="0"/>
      <w:marRight w:val="0"/>
      <w:marTop w:val="0"/>
      <w:marBottom w:val="0"/>
      <w:divBdr>
        <w:top w:val="none" w:sz="0" w:space="0" w:color="auto"/>
        <w:left w:val="none" w:sz="0" w:space="0" w:color="auto"/>
        <w:bottom w:val="none" w:sz="0" w:space="0" w:color="auto"/>
        <w:right w:val="none" w:sz="0" w:space="0" w:color="auto"/>
      </w:divBdr>
    </w:div>
    <w:div w:id="53746942">
      <w:bodyDiv w:val="1"/>
      <w:marLeft w:val="0"/>
      <w:marRight w:val="0"/>
      <w:marTop w:val="0"/>
      <w:marBottom w:val="0"/>
      <w:divBdr>
        <w:top w:val="none" w:sz="0" w:space="0" w:color="auto"/>
        <w:left w:val="none" w:sz="0" w:space="0" w:color="auto"/>
        <w:bottom w:val="none" w:sz="0" w:space="0" w:color="auto"/>
        <w:right w:val="none" w:sz="0" w:space="0" w:color="auto"/>
      </w:divBdr>
    </w:div>
    <w:div w:id="57097358">
      <w:bodyDiv w:val="1"/>
      <w:marLeft w:val="0"/>
      <w:marRight w:val="0"/>
      <w:marTop w:val="0"/>
      <w:marBottom w:val="0"/>
      <w:divBdr>
        <w:top w:val="none" w:sz="0" w:space="0" w:color="auto"/>
        <w:left w:val="none" w:sz="0" w:space="0" w:color="auto"/>
        <w:bottom w:val="none" w:sz="0" w:space="0" w:color="auto"/>
        <w:right w:val="none" w:sz="0" w:space="0" w:color="auto"/>
      </w:divBdr>
    </w:div>
    <w:div w:id="80571517">
      <w:bodyDiv w:val="1"/>
      <w:marLeft w:val="0"/>
      <w:marRight w:val="0"/>
      <w:marTop w:val="0"/>
      <w:marBottom w:val="0"/>
      <w:divBdr>
        <w:top w:val="none" w:sz="0" w:space="0" w:color="auto"/>
        <w:left w:val="none" w:sz="0" w:space="0" w:color="auto"/>
        <w:bottom w:val="none" w:sz="0" w:space="0" w:color="auto"/>
        <w:right w:val="none" w:sz="0" w:space="0" w:color="auto"/>
      </w:divBdr>
    </w:div>
    <w:div w:id="95641387">
      <w:bodyDiv w:val="1"/>
      <w:marLeft w:val="0"/>
      <w:marRight w:val="0"/>
      <w:marTop w:val="0"/>
      <w:marBottom w:val="0"/>
      <w:divBdr>
        <w:top w:val="none" w:sz="0" w:space="0" w:color="auto"/>
        <w:left w:val="none" w:sz="0" w:space="0" w:color="auto"/>
        <w:bottom w:val="none" w:sz="0" w:space="0" w:color="auto"/>
        <w:right w:val="none" w:sz="0" w:space="0" w:color="auto"/>
      </w:divBdr>
    </w:div>
    <w:div w:id="101272012">
      <w:bodyDiv w:val="1"/>
      <w:marLeft w:val="0"/>
      <w:marRight w:val="0"/>
      <w:marTop w:val="0"/>
      <w:marBottom w:val="0"/>
      <w:divBdr>
        <w:top w:val="none" w:sz="0" w:space="0" w:color="auto"/>
        <w:left w:val="none" w:sz="0" w:space="0" w:color="auto"/>
        <w:bottom w:val="none" w:sz="0" w:space="0" w:color="auto"/>
        <w:right w:val="none" w:sz="0" w:space="0" w:color="auto"/>
      </w:divBdr>
    </w:div>
    <w:div w:id="137579332">
      <w:bodyDiv w:val="1"/>
      <w:marLeft w:val="0"/>
      <w:marRight w:val="0"/>
      <w:marTop w:val="0"/>
      <w:marBottom w:val="0"/>
      <w:divBdr>
        <w:top w:val="none" w:sz="0" w:space="0" w:color="auto"/>
        <w:left w:val="none" w:sz="0" w:space="0" w:color="auto"/>
        <w:bottom w:val="none" w:sz="0" w:space="0" w:color="auto"/>
        <w:right w:val="none" w:sz="0" w:space="0" w:color="auto"/>
      </w:divBdr>
    </w:div>
    <w:div w:id="165946046">
      <w:bodyDiv w:val="1"/>
      <w:marLeft w:val="0"/>
      <w:marRight w:val="0"/>
      <w:marTop w:val="0"/>
      <w:marBottom w:val="0"/>
      <w:divBdr>
        <w:top w:val="none" w:sz="0" w:space="0" w:color="auto"/>
        <w:left w:val="none" w:sz="0" w:space="0" w:color="auto"/>
        <w:bottom w:val="none" w:sz="0" w:space="0" w:color="auto"/>
        <w:right w:val="none" w:sz="0" w:space="0" w:color="auto"/>
      </w:divBdr>
    </w:div>
    <w:div w:id="173038105">
      <w:bodyDiv w:val="1"/>
      <w:marLeft w:val="0"/>
      <w:marRight w:val="0"/>
      <w:marTop w:val="0"/>
      <w:marBottom w:val="0"/>
      <w:divBdr>
        <w:top w:val="none" w:sz="0" w:space="0" w:color="auto"/>
        <w:left w:val="none" w:sz="0" w:space="0" w:color="auto"/>
        <w:bottom w:val="none" w:sz="0" w:space="0" w:color="auto"/>
        <w:right w:val="none" w:sz="0" w:space="0" w:color="auto"/>
      </w:divBdr>
    </w:div>
    <w:div w:id="179004971">
      <w:bodyDiv w:val="1"/>
      <w:marLeft w:val="0"/>
      <w:marRight w:val="0"/>
      <w:marTop w:val="0"/>
      <w:marBottom w:val="0"/>
      <w:divBdr>
        <w:top w:val="none" w:sz="0" w:space="0" w:color="auto"/>
        <w:left w:val="none" w:sz="0" w:space="0" w:color="auto"/>
        <w:bottom w:val="none" w:sz="0" w:space="0" w:color="auto"/>
        <w:right w:val="none" w:sz="0" w:space="0" w:color="auto"/>
      </w:divBdr>
    </w:div>
    <w:div w:id="181093449">
      <w:bodyDiv w:val="1"/>
      <w:marLeft w:val="0"/>
      <w:marRight w:val="0"/>
      <w:marTop w:val="0"/>
      <w:marBottom w:val="0"/>
      <w:divBdr>
        <w:top w:val="none" w:sz="0" w:space="0" w:color="auto"/>
        <w:left w:val="none" w:sz="0" w:space="0" w:color="auto"/>
        <w:bottom w:val="none" w:sz="0" w:space="0" w:color="auto"/>
        <w:right w:val="none" w:sz="0" w:space="0" w:color="auto"/>
      </w:divBdr>
    </w:div>
    <w:div w:id="189804530">
      <w:bodyDiv w:val="1"/>
      <w:marLeft w:val="0"/>
      <w:marRight w:val="0"/>
      <w:marTop w:val="0"/>
      <w:marBottom w:val="0"/>
      <w:divBdr>
        <w:top w:val="none" w:sz="0" w:space="0" w:color="auto"/>
        <w:left w:val="none" w:sz="0" w:space="0" w:color="auto"/>
        <w:bottom w:val="none" w:sz="0" w:space="0" w:color="auto"/>
        <w:right w:val="none" w:sz="0" w:space="0" w:color="auto"/>
      </w:divBdr>
    </w:div>
    <w:div w:id="213857545">
      <w:bodyDiv w:val="1"/>
      <w:marLeft w:val="0"/>
      <w:marRight w:val="0"/>
      <w:marTop w:val="0"/>
      <w:marBottom w:val="0"/>
      <w:divBdr>
        <w:top w:val="none" w:sz="0" w:space="0" w:color="auto"/>
        <w:left w:val="none" w:sz="0" w:space="0" w:color="auto"/>
        <w:bottom w:val="none" w:sz="0" w:space="0" w:color="auto"/>
        <w:right w:val="none" w:sz="0" w:space="0" w:color="auto"/>
      </w:divBdr>
    </w:div>
    <w:div w:id="226958932">
      <w:bodyDiv w:val="1"/>
      <w:marLeft w:val="0"/>
      <w:marRight w:val="0"/>
      <w:marTop w:val="0"/>
      <w:marBottom w:val="0"/>
      <w:divBdr>
        <w:top w:val="none" w:sz="0" w:space="0" w:color="auto"/>
        <w:left w:val="none" w:sz="0" w:space="0" w:color="auto"/>
        <w:bottom w:val="none" w:sz="0" w:space="0" w:color="auto"/>
        <w:right w:val="none" w:sz="0" w:space="0" w:color="auto"/>
      </w:divBdr>
    </w:div>
    <w:div w:id="237520056">
      <w:bodyDiv w:val="1"/>
      <w:marLeft w:val="0"/>
      <w:marRight w:val="0"/>
      <w:marTop w:val="0"/>
      <w:marBottom w:val="0"/>
      <w:divBdr>
        <w:top w:val="none" w:sz="0" w:space="0" w:color="auto"/>
        <w:left w:val="none" w:sz="0" w:space="0" w:color="auto"/>
        <w:bottom w:val="none" w:sz="0" w:space="0" w:color="auto"/>
        <w:right w:val="none" w:sz="0" w:space="0" w:color="auto"/>
      </w:divBdr>
    </w:div>
    <w:div w:id="251088553">
      <w:bodyDiv w:val="1"/>
      <w:marLeft w:val="0"/>
      <w:marRight w:val="0"/>
      <w:marTop w:val="0"/>
      <w:marBottom w:val="0"/>
      <w:divBdr>
        <w:top w:val="none" w:sz="0" w:space="0" w:color="auto"/>
        <w:left w:val="none" w:sz="0" w:space="0" w:color="auto"/>
        <w:bottom w:val="none" w:sz="0" w:space="0" w:color="auto"/>
        <w:right w:val="none" w:sz="0" w:space="0" w:color="auto"/>
      </w:divBdr>
    </w:div>
    <w:div w:id="290600715">
      <w:bodyDiv w:val="1"/>
      <w:marLeft w:val="0"/>
      <w:marRight w:val="0"/>
      <w:marTop w:val="0"/>
      <w:marBottom w:val="0"/>
      <w:divBdr>
        <w:top w:val="none" w:sz="0" w:space="0" w:color="auto"/>
        <w:left w:val="none" w:sz="0" w:space="0" w:color="auto"/>
        <w:bottom w:val="none" w:sz="0" w:space="0" w:color="auto"/>
        <w:right w:val="none" w:sz="0" w:space="0" w:color="auto"/>
      </w:divBdr>
      <w:divsChild>
        <w:div w:id="1636331865">
          <w:marLeft w:val="0"/>
          <w:marRight w:val="0"/>
          <w:marTop w:val="0"/>
          <w:marBottom w:val="0"/>
          <w:divBdr>
            <w:top w:val="none" w:sz="0" w:space="0" w:color="auto"/>
            <w:left w:val="none" w:sz="0" w:space="0" w:color="auto"/>
            <w:bottom w:val="none" w:sz="0" w:space="0" w:color="auto"/>
            <w:right w:val="none" w:sz="0" w:space="0" w:color="auto"/>
          </w:divBdr>
          <w:divsChild>
            <w:div w:id="630090478">
              <w:marLeft w:val="0"/>
              <w:marRight w:val="0"/>
              <w:marTop w:val="0"/>
              <w:marBottom w:val="0"/>
              <w:divBdr>
                <w:top w:val="none" w:sz="0" w:space="0" w:color="auto"/>
                <w:left w:val="none" w:sz="0" w:space="0" w:color="auto"/>
                <w:bottom w:val="none" w:sz="0" w:space="0" w:color="auto"/>
                <w:right w:val="none" w:sz="0" w:space="0" w:color="auto"/>
              </w:divBdr>
              <w:divsChild>
                <w:div w:id="2022782470">
                  <w:marLeft w:val="0"/>
                  <w:marRight w:val="0"/>
                  <w:marTop w:val="0"/>
                  <w:marBottom w:val="0"/>
                  <w:divBdr>
                    <w:top w:val="none" w:sz="0" w:space="0" w:color="auto"/>
                    <w:left w:val="none" w:sz="0" w:space="0" w:color="auto"/>
                    <w:bottom w:val="none" w:sz="0" w:space="0" w:color="auto"/>
                    <w:right w:val="none" w:sz="0" w:space="0" w:color="auto"/>
                  </w:divBdr>
                  <w:divsChild>
                    <w:div w:id="28067221">
                      <w:marLeft w:val="0"/>
                      <w:marRight w:val="0"/>
                      <w:marTop w:val="0"/>
                      <w:marBottom w:val="0"/>
                      <w:divBdr>
                        <w:top w:val="none" w:sz="0" w:space="0" w:color="auto"/>
                        <w:left w:val="none" w:sz="0" w:space="0" w:color="auto"/>
                        <w:bottom w:val="none" w:sz="0" w:space="0" w:color="auto"/>
                        <w:right w:val="none" w:sz="0" w:space="0" w:color="auto"/>
                      </w:divBdr>
                      <w:divsChild>
                        <w:div w:id="19224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141475">
      <w:bodyDiv w:val="1"/>
      <w:marLeft w:val="0"/>
      <w:marRight w:val="0"/>
      <w:marTop w:val="0"/>
      <w:marBottom w:val="0"/>
      <w:divBdr>
        <w:top w:val="none" w:sz="0" w:space="0" w:color="auto"/>
        <w:left w:val="none" w:sz="0" w:space="0" w:color="auto"/>
        <w:bottom w:val="none" w:sz="0" w:space="0" w:color="auto"/>
        <w:right w:val="none" w:sz="0" w:space="0" w:color="auto"/>
      </w:divBdr>
    </w:div>
    <w:div w:id="328100843">
      <w:bodyDiv w:val="1"/>
      <w:marLeft w:val="0"/>
      <w:marRight w:val="0"/>
      <w:marTop w:val="0"/>
      <w:marBottom w:val="0"/>
      <w:divBdr>
        <w:top w:val="none" w:sz="0" w:space="0" w:color="auto"/>
        <w:left w:val="none" w:sz="0" w:space="0" w:color="auto"/>
        <w:bottom w:val="none" w:sz="0" w:space="0" w:color="auto"/>
        <w:right w:val="none" w:sz="0" w:space="0" w:color="auto"/>
      </w:divBdr>
    </w:div>
    <w:div w:id="335695636">
      <w:bodyDiv w:val="1"/>
      <w:marLeft w:val="0"/>
      <w:marRight w:val="0"/>
      <w:marTop w:val="0"/>
      <w:marBottom w:val="0"/>
      <w:divBdr>
        <w:top w:val="none" w:sz="0" w:space="0" w:color="auto"/>
        <w:left w:val="none" w:sz="0" w:space="0" w:color="auto"/>
        <w:bottom w:val="none" w:sz="0" w:space="0" w:color="auto"/>
        <w:right w:val="none" w:sz="0" w:space="0" w:color="auto"/>
      </w:divBdr>
    </w:div>
    <w:div w:id="335881960">
      <w:bodyDiv w:val="1"/>
      <w:marLeft w:val="0"/>
      <w:marRight w:val="0"/>
      <w:marTop w:val="0"/>
      <w:marBottom w:val="0"/>
      <w:divBdr>
        <w:top w:val="none" w:sz="0" w:space="0" w:color="auto"/>
        <w:left w:val="none" w:sz="0" w:space="0" w:color="auto"/>
        <w:bottom w:val="none" w:sz="0" w:space="0" w:color="auto"/>
        <w:right w:val="none" w:sz="0" w:space="0" w:color="auto"/>
      </w:divBdr>
    </w:div>
    <w:div w:id="366107318">
      <w:bodyDiv w:val="1"/>
      <w:marLeft w:val="0"/>
      <w:marRight w:val="0"/>
      <w:marTop w:val="0"/>
      <w:marBottom w:val="0"/>
      <w:divBdr>
        <w:top w:val="none" w:sz="0" w:space="0" w:color="auto"/>
        <w:left w:val="none" w:sz="0" w:space="0" w:color="auto"/>
        <w:bottom w:val="none" w:sz="0" w:space="0" w:color="auto"/>
        <w:right w:val="none" w:sz="0" w:space="0" w:color="auto"/>
      </w:divBdr>
    </w:div>
    <w:div w:id="424696288">
      <w:bodyDiv w:val="1"/>
      <w:marLeft w:val="0"/>
      <w:marRight w:val="0"/>
      <w:marTop w:val="0"/>
      <w:marBottom w:val="0"/>
      <w:divBdr>
        <w:top w:val="none" w:sz="0" w:space="0" w:color="auto"/>
        <w:left w:val="none" w:sz="0" w:space="0" w:color="auto"/>
        <w:bottom w:val="none" w:sz="0" w:space="0" w:color="auto"/>
        <w:right w:val="none" w:sz="0" w:space="0" w:color="auto"/>
      </w:divBdr>
    </w:div>
    <w:div w:id="426269014">
      <w:bodyDiv w:val="1"/>
      <w:marLeft w:val="0"/>
      <w:marRight w:val="0"/>
      <w:marTop w:val="0"/>
      <w:marBottom w:val="0"/>
      <w:divBdr>
        <w:top w:val="none" w:sz="0" w:space="0" w:color="auto"/>
        <w:left w:val="none" w:sz="0" w:space="0" w:color="auto"/>
        <w:bottom w:val="none" w:sz="0" w:space="0" w:color="auto"/>
        <w:right w:val="none" w:sz="0" w:space="0" w:color="auto"/>
      </w:divBdr>
    </w:div>
    <w:div w:id="499542674">
      <w:bodyDiv w:val="1"/>
      <w:marLeft w:val="0"/>
      <w:marRight w:val="0"/>
      <w:marTop w:val="0"/>
      <w:marBottom w:val="0"/>
      <w:divBdr>
        <w:top w:val="none" w:sz="0" w:space="0" w:color="auto"/>
        <w:left w:val="none" w:sz="0" w:space="0" w:color="auto"/>
        <w:bottom w:val="none" w:sz="0" w:space="0" w:color="auto"/>
        <w:right w:val="none" w:sz="0" w:space="0" w:color="auto"/>
      </w:divBdr>
    </w:div>
    <w:div w:id="515116110">
      <w:bodyDiv w:val="1"/>
      <w:marLeft w:val="0"/>
      <w:marRight w:val="0"/>
      <w:marTop w:val="0"/>
      <w:marBottom w:val="0"/>
      <w:divBdr>
        <w:top w:val="none" w:sz="0" w:space="0" w:color="auto"/>
        <w:left w:val="none" w:sz="0" w:space="0" w:color="auto"/>
        <w:bottom w:val="none" w:sz="0" w:space="0" w:color="auto"/>
        <w:right w:val="none" w:sz="0" w:space="0" w:color="auto"/>
      </w:divBdr>
    </w:div>
    <w:div w:id="523133027">
      <w:bodyDiv w:val="1"/>
      <w:marLeft w:val="0"/>
      <w:marRight w:val="0"/>
      <w:marTop w:val="0"/>
      <w:marBottom w:val="0"/>
      <w:divBdr>
        <w:top w:val="none" w:sz="0" w:space="0" w:color="auto"/>
        <w:left w:val="none" w:sz="0" w:space="0" w:color="auto"/>
        <w:bottom w:val="none" w:sz="0" w:space="0" w:color="auto"/>
        <w:right w:val="none" w:sz="0" w:space="0" w:color="auto"/>
      </w:divBdr>
      <w:divsChild>
        <w:div w:id="898519747">
          <w:marLeft w:val="0"/>
          <w:marRight w:val="0"/>
          <w:marTop w:val="0"/>
          <w:marBottom w:val="0"/>
          <w:divBdr>
            <w:top w:val="none" w:sz="0" w:space="0" w:color="auto"/>
            <w:left w:val="none" w:sz="0" w:space="0" w:color="auto"/>
            <w:bottom w:val="none" w:sz="0" w:space="0" w:color="auto"/>
            <w:right w:val="none" w:sz="0" w:space="0" w:color="auto"/>
          </w:divBdr>
          <w:divsChild>
            <w:div w:id="1981112098">
              <w:marLeft w:val="0"/>
              <w:marRight w:val="0"/>
              <w:marTop w:val="0"/>
              <w:marBottom w:val="0"/>
              <w:divBdr>
                <w:top w:val="none" w:sz="0" w:space="0" w:color="auto"/>
                <w:left w:val="none" w:sz="0" w:space="0" w:color="auto"/>
                <w:bottom w:val="none" w:sz="0" w:space="0" w:color="auto"/>
                <w:right w:val="none" w:sz="0" w:space="0" w:color="auto"/>
              </w:divBdr>
              <w:divsChild>
                <w:div w:id="1786655881">
                  <w:marLeft w:val="0"/>
                  <w:marRight w:val="0"/>
                  <w:marTop w:val="0"/>
                  <w:marBottom w:val="0"/>
                  <w:divBdr>
                    <w:top w:val="none" w:sz="0" w:space="0" w:color="auto"/>
                    <w:left w:val="none" w:sz="0" w:space="0" w:color="auto"/>
                    <w:bottom w:val="none" w:sz="0" w:space="0" w:color="auto"/>
                    <w:right w:val="none" w:sz="0" w:space="0" w:color="auto"/>
                  </w:divBdr>
                  <w:divsChild>
                    <w:div w:id="714623547">
                      <w:marLeft w:val="0"/>
                      <w:marRight w:val="0"/>
                      <w:marTop w:val="0"/>
                      <w:marBottom w:val="0"/>
                      <w:divBdr>
                        <w:top w:val="none" w:sz="0" w:space="0" w:color="auto"/>
                        <w:left w:val="none" w:sz="0" w:space="0" w:color="auto"/>
                        <w:bottom w:val="none" w:sz="0" w:space="0" w:color="auto"/>
                        <w:right w:val="none" w:sz="0" w:space="0" w:color="auto"/>
                      </w:divBdr>
                      <w:divsChild>
                        <w:div w:id="7923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494189">
      <w:bodyDiv w:val="1"/>
      <w:marLeft w:val="0"/>
      <w:marRight w:val="0"/>
      <w:marTop w:val="0"/>
      <w:marBottom w:val="0"/>
      <w:divBdr>
        <w:top w:val="none" w:sz="0" w:space="0" w:color="auto"/>
        <w:left w:val="none" w:sz="0" w:space="0" w:color="auto"/>
        <w:bottom w:val="none" w:sz="0" w:space="0" w:color="auto"/>
        <w:right w:val="none" w:sz="0" w:space="0" w:color="auto"/>
      </w:divBdr>
    </w:div>
    <w:div w:id="562326245">
      <w:bodyDiv w:val="1"/>
      <w:marLeft w:val="0"/>
      <w:marRight w:val="0"/>
      <w:marTop w:val="0"/>
      <w:marBottom w:val="0"/>
      <w:divBdr>
        <w:top w:val="none" w:sz="0" w:space="0" w:color="auto"/>
        <w:left w:val="none" w:sz="0" w:space="0" w:color="auto"/>
        <w:bottom w:val="none" w:sz="0" w:space="0" w:color="auto"/>
        <w:right w:val="none" w:sz="0" w:space="0" w:color="auto"/>
      </w:divBdr>
    </w:div>
    <w:div w:id="563417744">
      <w:bodyDiv w:val="1"/>
      <w:marLeft w:val="0"/>
      <w:marRight w:val="0"/>
      <w:marTop w:val="0"/>
      <w:marBottom w:val="0"/>
      <w:divBdr>
        <w:top w:val="none" w:sz="0" w:space="0" w:color="auto"/>
        <w:left w:val="none" w:sz="0" w:space="0" w:color="auto"/>
        <w:bottom w:val="none" w:sz="0" w:space="0" w:color="auto"/>
        <w:right w:val="none" w:sz="0" w:space="0" w:color="auto"/>
      </w:divBdr>
    </w:div>
    <w:div w:id="564265187">
      <w:bodyDiv w:val="1"/>
      <w:marLeft w:val="0"/>
      <w:marRight w:val="0"/>
      <w:marTop w:val="0"/>
      <w:marBottom w:val="0"/>
      <w:divBdr>
        <w:top w:val="none" w:sz="0" w:space="0" w:color="auto"/>
        <w:left w:val="none" w:sz="0" w:space="0" w:color="auto"/>
        <w:bottom w:val="none" w:sz="0" w:space="0" w:color="auto"/>
        <w:right w:val="none" w:sz="0" w:space="0" w:color="auto"/>
      </w:divBdr>
    </w:div>
    <w:div w:id="578947126">
      <w:bodyDiv w:val="1"/>
      <w:marLeft w:val="0"/>
      <w:marRight w:val="0"/>
      <w:marTop w:val="0"/>
      <w:marBottom w:val="0"/>
      <w:divBdr>
        <w:top w:val="none" w:sz="0" w:space="0" w:color="auto"/>
        <w:left w:val="none" w:sz="0" w:space="0" w:color="auto"/>
        <w:bottom w:val="none" w:sz="0" w:space="0" w:color="auto"/>
        <w:right w:val="none" w:sz="0" w:space="0" w:color="auto"/>
      </w:divBdr>
    </w:div>
    <w:div w:id="610667526">
      <w:bodyDiv w:val="1"/>
      <w:marLeft w:val="0"/>
      <w:marRight w:val="0"/>
      <w:marTop w:val="0"/>
      <w:marBottom w:val="0"/>
      <w:divBdr>
        <w:top w:val="none" w:sz="0" w:space="0" w:color="auto"/>
        <w:left w:val="none" w:sz="0" w:space="0" w:color="auto"/>
        <w:bottom w:val="none" w:sz="0" w:space="0" w:color="auto"/>
        <w:right w:val="none" w:sz="0" w:space="0" w:color="auto"/>
      </w:divBdr>
    </w:div>
    <w:div w:id="621495618">
      <w:bodyDiv w:val="1"/>
      <w:marLeft w:val="0"/>
      <w:marRight w:val="0"/>
      <w:marTop w:val="0"/>
      <w:marBottom w:val="0"/>
      <w:divBdr>
        <w:top w:val="none" w:sz="0" w:space="0" w:color="auto"/>
        <w:left w:val="none" w:sz="0" w:space="0" w:color="auto"/>
        <w:bottom w:val="none" w:sz="0" w:space="0" w:color="auto"/>
        <w:right w:val="none" w:sz="0" w:space="0" w:color="auto"/>
      </w:divBdr>
    </w:div>
    <w:div w:id="623851207">
      <w:bodyDiv w:val="1"/>
      <w:marLeft w:val="0"/>
      <w:marRight w:val="0"/>
      <w:marTop w:val="0"/>
      <w:marBottom w:val="0"/>
      <w:divBdr>
        <w:top w:val="none" w:sz="0" w:space="0" w:color="auto"/>
        <w:left w:val="none" w:sz="0" w:space="0" w:color="auto"/>
        <w:bottom w:val="none" w:sz="0" w:space="0" w:color="auto"/>
        <w:right w:val="none" w:sz="0" w:space="0" w:color="auto"/>
      </w:divBdr>
    </w:div>
    <w:div w:id="629822473">
      <w:bodyDiv w:val="1"/>
      <w:marLeft w:val="0"/>
      <w:marRight w:val="0"/>
      <w:marTop w:val="0"/>
      <w:marBottom w:val="0"/>
      <w:divBdr>
        <w:top w:val="none" w:sz="0" w:space="0" w:color="auto"/>
        <w:left w:val="none" w:sz="0" w:space="0" w:color="auto"/>
        <w:bottom w:val="none" w:sz="0" w:space="0" w:color="auto"/>
        <w:right w:val="none" w:sz="0" w:space="0" w:color="auto"/>
      </w:divBdr>
    </w:div>
    <w:div w:id="647323371">
      <w:bodyDiv w:val="1"/>
      <w:marLeft w:val="0"/>
      <w:marRight w:val="0"/>
      <w:marTop w:val="0"/>
      <w:marBottom w:val="0"/>
      <w:divBdr>
        <w:top w:val="none" w:sz="0" w:space="0" w:color="auto"/>
        <w:left w:val="none" w:sz="0" w:space="0" w:color="auto"/>
        <w:bottom w:val="none" w:sz="0" w:space="0" w:color="auto"/>
        <w:right w:val="none" w:sz="0" w:space="0" w:color="auto"/>
      </w:divBdr>
    </w:div>
    <w:div w:id="681011008">
      <w:bodyDiv w:val="1"/>
      <w:marLeft w:val="0"/>
      <w:marRight w:val="0"/>
      <w:marTop w:val="0"/>
      <w:marBottom w:val="0"/>
      <w:divBdr>
        <w:top w:val="none" w:sz="0" w:space="0" w:color="auto"/>
        <w:left w:val="none" w:sz="0" w:space="0" w:color="auto"/>
        <w:bottom w:val="none" w:sz="0" w:space="0" w:color="auto"/>
        <w:right w:val="none" w:sz="0" w:space="0" w:color="auto"/>
      </w:divBdr>
    </w:div>
    <w:div w:id="682130219">
      <w:bodyDiv w:val="1"/>
      <w:marLeft w:val="0"/>
      <w:marRight w:val="0"/>
      <w:marTop w:val="0"/>
      <w:marBottom w:val="0"/>
      <w:divBdr>
        <w:top w:val="none" w:sz="0" w:space="0" w:color="auto"/>
        <w:left w:val="none" w:sz="0" w:space="0" w:color="auto"/>
        <w:bottom w:val="none" w:sz="0" w:space="0" w:color="auto"/>
        <w:right w:val="none" w:sz="0" w:space="0" w:color="auto"/>
      </w:divBdr>
    </w:div>
    <w:div w:id="690692389">
      <w:bodyDiv w:val="1"/>
      <w:marLeft w:val="0"/>
      <w:marRight w:val="0"/>
      <w:marTop w:val="0"/>
      <w:marBottom w:val="0"/>
      <w:divBdr>
        <w:top w:val="none" w:sz="0" w:space="0" w:color="auto"/>
        <w:left w:val="none" w:sz="0" w:space="0" w:color="auto"/>
        <w:bottom w:val="none" w:sz="0" w:space="0" w:color="auto"/>
        <w:right w:val="none" w:sz="0" w:space="0" w:color="auto"/>
      </w:divBdr>
    </w:div>
    <w:div w:id="697777834">
      <w:bodyDiv w:val="1"/>
      <w:marLeft w:val="0"/>
      <w:marRight w:val="0"/>
      <w:marTop w:val="0"/>
      <w:marBottom w:val="0"/>
      <w:divBdr>
        <w:top w:val="none" w:sz="0" w:space="0" w:color="auto"/>
        <w:left w:val="none" w:sz="0" w:space="0" w:color="auto"/>
        <w:bottom w:val="none" w:sz="0" w:space="0" w:color="auto"/>
        <w:right w:val="none" w:sz="0" w:space="0" w:color="auto"/>
      </w:divBdr>
    </w:div>
    <w:div w:id="700319408">
      <w:bodyDiv w:val="1"/>
      <w:marLeft w:val="0"/>
      <w:marRight w:val="0"/>
      <w:marTop w:val="0"/>
      <w:marBottom w:val="0"/>
      <w:divBdr>
        <w:top w:val="none" w:sz="0" w:space="0" w:color="auto"/>
        <w:left w:val="none" w:sz="0" w:space="0" w:color="auto"/>
        <w:bottom w:val="none" w:sz="0" w:space="0" w:color="auto"/>
        <w:right w:val="none" w:sz="0" w:space="0" w:color="auto"/>
      </w:divBdr>
    </w:div>
    <w:div w:id="707414094">
      <w:bodyDiv w:val="1"/>
      <w:marLeft w:val="0"/>
      <w:marRight w:val="0"/>
      <w:marTop w:val="0"/>
      <w:marBottom w:val="0"/>
      <w:divBdr>
        <w:top w:val="none" w:sz="0" w:space="0" w:color="auto"/>
        <w:left w:val="none" w:sz="0" w:space="0" w:color="auto"/>
        <w:bottom w:val="none" w:sz="0" w:space="0" w:color="auto"/>
        <w:right w:val="none" w:sz="0" w:space="0" w:color="auto"/>
      </w:divBdr>
    </w:div>
    <w:div w:id="743334412">
      <w:bodyDiv w:val="1"/>
      <w:marLeft w:val="0"/>
      <w:marRight w:val="0"/>
      <w:marTop w:val="0"/>
      <w:marBottom w:val="0"/>
      <w:divBdr>
        <w:top w:val="none" w:sz="0" w:space="0" w:color="auto"/>
        <w:left w:val="none" w:sz="0" w:space="0" w:color="auto"/>
        <w:bottom w:val="none" w:sz="0" w:space="0" w:color="auto"/>
        <w:right w:val="none" w:sz="0" w:space="0" w:color="auto"/>
      </w:divBdr>
    </w:div>
    <w:div w:id="773404387">
      <w:bodyDiv w:val="1"/>
      <w:marLeft w:val="0"/>
      <w:marRight w:val="0"/>
      <w:marTop w:val="0"/>
      <w:marBottom w:val="0"/>
      <w:divBdr>
        <w:top w:val="none" w:sz="0" w:space="0" w:color="auto"/>
        <w:left w:val="none" w:sz="0" w:space="0" w:color="auto"/>
        <w:bottom w:val="none" w:sz="0" w:space="0" w:color="auto"/>
        <w:right w:val="none" w:sz="0" w:space="0" w:color="auto"/>
      </w:divBdr>
    </w:div>
    <w:div w:id="796797877">
      <w:bodyDiv w:val="1"/>
      <w:marLeft w:val="0"/>
      <w:marRight w:val="0"/>
      <w:marTop w:val="0"/>
      <w:marBottom w:val="0"/>
      <w:divBdr>
        <w:top w:val="none" w:sz="0" w:space="0" w:color="auto"/>
        <w:left w:val="none" w:sz="0" w:space="0" w:color="auto"/>
        <w:bottom w:val="none" w:sz="0" w:space="0" w:color="auto"/>
        <w:right w:val="none" w:sz="0" w:space="0" w:color="auto"/>
      </w:divBdr>
    </w:div>
    <w:div w:id="806315240">
      <w:bodyDiv w:val="1"/>
      <w:marLeft w:val="0"/>
      <w:marRight w:val="0"/>
      <w:marTop w:val="0"/>
      <w:marBottom w:val="0"/>
      <w:divBdr>
        <w:top w:val="none" w:sz="0" w:space="0" w:color="auto"/>
        <w:left w:val="none" w:sz="0" w:space="0" w:color="auto"/>
        <w:bottom w:val="none" w:sz="0" w:space="0" w:color="auto"/>
        <w:right w:val="none" w:sz="0" w:space="0" w:color="auto"/>
      </w:divBdr>
    </w:div>
    <w:div w:id="816916429">
      <w:bodyDiv w:val="1"/>
      <w:marLeft w:val="0"/>
      <w:marRight w:val="0"/>
      <w:marTop w:val="0"/>
      <w:marBottom w:val="0"/>
      <w:divBdr>
        <w:top w:val="none" w:sz="0" w:space="0" w:color="auto"/>
        <w:left w:val="none" w:sz="0" w:space="0" w:color="auto"/>
        <w:bottom w:val="none" w:sz="0" w:space="0" w:color="auto"/>
        <w:right w:val="none" w:sz="0" w:space="0" w:color="auto"/>
      </w:divBdr>
    </w:div>
    <w:div w:id="842017173">
      <w:bodyDiv w:val="1"/>
      <w:marLeft w:val="0"/>
      <w:marRight w:val="0"/>
      <w:marTop w:val="0"/>
      <w:marBottom w:val="0"/>
      <w:divBdr>
        <w:top w:val="none" w:sz="0" w:space="0" w:color="auto"/>
        <w:left w:val="none" w:sz="0" w:space="0" w:color="auto"/>
        <w:bottom w:val="none" w:sz="0" w:space="0" w:color="auto"/>
        <w:right w:val="none" w:sz="0" w:space="0" w:color="auto"/>
      </w:divBdr>
    </w:div>
    <w:div w:id="852500189">
      <w:bodyDiv w:val="1"/>
      <w:marLeft w:val="0"/>
      <w:marRight w:val="0"/>
      <w:marTop w:val="0"/>
      <w:marBottom w:val="0"/>
      <w:divBdr>
        <w:top w:val="none" w:sz="0" w:space="0" w:color="auto"/>
        <w:left w:val="none" w:sz="0" w:space="0" w:color="auto"/>
        <w:bottom w:val="none" w:sz="0" w:space="0" w:color="auto"/>
        <w:right w:val="none" w:sz="0" w:space="0" w:color="auto"/>
      </w:divBdr>
    </w:div>
    <w:div w:id="852766723">
      <w:bodyDiv w:val="1"/>
      <w:marLeft w:val="0"/>
      <w:marRight w:val="0"/>
      <w:marTop w:val="0"/>
      <w:marBottom w:val="0"/>
      <w:divBdr>
        <w:top w:val="none" w:sz="0" w:space="0" w:color="auto"/>
        <w:left w:val="none" w:sz="0" w:space="0" w:color="auto"/>
        <w:bottom w:val="none" w:sz="0" w:space="0" w:color="auto"/>
        <w:right w:val="none" w:sz="0" w:space="0" w:color="auto"/>
      </w:divBdr>
    </w:div>
    <w:div w:id="902250264">
      <w:bodyDiv w:val="1"/>
      <w:marLeft w:val="0"/>
      <w:marRight w:val="0"/>
      <w:marTop w:val="0"/>
      <w:marBottom w:val="0"/>
      <w:divBdr>
        <w:top w:val="none" w:sz="0" w:space="0" w:color="auto"/>
        <w:left w:val="none" w:sz="0" w:space="0" w:color="auto"/>
        <w:bottom w:val="none" w:sz="0" w:space="0" w:color="auto"/>
        <w:right w:val="none" w:sz="0" w:space="0" w:color="auto"/>
      </w:divBdr>
    </w:div>
    <w:div w:id="904684554">
      <w:bodyDiv w:val="1"/>
      <w:marLeft w:val="0"/>
      <w:marRight w:val="0"/>
      <w:marTop w:val="0"/>
      <w:marBottom w:val="0"/>
      <w:divBdr>
        <w:top w:val="none" w:sz="0" w:space="0" w:color="auto"/>
        <w:left w:val="none" w:sz="0" w:space="0" w:color="auto"/>
        <w:bottom w:val="none" w:sz="0" w:space="0" w:color="auto"/>
        <w:right w:val="none" w:sz="0" w:space="0" w:color="auto"/>
      </w:divBdr>
    </w:div>
    <w:div w:id="923687352">
      <w:bodyDiv w:val="1"/>
      <w:marLeft w:val="0"/>
      <w:marRight w:val="0"/>
      <w:marTop w:val="0"/>
      <w:marBottom w:val="0"/>
      <w:divBdr>
        <w:top w:val="none" w:sz="0" w:space="0" w:color="auto"/>
        <w:left w:val="none" w:sz="0" w:space="0" w:color="auto"/>
        <w:bottom w:val="none" w:sz="0" w:space="0" w:color="auto"/>
        <w:right w:val="none" w:sz="0" w:space="0" w:color="auto"/>
      </w:divBdr>
    </w:div>
    <w:div w:id="927007156">
      <w:bodyDiv w:val="1"/>
      <w:marLeft w:val="0"/>
      <w:marRight w:val="0"/>
      <w:marTop w:val="0"/>
      <w:marBottom w:val="0"/>
      <w:divBdr>
        <w:top w:val="none" w:sz="0" w:space="0" w:color="auto"/>
        <w:left w:val="none" w:sz="0" w:space="0" w:color="auto"/>
        <w:bottom w:val="none" w:sz="0" w:space="0" w:color="auto"/>
        <w:right w:val="none" w:sz="0" w:space="0" w:color="auto"/>
      </w:divBdr>
    </w:div>
    <w:div w:id="937982684">
      <w:bodyDiv w:val="1"/>
      <w:marLeft w:val="0"/>
      <w:marRight w:val="0"/>
      <w:marTop w:val="0"/>
      <w:marBottom w:val="0"/>
      <w:divBdr>
        <w:top w:val="none" w:sz="0" w:space="0" w:color="auto"/>
        <w:left w:val="none" w:sz="0" w:space="0" w:color="auto"/>
        <w:bottom w:val="none" w:sz="0" w:space="0" w:color="auto"/>
        <w:right w:val="none" w:sz="0" w:space="0" w:color="auto"/>
      </w:divBdr>
    </w:div>
    <w:div w:id="939071450">
      <w:bodyDiv w:val="1"/>
      <w:marLeft w:val="0"/>
      <w:marRight w:val="0"/>
      <w:marTop w:val="0"/>
      <w:marBottom w:val="0"/>
      <w:divBdr>
        <w:top w:val="none" w:sz="0" w:space="0" w:color="auto"/>
        <w:left w:val="none" w:sz="0" w:space="0" w:color="auto"/>
        <w:bottom w:val="none" w:sz="0" w:space="0" w:color="auto"/>
        <w:right w:val="none" w:sz="0" w:space="0" w:color="auto"/>
      </w:divBdr>
    </w:div>
    <w:div w:id="946501801">
      <w:bodyDiv w:val="1"/>
      <w:marLeft w:val="0"/>
      <w:marRight w:val="0"/>
      <w:marTop w:val="0"/>
      <w:marBottom w:val="0"/>
      <w:divBdr>
        <w:top w:val="none" w:sz="0" w:space="0" w:color="auto"/>
        <w:left w:val="none" w:sz="0" w:space="0" w:color="auto"/>
        <w:bottom w:val="none" w:sz="0" w:space="0" w:color="auto"/>
        <w:right w:val="none" w:sz="0" w:space="0" w:color="auto"/>
      </w:divBdr>
    </w:div>
    <w:div w:id="955719026">
      <w:bodyDiv w:val="1"/>
      <w:marLeft w:val="0"/>
      <w:marRight w:val="0"/>
      <w:marTop w:val="0"/>
      <w:marBottom w:val="0"/>
      <w:divBdr>
        <w:top w:val="none" w:sz="0" w:space="0" w:color="auto"/>
        <w:left w:val="none" w:sz="0" w:space="0" w:color="auto"/>
        <w:bottom w:val="none" w:sz="0" w:space="0" w:color="auto"/>
        <w:right w:val="none" w:sz="0" w:space="0" w:color="auto"/>
      </w:divBdr>
    </w:div>
    <w:div w:id="969090051">
      <w:bodyDiv w:val="1"/>
      <w:marLeft w:val="0"/>
      <w:marRight w:val="0"/>
      <w:marTop w:val="0"/>
      <w:marBottom w:val="0"/>
      <w:divBdr>
        <w:top w:val="none" w:sz="0" w:space="0" w:color="auto"/>
        <w:left w:val="none" w:sz="0" w:space="0" w:color="auto"/>
        <w:bottom w:val="none" w:sz="0" w:space="0" w:color="auto"/>
        <w:right w:val="none" w:sz="0" w:space="0" w:color="auto"/>
      </w:divBdr>
    </w:div>
    <w:div w:id="974221551">
      <w:bodyDiv w:val="1"/>
      <w:marLeft w:val="0"/>
      <w:marRight w:val="0"/>
      <w:marTop w:val="0"/>
      <w:marBottom w:val="0"/>
      <w:divBdr>
        <w:top w:val="none" w:sz="0" w:space="0" w:color="auto"/>
        <w:left w:val="none" w:sz="0" w:space="0" w:color="auto"/>
        <w:bottom w:val="none" w:sz="0" w:space="0" w:color="auto"/>
        <w:right w:val="none" w:sz="0" w:space="0" w:color="auto"/>
      </w:divBdr>
    </w:div>
    <w:div w:id="974799765">
      <w:bodyDiv w:val="1"/>
      <w:marLeft w:val="0"/>
      <w:marRight w:val="0"/>
      <w:marTop w:val="0"/>
      <w:marBottom w:val="0"/>
      <w:divBdr>
        <w:top w:val="none" w:sz="0" w:space="0" w:color="auto"/>
        <w:left w:val="none" w:sz="0" w:space="0" w:color="auto"/>
        <w:bottom w:val="none" w:sz="0" w:space="0" w:color="auto"/>
        <w:right w:val="none" w:sz="0" w:space="0" w:color="auto"/>
      </w:divBdr>
    </w:div>
    <w:div w:id="974985226">
      <w:bodyDiv w:val="1"/>
      <w:marLeft w:val="0"/>
      <w:marRight w:val="0"/>
      <w:marTop w:val="0"/>
      <w:marBottom w:val="0"/>
      <w:divBdr>
        <w:top w:val="none" w:sz="0" w:space="0" w:color="auto"/>
        <w:left w:val="none" w:sz="0" w:space="0" w:color="auto"/>
        <w:bottom w:val="none" w:sz="0" w:space="0" w:color="auto"/>
        <w:right w:val="none" w:sz="0" w:space="0" w:color="auto"/>
      </w:divBdr>
    </w:div>
    <w:div w:id="992099727">
      <w:bodyDiv w:val="1"/>
      <w:marLeft w:val="0"/>
      <w:marRight w:val="0"/>
      <w:marTop w:val="0"/>
      <w:marBottom w:val="0"/>
      <w:divBdr>
        <w:top w:val="none" w:sz="0" w:space="0" w:color="auto"/>
        <w:left w:val="none" w:sz="0" w:space="0" w:color="auto"/>
        <w:bottom w:val="none" w:sz="0" w:space="0" w:color="auto"/>
        <w:right w:val="none" w:sz="0" w:space="0" w:color="auto"/>
      </w:divBdr>
    </w:div>
    <w:div w:id="1004936982">
      <w:bodyDiv w:val="1"/>
      <w:marLeft w:val="0"/>
      <w:marRight w:val="0"/>
      <w:marTop w:val="0"/>
      <w:marBottom w:val="0"/>
      <w:divBdr>
        <w:top w:val="none" w:sz="0" w:space="0" w:color="auto"/>
        <w:left w:val="none" w:sz="0" w:space="0" w:color="auto"/>
        <w:bottom w:val="none" w:sz="0" w:space="0" w:color="auto"/>
        <w:right w:val="none" w:sz="0" w:space="0" w:color="auto"/>
      </w:divBdr>
    </w:div>
    <w:div w:id="1007170663">
      <w:bodyDiv w:val="1"/>
      <w:marLeft w:val="0"/>
      <w:marRight w:val="0"/>
      <w:marTop w:val="0"/>
      <w:marBottom w:val="0"/>
      <w:divBdr>
        <w:top w:val="none" w:sz="0" w:space="0" w:color="auto"/>
        <w:left w:val="none" w:sz="0" w:space="0" w:color="auto"/>
        <w:bottom w:val="none" w:sz="0" w:space="0" w:color="auto"/>
        <w:right w:val="none" w:sz="0" w:space="0" w:color="auto"/>
      </w:divBdr>
    </w:div>
    <w:div w:id="1025058910">
      <w:bodyDiv w:val="1"/>
      <w:marLeft w:val="0"/>
      <w:marRight w:val="0"/>
      <w:marTop w:val="0"/>
      <w:marBottom w:val="0"/>
      <w:divBdr>
        <w:top w:val="none" w:sz="0" w:space="0" w:color="auto"/>
        <w:left w:val="none" w:sz="0" w:space="0" w:color="auto"/>
        <w:bottom w:val="none" w:sz="0" w:space="0" w:color="auto"/>
        <w:right w:val="none" w:sz="0" w:space="0" w:color="auto"/>
      </w:divBdr>
    </w:div>
    <w:div w:id="1040204685">
      <w:bodyDiv w:val="1"/>
      <w:marLeft w:val="0"/>
      <w:marRight w:val="0"/>
      <w:marTop w:val="0"/>
      <w:marBottom w:val="0"/>
      <w:divBdr>
        <w:top w:val="none" w:sz="0" w:space="0" w:color="auto"/>
        <w:left w:val="none" w:sz="0" w:space="0" w:color="auto"/>
        <w:bottom w:val="none" w:sz="0" w:space="0" w:color="auto"/>
        <w:right w:val="none" w:sz="0" w:space="0" w:color="auto"/>
      </w:divBdr>
    </w:div>
    <w:div w:id="1081953708">
      <w:bodyDiv w:val="1"/>
      <w:marLeft w:val="0"/>
      <w:marRight w:val="0"/>
      <w:marTop w:val="0"/>
      <w:marBottom w:val="0"/>
      <w:divBdr>
        <w:top w:val="none" w:sz="0" w:space="0" w:color="auto"/>
        <w:left w:val="none" w:sz="0" w:space="0" w:color="auto"/>
        <w:bottom w:val="none" w:sz="0" w:space="0" w:color="auto"/>
        <w:right w:val="none" w:sz="0" w:space="0" w:color="auto"/>
      </w:divBdr>
    </w:div>
    <w:div w:id="1086609979">
      <w:bodyDiv w:val="1"/>
      <w:marLeft w:val="0"/>
      <w:marRight w:val="0"/>
      <w:marTop w:val="0"/>
      <w:marBottom w:val="0"/>
      <w:divBdr>
        <w:top w:val="none" w:sz="0" w:space="0" w:color="auto"/>
        <w:left w:val="none" w:sz="0" w:space="0" w:color="auto"/>
        <w:bottom w:val="none" w:sz="0" w:space="0" w:color="auto"/>
        <w:right w:val="none" w:sz="0" w:space="0" w:color="auto"/>
      </w:divBdr>
    </w:div>
    <w:div w:id="1100181054">
      <w:bodyDiv w:val="1"/>
      <w:marLeft w:val="0"/>
      <w:marRight w:val="0"/>
      <w:marTop w:val="0"/>
      <w:marBottom w:val="0"/>
      <w:divBdr>
        <w:top w:val="none" w:sz="0" w:space="0" w:color="auto"/>
        <w:left w:val="none" w:sz="0" w:space="0" w:color="auto"/>
        <w:bottom w:val="none" w:sz="0" w:space="0" w:color="auto"/>
        <w:right w:val="none" w:sz="0" w:space="0" w:color="auto"/>
      </w:divBdr>
    </w:div>
    <w:div w:id="1105270073">
      <w:bodyDiv w:val="1"/>
      <w:marLeft w:val="0"/>
      <w:marRight w:val="0"/>
      <w:marTop w:val="0"/>
      <w:marBottom w:val="0"/>
      <w:divBdr>
        <w:top w:val="none" w:sz="0" w:space="0" w:color="auto"/>
        <w:left w:val="none" w:sz="0" w:space="0" w:color="auto"/>
        <w:bottom w:val="none" w:sz="0" w:space="0" w:color="auto"/>
        <w:right w:val="none" w:sz="0" w:space="0" w:color="auto"/>
      </w:divBdr>
    </w:div>
    <w:div w:id="1112171722">
      <w:bodyDiv w:val="1"/>
      <w:marLeft w:val="0"/>
      <w:marRight w:val="0"/>
      <w:marTop w:val="0"/>
      <w:marBottom w:val="0"/>
      <w:divBdr>
        <w:top w:val="none" w:sz="0" w:space="0" w:color="auto"/>
        <w:left w:val="none" w:sz="0" w:space="0" w:color="auto"/>
        <w:bottom w:val="none" w:sz="0" w:space="0" w:color="auto"/>
        <w:right w:val="none" w:sz="0" w:space="0" w:color="auto"/>
      </w:divBdr>
    </w:div>
    <w:div w:id="1146627161">
      <w:bodyDiv w:val="1"/>
      <w:marLeft w:val="0"/>
      <w:marRight w:val="0"/>
      <w:marTop w:val="0"/>
      <w:marBottom w:val="0"/>
      <w:divBdr>
        <w:top w:val="none" w:sz="0" w:space="0" w:color="auto"/>
        <w:left w:val="none" w:sz="0" w:space="0" w:color="auto"/>
        <w:bottom w:val="none" w:sz="0" w:space="0" w:color="auto"/>
        <w:right w:val="none" w:sz="0" w:space="0" w:color="auto"/>
      </w:divBdr>
    </w:div>
    <w:div w:id="1150367676">
      <w:bodyDiv w:val="1"/>
      <w:marLeft w:val="0"/>
      <w:marRight w:val="0"/>
      <w:marTop w:val="0"/>
      <w:marBottom w:val="0"/>
      <w:divBdr>
        <w:top w:val="none" w:sz="0" w:space="0" w:color="auto"/>
        <w:left w:val="none" w:sz="0" w:space="0" w:color="auto"/>
        <w:bottom w:val="none" w:sz="0" w:space="0" w:color="auto"/>
        <w:right w:val="none" w:sz="0" w:space="0" w:color="auto"/>
      </w:divBdr>
    </w:div>
    <w:div w:id="1164779723">
      <w:bodyDiv w:val="1"/>
      <w:marLeft w:val="0"/>
      <w:marRight w:val="0"/>
      <w:marTop w:val="0"/>
      <w:marBottom w:val="0"/>
      <w:divBdr>
        <w:top w:val="none" w:sz="0" w:space="0" w:color="auto"/>
        <w:left w:val="none" w:sz="0" w:space="0" w:color="auto"/>
        <w:bottom w:val="none" w:sz="0" w:space="0" w:color="auto"/>
        <w:right w:val="none" w:sz="0" w:space="0" w:color="auto"/>
      </w:divBdr>
    </w:div>
    <w:div w:id="1168986016">
      <w:bodyDiv w:val="1"/>
      <w:marLeft w:val="0"/>
      <w:marRight w:val="0"/>
      <w:marTop w:val="0"/>
      <w:marBottom w:val="0"/>
      <w:divBdr>
        <w:top w:val="none" w:sz="0" w:space="0" w:color="auto"/>
        <w:left w:val="none" w:sz="0" w:space="0" w:color="auto"/>
        <w:bottom w:val="none" w:sz="0" w:space="0" w:color="auto"/>
        <w:right w:val="none" w:sz="0" w:space="0" w:color="auto"/>
      </w:divBdr>
    </w:div>
    <w:div w:id="1222132879">
      <w:bodyDiv w:val="1"/>
      <w:marLeft w:val="0"/>
      <w:marRight w:val="0"/>
      <w:marTop w:val="0"/>
      <w:marBottom w:val="0"/>
      <w:divBdr>
        <w:top w:val="none" w:sz="0" w:space="0" w:color="auto"/>
        <w:left w:val="none" w:sz="0" w:space="0" w:color="auto"/>
        <w:bottom w:val="none" w:sz="0" w:space="0" w:color="auto"/>
        <w:right w:val="none" w:sz="0" w:space="0" w:color="auto"/>
      </w:divBdr>
    </w:div>
    <w:div w:id="1227493756">
      <w:bodyDiv w:val="1"/>
      <w:marLeft w:val="0"/>
      <w:marRight w:val="0"/>
      <w:marTop w:val="0"/>
      <w:marBottom w:val="0"/>
      <w:divBdr>
        <w:top w:val="none" w:sz="0" w:space="0" w:color="auto"/>
        <w:left w:val="none" w:sz="0" w:space="0" w:color="auto"/>
        <w:bottom w:val="none" w:sz="0" w:space="0" w:color="auto"/>
        <w:right w:val="none" w:sz="0" w:space="0" w:color="auto"/>
      </w:divBdr>
    </w:div>
    <w:div w:id="1232621884">
      <w:bodyDiv w:val="1"/>
      <w:marLeft w:val="0"/>
      <w:marRight w:val="0"/>
      <w:marTop w:val="0"/>
      <w:marBottom w:val="0"/>
      <w:divBdr>
        <w:top w:val="none" w:sz="0" w:space="0" w:color="auto"/>
        <w:left w:val="none" w:sz="0" w:space="0" w:color="auto"/>
        <w:bottom w:val="none" w:sz="0" w:space="0" w:color="auto"/>
        <w:right w:val="none" w:sz="0" w:space="0" w:color="auto"/>
      </w:divBdr>
    </w:div>
    <w:div w:id="1250043629">
      <w:bodyDiv w:val="1"/>
      <w:marLeft w:val="0"/>
      <w:marRight w:val="0"/>
      <w:marTop w:val="0"/>
      <w:marBottom w:val="0"/>
      <w:divBdr>
        <w:top w:val="none" w:sz="0" w:space="0" w:color="auto"/>
        <w:left w:val="none" w:sz="0" w:space="0" w:color="auto"/>
        <w:bottom w:val="none" w:sz="0" w:space="0" w:color="auto"/>
        <w:right w:val="none" w:sz="0" w:space="0" w:color="auto"/>
      </w:divBdr>
    </w:div>
    <w:div w:id="1258709833">
      <w:bodyDiv w:val="1"/>
      <w:marLeft w:val="0"/>
      <w:marRight w:val="0"/>
      <w:marTop w:val="0"/>
      <w:marBottom w:val="0"/>
      <w:divBdr>
        <w:top w:val="none" w:sz="0" w:space="0" w:color="auto"/>
        <w:left w:val="none" w:sz="0" w:space="0" w:color="auto"/>
        <w:bottom w:val="none" w:sz="0" w:space="0" w:color="auto"/>
        <w:right w:val="none" w:sz="0" w:space="0" w:color="auto"/>
      </w:divBdr>
    </w:div>
    <w:div w:id="1261989669">
      <w:bodyDiv w:val="1"/>
      <w:marLeft w:val="0"/>
      <w:marRight w:val="0"/>
      <w:marTop w:val="0"/>
      <w:marBottom w:val="0"/>
      <w:divBdr>
        <w:top w:val="none" w:sz="0" w:space="0" w:color="auto"/>
        <w:left w:val="none" w:sz="0" w:space="0" w:color="auto"/>
        <w:bottom w:val="none" w:sz="0" w:space="0" w:color="auto"/>
        <w:right w:val="none" w:sz="0" w:space="0" w:color="auto"/>
      </w:divBdr>
    </w:div>
    <w:div w:id="1263954704">
      <w:bodyDiv w:val="1"/>
      <w:marLeft w:val="0"/>
      <w:marRight w:val="0"/>
      <w:marTop w:val="0"/>
      <w:marBottom w:val="0"/>
      <w:divBdr>
        <w:top w:val="none" w:sz="0" w:space="0" w:color="auto"/>
        <w:left w:val="none" w:sz="0" w:space="0" w:color="auto"/>
        <w:bottom w:val="none" w:sz="0" w:space="0" w:color="auto"/>
        <w:right w:val="none" w:sz="0" w:space="0" w:color="auto"/>
      </w:divBdr>
    </w:div>
    <w:div w:id="1285620815">
      <w:bodyDiv w:val="1"/>
      <w:marLeft w:val="0"/>
      <w:marRight w:val="0"/>
      <w:marTop w:val="0"/>
      <w:marBottom w:val="0"/>
      <w:divBdr>
        <w:top w:val="none" w:sz="0" w:space="0" w:color="auto"/>
        <w:left w:val="none" w:sz="0" w:space="0" w:color="auto"/>
        <w:bottom w:val="none" w:sz="0" w:space="0" w:color="auto"/>
        <w:right w:val="none" w:sz="0" w:space="0" w:color="auto"/>
      </w:divBdr>
    </w:div>
    <w:div w:id="1291939018">
      <w:bodyDiv w:val="1"/>
      <w:marLeft w:val="0"/>
      <w:marRight w:val="0"/>
      <w:marTop w:val="0"/>
      <w:marBottom w:val="0"/>
      <w:divBdr>
        <w:top w:val="none" w:sz="0" w:space="0" w:color="auto"/>
        <w:left w:val="none" w:sz="0" w:space="0" w:color="auto"/>
        <w:bottom w:val="none" w:sz="0" w:space="0" w:color="auto"/>
        <w:right w:val="none" w:sz="0" w:space="0" w:color="auto"/>
      </w:divBdr>
    </w:div>
    <w:div w:id="1330133882">
      <w:bodyDiv w:val="1"/>
      <w:marLeft w:val="0"/>
      <w:marRight w:val="0"/>
      <w:marTop w:val="0"/>
      <w:marBottom w:val="0"/>
      <w:divBdr>
        <w:top w:val="none" w:sz="0" w:space="0" w:color="auto"/>
        <w:left w:val="none" w:sz="0" w:space="0" w:color="auto"/>
        <w:bottom w:val="none" w:sz="0" w:space="0" w:color="auto"/>
        <w:right w:val="none" w:sz="0" w:space="0" w:color="auto"/>
      </w:divBdr>
    </w:div>
    <w:div w:id="1344362038">
      <w:bodyDiv w:val="1"/>
      <w:marLeft w:val="0"/>
      <w:marRight w:val="0"/>
      <w:marTop w:val="0"/>
      <w:marBottom w:val="0"/>
      <w:divBdr>
        <w:top w:val="none" w:sz="0" w:space="0" w:color="auto"/>
        <w:left w:val="none" w:sz="0" w:space="0" w:color="auto"/>
        <w:bottom w:val="none" w:sz="0" w:space="0" w:color="auto"/>
        <w:right w:val="none" w:sz="0" w:space="0" w:color="auto"/>
      </w:divBdr>
    </w:div>
    <w:div w:id="1426001537">
      <w:bodyDiv w:val="1"/>
      <w:marLeft w:val="0"/>
      <w:marRight w:val="0"/>
      <w:marTop w:val="0"/>
      <w:marBottom w:val="0"/>
      <w:divBdr>
        <w:top w:val="none" w:sz="0" w:space="0" w:color="auto"/>
        <w:left w:val="none" w:sz="0" w:space="0" w:color="auto"/>
        <w:bottom w:val="none" w:sz="0" w:space="0" w:color="auto"/>
        <w:right w:val="none" w:sz="0" w:space="0" w:color="auto"/>
      </w:divBdr>
    </w:div>
    <w:div w:id="1440444239">
      <w:bodyDiv w:val="1"/>
      <w:marLeft w:val="0"/>
      <w:marRight w:val="0"/>
      <w:marTop w:val="0"/>
      <w:marBottom w:val="0"/>
      <w:divBdr>
        <w:top w:val="none" w:sz="0" w:space="0" w:color="auto"/>
        <w:left w:val="none" w:sz="0" w:space="0" w:color="auto"/>
        <w:bottom w:val="none" w:sz="0" w:space="0" w:color="auto"/>
        <w:right w:val="none" w:sz="0" w:space="0" w:color="auto"/>
      </w:divBdr>
    </w:div>
    <w:div w:id="1459105782">
      <w:bodyDiv w:val="1"/>
      <w:marLeft w:val="0"/>
      <w:marRight w:val="0"/>
      <w:marTop w:val="0"/>
      <w:marBottom w:val="0"/>
      <w:divBdr>
        <w:top w:val="none" w:sz="0" w:space="0" w:color="auto"/>
        <w:left w:val="none" w:sz="0" w:space="0" w:color="auto"/>
        <w:bottom w:val="none" w:sz="0" w:space="0" w:color="auto"/>
        <w:right w:val="none" w:sz="0" w:space="0" w:color="auto"/>
      </w:divBdr>
    </w:div>
    <w:div w:id="1488012228">
      <w:bodyDiv w:val="1"/>
      <w:marLeft w:val="0"/>
      <w:marRight w:val="0"/>
      <w:marTop w:val="0"/>
      <w:marBottom w:val="0"/>
      <w:divBdr>
        <w:top w:val="none" w:sz="0" w:space="0" w:color="auto"/>
        <w:left w:val="none" w:sz="0" w:space="0" w:color="auto"/>
        <w:bottom w:val="none" w:sz="0" w:space="0" w:color="auto"/>
        <w:right w:val="none" w:sz="0" w:space="0" w:color="auto"/>
      </w:divBdr>
    </w:div>
    <w:div w:id="1512136887">
      <w:bodyDiv w:val="1"/>
      <w:marLeft w:val="0"/>
      <w:marRight w:val="0"/>
      <w:marTop w:val="0"/>
      <w:marBottom w:val="0"/>
      <w:divBdr>
        <w:top w:val="none" w:sz="0" w:space="0" w:color="auto"/>
        <w:left w:val="none" w:sz="0" w:space="0" w:color="auto"/>
        <w:bottom w:val="none" w:sz="0" w:space="0" w:color="auto"/>
        <w:right w:val="none" w:sz="0" w:space="0" w:color="auto"/>
      </w:divBdr>
    </w:div>
    <w:div w:id="1515341785">
      <w:bodyDiv w:val="1"/>
      <w:marLeft w:val="0"/>
      <w:marRight w:val="0"/>
      <w:marTop w:val="0"/>
      <w:marBottom w:val="0"/>
      <w:divBdr>
        <w:top w:val="none" w:sz="0" w:space="0" w:color="auto"/>
        <w:left w:val="none" w:sz="0" w:space="0" w:color="auto"/>
        <w:bottom w:val="none" w:sz="0" w:space="0" w:color="auto"/>
        <w:right w:val="none" w:sz="0" w:space="0" w:color="auto"/>
      </w:divBdr>
    </w:div>
    <w:div w:id="1533032948">
      <w:bodyDiv w:val="1"/>
      <w:marLeft w:val="0"/>
      <w:marRight w:val="0"/>
      <w:marTop w:val="0"/>
      <w:marBottom w:val="0"/>
      <w:divBdr>
        <w:top w:val="none" w:sz="0" w:space="0" w:color="auto"/>
        <w:left w:val="none" w:sz="0" w:space="0" w:color="auto"/>
        <w:bottom w:val="none" w:sz="0" w:space="0" w:color="auto"/>
        <w:right w:val="none" w:sz="0" w:space="0" w:color="auto"/>
      </w:divBdr>
    </w:div>
    <w:div w:id="1536313557">
      <w:bodyDiv w:val="1"/>
      <w:marLeft w:val="0"/>
      <w:marRight w:val="0"/>
      <w:marTop w:val="0"/>
      <w:marBottom w:val="0"/>
      <w:divBdr>
        <w:top w:val="none" w:sz="0" w:space="0" w:color="auto"/>
        <w:left w:val="none" w:sz="0" w:space="0" w:color="auto"/>
        <w:bottom w:val="none" w:sz="0" w:space="0" w:color="auto"/>
        <w:right w:val="none" w:sz="0" w:space="0" w:color="auto"/>
      </w:divBdr>
    </w:div>
    <w:div w:id="1547717370">
      <w:bodyDiv w:val="1"/>
      <w:marLeft w:val="0"/>
      <w:marRight w:val="0"/>
      <w:marTop w:val="0"/>
      <w:marBottom w:val="0"/>
      <w:divBdr>
        <w:top w:val="none" w:sz="0" w:space="0" w:color="auto"/>
        <w:left w:val="none" w:sz="0" w:space="0" w:color="auto"/>
        <w:bottom w:val="none" w:sz="0" w:space="0" w:color="auto"/>
        <w:right w:val="none" w:sz="0" w:space="0" w:color="auto"/>
      </w:divBdr>
    </w:div>
    <w:div w:id="1569993370">
      <w:bodyDiv w:val="1"/>
      <w:marLeft w:val="0"/>
      <w:marRight w:val="0"/>
      <w:marTop w:val="0"/>
      <w:marBottom w:val="0"/>
      <w:divBdr>
        <w:top w:val="none" w:sz="0" w:space="0" w:color="auto"/>
        <w:left w:val="none" w:sz="0" w:space="0" w:color="auto"/>
        <w:bottom w:val="none" w:sz="0" w:space="0" w:color="auto"/>
        <w:right w:val="none" w:sz="0" w:space="0" w:color="auto"/>
      </w:divBdr>
    </w:div>
    <w:div w:id="1573925392">
      <w:bodyDiv w:val="1"/>
      <w:marLeft w:val="0"/>
      <w:marRight w:val="0"/>
      <w:marTop w:val="0"/>
      <w:marBottom w:val="0"/>
      <w:divBdr>
        <w:top w:val="none" w:sz="0" w:space="0" w:color="auto"/>
        <w:left w:val="none" w:sz="0" w:space="0" w:color="auto"/>
        <w:bottom w:val="none" w:sz="0" w:space="0" w:color="auto"/>
        <w:right w:val="none" w:sz="0" w:space="0" w:color="auto"/>
      </w:divBdr>
    </w:div>
    <w:div w:id="1585993401">
      <w:bodyDiv w:val="1"/>
      <w:marLeft w:val="0"/>
      <w:marRight w:val="0"/>
      <w:marTop w:val="0"/>
      <w:marBottom w:val="0"/>
      <w:divBdr>
        <w:top w:val="none" w:sz="0" w:space="0" w:color="auto"/>
        <w:left w:val="none" w:sz="0" w:space="0" w:color="auto"/>
        <w:bottom w:val="none" w:sz="0" w:space="0" w:color="auto"/>
        <w:right w:val="none" w:sz="0" w:space="0" w:color="auto"/>
      </w:divBdr>
    </w:div>
    <w:div w:id="1589383170">
      <w:bodyDiv w:val="1"/>
      <w:marLeft w:val="0"/>
      <w:marRight w:val="0"/>
      <w:marTop w:val="0"/>
      <w:marBottom w:val="0"/>
      <w:divBdr>
        <w:top w:val="none" w:sz="0" w:space="0" w:color="auto"/>
        <w:left w:val="none" w:sz="0" w:space="0" w:color="auto"/>
        <w:bottom w:val="none" w:sz="0" w:space="0" w:color="auto"/>
        <w:right w:val="none" w:sz="0" w:space="0" w:color="auto"/>
      </w:divBdr>
    </w:div>
    <w:div w:id="1594630768">
      <w:bodyDiv w:val="1"/>
      <w:marLeft w:val="0"/>
      <w:marRight w:val="0"/>
      <w:marTop w:val="0"/>
      <w:marBottom w:val="0"/>
      <w:divBdr>
        <w:top w:val="none" w:sz="0" w:space="0" w:color="auto"/>
        <w:left w:val="none" w:sz="0" w:space="0" w:color="auto"/>
        <w:bottom w:val="none" w:sz="0" w:space="0" w:color="auto"/>
        <w:right w:val="none" w:sz="0" w:space="0" w:color="auto"/>
      </w:divBdr>
    </w:div>
    <w:div w:id="1632444812">
      <w:bodyDiv w:val="1"/>
      <w:marLeft w:val="0"/>
      <w:marRight w:val="0"/>
      <w:marTop w:val="0"/>
      <w:marBottom w:val="0"/>
      <w:divBdr>
        <w:top w:val="none" w:sz="0" w:space="0" w:color="auto"/>
        <w:left w:val="none" w:sz="0" w:space="0" w:color="auto"/>
        <w:bottom w:val="none" w:sz="0" w:space="0" w:color="auto"/>
        <w:right w:val="none" w:sz="0" w:space="0" w:color="auto"/>
      </w:divBdr>
    </w:div>
    <w:div w:id="1640039214">
      <w:bodyDiv w:val="1"/>
      <w:marLeft w:val="0"/>
      <w:marRight w:val="0"/>
      <w:marTop w:val="0"/>
      <w:marBottom w:val="0"/>
      <w:divBdr>
        <w:top w:val="none" w:sz="0" w:space="0" w:color="auto"/>
        <w:left w:val="none" w:sz="0" w:space="0" w:color="auto"/>
        <w:bottom w:val="none" w:sz="0" w:space="0" w:color="auto"/>
        <w:right w:val="none" w:sz="0" w:space="0" w:color="auto"/>
      </w:divBdr>
    </w:div>
    <w:div w:id="1646467499">
      <w:bodyDiv w:val="1"/>
      <w:marLeft w:val="0"/>
      <w:marRight w:val="0"/>
      <w:marTop w:val="0"/>
      <w:marBottom w:val="0"/>
      <w:divBdr>
        <w:top w:val="none" w:sz="0" w:space="0" w:color="auto"/>
        <w:left w:val="none" w:sz="0" w:space="0" w:color="auto"/>
        <w:bottom w:val="none" w:sz="0" w:space="0" w:color="auto"/>
        <w:right w:val="none" w:sz="0" w:space="0" w:color="auto"/>
      </w:divBdr>
    </w:div>
    <w:div w:id="1669553025">
      <w:bodyDiv w:val="1"/>
      <w:marLeft w:val="0"/>
      <w:marRight w:val="0"/>
      <w:marTop w:val="0"/>
      <w:marBottom w:val="0"/>
      <w:divBdr>
        <w:top w:val="none" w:sz="0" w:space="0" w:color="auto"/>
        <w:left w:val="none" w:sz="0" w:space="0" w:color="auto"/>
        <w:bottom w:val="none" w:sz="0" w:space="0" w:color="auto"/>
        <w:right w:val="none" w:sz="0" w:space="0" w:color="auto"/>
      </w:divBdr>
    </w:div>
    <w:div w:id="1715471586">
      <w:bodyDiv w:val="1"/>
      <w:marLeft w:val="0"/>
      <w:marRight w:val="0"/>
      <w:marTop w:val="0"/>
      <w:marBottom w:val="0"/>
      <w:divBdr>
        <w:top w:val="none" w:sz="0" w:space="0" w:color="auto"/>
        <w:left w:val="none" w:sz="0" w:space="0" w:color="auto"/>
        <w:bottom w:val="none" w:sz="0" w:space="0" w:color="auto"/>
        <w:right w:val="none" w:sz="0" w:space="0" w:color="auto"/>
      </w:divBdr>
    </w:div>
    <w:div w:id="1720976863">
      <w:bodyDiv w:val="1"/>
      <w:marLeft w:val="0"/>
      <w:marRight w:val="0"/>
      <w:marTop w:val="0"/>
      <w:marBottom w:val="0"/>
      <w:divBdr>
        <w:top w:val="none" w:sz="0" w:space="0" w:color="auto"/>
        <w:left w:val="none" w:sz="0" w:space="0" w:color="auto"/>
        <w:bottom w:val="none" w:sz="0" w:space="0" w:color="auto"/>
        <w:right w:val="none" w:sz="0" w:space="0" w:color="auto"/>
      </w:divBdr>
    </w:div>
    <w:div w:id="1758213833">
      <w:bodyDiv w:val="1"/>
      <w:marLeft w:val="0"/>
      <w:marRight w:val="0"/>
      <w:marTop w:val="0"/>
      <w:marBottom w:val="0"/>
      <w:divBdr>
        <w:top w:val="none" w:sz="0" w:space="0" w:color="auto"/>
        <w:left w:val="none" w:sz="0" w:space="0" w:color="auto"/>
        <w:bottom w:val="none" w:sz="0" w:space="0" w:color="auto"/>
        <w:right w:val="none" w:sz="0" w:space="0" w:color="auto"/>
      </w:divBdr>
    </w:div>
    <w:div w:id="1774740768">
      <w:bodyDiv w:val="1"/>
      <w:marLeft w:val="0"/>
      <w:marRight w:val="0"/>
      <w:marTop w:val="0"/>
      <w:marBottom w:val="0"/>
      <w:divBdr>
        <w:top w:val="none" w:sz="0" w:space="0" w:color="auto"/>
        <w:left w:val="none" w:sz="0" w:space="0" w:color="auto"/>
        <w:bottom w:val="none" w:sz="0" w:space="0" w:color="auto"/>
        <w:right w:val="none" w:sz="0" w:space="0" w:color="auto"/>
      </w:divBdr>
    </w:div>
    <w:div w:id="1804543218">
      <w:bodyDiv w:val="1"/>
      <w:marLeft w:val="0"/>
      <w:marRight w:val="0"/>
      <w:marTop w:val="0"/>
      <w:marBottom w:val="0"/>
      <w:divBdr>
        <w:top w:val="none" w:sz="0" w:space="0" w:color="auto"/>
        <w:left w:val="none" w:sz="0" w:space="0" w:color="auto"/>
        <w:bottom w:val="none" w:sz="0" w:space="0" w:color="auto"/>
        <w:right w:val="none" w:sz="0" w:space="0" w:color="auto"/>
      </w:divBdr>
    </w:div>
    <w:div w:id="1806728437">
      <w:bodyDiv w:val="1"/>
      <w:marLeft w:val="0"/>
      <w:marRight w:val="0"/>
      <w:marTop w:val="0"/>
      <w:marBottom w:val="0"/>
      <w:divBdr>
        <w:top w:val="none" w:sz="0" w:space="0" w:color="auto"/>
        <w:left w:val="none" w:sz="0" w:space="0" w:color="auto"/>
        <w:bottom w:val="none" w:sz="0" w:space="0" w:color="auto"/>
        <w:right w:val="none" w:sz="0" w:space="0" w:color="auto"/>
      </w:divBdr>
    </w:div>
    <w:div w:id="1812403217">
      <w:bodyDiv w:val="1"/>
      <w:marLeft w:val="0"/>
      <w:marRight w:val="0"/>
      <w:marTop w:val="0"/>
      <w:marBottom w:val="0"/>
      <w:divBdr>
        <w:top w:val="none" w:sz="0" w:space="0" w:color="auto"/>
        <w:left w:val="none" w:sz="0" w:space="0" w:color="auto"/>
        <w:bottom w:val="none" w:sz="0" w:space="0" w:color="auto"/>
        <w:right w:val="none" w:sz="0" w:space="0" w:color="auto"/>
      </w:divBdr>
    </w:div>
    <w:div w:id="1820996480">
      <w:bodyDiv w:val="1"/>
      <w:marLeft w:val="0"/>
      <w:marRight w:val="0"/>
      <w:marTop w:val="0"/>
      <w:marBottom w:val="0"/>
      <w:divBdr>
        <w:top w:val="none" w:sz="0" w:space="0" w:color="auto"/>
        <w:left w:val="none" w:sz="0" w:space="0" w:color="auto"/>
        <w:bottom w:val="none" w:sz="0" w:space="0" w:color="auto"/>
        <w:right w:val="none" w:sz="0" w:space="0" w:color="auto"/>
      </w:divBdr>
    </w:div>
    <w:div w:id="1828284913">
      <w:bodyDiv w:val="1"/>
      <w:marLeft w:val="0"/>
      <w:marRight w:val="0"/>
      <w:marTop w:val="0"/>
      <w:marBottom w:val="0"/>
      <w:divBdr>
        <w:top w:val="none" w:sz="0" w:space="0" w:color="auto"/>
        <w:left w:val="none" w:sz="0" w:space="0" w:color="auto"/>
        <w:bottom w:val="none" w:sz="0" w:space="0" w:color="auto"/>
        <w:right w:val="none" w:sz="0" w:space="0" w:color="auto"/>
      </w:divBdr>
    </w:div>
    <w:div w:id="1831024046">
      <w:bodyDiv w:val="1"/>
      <w:marLeft w:val="0"/>
      <w:marRight w:val="0"/>
      <w:marTop w:val="0"/>
      <w:marBottom w:val="0"/>
      <w:divBdr>
        <w:top w:val="none" w:sz="0" w:space="0" w:color="auto"/>
        <w:left w:val="none" w:sz="0" w:space="0" w:color="auto"/>
        <w:bottom w:val="none" w:sz="0" w:space="0" w:color="auto"/>
        <w:right w:val="none" w:sz="0" w:space="0" w:color="auto"/>
      </w:divBdr>
    </w:div>
    <w:div w:id="1836142397">
      <w:bodyDiv w:val="1"/>
      <w:marLeft w:val="0"/>
      <w:marRight w:val="0"/>
      <w:marTop w:val="0"/>
      <w:marBottom w:val="0"/>
      <w:divBdr>
        <w:top w:val="none" w:sz="0" w:space="0" w:color="auto"/>
        <w:left w:val="none" w:sz="0" w:space="0" w:color="auto"/>
        <w:bottom w:val="none" w:sz="0" w:space="0" w:color="auto"/>
        <w:right w:val="none" w:sz="0" w:space="0" w:color="auto"/>
      </w:divBdr>
    </w:div>
    <w:div w:id="1896895640">
      <w:bodyDiv w:val="1"/>
      <w:marLeft w:val="0"/>
      <w:marRight w:val="0"/>
      <w:marTop w:val="0"/>
      <w:marBottom w:val="0"/>
      <w:divBdr>
        <w:top w:val="none" w:sz="0" w:space="0" w:color="auto"/>
        <w:left w:val="none" w:sz="0" w:space="0" w:color="auto"/>
        <w:bottom w:val="none" w:sz="0" w:space="0" w:color="auto"/>
        <w:right w:val="none" w:sz="0" w:space="0" w:color="auto"/>
      </w:divBdr>
    </w:div>
    <w:div w:id="1916672010">
      <w:bodyDiv w:val="1"/>
      <w:marLeft w:val="0"/>
      <w:marRight w:val="0"/>
      <w:marTop w:val="0"/>
      <w:marBottom w:val="0"/>
      <w:divBdr>
        <w:top w:val="none" w:sz="0" w:space="0" w:color="auto"/>
        <w:left w:val="none" w:sz="0" w:space="0" w:color="auto"/>
        <w:bottom w:val="none" w:sz="0" w:space="0" w:color="auto"/>
        <w:right w:val="none" w:sz="0" w:space="0" w:color="auto"/>
      </w:divBdr>
    </w:div>
    <w:div w:id="1949698536">
      <w:bodyDiv w:val="1"/>
      <w:marLeft w:val="0"/>
      <w:marRight w:val="0"/>
      <w:marTop w:val="0"/>
      <w:marBottom w:val="0"/>
      <w:divBdr>
        <w:top w:val="none" w:sz="0" w:space="0" w:color="auto"/>
        <w:left w:val="none" w:sz="0" w:space="0" w:color="auto"/>
        <w:bottom w:val="none" w:sz="0" w:space="0" w:color="auto"/>
        <w:right w:val="none" w:sz="0" w:space="0" w:color="auto"/>
      </w:divBdr>
    </w:div>
    <w:div w:id="1999267903">
      <w:bodyDiv w:val="1"/>
      <w:marLeft w:val="0"/>
      <w:marRight w:val="0"/>
      <w:marTop w:val="0"/>
      <w:marBottom w:val="0"/>
      <w:divBdr>
        <w:top w:val="none" w:sz="0" w:space="0" w:color="auto"/>
        <w:left w:val="none" w:sz="0" w:space="0" w:color="auto"/>
        <w:bottom w:val="none" w:sz="0" w:space="0" w:color="auto"/>
        <w:right w:val="none" w:sz="0" w:space="0" w:color="auto"/>
      </w:divBdr>
    </w:div>
    <w:div w:id="2032801317">
      <w:bodyDiv w:val="1"/>
      <w:marLeft w:val="0"/>
      <w:marRight w:val="0"/>
      <w:marTop w:val="0"/>
      <w:marBottom w:val="0"/>
      <w:divBdr>
        <w:top w:val="none" w:sz="0" w:space="0" w:color="auto"/>
        <w:left w:val="none" w:sz="0" w:space="0" w:color="auto"/>
        <w:bottom w:val="none" w:sz="0" w:space="0" w:color="auto"/>
        <w:right w:val="none" w:sz="0" w:space="0" w:color="auto"/>
      </w:divBdr>
    </w:div>
    <w:div w:id="2074962770">
      <w:bodyDiv w:val="1"/>
      <w:marLeft w:val="0"/>
      <w:marRight w:val="0"/>
      <w:marTop w:val="0"/>
      <w:marBottom w:val="0"/>
      <w:divBdr>
        <w:top w:val="none" w:sz="0" w:space="0" w:color="auto"/>
        <w:left w:val="none" w:sz="0" w:space="0" w:color="auto"/>
        <w:bottom w:val="none" w:sz="0" w:space="0" w:color="auto"/>
        <w:right w:val="none" w:sz="0" w:space="0" w:color="auto"/>
      </w:divBdr>
    </w:div>
    <w:div w:id="2107965787">
      <w:bodyDiv w:val="1"/>
      <w:marLeft w:val="0"/>
      <w:marRight w:val="0"/>
      <w:marTop w:val="0"/>
      <w:marBottom w:val="0"/>
      <w:divBdr>
        <w:top w:val="none" w:sz="0" w:space="0" w:color="auto"/>
        <w:left w:val="none" w:sz="0" w:space="0" w:color="auto"/>
        <w:bottom w:val="none" w:sz="0" w:space="0" w:color="auto"/>
        <w:right w:val="none" w:sz="0" w:space="0" w:color="auto"/>
      </w:divBdr>
    </w:div>
    <w:div w:id="2122216534">
      <w:bodyDiv w:val="1"/>
      <w:marLeft w:val="0"/>
      <w:marRight w:val="0"/>
      <w:marTop w:val="0"/>
      <w:marBottom w:val="0"/>
      <w:divBdr>
        <w:top w:val="none" w:sz="0" w:space="0" w:color="auto"/>
        <w:left w:val="none" w:sz="0" w:space="0" w:color="auto"/>
        <w:bottom w:val="none" w:sz="0" w:space="0" w:color="auto"/>
        <w:right w:val="none" w:sz="0" w:space="0" w:color="auto"/>
      </w:divBdr>
    </w:div>
    <w:div w:id="21227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hart" Target="charts/chart7.xml"/><Relationship Id="rId26" Type="http://schemas.openxmlformats.org/officeDocument/2006/relationships/hyperlink" Target="http://www.mhsr.sk/poskytovanie-energetickej-sluzby/145697s" TargetMode="Externa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yperlink" Target="http://www.sepsas.sk/seps/Dokumenty/ProgRozvoj/2016/03/DPR_PS_2016_2025.pdf" TargetMode="External"/><Relationship Id="rId10" Type="http://schemas.openxmlformats.org/officeDocument/2006/relationships/chart" Target="charts/chart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yperlink" Target="http://www.mhsr.sk/poskytovanie-energetickej-sluzby/145697s"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tibrany\Desktop\Plnenie%20cielov.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oleObject" Target="file:///\\SIEABB\DokumentySIEA\Sekcia_EC\OMEE\3AP\3_AP_podklady_z_rezortov\RS2016_4AP_SPOLU_ver31_01_2017_final.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file:///\\SIEABB\DokumentySIEA\Sekcia_EC\OMEE\3AP\3_AP_podklady_z_rezortov\RS2016_4AP_SPOLU_ver31_01_2017_final.xlsx"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file:///\\SIEABB\DokumentySIEA\Sekcia_EC\OMEE\3AP\3_AP_podklady_z_rezortov\RS2016_4AP_SPOLU_ver31_01_2017_final.xlsx"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oleObject" Target="file:///\\SIEABB\DokumentySIEA\Sekcia_EC\OMEE\3AP\3_AP_podklady_z_rezortov\RS2016_4AP_SPOLU_ver31_01_2017_final.xlsx"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H_rok_programu_Microsoft_Excel.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SIEABB\DokumentySIEA\Sekcia_EC\OMEE\3AP\3_AP_podklady_z_rezortov\RS2016_4AP_SPOLU_ver31_01_2017_final.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SIEABB\DokumentySIEA\Sekcia_EC\OMEE\3AP\3_AP_podklady_z_rezortov\RS2016_4AP_SPOLU_ver31_01_2017_final.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SIEABB\DokumentySIEA\Sekcia_EC\OMEE\3AP\3_AP_podklady_z_rezortov\RS2016_4AP_SPOLU_ver31_01_2017_final.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SIEABB\DokumentySIEA\Sekcia_EC\OMEE\3AP\3_AP_podklady_z_rezortov\RS2016_4AP_SPOLU_ver31_01_2017_final.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SIEABB\DokumentySIEA\Sekcia_EC\OMEE\3AP\3_AP_podklady_z_rezortov\RS2016_4AP_SPOLU_ver31_01_2017_final.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SIEABB\DokumentySIEA\Sekcia_EC\OMEE\3AP\3_AP_podklady_z_rezortov\RS2016_4AP_SPOLU_ver31_01_2017_final.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SIEABB\DokumentySIEA\Sekcia_EC\OMEE\3AP\3_AP_podklady_z_rezortov\RS2016_4AP_SPOLU_ver31_01_2017_final.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SIEABB\DokumentySIEA\Sekcia_EC\OMEE\3AP\3_AP_podklady_z_rezortov\RS2016_4AP_SPOLU_ver31_01_2017_final.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'[Plnenie cielov.xlsx]budovy'!$A$4</c:f>
              <c:strCache>
                <c:ptCount val="1"/>
                <c:pt idx="0">
                  <c:v>Stanovený cieľ</c:v>
                </c:pt>
              </c:strCache>
            </c:strRef>
          </c:tx>
          <c:spPr>
            <a:ln w="28575" cap="rnd">
              <a:solidFill>
                <a:schemeClr val="accent1"/>
              </a:solidFill>
              <a:round/>
            </a:ln>
            <a:effectLst/>
          </c:spPr>
          <c:marker>
            <c:symbol val="none"/>
          </c:marker>
          <c:cat>
            <c:numRef>
              <c:f>'[Plnenie cielov.xlsx]budovy'!$B$3:$H$3</c:f>
              <c:numCache>
                <c:formatCode>General</c:formatCode>
                <c:ptCount val="7"/>
                <c:pt idx="0">
                  <c:v>2014</c:v>
                </c:pt>
                <c:pt idx="1">
                  <c:v>2015</c:v>
                </c:pt>
                <c:pt idx="2">
                  <c:v>2016</c:v>
                </c:pt>
                <c:pt idx="3">
                  <c:v>2017</c:v>
                </c:pt>
                <c:pt idx="4">
                  <c:v>2018</c:v>
                </c:pt>
                <c:pt idx="5">
                  <c:v>2019</c:v>
                </c:pt>
                <c:pt idx="6">
                  <c:v>2020</c:v>
                </c:pt>
              </c:numCache>
            </c:numRef>
          </c:cat>
          <c:val>
            <c:numRef>
              <c:f>'[Plnenie cielov.xlsx]budovy'!$B$4:$H$4</c:f>
              <c:numCache>
                <c:formatCode>General</c:formatCode>
                <c:ptCount val="7"/>
                <c:pt idx="0">
                  <c:v>52.17</c:v>
                </c:pt>
                <c:pt idx="1">
                  <c:v>104.34</c:v>
                </c:pt>
                <c:pt idx="2">
                  <c:v>156.51</c:v>
                </c:pt>
                <c:pt idx="3">
                  <c:v>208.68</c:v>
                </c:pt>
                <c:pt idx="4">
                  <c:v>260.85000000000002</c:v>
                </c:pt>
                <c:pt idx="5">
                  <c:v>313.02000000000004</c:v>
                </c:pt>
                <c:pt idx="6">
                  <c:v>365.19000000000005</c:v>
                </c:pt>
              </c:numCache>
            </c:numRef>
          </c:val>
          <c:smooth val="0"/>
          <c:extLst>
            <c:ext xmlns:c16="http://schemas.microsoft.com/office/drawing/2014/chart" uri="{C3380CC4-5D6E-409C-BE32-E72D297353CC}">
              <c16:uniqueId val="{00000000-28C2-44B1-83FA-C9B9436BC2B4}"/>
            </c:ext>
          </c:extLst>
        </c:ser>
        <c:ser>
          <c:idx val="1"/>
          <c:order val="1"/>
          <c:tx>
            <c:strRef>
              <c:f>'[Plnenie cielov.xlsx]budovy'!$A$5</c:f>
              <c:strCache>
                <c:ptCount val="1"/>
                <c:pt idx="0">
                  <c:v>Plnenie</c:v>
                </c:pt>
              </c:strCache>
            </c:strRef>
          </c:tx>
          <c:spPr>
            <a:ln w="28575" cap="rnd">
              <a:solidFill>
                <a:schemeClr val="accent2"/>
              </a:solidFill>
              <a:round/>
            </a:ln>
            <a:effectLst/>
          </c:spPr>
          <c:marker>
            <c:symbol val="none"/>
          </c:marker>
          <c:cat>
            <c:numRef>
              <c:f>'[Plnenie cielov.xlsx]budovy'!$B$3:$H$3</c:f>
              <c:numCache>
                <c:formatCode>General</c:formatCode>
                <c:ptCount val="7"/>
                <c:pt idx="0">
                  <c:v>2014</c:v>
                </c:pt>
                <c:pt idx="1">
                  <c:v>2015</c:v>
                </c:pt>
                <c:pt idx="2">
                  <c:v>2016</c:v>
                </c:pt>
                <c:pt idx="3">
                  <c:v>2017</c:v>
                </c:pt>
                <c:pt idx="4">
                  <c:v>2018</c:v>
                </c:pt>
                <c:pt idx="5">
                  <c:v>2019</c:v>
                </c:pt>
                <c:pt idx="6">
                  <c:v>2020</c:v>
                </c:pt>
              </c:numCache>
            </c:numRef>
          </c:cat>
          <c:val>
            <c:numRef>
              <c:f>'[Plnenie cielov.xlsx]budovy'!$B$5:$H$5</c:f>
              <c:numCache>
                <c:formatCode>General</c:formatCode>
                <c:ptCount val="7"/>
                <c:pt idx="0">
                  <c:v>0.85</c:v>
                </c:pt>
                <c:pt idx="1">
                  <c:v>54.980000000000004</c:v>
                </c:pt>
                <c:pt idx="2">
                  <c:v>78</c:v>
                </c:pt>
              </c:numCache>
            </c:numRef>
          </c:val>
          <c:smooth val="0"/>
          <c:extLst>
            <c:ext xmlns:c16="http://schemas.microsoft.com/office/drawing/2014/chart" uri="{C3380CC4-5D6E-409C-BE32-E72D297353CC}">
              <c16:uniqueId val="{00000001-28C2-44B1-83FA-C9B9436BC2B4}"/>
            </c:ext>
          </c:extLst>
        </c:ser>
        <c:dLbls>
          <c:showLegendKey val="0"/>
          <c:showVal val="0"/>
          <c:showCatName val="0"/>
          <c:showSerName val="0"/>
          <c:showPercent val="0"/>
          <c:showBubbleSize val="0"/>
        </c:dLbls>
        <c:smooth val="0"/>
        <c:axId val="291375536"/>
        <c:axId val="292967728"/>
      </c:lineChart>
      <c:catAx>
        <c:axId val="29137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92967728"/>
        <c:crosses val="autoZero"/>
        <c:auto val="1"/>
        <c:lblAlgn val="ctr"/>
        <c:lblOffset val="100"/>
        <c:noMultiLvlLbl val="0"/>
      </c:catAx>
      <c:valAx>
        <c:axId val="292967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GWh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91375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58622601752249"/>
          <c:y val="9.9457986751462973E-2"/>
          <c:w val="0.43829234837120529"/>
          <c:h val="0.78939436308779165"/>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52B-4FED-84E7-9F843CCCEF1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52B-4FED-84E7-9F843CCCEF1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52B-4FED-84E7-9F843CCCEF1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52B-4FED-84E7-9F843CCCEF1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52B-4FED-84E7-9F843CCCEF1F}"/>
              </c:ext>
            </c:extLst>
          </c:dPt>
          <c:dLbls>
            <c:dLbl>
              <c:idx val="0"/>
              <c:layout>
                <c:manualLayout>
                  <c:x val="-3.4140424811613154E-2"/>
                  <c:y val="0.23411162389748011"/>
                </c:manualLayout>
              </c:layout>
              <c:tx>
                <c:rich>
                  <a:bodyPr/>
                  <a:lstStyle/>
                  <a:p>
                    <a:fld id="{6BA4FD20-8B5A-40EB-BE35-067C8B3D6E0A}" type="PERCENTAGE">
                      <a:rPr lang="en-US" b="1"/>
                      <a:pPr/>
                      <a:t>[PERCENTO]</a:t>
                    </a:fld>
                    <a:endParaRPr lang="sk-SK"/>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52B-4FED-84E7-9F843CCCEF1F}"/>
                </c:ext>
              </c:extLst>
            </c:dLbl>
            <c:dLbl>
              <c:idx val="1"/>
              <c:layout>
                <c:manualLayout>
                  <c:x val="-6.2814683375845629E-3"/>
                  <c:y val="0.13904523616790873"/>
                </c:manualLayout>
              </c:layout>
              <c:tx>
                <c:rich>
                  <a:bodyPr/>
                  <a:lstStyle/>
                  <a:p>
                    <a:fld id="{5690F36E-22FE-4866-9681-69B3B4DDBE85}" type="PERCENTAGE">
                      <a:rPr lang="en-US" b="1"/>
                      <a:pPr/>
                      <a:t>[PERCENTO]</a:t>
                    </a:fld>
                    <a:endParaRPr lang="sk-SK"/>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52B-4FED-84E7-9F843CCCEF1F}"/>
                </c:ext>
              </c:extLst>
            </c:dLbl>
            <c:dLbl>
              <c:idx val="2"/>
              <c:layout>
                <c:manualLayout>
                  <c:x val="-7.2624224418204222E-2"/>
                  <c:y val="2.4016483920818309E-2"/>
                </c:manualLayout>
              </c:layout>
              <c:tx>
                <c:rich>
                  <a:bodyPr/>
                  <a:lstStyle/>
                  <a:p>
                    <a:fld id="{BA62BCB7-F0E0-45B8-BEE8-A92766AFBE15}" type="PERCENTAGE">
                      <a:rPr lang="en-US" b="1" i="0"/>
                      <a:pPr/>
                      <a:t>[PERCENTO]</a:t>
                    </a:fld>
                    <a:endParaRPr lang="sk-SK"/>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52B-4FED-84E7-9F843CCCEF1F}"/>
                </c:ext>
              </c:extLst>
            </c:dLbl>
            <c:dLbl>
              <c:idx val="3"/>
              <c:layout>
                <c:manualLayout>
                  <c:x val="-2.3641425844749393E-2"/>
                  <c:y val="2.4246501897543181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52B-4FED-84E7-9F843CCCEF1F}"/>
                </c:ext>
              </c:extLst>
            </c:dLbl>
            <c:dLbl>
              <c:idx val="4"/>
              <c:layout>
                <c:manualLayout>
                  <c:x val="0.10474600608207887"/>
                  <c:y val="3.956140996394142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52B-4FED-84E7-9F843CCCEF1F}"/>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SPOLU_3AP!$O$6:$O$10</c:f>
              <c:strCache>
                <c:ptCount val="5"/>
                <c:pt idx="0">
                  <c:v>Budovy </c:v>
                </c:pt>
                <c:pt idx="1">
                  <c:v>Priemysel </c:v>
                </c:pt>
                <c:pt idx="2">
                  <c:v>Verejný sektor </c:v>
                </c:pt>
                <c:pt idx="3">
                  <c:v>Doprava </c:v>
                </c:pt>
                <c:pt idx="4">
                  <c:v>Spotrebiče </c:v>
                </c:pt>
              </c:strCache>
            </c:strRef>
          </c:cat>
          <c:val>
            <c:numRef>
              <c:f>SPOLU_3AP!$P$6:$P$10</c:f>
              <c:numCache>
                <c:formatCode>#,##0.00</c:formatCode>
                <c:ptCount val="5"/>
                <c:pt idx="0">
                  <c:v>5050.8149108796115</c:v>
                </c:pt>
                <c:pt idx="1">
                  <c:v>2772.0369840000003</c:v>
                </c:pt>
                <c:pt idx="2">
                  <c:v>776.30646282365456</c:v>
                </c:pt>
                <c:pt idx="3">
                  <c:v>896.51626609678362</c:v>
                </c:pt>
                <c:pt idx="4">
                  <c:v>569.770486592</c:v>
                </c:pt>
              </c:numCache>
            </c:numRef>
          </c:val>
          <c:extLst>
            <c:ext xmlns:c16="http://schemas.microsoft.com/office/drawing/2014/chart" uri="{C3380CC4-5D6E-409C-BE32-E72D297353CC}">
              <c16:uniqueId val="{0000000A-052B-4FED-84E7-9F843CCCEF1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6451229548863855"/>
          <c:y val="0.27701523290897051"/>
          <c:w val="0.31737991980061053"/>
          <c:h val="0.377969175942213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503759398496244"/>
          <c:y val="9.7875825333265276E-2"/>
          <c:w val="0.37876482544945039"/>
          <c:h val="0.7840579266113136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FD5-49EE-8CC4-F7A7C2AF8A5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FD5-49EE-8CC4-F7A7C2AF8A5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FD5-49EE-8CC4-F7A7C2AF8A5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FD5-49EE-8CC4-F7A7C2AF8A53}"/>
              </c:ext>
            </c:extLst>
          </c:dPt>
          <c:dLbls>
            <c:dLbl>
              <c:idx val="0"/>
              <c:layout>
                <c:manualLayout>
                  <c:x val="5.6222445878475719E-2"/>
                  <c:y val="-1.813821910393499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FD5-49EE-8CC4-F7A7C2AF8A53}"/>
                </c:ext>
              </c:extLst>
            </c:dLbl>
            <c:dLbl>
              <c:idx val="1"/>
              <c:layout>
                <c:manualLayout>
                  <c:x val="3.5822232747222384E-2"/>
                  <c:y val="-0.1071683160227539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FD5-49EE-8CC4-F7A7C2AF8A53}"/>
                </c:ext>
              </c:extLst>
            </c:dLbl>
            <c:dLbl>
              <c:idx val="2"/>
              <c:layout>
                <c:manualLayout>
                  <c:x val="2.9970793124543642E-2"/>
                  <c:y val="9.5627929777260326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FD5-49EE-8CC4-F7A7C2AF8A53}"/>
                </c:ext>
              </c:extLst>
            </c:dLbl>
            <c:dLbl>
              <c:idx val="3"/>
              <c:layout>
                <c:manualLayout>
                  <c:x val="-8.1867069247922961E-2"/>
                  <c:y val="1.636365493223843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FD5-49EE-8CC4-F7A7C2AF8A53}"/>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k-SK"/>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SPOLU_3AP!$K$30:$K$33</c:f>
              <c:strCache>
                <c:ptCount val="4"/>
                <c:pt idx="0">
                  <c:v>ŠF (všetky operačné programy)</c:v>
                </c:pt>
                <c:pt idx="1">
                  <c:v>Zahraničné fondy a rozpočet SR</c:v>
                </c:pt>
                <c:pt idx="2">
                  <c:v>Energetické služby</c:v>
                </c:pt>
                <c:pt idx="3">
                  <c:v>Vlastné zdroje</c:v>
                </c:pt>
              </c:strCache>
            </c:strRef>
          </c:cat>
          <c:val>
            <c:numRef>
              <c:f>SPOLU_3AP!$L$30:$L$33</c:f>
              <c:numCache>
                <c:formatCode>#,##0.00</c:formatCode>
                <c:ptCount val="4"/>
                <c:pt idx="0">
                  <c:v>1983.4355931883206</c:v>
                </c:pt>
                <c:pt idx="1">
                  <c:v>804.76592106583814</c:v>
                </c:pt>
                <c:pt idx="2">
                  <c:v>139.27265560000001</c:v>
                </c:pt>
                <c:pt idx="3">
                  <c:v>7137.9709405378926</c:v>
                </c:pt>
              </c:numCache>
            </c:numRef>
          </c:val>
          <c:extLst>
            <c:ext xmlns:c16="http://schemas.microsoft.com/office/drawing/2014/chart" uri="{C3380CC4-5D6E-409C-BE32-E72D297353CC}">
              <c16:uniqueId val="{00000008-BFD5-49EE-8CC4-F7A7C2AF8A53}"/>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5525861898841586"/>
          <c:y val="0.22651102464332037"/>
          <c:w val="0.27634291413818973"/>
          <c:h val="0.484659396654916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336805010927418"/>
          <c:y val="0.12130594331446275"/>
          <c:w val="0.39410588616661957"/>
          <c:h val="0.694992347268066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F17-4468-8A99-AC68C224E1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F17-4468-8A99-AC68C224E15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F17-4468-8A99-AC68C224E15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F17-4468-8A99-AC68C224E154}"/>
              </c:ext>
            </c:extLst>
          </c:dPt>
          <c:dLbls>
            <c:dLbl>
              <c:idx val="0"/>
              <c:layout>
                <c:manualLayout>
                  <c:x val="1.9366732544886071E-2"/>
                  <c:y val="-5.338730199708643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F17-4468-8A99-AC68C224E154}"/>
                </c:ext>
              </c:extLst>
            </c:dLbl>
            <c:dLbl>
              <c:idx val="1"/>
              <c:layout>
                <c:manualLayout>
                  <c:x val="3.3409041001348935E-2"/>
                  <c:y val="-2.951815449298345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F17-4468-8A99-AC68C224E154}"/>
                </c:ext>
              </c:extLst>
            </c:dLbl>
            <c:dLbl>
              <c:idx val="2"/>
              <c:layout>
                <c:manualLayout>
                  <c:x val="5.8433771475776684E-2"/>
                  <c:y val="4.194397831418605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F17-4468-8A99-AC68C224E154}"/>
                </c:ext>
              </c:extLst>
            </c:dLbl>
            <c:dLbl>
              <c:idx val="3"/>
              <c:layout>
                <c:manualLayout>
                  <c:x val="-4.6066861164266816E-2"/>
                  <c:y val="-2.0443674048940604E-2"/>
                </c:manualLayout>
              </c:layout>
              <c:numFmt formatCode="0.00%" sourceLinked="0"/>
              <c:spPr>
                <a:noFill/>
                <a:ln>
                  <a:noFill/>
                </a:ln>
                <a:effectLst/>
              </c:spPr>
              <c:txPr>
                <a:bodyPr rot="0" spcFirstLastPara="1" vertOverflow="ellipsis" vert="horz" wrap="square" lIns="38100" tIns="19050" rIns="38100" bIns="19050" anchor="ctr" anchorCtr="0">
                  <a:spAutoFit/>
                </a:bodyPr>
                <a:lstStyle/>
                <a:p>
                  <a:pPr algn="ctr">
                    <a:defRPr sz="900" b="1" i="0" u="none" strike="noStrike" kern="1200" baseline="0">
                      <a:solidFill>
                        <a:schemeClr val="tx1">
                          <a:lumMod val="75000"/>
                          <a:lumOff val="25000"/>
                        </a:schemeClr>
                      </a:solidFill>
                      <a:latin typeface="+mn-lt"/>
                      <a:ea typeface="+mn-ea"/>
                      <a:cs typeface="+mn-cs"/>
                    </a:defRPr>
                  </a:pPr>
                  <a:endParaRPr lang="sk-SK"/>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F17-4468-8A99-AC68C224E154}"/>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k-SK"/>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'RS2015 TJ'!$K$30:$K$33</c:f>
              <c:strCache>
                <c:ptCount val="4"/>
                <c:pt idx="0">
                  <c:v>ŠF (všetky operačné programy)</c:v>
                </c:pt>
                <c:pt idx="1">
                  <c:v>Zahraničné fondy a rozpočet SR</c:v>
                </c:pt>
                <c:pt idx="2">
                  <c:v>Energetické služby</c:v>
                </c:pt>
                <c:pt idx="3">
                  <c:v>Vlastné zdroje</c:v>
                </c:pt>
              </c:strCache>
            </c:strRef>
          </c:cat>
          <c:val>
            <c:numRef>
              <c:f>'RS2015 TJ'!$L$30:$L$33</c:f>
              <c:numCache>
                <c:formatCode>#,##0.00</c:formatCode>
                <c:ptCount val="4"/>
                <c:pt idx="0">
                  <c:v>1511.1089436403201</c:v>
                </c:pt>
                <c:pt idx="1">
                  <c:v>390.82476880830347</c:v>
                </c:pt>
                <c:pt idx="2">
                  <c:v>33.4895256</c:v>
                </c:pt>
                <c:pt idx="3">
                  <c:v>2770.8821383419604</c:v>
                </c:pt>
              </c:numCache>
            </c:numRef>
          </c:val>
          <c:extLst>
            <c:ext xmlns:c16="http://schemas.microsoft.com/office/drawing/2014/chart" uri="{C3380CC4-5D6E-409C-BE32-E72D297353CC}">
              <c16:uniqueId val="{00000008-8F17-4468-8A99-AC68C224E154}"/>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6442555238364132"/>
          <c:y val="0.24134872485201644"/>
          <c:w val="0.30598613420334408"/>
          <c:h val="0.503567407196780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79F-4643-8D96-A568C1ACEB8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79F-4643-8D96-A568C1ACEB8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79F-4643-8D96-A568C1ACEB8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79F-4643-8D96-A568C1ACEB8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79F-4643-8D96-A568C1ACEB85}"/>
              </c:ext>
            </c:extLst>
          </c:dPt>
          <c:dLbls>
            <c:dLbl>
              <c:idx val="0"/>
              <c:layout>
                <c:manualLayout>
                  <c:x val="-3.2570672518394218E-2"/>
                  <c:y val="-6.589293107121181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79F-4643-8D96-A568C1ACEB85}"/>
                </c:ext>
              </c:extLst>
            </c:dLbl>
            <c:dLbl>
              <c:idx val="1"/>
              <c:layout>
                <c:manualLayout>
                  <c:x val="0.19925928316337507"/>
                  <c:y val="9.6493872416023637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79F-4643-8D96-A568C1ACEB85}"/>
                </c:ext>
              </c:extLst>
            </c:dLbl>
            <c:dLbl>
              <c:idx val="2"/>
              <c:layout>
                <c:manualLayout>
                  <c:x val="-1.1370638096467425E-2"/>
                  <c:y val="-1.3372562732874317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79F-4643-8D96-A568C1ACEB85}"/>
                </c:ext>
              </c:extLst>
            </c:dLbl>
            <c:dLbl>
              <c:idx val="3"/>
              <c:layout>
                <c:manualLayout>
                  <c:x val="-1.1620304634051891E-2"/>
                  <c:y val="2.600595675923357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79F-4643-8D96-A568C1ACEB85}"/>
                </c:ext>
              </c:extLst>
            </c:dLbl>
            <c:dLbl>
              <c:idx val="4"/>
              <c:layout>
                <c:manualLayout>
                  <c:x val="-3.247450626048793E-2"/>
                  <c:y val="1.042915194559331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79F-4643-8D96-A568C1ACEB85}"/>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k-SK"/>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'4AP realny  v 2016'!$U$8:$U$12</c:f>
              <c:strCache>
                <c:ptCount val="5"/>
                <c:pt idx="0">
                  <c:v>Budovy </c:v>
                </c:pt>
                <c:pt idx="1">
                  <c:v>Priemysel </c:v>
                </c:pt>
                <c:pt idx="2">
                  <c:v>Verejný sektor </c:v>
                </c:pt>
                <c:pt idx="3">
                  <c:v>Doprava </c:v>
                </c:pt>
                <c:pt idx="4">
                  <c:v>Spotrebiče </c:v>
                </c:pt>
              </c:strCache>
            </c:strRef>
          </c:cat>
          <c:val>
            <c:numRef>
              <c:f>'4AP realny  v 2016'!$V$8:$V$12</c:f>
              <c:numCache>
                <c:formatCode>#,##0</c:formatCode>
                <c:ptCount val="5"/>
                <c:pt idx="0">
                  <c:v>4279.9414208889275</c:v>
                </c:pt>
                <c:pt idx="1">
                  <c:v>6491.7536285283331</c:v>
                </c:pt>
                <c:pt idx="2">
                  <c:v>1706.1347847724069</c:v>
                </c:pt>
                <c:pt idx="3">
                  <c:v>1148.8900000000001</c:v>
                </c:pt>
                <c:pt idx="4">
                  <c:v>902.17791631360012</c:v>
                </c:pt>
              </c:numCache>
            </c:numRef>
          </c:val>
          <c:extLst>
            <c:ext xmlns:c16="http://schemas.microsoft.com/office/drawing/2014/chart" uri="{C3380CC4-5D6E-409C-BE32-E72D297353CC}">
              <c16:uniqueId val="{0000000A-A79F-4643-8D96-A568C1ACEB8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4448582246891282"/>
          <c:y val="0.14816172480736997"/>
          <c:w val="0.21867862828621829"/>
          <c:h val="0.601710659061951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67088855885897"/>
          <c:y val="0.13710495525408722"/>
          <c:w val="0.36113909696379232"/>
          <c:h val="0.6181999125109360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04F-4FC8-A66E-B05BA816E21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04F-4FC8-A66E-B05BA816E21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04F-4FC8-A66E-B05BA816E21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04F-4FC8-A66E-B05BA816E21E}"/>
              </c:ext>
            </c:extLst>
          </c:dPt>
          <c:dLbls>
            <c:dLbl>
              <c:idx val="0"/>
              <c:layout>
                <c:manualLayout>
                  <c:x val="-3.4627401976282696E-2"/>
                  <c:y val="0.2282574143689391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04F-4FC8-A66E-B05BA816E21E}"/>
                </c:ext>
              </c:extLst>
            </c:dLbl>
            <c:dLbl>
              <c:idx val="1"/>
              <c:layout>
                <c:manualLayout>
                  <c:x val="2.3603980668764398E-2"/>
                  <c:y val="4.262939247607557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04F-4FC8-A66E-B05BA816E21E}"/>
                </c:ext>
              </c:extLst>
            </c:dLbl>
            <c:dLbl>
              <c:idx val="2"/>
              <c:layout>
                <c:manualLayout>
                  <c:x val="-3.621184063273164E-2"/>
                  <c:y val="1.690527780901181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04F-4FC8-A66E-B05BA816E21E}"/>
                </c:ext>
              </c:extLst>
            </c:dLbl>
            <c:dLbl>
              <c:idx val="3"/>
              <c:layout>
                <c:manualLayout>
                  <c:x val="-5.6914730782935116E-2"/>
                  <c:y val="-5.3209626295748153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04F-4FC8-A66E-B05BA816E21E}"/>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'4AP realny  v 2016'!$Q$60:$Q$63</c:f>
              <c:strCache>
                <c:ptCount val="4"/>
                <c:pt idx="0">
                  <c:v>ŠF (všetky operačné programy)</c:v>
                </c:pt>
                <c:pt idx="1">
                  <c:v>Zahraničné fondy a rozpočet SR</c:v>
                </c:pt>
                <c:pt idx="2">
                  <c:v>Energetické služby</c:v>
                </c:pt>
                <c:pt idx="3">
                  <c:v>Vlastné zdroje</c:v>
                </c:pt>
              </c:strCache>
            </c:strRef>
          </c:cat>
          <c:val>
            <c:numRef>
              <c:f>'4AP realny  v 2016'!$R$60:$R$63</c:f>
              <c:numCache>
                <c:formatCode>#,##0</c:formatCode>
                <c:ptCount val="4"/>
                <c:pt idx="0">
                  <c:v>9520.058916528933</c:v>
                </c:pt>
                <c:pt idx="1">
                  <c:v>976.33718181700931</c:v>
                </c:pt>
                <c:pt idx="2">
                  <c:v>204.26787859393943</c:v>
                </c:pt>
                <c:pt idx="3">
                  <c:v>6110.3099163136003</c:v>
                </c:pt>
              </c:numCache>
            </c:numRef>
          </c:val>
          <c:extLst>
            <c:ext xmlns:c16="http://schemas.microsoft.com/office/drawing/2014/chart" uri="{C3380CC4-5D6E-409C-BE32-E72D297353CC}">
              <c16:uniqueId val="{00000008-904F-4FC8-A66E-B05BA816E21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6628015804074314"/>
          <c:y val="0.22721879644562501"/>
          <c:w val="0.33164345560007846"/>
          <c:h val="0.411670444563402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sk-SK" cap="none" baseline="0"/>
              <a:t>Predikcia vývoja kumulovaných úspor energie (GW</a:t>
            </a:r>
            <a:r>
              <a:rPr lang="en-US" cap="none" baseline="0"/>
              <a:t>h</a:t>
            </a:r>
            <a:r>
              <a:rPr lang="sk-SK" cap="none" baseline="0"/>
              <a:t>)</a:t>
            </a:r>
          </a:p>
        </c:rich>
      </c:tx>
      <c:layout>
        <c:manualLayout>
          <c:xMode val="edge"/>
          <c:yMode val="edge"/>
          <c:x val="0.10683189092913085"/>
          <c:y val="2.0502306509482315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sk-SK"/>
        </a:p>
      </c:txPr>
    </c:title>
    <c:autoTitleDeleted val="0"/>
    <c:plotArea>
      <c:layout/>
      <c:lineChart>
        <c:grouping val="standard"/>
        <c:varyColors val="0"/>
        <c:ser>
          <c:idx val="1"/>
          <c:order val="1"/>
          <c:tx>
            <c:v>aktualizovaný plán plnenia cieľa</c:v>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Pt>
            <c:idx val="1"/>
            <c:marker>
              <c:symbol val="square"/>
              <c:size val="6"/>
              <c:spPr>
                <a:solidFill>
                  <a:schemeClr val="accent2"/>
                </a:solidFill>
                <a:ln w="9525">
                  <a:solidFill>
                    <a:schemeClr val="accent2"/>
                  </a:solidFill>
                  <a:round/>
                </a:ln>
                <a:effectLst/>
              </c:spPr>
            </c:marker>
            <c:bubble3D val="0"/>
            <c:extLst>
              <c:ext xmlns:c16="http://schemas.microsoft.com/office/drawing/2014/chart" uri="{C3380CC4-5D6E-409C-BE32-E72D297353CC}">
                <c16:uniqueId val="{00000000-319F-49D0-ABBD-35CECD6628C6}"/>
              </c:ext>
            </c:extLst>
          </c:dPt>
          <c:dLbls>
            <c:dLbl>
              <c:idx val="0"/>
              <c:layout>
                <c:manualLayout>
                  <c:x val="3.598200899550225E-4"/>
                  <c:y val="1.77777777777776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F1-4FC8-A6F6-92E4422A6FF7}"/>
                </c:ext>
              </c:extLst>
            </c:dLbl>
            <c:dLbl>
              <c:idx val="1"/>
              <c:layout>
                <c:manualLayout>
                  <c:x val="-2.1989005497251375E-3"/>
                  <c:y val="2.66666666666666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9F-49D0-ABBD-35CECD6628C6}"/>
                </c:ext>
              </c:extLst>
            </c:dLbl>
            <c:dLbl>
              <c:idx val="2"/>
              <c:layout>
                <c:manualLayout>
                  <c:x val="-1.2193903048475762E-2"/>
                  <c:y val="3.77777777777777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F1-4FC8-A6F6-92E4422A6FF7}"/>
                </c:ext>
              </c:extLst>
            </c:dLbl>
            <c:dLbl>
              <c:idx val="3"/>
              <c:layout>
                <c:manualLayout>
                  <c:x val="-6.1969015492253877E-3"/>
                  <c:y val="3.77777777777777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F1-4FC8-A6F6-92E4422A6FF7}"/>
                </c:ext>
              </c:extLst>
            </c:dLbl>
            <c:dLbl>
              <c:idx val="4"/>
              <c:layout>
                <c:manualLayout>
                  <c:x val="-4.0179910044977438E-2"/>
                  <c:y val="4.66666666666666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0F1-4FC8-A6F6-92E4422A6FF7}"/>
                </c:ext>
              </c:extLst>
            </c:dLbl>
            <c:dLbl>
              <c:idx val="5"/>
              <c:layout>
                <c:manualLayout>
                  <c:x val="-5.4172913543228389E-2"/>
                  <c:y val="5.33333333333332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0F1-4FC8-A6F6-92E4422A6FF7}"/>
                </c:ext>
              </c:extLst>
            </c:dLbl>
            <c:dLbl>
              <c:idx val="6"/>
              <c:layout>
                <c:manualLayout>
                  <c:x val="-4.2378967996316803E-2"/>
                  <c:y val="4.44444444444444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0F1-4FC8-A6F6-92E4422A6FF7}"/>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Lit>
              <c:formatCode>General</c:formatCode>
              <c:ptCount val="7"/>
              <c:pt idx="0">
                <c:v>2014</c:v>
              </c:pt>
              <c:pt idx="1">
                <c:v>2015</c:v>
              </c:pt>
              <c:pt idx="2">
                <c:v>2016</c:v>
              </c:pt>
              <c:pt idx="3">
                <c:v>2017</c:v>
              </c:pt>
              <c:pt idx="4">
                <c:v>2018</c:v>
              </c:pt>
              <c:pt idx="5">
                <c:v>2019</c:v>
              </c:pt>
              <c:pt idx="6">
                <c:v>2020</c:v>
              </c:pt>
            </c:numLit>
          </c:cat>
          <c:val>
            <c:numRef>
              <c:f>'prepocet ciela 2020'!$C$28:$I$28</c:f>
              <c:numCache>
                <c:formatCode>#,##0.00</c:formatCode>
                <c:ptCount val="7"/>
                <c:pt idx="0">
                  <c:v>5494.23</c:v>
                </c:pt>
                <c:pt idx="1">
                  <c:v>13092.160394650968</c:v>
                </c:pt>
                <c:pt idx="2">
                  <c:v>16340.581876340944</c:v>
                </c:pt>
                <c:pt idx="3">
                  <c:v>20430.381876340944</c:v>
                </c:pt>
                <c:pt idx="4">
                  <c:v>23497.731876340942</c:v>
                </c:pt>
                <c:pt idx="5">
                  <c:v>25542.631876340944</c:v>
                </c:pt>
                <c:pt idx="6">
                  <c:v>26565</c:v>
                </c:pt>
              </c:numCache>
            </c:numRef>
          </c:val>
          <c:smooth val="0"/>
          <c:extLst>
            <c:ext xmlns:c16="http://schemas.microsoft.com/office/drawing/2014/chart" uri="{C3380CC4-5D6E-409C-BE32-E72D297353CC}">
              <c16:uniqueId val="{00000007-319F-49D0-ABBD-35CECD6628C6}"/>
            </c:ext>
          </c:extLst>
        </c:ser>
        <c:ser>
          <c:idx val="0"/>
          <c:order val="2"/>
          <c:tx>
            <c:v>pôvodný plán plnenia cieľa</c:v>
          </c:tx>
          <c:spPr>
            <a:ln w="22225" cap="rnd">
              <a:solidFill>
                <a:srgbClr val="0070C0"/>
              </a:solidFill>
              <a:round/>
            </a:ln>
            <a:effectLst/>
          </c:spPr>
          <c:marker>
            <c:symbol val="diamond"/>
            <c:size val="6"/>
            <c:spPr>
              <a:solidFill>
                <a:srgbClr val="0066FF"/>
              </a:solidFill>
              <a:ln w="9525">
                <a:solidFill>
                  <a:srgbClr val="0070C0"/>
                </a:solidFill>
                <a:round/>
              </a:ln>
              <a:effectLst/>
            </c:spPr>
          </c:marker>
          <c:dLbls>
            <c:dLbl>
              <c:idx val="0"/>
              <c:layout>
                <c:manualLayout>
                  <c:x val="-7.4137891684079221E-2"/>
                  <c:y val="-5.56920556920556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0F1-4FC8-A6F6-92E4422A6FF7}"/>
                </c:ext>
              </c:extLst>
            </c:dLbl>
            <c:dLbl>
              <c:idx val="1"/>
              <c:layout>
                <c:manualLayout>
                  <c:x val="-6.9210434153002237E-2"/>
                  <c:y val="-5.56920556920556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0F1-4FC8-A6F6-92E4422A6FF7}"/>
                </c:ext>
              </c:extLst>
            </c:dLbl>
            <c:dLbl>
              <c:idx val="2"/>
              <c:layout>
                <c:manualLayout>
                  <c:x val="-7.3208435152502485E-2"/>
                  <c:y val="-4.91400491400491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0F1-4FC8-A6F6-92E4422A6FF7}"/>
                </c:ext>
              </c:extLst>
            </c:dLbl>
            <c:dLbl>
              <c:idx val="3"/>
              <c:layout>
                <c:manualLayout>
                  <c:x val="-5.7216431154501486E-2"/>
                  <c:y val="-5.8968058968058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0F1-4FC8-A6F6-92E4422A6FF7}"/>
                </c:ext>
              </c:extLst>
            </c:dLbl>
            <c:dLbl>
              <c:idx val="4"/>
              <c:layout>
                <c:manualLayout>
                  <c:x val="-5.3218430155001238E-2"/>
                  <c:y val="-3.93120393120393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0F1-4FC8-A6F6-92E4422A6FF7}"/>
                </c:ext>
              </c:extLst>
            </c:dLbl>
            <c:dLbl>
              <c:idx val="5"/>
              <c:layout>
                <c:manualLayout>
                  <c:x val="-4.922042915550099E-2"/>
                  <c:y val="-3.9312297265053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0F1-4FC8-A6F6-92E4422A6FF7}"/>
                </c:ext>
              </c:extLst>
            </c:dLbl>
            <c:dLbl>
              <c:idx val="6"/>
              <c:layout>
                <c:manualLayout>
                  <c:x val="-3.2338948635918262E-2"/>
                  <c:y val="-3.60360360360360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0F1-4FC8-A6F6-92E4422A6FF7}"/>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7"/>
              <c:pt idx="0">
                <c:v>2014</c:v>
              </c:pt>
              <c:pt idx="1">
                <c:v>2015</c:v>
              </c:pt>
              <c:pt idx="2">
                <c:v>2016</c:v>
              </c:pt>
              <c:pt idx="3">
                <c:v>2017</c:v>
              </c:pt>
              <c:pt idx="4">
                <c:v>2018</c:v>
              </c:pt>
              <c:pt idx="5">
                <c:v>2019</c:v>
              </c:pt>
              <c:pt idx="6">
                <c:v>2020</c:v>
              </c:pt>
            </c:numLit>
          </c:cat>
          <c:val>
            <c:numRef>
              <c:f>'prepocet ciela 2020'!$C$27:$I$27</c:f>
              <c:numCache>
                <c:formatCode>#,##0.00</c:formatCode>
                <c:ptCount val="7"/>
                <c:pt idx="0">
                  <c:v>6641.25</c:v>
                </c:pt>
                <c:pt idx="1">
                  <c:v>12333.75</c:v>
                </c:pt>
                <c:pt idx="2">
                  <c:v>17077.5</c:v>
                </c:pt>
                <c:pt idx="3">
                  <c:v>20872.5</c:v>
                </c:pt>
                <c:pt idx="4">
                  <c:v>23718.75</c:v>
                </c:pt>
                <c:pt idx="5">
                  <c:v>25616.25</c:v>
                </c:pt>
                <c:pt idx="6">
                  <c:v>26565</c:v>
                </c:pt>
              </c:numCache>
            </c:numRef>
          </c:val>
          <c:smooth val="0"/>
          <c:extLst>
            <c:ext xmlns:c16="http://schemas.microsoft.com/office/drawing/2014/chart" uri="{C3380CC4-5D6E-409C-BE32-E72D297353CC}">
              <c16:uniqueId val="{0000000F-319F-49D0-ABBD-35CECD6628C6}"/>
            </c:ext>
          </c:extLst>
        </c:ser>
        <c:dLbls>
          <c:dLblPos val="ctr"/>
          <c:showLegendKey val="0"/>
          <c:showVal val="1"/>
          <c:showCatName val="0"/>
          <c:showSerName val="0"/>
          <c:showPercent val="0"/>
          <c:showBubbleSize val="0"/>
        </c:dLbls>
        <c:marker val="1"/>
        <c:smooth val="0"/>
        <c:axId val="578119744"/>
        <c:axId val="578120528"/>
        <c:extLst>
          <c:ext xmlns:c15="http://schemas.microsoft.com/office/drawing/2012/chart" uri="{02D57815-91ED-43cb-92C2-25804820EDAC}">
            <c15:filteredLineSeries>
              <c15:ser>
                <c:idx val="2"/>
                <c:order val="0"/>
                <c:spPr>
                  <a:ln w="2222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sk-SK"/>
                    </a:p>
                  </c:txPr>
                  <c:dLblPos val="ctr"/>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numLit>
                    <c:formatCode>General</c:formatCode>
                    <c:ptCount val="7"/>
                    <c:pt idx="0">
                      <c:v>2014</c:v>
                    </c:pt>
                    <c:pt idx="1">
                      <c:v>2015</c:v>
                    </c:pt>
                    <c:pt idx="2">
                      <c:v>2016</c:v>
                    </c:pt>
                    <c:pt idx="3">
                      <c:v>2017</c:v>
                    </c:pt>
                    <c:pt idx="4">
                      <c:v>2018</c:v>
                    </c:pt>
                    <c:pt idx="5">
                      <c:v>2019</c:v>
                    </c:pt>
                    <c:pt idx="6">
                      <c:v>2020</c:v>
                    </c:pt>
                  </c:numLit>
                </c:cat>
                <c:val>
                  <c:numLit>
                    <c:formatCode>General</c:formatCode>
                    <c:ptCount val="7"/>
                    <c:pt idx="0">
                      <c:v>6641.25</c:v>
                    </c:pt>
                    <c:pt idx="1">
                      <c:v>12333.75</c:v>
                    </c:pt>
                    <c:pt idx="2">
                      <c:v>17077.5</c:v>
                    </c:pt>
                    <c:pt idx="3">
                      <c:v>20872.5</c:v>
                    </c:pt>
                    <c:pt idx="4">
                      <c:v>23718.75</c:v>
                    </c:pt>
                    <c:pt idx="5">
                      <c:v>25616.25</c:v>
                    </c:pt>
                    <c:pt idx="6">
                      <c:v>26565</c:v>
                    </c:pt>
                  </c:numLit>
                </c:val>
                <c:smooth val="0"/>
                <c:extLst>
                  <c:ext xmlns:c16="http://schemas.microsoft.com/office/drawing/2014/chart" uri="{C3380CC4-5D6E-409C-BE32-E72D297353CC}">
                    <c16:uniqueId val="{00000010-319F-49D0-ABBD-35CECD6628C6}"/>
                  </c:ext>
                </c:extLst>
              </c15:ser>
            </c15:filteredLineSeries>
          </c:ext>
        </c:extLst>
      </c:lineChart>
      <c:catAx>
        <c:axId val="57811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sk-SK"/>
          </a:p>
        </c:txPr>
        <c:crossAx val="578120528"/>
        <c:crosses val="autoZero"/>
        <c:auto val="1"/>
        <c:lblAlgn val="ctr"/>
        <c:lblOffset val="100"/>
        <c:noMultiLvlLbl val="0"/>
      </c:catAx>
      <c:valAx>
        <c:axId val="578120528"/>
        <c:scaling>
          <c:orientation val="minMax"/>
        </c:scaling>
        <c:delete val="0"/>
        <c:axPos val="l"/>
        <c:numFmt formatCode="#,##0" sourceLinked="0"/>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78119744"/>
        <c:crosses val="autoZero"/>
        <c:crossBetween val="between"/>
      </c:valAx>
      <c:spPr>
        <a:noFill/>
        <a:ln>
          <a:noFill/>
        </a:ln>
        <a:effectLst/>
      </c:spPr>
    </c:plotArea>
    <c:legend>
      <c:legendPos val="t"/>
      <c:layout>
        <c:manualLayout>
          <c:xMode val="edge"/>
          <c:yMode val="edge"/>
          <c:x val="0.79551963767347755"/>
          <c:y val="0.57426960533059968"/>
          <c:w val="0.17473939361131849"/>
          <c:h val="0.283188512250935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sk-SK"/>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56702122760969"/>
          <c:y val="0.11450940972803932"/>
          <c:w val="0.76286558916977487"/>
          <c:h val="0.7709811805439214"/>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1AB-4189-9376-B48478BEA4C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1AB-4189-9376-B48478BEA4C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1AB-4189-9376-B48478BEA4C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1AB-4189-9376-B48478BEA4C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1AB-4189-9376-B48478BEA4C6}"/>
              </c:ext>
            </c:extLst>
          </c:dPt>
          <c:dLbls>
            <c:dLbl>
              <c:idx val="0"/>
              <c:layout>
                <c:manualLayout>
                  <c:x val="-4.6275124700321552E-2"/>
                  <c:y val="0.2493093030037912"/>
                </c:manualLayout>
              </c:layout>
              <c:tx>
                <c:rich>
                  <a:bodyPr/>
                  <a:lstStyle/>
                  <a:p>
                    <a:fld id="{6BA4FD20-8B5A-40EB-BE35-067C8B3D6E0A}" type="PERCENTAGE">
                      <a:rPr lang="en-US" b="1"/>
                      <a:pPr/>
                      <a:t>[PERCENTO]</a:t>
                    </a:fld>
                    <a:endParaRPr lang="sk-SK"/>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1AB-4189-9376-B48478BEA4C6}"/>
                </c:ext>
              </c:extLst>
            </c:dLbl>
            <c:dLbl>
              <c:idx val="1"/>
              <c:layout>
                <c:manualLayout>
                  <c:x val="4.4203565463407993E-3"/>
                  <c:y val="9.9737999416739581E-2"/>
                </c:manualLayout>
              </c:layout>
              <c:tx>
                <c:rich>
                  <a:bodyPr/>
                  <a:lstStyle/>
                  <a:p>
                    <a:fld id="{5690F36E-22FE-4866-9681-69B3B4DDBE85}" type="PERCENTAGE">
                      <a:rPr lang="en-US" b="1"/>
                      <a:pPr/>
                      <a:t>[PERCENTO]</a:t>
                    </a:fld>
                    <a:endParaRPr lang="sk-SK"/>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1AB-4189-9376-B48478BEA4C6}"/>
                </c:ext>
              </c:extLst>
            </c:dLbl>
            <c:dLbl>
              <c:idx val="2"/>
              <c:layout>
                <c:manualLayout>
                  <c:x val="-4.6423742486734622E-2"/>
                  <c:y val="1.5775561388159814E-2"/>
                </c:manualLayout>
              </c:layout>
              <c:tx>
                <c:rich>
                  <a:bodyPr/>
                  <a:lstStyle/>
                  <a:p>
                    <a:fld id="{BA62BCB7-F0E0-45B8-BEE8-A92766AFBE15}" type="PERCENTAGE">
                      <a:rPr lang="en-US" b="1" i="0"/>
                      <a:pPr/>
                      <a:t>[PERCENTO]</a:t>
                    </a:fld>
                    <a:endParaRPr lang="sk-SK"/>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1AB-4189-9376-B48478BEA4C6}"/>
                </c:ext>
              </c:extLst>
            </c:dLbl>
            <c:dLbl>
              <c:idx val="3"/>
              <c:layout>
                <c:manualLayout>
                  <c:x val="-4.0396768585744987E-2"/>
                  <c:y val="-1.03741032370953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1AB-4189-9376-B48478BEA4C6}"/>
                </c:ext>
              </c:extLst>
            </c:dLbl>
            <c:dLbl>
              <c:idx val="4"/>
              <c:layout>
                <c:manualLayout>
                  <c:x val="0.18381247798570632"/>
                  <c:y val="-1.771385243511227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1AB-4189-9376-B48478BEA4C6}"/>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SPOLU_3AP!$O$6:$O$10</c:f>
              <c:strCache>
                <c:ptCount val="5"/>
                <c:pt idx="0">
                  <c:v>Budovy </c:v>
                </c:pt>
                <c:pt idx="1">
                  <c:v>Priemysel </c:v>
                </c:pt>
                <c:pt idx="2">
                  <c:v>Verejný sektor </c:v>
                </c:pt>
                <c:pt idx="3">
                  <c:v>Doprava </c:v>
                </c:pt>
                <c:pt idx="4">
                  <c:v>Spotrebiče </c:v>
                </c:pt>
              </c:strCache>
            </c:strRef>
          </c:cat>
          <c:val>
            <c:numRef>
              <c:f>SPOLU_3AP!$P$6:$P$10</c:f>
              <c:numCache>
                <c:formatCode>#,##0.00</c:formatCode>
                <c:ptCount val="5"/>
                <c:pt idx="0">
                  <c:v>5050.8149108796115</c:v>
                </c:pt>
                <c:pt idx="1">
                  <c:v>2772.0369840000003</c:v>
                </c:pt>
                <c:pt idx="2">
                  <c:v>776.30646282365456</c:v>
                </c:pt>
                <c:pt idx="3">
                  <c:v>896.51626609678362</c:v>
                </c:pt>
                <c:pt idx="4">
                  <c:v>569.770486592</c:v>
                </c:pt>
              </c:numCache>
            </c:numRef>
          </c:val>
          <c:extLst>
            <c:ext xmlns:c16="http://schemas.microsoft.com/office/drawing/2014/chart" uri="{C3380CC4-5D6E-409C-BE32-E72D297353CC}">
              <c16:uniqueId val="{0000000A-21AB-4189-9376-B48478BEA4C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CE6-4652-A1CF-58AC585070E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CE6-4652-A1CF-58AC585070E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CE6-4652-A1CF-58AC585070EA}"/>
              </c:ext>
            </c:extLst>
          </c:dPt>
          <c:dLbls>
            <c:dLbl>
              <c:idx val="0"/>
              <c:layout>
                <c:manualLayout>
                  <c:x val="0.10193827037443115"/>
                  <c:y val="2.5359808284833855E-2"/>
                </c:manualLayout>
              </c:layout>
              <c:tx>
                <c:rich>
                  <a:bodyPr/>
                  <a:lstStyle/>
                  <a:p>
                    <a:fld id="{6BA4FD20-8B5A-40EB-BE35-067C8B3D6E0A}" type="PERCENTAGE">
                      <a:rPr lang="en-US" b="1"/>
                      <a:pPr/>
                      <a:t>[PERCENTO]</a:t>
                    </a:fld>
                    <a:endParaRPr lang="sk-SK"/>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CE6-4652-A1CF-58AC585070EA}"/>
                </c:ext>
              </c:extLst>
            </c:dLbl>
            <c:dLbl>
              <c:idx val="1"/>
              <c:layout>
                <c:manualLayout>
                  <c:x val="5.6324351861080653E-2"/>
                  <c:y val="-7.128517630948307E-2"/>
                </c:manualLayout>
              </c:layout>
              <c:tx>
                <c:rich>
                  <a:bodyPr/>
                  <a:lstStyle/>
                  <a:p>
                    <a:fld id="{5690F36E-22FE-4866-9681-69B3B4DDBE85}" type="PERCENTAGE">
                      <a:rPr lang="en-US" b="1"/>
                      <a:pPr/>
                      <a:t>[PERCENTO]</a:t>
                    </a:fld>
                    <a:endParaRPr lang="sk-SK"/>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CE6-4652-A1CF-58AC585070EA}"/>
                </c:ext>
              </c:extLst>
            </c:dLbl>
            <c:dLbl>
              <c:idx val="2"/>
              <c:layout>
                <c:manualLayout>
                  <c:x val="0.26095529198090744"/>
                  <c:y val="-2.087116284377496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BA62BCB7-F0E0-45B8-BEE8-A92766AFBE15}" type="PERCENTAGE">
                      <a:rPr lang="en-US" b="1" i="0"/>
                      <a:pPr>
                        <a:defRPr sz="900" b="0" i="0" u="none" strike="noStrike" kern="1200" baseline="0">
                          <a:solidFill>
                            <a:schemeClr val="tx1">
                              <a:lumMod val="75000"/>
                              <a:lumOff val="25000"/>
                            </a:schemeClr>
                          </a:solidFill>
                          <a:latin typeface="+mn-lt"/>
                          <a:ea typeface="+mn-ea"/>
                          <a:cs typeface="+mn-cs"/>
                        </a:defRPr>
                      </a:pPr>
                      <a:t>[PERCENTO]</a:t>
                    </a:fld>
                    <a:endParaRPr lang="sk-SK"/>
                  </a:p>
                </c:rich>
              </c:tx>
              <c:numFmt formatCode="0.00%" sourceLinked="0"/>
              <c:spPr>
                <a:noFill/>
                <a:ln>
                  <a:noFill/>
                </a:ln>
                <a:effectLst/>
              </c:spPr>
              <c:dLblPos val="bestFit"/>
              <c:showLegendKey val="0"/>
              <c:showVal val="0"/>
              <c:showCatName val="0"/>
              <c:showSerName val="0"/>
              <c:showPercent val="1"/>
              <c:showBubbleSize val="0"/>
              <c:extLst>
                <c:ext xmlns:c15="http://schemas.microsoft.com/office/drawing/2012/chart" uri="{CE6537A1-D6FC-4f65-9D91-7224C49458BB}">
                  <c15:layout>
                    <c:manualLayout>
                      <c:w val="0.1763390852739152"/>
                      <c:h val="8.9257345034513838E-2"/>
                    </c:manualLayout>
                  </c15:layout>
                  <c15:dlblFieldTable/>
                  <c15:showDataLabelsRange val="0"/>
                </c:ext>
                <c:ext xmlns:c16="http://schemas.microsoft.com/office/drawing/2014/chart" uri="{C3380CC4-5D6E-409C-BE32-E72D297353CC}">
                  <c16:uniqueId val="{00000005-DCE6-4652-A1CF-58AC585070EA}"/>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SPOLU_3AP!$K$6:$K$8</c:f>
              <c:strCache>
                <c:ptCount val="3"/>
                <c:pt idx="0">
                  <c:v>Zlepšovanie tepelno-technických vlastností budov</c:v>
                </c:pt>
                <c:pt idx="1">
                  <c:v>Nová výstavba v nízkoenergetickom štandarde</c:v>
                </c:pt>
                <c:pt idx="2">
                  <c:v>Opatrenia na úsporu energie na TZB</c:v>
                </c:pt>
              </c:strCache>
            </c:strRef>
          </c:cat>
          <c:val>
            <c:numRef>
              <c:f>SPOLU_3AP!$L$6:$L$8</c:f>
              <c:numCache>
                <c:formatCode>#,##0.00</c:formatCode>
                <c:ptCount val="3"/>
                <c:pt idx="0">
                  <c:v>4227.5953878884911</c:v>
                </c:pt>
                <c:pt idx="1">
                  <c:v>340.22728539111995</c:v>
                </c:pt>
                <c:pt idx="2">
                  <c:v>482.99223760000001</c:v>
                </c:pt>
              </c:numCache>
            </c:numRef>
          </c:val>
          <c:extLst>
            <c:ext xmlns:c16="http://schemas.microsoft.com/office/drawing/2014/chart" uri="{C3380CC4-5D6E-409C-BE32-E72D297353CC}">
              <c16:uniqueId val="{00000006-DCE6-4652-A1CF-58AC585070E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3157806058836"/>
          <c:y val="0.10511775069212238"/>
          <c:w val="0.75160524335313994"/>
          <c:h val="0.80194105873752075"/>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6F9-413B-B79B-ABC992A4AB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6F9-413B-B79B-ABC992A4AB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6F9-413B-B79B-ABC992A4ABEB}"/>
              </c:ext>
            </c:extLst>
          </c:dPt>
          <c:dLbls>
            <c:dLbl>
              <c:idx val="0"/>
              <c:layout>
                <c:manualLayout>
                  <c:x val="-0.15343884439552052"/>
                  <c:y val="-3.9473148048274785E-3"/>
                </c:manualLayout>
              </c:layout>
              <c:tx>
                <c:rich>
                  <a:bodyPr/>
                  <a:lstStyle/>
                  <a:p>
                    <a:fld id="{6BA4FD20-8B5A-40EB-BE35-067C8B3D6E0A}" type="PERCENTAGE">
                      <a:rPr lang="en-US" b="1"/>
                      <a:pPr/>
                      <a:t>[PERCENTO]</a:t>
                    </a:fld>
                    <a:endParaRPr lang="sk-SK"/>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6F9-413B-B79B-ABC992A4ABEB}"/>
                </c:ext>
              </c:extLst>
            </c:dLbl>
            <c:dLbl>
              <c:idx val="1"/>
              <c:layout>
                <c:manualLayout>
                  <c:x val="-2.884922551585474E-2"/>
                  <c:y val="-0.11383549659032347"/>
                </c:manualLayout>
              </c:layout>
              <c:tx>
                <c:rich>
                  <a:bodyPr/>
                  <a:lstStyle/>
                  <a:p>
                    <a:fld id="{5690F36E-22FE-4866-9681-69B3B4DDBE85}" type="PERCENTAGE">
                      <a:rPr lang="en-US" b="1"/>
                      <a:pPr/>
                      <a:t>[PERCENTO]</a:t>
                    </a:fld>
                    <a:endParaRPr lang="sk-SK"/>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6F9-413B-B79B-ABC992A4ABEB}"/>
                </c:ext>
              </c:extLst>
            </c:dLbl>
            <c:dLbl>
              <c:idx val="2"/>
              <c:layout>
                <c:manualLayout>
                  <c:x val="5.3386051422602112E-3"/>
                  <c:y val="0.22009755629861336"/>
                </c:manualLayout>
              </c:layout>
              <c:tx>
                <c:rich>
                  <a:bodyPr/>
                  <a:lstStyle/>
                  <a:p>
                    <a:fld id="{BA62BCB7-F0E0-45B8-BEE8-A92766AFBE15}" type="PERCENTAGE">
                      <a:rPr lang="en-US" b="1" i="0" u="sng"/>
                      <a:pPr/>
                      <a:t>[PERCENTO]</a:t>
                    </a:fld>
                    <a:endParaRPr lang="sk-SK"/>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6F9-413B-B79B-ABC992A4ABEB}"/>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SPOLU_3AP!$K$51:$K$53</c:f>
              <c:strCache>
                <c:ptCount val="3"/>
                <c:pt idx="0">
                  <c:v>Inovácie a technologické transfery</c:v>
                </c:pt>
                <c:pt idx="1">
                  <c:v>Využívanie energie v priemyselných podnikoch</c:v>
                </c:pt>
                <c:pt idx="2">
                  <c:v>Energetické audity a iné podporné nástroje</c:v>
                </c:pt>
              </c:strCache>
            </c:strRef>
          </c:cat>
          <c:val>
            <c:numRef>
              <c:f>SPOLU_3AP!$L$51:$L$53</c:f>
              <c:numCache>
                <c:formatCode>#,##0.00</c:formatCode>
                <c:ptCount val="3"/>
                <c:pt idx="0">
                  <c:v>6.8579999999999997</c:v>
                </c:pt>
                <c:pt idx="1">
                  <c:v>622.11550000000022</c:v>
                </c:pt>
                <c:pt idx="2">
                  <c:v>2143.0634840000002</c:v>
                </c:pt>
              </c:numCache>
            </c:numRef>
          </c:val>
          <c:extLst>
            <c:ext xmlns:c16="http://schemas.microsoft.com/office/drawing/2014/chart" uri="{C3380CC4-5D6E-409C-BE32-E72D297353CC}">
              <c16:uniqueId val="{00000006-36F9-413B-B79B-ABC992A4ABE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843435747002212"/>
          <c:y val="0.17746623135522693"/>
          <c:w val="0.69899480212032317"/>
          <c:h val="0.7245677826857008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F6D-490C-B565-AD4B444CC29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F6D-490C-B565-AD4B444CC29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F6D-490C-B565-AD4B444CC29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F6D-490C-B565-AD4B444CC29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F6D-490C-B565-AD4B444CC297}"/>
              </c:ext>
            </c:extLst>
          </c:dPt>
          <c:dLbls>
            <c:dLbl>
              <c:idx val="0"/>
              <c:layout>
                <c:manualLayout>
                  <c:x val="-3.0498223120340045E-2"/>
                  <c:y val="-5.9928296197017963E-2"/>
                </c:manualLayout>
              </c:layout>
              <c:tx>
                <c:rich>
                  <a:bodyPr/>
                  <a:lstStyle/>
                  <a:p>
                    <a:fld id="{C2102B9E-2267-49B7-8590-D6BC941B7FF3}" type="PERCENTAGE">
                      <a:rPr lang="en-US" b="1"/>
                      <a:pPr/>
                      <a:t>[PERCENTO]</a:t>
                    </a:fld>
                    <a:endParaRPr lang="sk-SK"/>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F6D-490C-B565-AD4B444CC297}"/>
                </c:ext>
              </c:extLst>
            </c:dLbl>
            <c:dLbl>
              <c:idx val="1"/>
              <c:layout>
                <c:manualLayout>
                  <c:x val="-3.0926532413536805E-2"/>
                  <c:y val="0.21415178421846207"/>
                </c:manualLayout>
              </c:layout>
              <c:tx>
                <c:rich>
                  <a:bodyPr/>
                  <a:lstStyle/>
                  <a:p>
                    <a:fld id="{26E9877B-C6FB-415F-AD5D-E45CE85A06B0}" type="PERCENTAGE">
                      <a:rPr lang="en-US" b="1"/>
                      <a:pPr/>
                      <a:t>[PERCENTO]</a:t>
                    </a:fld>
                    <a:endParaRPr lang="sk-SK"/>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F6D-490C-B565-AD4B444CC297}"/>
                </c:ext>
              </c:extLst>
            </c:dLbl>
            <c:dLbl>
              <c:idx val="2"/>
              <c:layout>
                <c:manualLayout>
                  <c:x val="-0.18288528093280382"/>
                  <c:y val="1.7250907466353837E-2"/>
                </c:manualLayout>
              </c:layout>
              <c:tx>
                <c:rich>
                  <a:bodyPr/>
                  <a:lstStyle/>
                  <a:p>
                    <a:fld id="{FC320492-7A0C-4379-A31E-7CEDA4EA9549}" type="PERCENTAGE">
                      <a:rPr lang="en-US" b="1"/>
                      <a:pPr/>
                      <a:t>[PERCENTO]</a:t>
                    </a:fld>
                    <a:endParaRPr lang="sk-SK"/>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F6D-490C-B565-AD4B444CC297}"/>
                </c:ext>
              </c:extLst>
            </c:dLbl>
            <c:dLbl>
              <c:idx val="3"/>
              <c:layout>
                <c:manualLayout>
                  <c:x val="4.7109376814623745E-3"/>
                  <c:y val="0.17654459150053051"/>
                </c:manualLayout>
              </c:layout>
              <c:tx>
                <c:rich>
                  <a:bodyPr/>
                  <a:lstStyle/>
                  <a:p>
                    <a:fld id="{0663700E-A453-4951-BD8A-32E197C84ACC}" type="PERCENTAGE">
                      <a:rPr lang="en-US" b="1"/>
                      <a:pPr/>
                      <a:t>[PERCENTO]</a:t>
                    </a:fld>
                    <a:endParaRPr lang="sk-SK"/>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F6D-490C-B565-AD4B444CC297}"/>
                </c:ext>
              </c:extLst>
            </c:dLbl>
            <c:dLbl>
              <c:idx val="4"/>
              <c:layout>
                <c:manualLayout>
                  <c:x val="-7.5184539985599139E-2"/>
                  <c:y val="-5.286692354944994E-2"/>
                </c:manualLayout>
              </c:layout>
              <c:tx>
                <c:rich>
                  <a:bodyPr/>
                  <a:lstStyle/>
                  <a:p>
                    <a:fld id="{40EDF97E-7219-4EA8-85E3-1B915EE82719}" type="PERCENTAGE">
                      <a:rPr lang="en-US" b="1"/>
                      <a:pPr/>
                      <a:t>[PERCENTO]</a:t>
                    </a:fld>
                    <a:endParaRPr lang="sk-SK"/>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F6D-490C-B565-AD4B444CC297}"/>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SPOLU_3AP!$K$78:$K$82</c:f>
              <c:strCache>
                <c:ptCount val="5"/>
                <c:pt idx="0">
                  <c:v>Budovy ŠF EU 2007-2013</c:v>
                </c:pt>
                <c:pt idx="1">
                  <c:v>Budovy vlastné rozpočtové zdroje</c:v>
                </c:pt>
                <c:pt idx="2">
                  <c:v>Budovy národné a medzinárodné programy/fondy</c:v>
                </c:pt>
                <c:pt idx="3">
                  <c:v>Modernizácia verejného osvetlenia</c:v>
                </c:pt>
                <c:pt idx="4">
                  <c:v>Technické zariadenia budov - Energetické služby</c:v>
                </c:pt>
              </c:strCache>
            </c:strRef>
          </c:cat>
          <c:val>
            <c:numRef>
              <c:f>SPOLU_3AP!$L$78:$L$82</c:f>
              <c:numCache>
                <c:formatCode>#,##0.00</c:formatCode>
                <c:ptCount val="5"/>
                <c:pt idx="0">
                  <c:v>172.63166559999999</c:v>
                </c:pt>
                <c:pt idx="1">
                  <c:v>67.666437098014583</c:v>
                </c:pt>
                <c:pt idx="2">
                  <c:v>188.14349053732002</c:v>
                </c:pt>
                <c:pt idx="3">
                  <c:v>255.45610785999992</c:v>
                </c:pt>
                <c:pt idx="4">
                  <c:v>92.408761728320087</c:v>
                </c:pt>
              </c:numCache>
            </c:numRef>
          </c:val>
          <c:extLst>
            <c:ext xmlns:c16="http://schemas.microsoft.com/office/drawing/2014/chart" uri="{C3380CC4-5D6E-409C-BE32-E72D297353CC}">
              <c16:uniqueId val="{0000000A-7F6D-490C-B565-AD4B444CC29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250299256525989"/>
          <c:y val="0.12739646482242817"/>
          <c:w val="0.7078397808969531"/>
          <c:h val="0.79240471047313776"/>
        </c:manualLayout>
      </c:layout>
      <c:pieChart>
        <c:varyColors val="1"/>
        <c:ser>
          <c:idx val="0"/>
          <c:order val="0"/>
          <c:tx>
            <c:v>Sektor dopravy</c:v>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E73-4B34-92E1-550853BF151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E73-4B34-92E1-550853BF151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E73-4B34-92E1-550853BF151E}"/>
              </c:ext>
            </c:extLst>
          </c:dPt>
          <c:dLbls>
            <c:dLbl>
              <c:idx val="0"/>
              <c:layout>
                <c:manualLayout>
                  <c:x val="-8.099364148519092E-2"/>
                  <c:y val="-3.862587972963556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E73-4B34-92E1-550853BF151E}"/>
                </c:ext>
              </c:extLst>
            </c:dLbl>
            <c:dLbl>
              <c:idx val="1"/>
              <c:layout>
                <c:manualLayout>
                  <c:x val="-5.2439492494270185E-3"/>
                  <c:y val="-0.1904782477411562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E73-4B34-92E1-550853BF151E}"/>
                </c:ext>
              </c:extLst>
            </c:dLbl>
            <c:dLbl>
              <c:idx val="2"/>
              <c:layout>
                <c:manualLayout>
                  <c:x val="-0.10214808129221002"/>
                  <c:y val="-3.9281815436787212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E73-4B34-92E1-550853BF151E}"/>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k-SK"/>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SPOLU_3AP!$K$133:$K$135</c:f>
              <c:strCache>
                <c:ptCount val="3"/>
                <c:pt idx="0">
                  <c:v>Dráhová doprava</c:v>
                </c:pt>
                <c:pt idx="1">
                  <c:v>Autobus/Trolejbus</c:v>
                </c:pt>
                <c:pt idx="2">
                  <c:v>Dopravná infraštruktúra</c:v>
                </c:pt>
              </c:strCache>
            </c:strRef>
          </c:cat>
          <c:val>
            <c:numRef>
              <c:f>SPOLU_3AP!$L$133:$L$135</c:f>
              <c:numCache>
                <c:formatCode>#,##0.00</c:formatCode>
                <c:ptCount val="3"/>
                <c:pt idx="0">
                  <c:v>404.59000000000003</c:v>
                </c:pt>
                <c:pt idx="1">
                  <c:v>59.634266096783598</c:v>
                </c:pt>
                <c:pt idx="2">
                  <c:v>432.29199999999997</c:v>
                </c:pt>
              </c:numCache>
            </c:numRef>
          </c:val>
          <c:extLst>
            <c:ext xmlns:c16="http://schemas.microsoft.com/office/drawing/2014/chart" uri="{C3380CC4-5D6E-409C-BE32-E72D297353CC}">
              <c16:uniqueId val="{00000006-8E73-4B34-92E1-550853BF151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240515390121688"/>
          <c:y val="0.12856588872336905"/>
          <c:w val="0.68529070229857625"/>
          <c:h val="0.81494029462533391"/>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2E2-4CC2-ACA5-92860F9506E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2E2-4CC2-ACA5-92860F9506E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2E2-4CC2-ACA5-92860F9506E1}"/>
              </c:ext>
            </c:extLst>
          </c:dPt>
          <c:dLbls>
            <c:dLbl>
              <c:idx val="0"/>
              <c:layout>
                <c:manualLayout>
                  <c:x val="0.15648095124473077"/>
                  <c:y val="-1.801801801801801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2E2-4CC2-ACA5-92860F9506E1}"/>
                </c:ext>
              </c:extLst>
            </c:dLbl>
            <c:dLbl>
              <c:idx val="1"/>
              <c:layout>
                <c:manualLayout>
                  <c:x val="-0.19155293088363953"/>
                  <c:y val="-7.4176538743467944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2E2-4CC2-ACA5-92860F9506E1}"/>
                </c:ext>
              </c:extLst>
            </c:dLbl>
            <c:dLbl>
              <c:idx val="2"/>
              <c:layout>
                <c:manualLayout>
                  <c:x val="3.1777659148538626E-2"/>
                  <c:y val="-8.527015204180558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2E2-4CC2-ACA5-92860F9506E1}"/>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k-SK"/>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SPOLU_3AP!$K$149:$K$151</c:f>
              <c:strCache>
                <c:ptCount val="3"/>
                <c:pt idx="0">
                  <c:v>Obmena bielej techniky</c:v>
                </c:pt>
                <c:pt idx="1">
                  <c:v>Úsporné osvetlenie</c:v>
                </c:pt>
                <c:pt idx="2">
                  <c:v>Obmena zariadení v domácnostiach a kanceláriách</c:v>
                </c:pt>
              </c:strCache>
            </c:strRef>
          </c:cat>
          <c:val>
            <c:numRef>
              <c:f>SPOLU_3AP!$L$149:$L$151</c:f>
              <c:numCache>
                <c:formatCode>#,##0.00</c:formatCode>
                <c:ptCount val="3"/>
                <c:pt idx="0">
                  <c:v>497.43928659200003</c:v>
                </c:pt>
                <c:pt idx="1">
                  <c:v>72.331199999999995</c:v>
                </c:pt>
                <c:pt idx="2">
                  <c:v>0</c:v>
                </c:pt>
              </c:numCache>
            </c:numRef>
          </c:val>
          <c:extLst>
            <c:ext xmlns:c16="http://schemas.microsoft.com/office/drawing/2014/chart" uri="{C3380CC4-5D6E-409C-BE32-E72D297353CC}">
              <c16:uniqueId val="{00000006-B2E2-4CC2-ACA5-92860F9506E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431680334916347"/>
          <c:y val="0.12680825010875393"/>
          <c:w val="0.73695819702235266"/>
          <c:h val="0.79899969387778602"/>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D19-45D9-850A-70F56A880E7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D19-45D9-850A-70F56A880E7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D19-45D9-850A-70F56A880E78}"/>
              </c:ext>
            </c:extLst>
          </c:dPt>
          <c:dLbls>
            <c:dLbl>
              <c:idx val="0"/>
              <c:layout>
                <c:manualLayout>
                  <c:x val="1.1234218532066074E-2"/>
                  <c:y val="-2.066762262726513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D19-45D9-850A-70F56A880E78}"/>
                </c:ext>
              </c:extLst>
            </c:dLbl>
            <c:dLbl>
              <c:idx val="1"/>
              <c:layout>
                <c:manualLayout>
                  <c:x val="2.3693802901221431E-2"/>
                  <c:y val="-3.834721624427171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D19-45D9-850A-70F56A880E78}"/>
                </c:ext>
              </c:extLst>
            </c:dLbl>
            <c:dLbl>
              <c:idx val="2"/>
              <c:layout>
                <c:manualLayout>
                  <c:x val="-0.18281388323359019"/>
                  <c:y val="-8.425910368336375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D19-45D9-850A-70F56A880E78}"/>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k-SK"/>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'Distribúcia TJ'!$D$18:$D$20</c:f>
              <c:strCache>
                <c:ptCount val="3"/>
                <c:pt idx="0">
                  <c:v>OP KaHR 2007-2013</c:v>
                </c:pt>
                <c:pt idx="1">
                  <c:v>Slovseff III. </c:v>
                </c:pt>
                <c:pt idx="2">
                  <c:v>Vlastné zdroje - Zákon č. 321/2014 Z.z.</c:v>
                </c:pt>
              </c:strCache>
            </c:strRef>
          </c:cat>
          <c:val>
            <c:numRef>
              <c:f>'Distribúcia TJ'!$E$18:$E$20</c:f>
              <c:numCache>
                <c:formatCode>#,##0.00</c:formatCode>
                <c:ptCount val="3"/>
                <c:pt idx="0">
                  <c:v>93.570580000000007</c:v>
                </c:pt>
                <c:pt idx="1">
                  <c:v>105.747</c:v>
                </c:pt>
                <c:pt idx="2">
                  <c:v>1238.5300000000002</c:v>
                </c:pt>
              </c:numCache>
            </c:numRef>
          </c:val>
          <c:extLst>
            <c:ext xmlns:c16="http://schemas.microsoft.com/office/drawing/2014/chart" uri="{C3380CC4-5D6E-409C-BE32-E72D297353CC}">
              <c16:uniqueId val="{00000006-7D19-45D9-850A-70F56A880E7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20">
    <a:dk1>
      <a:sysClr val="windowText" lastClr="000000"/>
    </a:dk1>
    <a:lt1>
      <a:sysClr val="window" lastClr="FFFFFF"/>
    </a:lt1>
    <a:dk2>
      <a:srgbClr val="44546A"/>
    </a:dk2>
    <a:lt2>
      <a:srgbClr val="E7E6E6"/>
    </a:lt2>
    <a:accent1>
      <a:srgbClr val="FF7857"/>
    </a:accent1>
    <a:accent2>
      <a:srgbClr val="FF9933"/>
    </a:accent2>
    <a:accent3>
      <a:srgbClr val="FFCC00"/>
    </a:accent3>
    <a:accent4>
      <a:srgbClr val="92D050"/>
    </a:accent4>
    <a:accent5>
      <a:srgbClr val="9BE5FF"/>
    </a:accent5>
    <a:accent6>
      <a:srgbClr val="FF99FF"/>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Custom 20">
    <a:dk1>
      <a:sysClr val="windowText" lastClr="000000"/>
    </a:dk1>
    <a:lt1>
      <a:sysClr val="window" lastClr="FFFFFF"/>
    </a:lt1>
    <a:dk2>
      <a:srgbClr val="44546A"/>
    </a:dk2>
    <a:lt2>
      <a:srgbClr val="E7E6E6"/>
    </a:lt2>
    <a:accent1>
      <a:srgbClr val="FF7857"/>
    </a:accent1>
    <a:accent2>
      <a:srgbClr val="FF9933"/>
    </a:accent2>
    <a:accent3>
      <a:srgbClr val="FFCC00"/>
    </a:accent3>
    <a:accent4>
      <a:srgbClr val="92D050"/>
    </a:accent4>
    <a:accent5>
      <a:srgbClr val="9BE5FF"/>
    </a:accent5>
    <a:accent6>
      <a:srgbClr val="FF99FF"/>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Custom 20">
    <a:dk1>
      <a:sysClr val="windowText" lastClr="000000"/>
    </a:dk1>
    <a:lt1>
      <a:sysClr val="window" lastClr="FFFFFF"/>
    </a:lt1>
    <a:dk2>
      <a:srgbClr val="44546A"/>
    </a:dk2>
    <a:lt2>
      <a:srgbClr val="E7E6E6"/>
    </a:lt2>
    <a:accent1>
      <a:srgbClr val="FF7857"/>
    </a:accent1>
    <a:accent2>
      <a:srgbClr val="FF9933"/>
    </a:accent2>
    <a:accent3>
      <a:srgbClr val="FFCC00"/>
    </a:accent3>
    <a:accent4>
      <a:srgbClr val="92D050"/>
    </a:accent4>
    <a:accent5>
      <a:srgbClr val="9BE5FF"/>
    </a:accent5>
    <a:accent6>
      <a:srgbClr val="FF99FF"/>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Custom 20">
    <a:dk1>
      <a:sysClr val="windowText" lastClr="000000"/>
    </a:dk1>
    <a:lt1>
      <a:sysClr val="window" lastClr="FFFFFF"/>
    </a:lt1>
    <a:dk2>
      <a:srgbClr val="44546A"/>
    </a:dk2>
    <a:lt2>
      <a:srgbClr val="E7E6E6"/>
    </a:lt2>
    <a:accent1>
      <a:srgbClr val="FF7857"/>
    </a:accent1>
    <a:accent2>
      <a:srgbClr val="FF9933"/>
    </a:accent2>
    <a:accent3>
      <a:srgbClr val="FFCC00"/>
    </a:accent3>
    <a:accent4>
      <a:srgbClr val="92D050"/>
    </a:accent4>
    <a:accent5>
      <a:srgbClr val="9BE5FF"/>
    </a:accent5>
    <a:accent6>
      <a:srgbClr val="FF99FF"/>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Custom 20">
    <a:dk1>
      <a:sysClr val="windowText" lastClr="000000"/>
    </a:dk1>
    <a:lt1>
      <a:sysClr val="window" lastClr="FFFFFF"/>
    </a:lt1>
    <a:dk2>
      <a:srgbClr val="44546A"/>
    </a:dk2>
    <a:lt2>
      <a:srgbClr val="E7E6E6"/>
    </a:lt2>
    <a:accent1>
      <a:srgbClr val="FF7857"/>
    </a:accent1>
    <a:accent2>
      <a:srgbClr val="FF9933"/>
    </a:accent2>
    <a:accent3>
      <a:srgbClr val="FFCC00"/>
    </a:accent3>
    <a:accent4>
      <a:srgbClr val="92D050"/>
    </a:accent4>
    <a:accent5>
      <a:srgbClr val="9BE5FF"/>
    </a:accent5>
    <a:accent6>
      <a:srgbClr val="FF99FF"/>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20">
    <a:dk1>
      <a:sysClr val="windowText" lastClr="000000"/>
    </a:dk1>
    <a:lt1>
      <a:sysClr val="window" lastClr="FFFFFF"/>
    </a:lt1>
    <a:dk2>
      <a:srgbClr val="44546A"/>
    </a:dk2>
    <a:lt2>
      <a:srgbClr val="E7E6E6"/>
    </a:lt2>
    <a:accent1>
      <a:srgbClr val="FF7857"/>
    </a:accent1>
    <a:accent2>
      <a:srgbClr val="FF9933"/>
    </a:accent2>
    <a:accent3>
      <a:srgbClr val="FFCC00"/>
    </a:accent3>
    <a:accent4>
      <a:srgbClr val="92D050"/>
    </a:accent4>
    <a:accent5>
      <a:srgbClr val="9BE5FF"/>
    </a:accent5>
    <a:accent6>
      <a:srgbClr val="FF99FF"/>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Custom 20">
    <a:dk1>
      <a:sysClr val="windowText" lastClr="000000"/>
    </a:dk1>
    <a:lt1>
      <a:sysClr val="window" lastClr="FFFFFF"/>
    </a:lt1>
    <a:dk2>
      <a:srgbClr val="44546A"/>
    </a:dk2>
    <a:lt2>
      <a:srgbClr val="E7E6E6"/>
    </a:lt2>
    <a:accent1>
      <a:srgbClr val="FF7857"/>
    </a:accent1>
    <a:accent2>
      <a:srgbClr val="FF9933"/>
    </a:accent2>
    <a:accent3>
      <a:srgbClr val="FFCC00"/>
    </a:accent3>
    <a:accent4>
      <a:srgbClr val="92D050"/>
    </a:accent4>
    <a:accent5>
      <a:srgbClr val="9BE5FF"/>
    </a:accent5>
    <a:accent6>
      <a:srgbClr val="FF99FF"/>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Custom 20">
    <a:dk1>
      <a:sysClr val="windowText" lastClr="000000"/>
    </a:dk1>
    <a:lt1>
      <a:sysClr val="window" lastClr="FFFFFF"/>
    </a:lt1>
    <a:dk2>
      <a:srgbClr val="44546A"/>
    </a:dk2>
    <a:lt2>
      <a:srgbClr val="E7E6E6"/>
    </a:lt2>
    <a:accent1>
      <a:srgbClr val="FF7857"/>
    </a:accent1>
    <a:accent2>
      <a:srgbClr val="FF9933"/>
    </a:accent2>
    <a:accent3>
      <a:srgbClr val="FFCC00"/>
    </a:accent3>
    <a:accent4>
      <a:srgbClr val="92D050"/>
    </a:accent4>
    <a:accent5>
      <a:srgbClr val="9BE5FF"/>
    </a:accent5>
    <a:accent6>
      <a:srgbClr val="FF99FF"/>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Custom 20">
    <a:dk1>
      <a:sysClr val="windowText" lastClr="000000"/>
    </a:dk1>
    <a:lt1>
      <a:sysClr val="window" lastClr="FFFFFF"/>
    </a:lt1>
    <a:dk2>
      <a:srgbClr val="44546A"/>
    </a:dk2>
    <a:lt2>
      <a:srgbClr val="E7E6E6"/>
    </a:lt2>
    <a:accent1>
      <a:srgbClr val="FF7857"/>
    </a:accent1>
    <a:accent2>
      <a:srgbClr val="FF9933"/>
    </a:accent2>
    <a:accent3>
      <a:srgbClr val="FFCC00"/>
    </a:accent3>
    <a:accent4>
      <a:srgbClr val="92D050"/>
    </a:accent4>
    <a:accent5>
      <a:srgbClr val="9BE5FF"/>
    </a:accent5>
    <a:accent6>
      <a:srgbClr val="FF99FF"/>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Custom 20">
    <a:dk1>
      <a:sysClr val="windowText" lastClr="000000"/>
    </a:dk1>
    <a:lt1>
      <a:sysClr val="window" lastClr="FFFFFF"/>
    </a:lt1>
    <a:dk2>
      <a:srgbClr val="44546A"/>
    </a:dk2>
    <a:lt2>
      <a:srgbClr val="E7E6E6"/>
    </a:lt2>
    <a:accent1>
      <a:srgbClr val="FF7857"/>
    </a:accent1>
    <a:accent2>
      <a:srgbClr val="FF9933"/>
    </a:accent2>
    <a:accent3>
      <a:srgbClr val="FFCC00"/>
    </a:accent3>
    <a:accent4>
      <a:srgbClr val="92D050"/>
    </a:accent4>
    <a:accent5>
      <a:srgbClr val="9BE5FF"/>
    </a:accent5>
    <a:accent6>
      <a:srgbClr val="FF99FF"/>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Custom 20">
    <a:dk1>
      <a:sysClr val="windowText" lastClr="000000"/>
    </a:dk1>
    <a:lt1>
      <a:sysClr val="window" lastClr="FFFFFF"/>
    </a:lt1>
    <a:dk2>
      <a:srgbClr val="44546A"/>
    </a:dk2>
    <a:lt2>
      <a:srgbClr val="E7E6E6"/>
    </a:lt2>
    <a:accent1>
      <a:srgbClr val="FF7857"/>
    </a:accent1>
    <a:accent2>
      <a:srgbClr val="FF9933"/>
    </a:accent2>
    <a:accent3>
      <a:srgbClr val="FFCC00"/>
    </a:accent3>
    <a:accent4>
      <a:srgbClr val="92D050"/>
    </a:accent4>
    <a:accent5>
      <a:srgbClr val="9BE5FF"/>
    </a:accent5>
    <a:accent6>
      <a:srgbClr val="FF99FF"/>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Custom 20">
    <a:dk1>
      <a:sysClr val="windowText" lastClr="000000"/>
    </a:dk1>
    <a:lt1>
      <a:sysClr val="window" lastClr="FFFFFF"/>
    </a:lt1>
    <a:dk2>
      <a:srgbClr val="44546A"/>
    </a:dk2>
    <a:lt2>
      <a:srgbClr val="E7E6E6"/>
    </a:lt2>
    <a:accent1>
      <a:srgbClr val="FF7857"/>
    </a:accent1>
    <a:accent2>
      <a:srgbClr val="FF9933"/>
    </a:accent2>
    <a:accent3>
      <a:srgbClr val="FFCC00"/>
    </a:accent3>
    <a:accent4>
      <a:srgbClr val="92D050"/>
    </a:accent4>
    <a:accent5>
      <a:srgbClr val="9BE5FF"/>
    </a:accent5>
    <a:accent6>
      <a:srgbClr val="FF99FF"/>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Custom 20">
    <a:dk1>
      <a:sysClr val="windowText" lastClr="000000"/>
    </a:dk1>
    <a:lt1>
      <a:sysClr val="window" lastClr="FFFFFF"/>
    </a:lt1>
    <a:dk2>
      <a:srgbClr val="44546A"/>
    </a:dk2>
    <a:lt2>
      <a:srgbClr val="E7E6E6"/>
    </a:lt2>
    <a:accent1>
      <a:srgbClr val="FF7857"/>
    </a:accent1>
    <a:accent2>
      <a:srgbClr val="FF9933"/>
    </a:accent2>
    <a:accent3>
      <a:srgbClr val="FFCC00"/>
    </a:accent3>
    <a:accent4>
      <a:srgbClr val="92D050"/>
    </a:accent4>
    <a:accent5>
      <a:srgbClr val="9BE5FF"/>
    </a:accent5>
    <a:accent6>
      <a:srgbClr val="FF99FF"/>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59C31-008D-4527-9045-DD68F778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58</Pages>
  <Words>19246</Words>
  <Characters>109703</Characters>
  <Application>Microsoft Office Word</Application>
  <DocSecurity>0</DocSecurity>
  <Lines>914</Lines>
  <Paragraphs>257</Paragraphs>
  <ScaleCrop>false</ScaleCrop>
  <HeadingPairs>
    <vt:vector size="2" baseType="variant">
      <vt:variant>
        <vt:lpstr>Názov</vt:lpstr>
      </vt:variant>
      <vt:variant>
        <vt:i4>1</vt:i4>
      </vt:variant>
    </vt:vector>
  </HeadingPairs>
  <TitlesOfParts>
    <vt:vector size="1" baseType="lpstr">
      <vt:lpstr/>
    </vt:vector>
  </TitlesOfParts>
  <Company>MHSR</Company>
  <LinksUpToDate>false</LinksUpToDate>
  <CharactersWithSpaces>128692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JCH</dc:creator>
  <cp:lastModifiedBy>Korytarova Katarina</cp:lastModifiedBy>
  <cp:revision>9</cp:revision>
  <cp:lastPrinted>2017-03-17T15:52:00Z</cp:lastPrinted>
  <dcterms:created xsi:type="dcterms:W3CDTF">2017-04-05T09:06:00Z</dcterms:created>
  <dcterms:modified xsi:type="dcterms:W3CDTF">2017-04-05T12:14:00Z</dcterms:modified>
</cp:coreProperties>
</file>